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BB15E" w14:textId="17771A00" w:rsidR="00272723" w:rsidRDefault="00272723" w:rsidP="00272723">
      <w:pPr>
        <w:spacing w:line="360" w:lineRule="auto"/>
        <w:jc w:val="center"/>
        <w:rPr>
          <w:rFonts w:ascii="Arial" w:hAnsi="Arial" w:cs="Arial"/>
          <w:b/>
          <w:bCs/>
        </w:rPr>
      </w:pPr>
      <w:r w:rsidRPr="00272723">
        <w:rPr>
          <w:rFonts w:ascii="Arial" w:hAnsi="Arial" w:cs="Arial"/>
          <w:b/>
          <w:bCs/>
        </w:rPr>
        <w:t>University Of Wales Trinity Saint David</w:t>
      </w:r>
    </w:p>
    <w:p w14:paraId="20D335AC" w14:textId="77777777" w:rsidR="00272723" w:rsidRPr="00272723" w:rsidRDefault="00272723" w:rsidP="00272723">
      <w:pPr>
        <w:spacing w:line="360" w:lineRule="auto"/>
        <w:jc w:val="center"/>
        <w:rPr>
          <w:rFonts w:ascii="Arial" w:hAnsi="Arial" w:cs="Arial"/>
        </w:rPr>
      </w:pPr>
      <w:r w:rsidRPr="00272723">
        <w:rPr>
          <w:rFonts w:ascii="Arial" w:hAnsi="Arial" w:cs="Arial"/>
        </w:rPr>
        <w:t>Master of Business Administration (MBA)</w:t>
      </w:r>
    </w:p>
    <w:p w14:paraId="61BEBD82" w14:textId="24D0BB88" w:rsidR="00272723" w:rsidRPr="00272723" w:rsidRDefault="00272723" w:rsidP="00272723">
      <w:pPr>
        <w:spacing w:line="360" w:lineRule="auto"/>
        <w:jc w:val="center"/>
        <w:rPr>
          <w:rFonts w:ascii="Arial" w:hAnsi="Arial" w:cs="Arial"/>
        </w:rPr>
      </w:pPr>
      <w:r w:rsidRPr="00272723">
        <w:rPr>
          <w:rFonts w:ascii="Arial" w:hAnsi="Arial" w:cs="Arial"/>
        </w:rPr>
        <w:t>INDIVIDUAL WRITTEN ASSIGNMENT COMPONENT 1</w:t>
      </w:r>
    </w:p>
    <w:p w14:paraId="6D78FCA4" w14:textId="77777777" w:rsidR="00272723" w:rsidRPr="00272723" w:rsidRDefault="00272723" w:rsidP="00272723">
      <w:pPr>
        <w:spacing w:line="360" w:lineRule="auto"/>
        <w:jc w:val="center"/>
        <w:rPr>
          <w:rFonts w:ascii="Arial" w:hAnsi="Arial" w:cs="Arial"/>
        </w:rPr>
      </w:pPr>
      <w:r w:rsidRPr="00272723">
        <w:rPr>
          <w:rFonts w:ascii="Arial" w:hAnsi="Arial" w:cs="Arial"/>
        </w:rPr>
        <w:t>Module: Human Capital Management</w:t>
      </w:r>
    </w:p>
    <w:p w14:paraId="5581064E" w14:textId="77777777" w:rsidR="00272723" w:rsidRDefault="00272723" w:rsidP="00272723">
      <w:pPr>
        <w:spacing w:line="360" w:lineRule="auto"/>
        <w:jc w:val="center"/>
        <w:rPr>
          <w:rFonts w:ascii="Arial" w:hAnsi="Arial" w:cs="Arial"/>
        </w:rPr>
      </w:pPr>
      <w:r w:rsidRPr="00272723">
        <w:rPr>
          <w:rFonts w:ascii="Arial" w:hAnsi="Arial" w:cs="Arial"/>
        </w:rPr>
        <w:t>Module Code: LCMB7023</w:t>
      </w:r>
    </w:p>
    <w:p w14:paraId="6619E6E7" w14:textId="77777777" w:rsidR="00272723" w:rsidRDefault="00272723" w:rsidP="00272723">
      <w:pPr>
        <w:spacing w:line="360" w:lineRule="auto"/>
        <w:jc w:val="center"/>
        <w:rPr>
          <w:rFonts w:ascii="Arial" w:hAnsi="Arial" w:cs="Arial"/>
        </w:rPr>
      </w:pPr>
    </w:p>
    <w:p w14:paraId="6AC56EAE" w14:textId="77777777" w:rsidR="00272723" w:rsidRDefault="00272723" w:rsidP="00272723">
      <w:pPr>
        <w:spacing w:line="360" w:lineRule="auto"/>
        <w:jc w:val="center"/>
        <w:rPr>
          <w:rFonts w:ascii="Arial" w:hAnsi="Arial" w:cs="Arial"/>
        </w:rPr>
      </w:pPr>
    </w:p>
    <w:p w14:paraId="3C7B5E21" w14:textId="77777777" w:rsidR="00272723" w:rsidRPr="00272723" w:rsidRDefault="00272723" w:rsidP="00272723">
      <w:pPr>
        <w:spacing w:line="360" w:lineRule="auto"/>
        <w:jc w:val="center"/>
        <w:rPr>
          <w:rFonts w:ascii="Arial" w:hAnsi="Arial" w:cs="Arial"/>
          <w:b/>
          <w:bCs/>
        </w:rPr>
      </w:pPr>
      <w:r w:rsidRPr="00272723">
        <w:rPr>
          <w:rFonts w:ascii="Arial" w:hAnsi="Arial" w:cs="Arial"/>
          <w:b/>
          <w:bCs/>
        </w:rPr>
        <w:t>Innovating New Working Practices and Breeding an Environment Where Talent May Grow</w:t>
      </w:r>
    </w:p>
    <w:p w14:paraId="63D6FE30" w14:textId="77777777" w:rsidR="00272723" w:rsidRPr="00272723" w:rsidRDefault="00272723" w:rsidP="00272723">
      <w:pPr>
        <w:spacing w:line="360" w:lineRule="auto"/>
        <w:jc w:val="center"/>
        <w:rPr>
          <w:rFonts w:ascii="Arial" w:hAnsi="Arial" w:cs="Arial"/>
        </w:rPr>
      </w:pPr>
      <w:r w:rsidRPr="00272723">
        <w:rPr>
          <w:rFonts w:ascii="Arial" w:hAnsi="Arial" w:cs="Arial"/>
          <w:b/>
          <w:bCs/>
        </w:rPr>
        <w:t>An Integrated Strategic Human Capital Management Framework for NexSpace Health Systems (NHSX)</w:t>
      </w:r>
    </w:p>
    <w:p w14:paraId="6C26929A" w14:textId="77777777" w:rsidR="00272723" w:rsidRDefault="00272723" w:rsidP="00272723">
      <w:pPr>
        <w:spacing w:line="360" w:lineRule="auto"/>
        <w:jc w:val="center"/>
        <w:rPr>
          <w:rFonts w:ascii="Arial" w:hAnsi="Arial" w:cs="Arial"/>
        </w:rPr>
      </w:pPr>
    </w:p>
    <w:p w14:paraId="4129D704" w14:textId="77777777" w:rsidR="00272723" w:rsidRDefault="00272723" w:rsidP="00272723">
      <w:pPr>
        <w:spacing w:line="360" w:lineRule="auto"/>
        <w:jc w:val="center"/>
        <w:rPr>
          <w:rFonts w:ascii="Arial" w:hAnsi="Arial" w:cs="Arial"/>
        </w:rPr>
      </w:pPr>
    </w:p>
    <w:p w14:paraId="6168C984" w14:textId="77777777" w:rsidR="00272723" w:rsidRPr="00272723" w:rsidRDefault="00272723" w:rsidP="00272723">
      <w:pPr>
        <w:spacing w:line="360" w:lineRule="auto"/>
        <w:jc w:val="center"/>
        <w:rPr>
          <w:rFonts w:ascii="Arial" w:hAnsi="Arial" w:cs="Arial"/>
        </w:rPr>
      </w:pPr>
      <w:r w:rsidRPr="00272723">
        <w:rPr>
          <w:rFonts w:ascii="Arial" w:hAnsi="Arial" w:cs="Arial"/>
          <w:b/>
          <w:bCs/>
        </w:rPr>
        <w:t>Submitted by:</w:t>
      </w:r>
      <w:r w:rsidRPr="00272723">
        <w:rPr>
          <w:rFonts w:ascii="Arial" w:hAnsi="Arial" w:cs="Arial"/>
        </w:rPr>
        <w:t xml:space="preserve"> Yuvraj Singh</w:t>
      </w:r>
    </w:p>
    <w:p w14:paraId="0C07B45C" w14:textId="77777777" w:rsidR="00272723" w:rsidRPr="00272723" w:rsidRDefault="00272723" w:rsidP="00272723">
      <w:pPr>
        <w:spacing w:line="360" w:lineRule="auto"/>
        <w:jc w:val="center"/>
        <w:rPr>
          <w:rFonts w:ascii="Arial" w:hAnsi="Arial" w:cs="Arial"/>
        </w:rPr>
      </w:pPr>
      <w:r w:rsidRPr="00272723">
        <w:rPr>
          <w:rFonts w:ascii="Arial" w:hAnsi="Arial" w:cs="Arial"/>
          <w:b/>
          <w:bCs/>
        </w:rPr>
        <w:t>Student ID:</w:t>
      </w:r>
      <w:r w:rsidRPr="00272723">
        <w:rPr>
          <w:rFonts w:ascii="Arial" w:hAnsi="Arial" w:cs="Arial"/>
        </w:rPr>
        <w:t xml:space="preserve"> 2604764</w:t>
      </w:r>
    </w:p>
    <w:p w14:paraId="1E9ED403" w14:textId="61CB5218" w:rsidR="00272723" w:rsidRPr="00272723" w:rsidRDefault="00272723" w:rsidP="00272723">
      <w:pPr>
        <w:spacing w:line="360" w:lineRule="auto"/>
        <w:jc w:val="center"/>
        <w:rPr>
          <w:rFonts w:ascii="Arial" w:hAnsi="Arial" w:cs="Arial"/>
        </w:rPr>
      </w:pPr>
      <w:r w:rsidRPr="00272723">
        <w:rPr>
          <w:rFonts w:ascii="Arial" w:hAnsi="Arial" w:cs="Arial"/>
          <w:b/>
          <w:bCs/>
        </w:rPr>
        <w:t>Progra</w:t>
      </w:r>
      <w:r>
        <w:rPr>
          <w:rFonts w:ascii="Arial" w:hAnsi="Arial" w:cs="Arial"/>
          <w:b/>
          <w:bCs/>
        </w:rPr>
        <w:t>m</w:t>
      </w:r>
      <w:r w:rsidRPr="00272723">
        <w:rPr>
          <w:rFonts w:ascii="Arial" w:hAnsi="Arial" w:cs="Arial"/>
          <w:b/>
          <w:bCs/>
        </w:rPr>
        <w:t>:</w:t>
      </w:r>
      <w:r w:rsidRPr="00272723">
        <w:rPr>
          <w:rFonts w:ascii="Arial" w:hAnsi="Arial" w:cs="Arial"/>
        </w:rPr>
        <w:t xml:space="preserve"> Master of Business Administration (MBA)</w:t>
      </w:r>
    </w:p>
    <w:p w14:paraId="4E383F78" w14:textId="77777777" w:rsidR="00272723" w:rsidRPr="00272723" w:rsidRDefault="00272723" w:rsidP="00272723">
      <w:pPr>
        <w:spacing w:line="360" w:lineRule="auto"/>
        <w:jc w:val="center"/>
        <w:rPr>
          <w:rFonts w:ascii="Arial" w:hAnsi="Arial" w:cs="Arial"/>
        </w:rPr>
      </w:pPr>
      <w:r w:rsidRPr="00272723">
        <w:rPr>
          <w:rFonts w:ascii="Arial" w:hAnsi="Arial" w:cs="Arial"/>
          <w:b/>
          <w:bCs/>
        </w:rPr>
        <w:t>Module Lecturer:</w:t>
      </w:r>
      <w:r w:rsidRPr="00272723">
        <w:rPr>
          <w:rFonts w:ascii="Arial" w:hAnsi="Arial" w:cs="Arial"/>
        </w:rPr>
        <w:t xml:space="preserve"> Dr Eno Maycock</w:t>
      </w:r>
    </w:p>
    <w:p w14:paraId="5EE7CA44" w14:textId="77777777" w:rsidR="00272723" w:rsidRPr="00272723" w:rsidRDefault="00272723" w:rsidP="00272723">
      <w:pPr>
        <w:spacing w:line="360" w:lineRule="auto"/>
        <w:jc w:val="center"/>
        <w:rPr>
          <w:rFonts w:ascii="Arial" w:hAnsi="Arial" w:cs="Arial"/>
        </w:rPr>
      </w:pPr>
      <w:r w:rsidRPr="00272723">
        <w:rPr>
          <w:rFonts w:ascii="Arial" w:hAnsi="Arial" w:cs="Arial"/>
          <w:b/>
          <w:bCs/>
        </w:rPr>
        <w:t>Submission Date:</w:t>
      </w:r>
      <w:r w:rsidRPr="00272723">
        <w:rPr>
          <w:rFonts w:ascii="Arial" w:hAnsi="Arial" w:cs="Arial"/>
        </w:rPr>
        <w:t xml:space="preserve"> 15 October 2026</w:t>
      </w:r>
    </w:p>
    <w:p w14:paraId="3835C101" w14:textId="3C08DF41" w:rsidR="00272723" w:rsidRPr="00272723" w:rsidRDefault="00272723" w:rsidP="00272723">
      <w:pPr>
        <w:spacing w:line="360" w:lineRule="auto"/>
        <w:jc w:val="center"/>
        <w:rPr>
          <w:rFonts w:ascii="Arial" w:hAnsi="Arial" w:cs="Arial"/>
        </w:rPr>
      </w:pPr>
      <w:r w:rsidRPr="00272723">
        <w:rPr>
          <w:rFonts w:ascii="Arial" w:hAnsi="Arial" w:cs="Arial"/>
          <w:b/>
          <w:bCs/>
        </w:rPr>
        <w:t>Final Word Count:</w:t>
      </w:r>
      <w:r w:rsidRPr="00272723">
        <w:rPr>
          <w:rFonts w:ascii="Arial" w:hAnsi="Arial" w:cs="Arial"/>
        </w:rPr>
        <w:t xml:space="preserve"> 2</w:t>
      </w:r>
      <w:r>
        <w:rPr>
          <w:rFonts w:ascii="Arial" w:hAnsi="Arial" w:cs="Arial"/>
        </w:rPr>
        <w:t>720</w:t>
      </w:r>
    </w:p>
    <w:p w14:paraId="013A1E1B" w14:textId="77777777" w:rsidR="00272723" w:rsidRPr="00272723" w:rsidRDefault="00272723" w:rsidP="00272723">
      <w:pPr>
        <w:spacing w:line="360" w:lineRule="auto"/>
        <w:jc w:val="center"/>
        <w:rPr>
          <w:rFonts w:ascii="Arial" w:hAnsi="Arial" w:cs="Arial"/>
        </w:rPr>
      </w:pPr>
      <w:r w:rsidRPr="00272723">
        <w:rPr>
          <w:rFonts w:ascii="Arial" w:hAnsi="Arial" w:cs="Arial"/>
          <w:b/>
          <w:bCs/>
        </w:rPr>
        <w:t>University of Wales Trinity Saint David</w:t>
      </w:r>
    </w:p>
    <w:p w14:paraId="2DA1A403" w14:textId="77777777" w:rsidR="00272723" w:rsidRPr="00272723" w:rsidRDefault="00272723" w:rsidP="00272723">
      <w:pPr>
        <w:spacing w:line="360" w:lineRule="auto"/>
        <w:jc w:val="center"/>
        <w:rPr>
          <w:rFonts w:ascii="Arial" w:hAnsi="Arial" w:cs="Arial"/>
        </w:rPr>
      </w:pPr>
      <w:r w:rsidRPr="00272723">
        <w:rPr>
          <w:rFonts w:ascii="Arial" w:hAnsi="Arial" w:cs="Arial"/>
          <w:b/>
          <w:bCs/>
        </w:rPr>
        <w:t>Birmingham Campus</w:t>
      </w:r>
    </w:p>
    <w:p w14:paraId="481B737D" w14:textId="50195476" w:rsidR="00D96E75" w:rsidRPr="00272723" w:rsidRDefault="00272723" w:rsidP="00272723">
      <w:pPr>
        <w:spacing w:line="360" w:lineRule="auto"/>
        <w:jc w:val="center"/>
        <w:rPr>
          <w:rFonts w:ascii="Arial" w:hAnsi="Arial" w:cs="Arial"/>
        </w:rPr>
      </w:pPr>
      <w:r w:rsidRPr="00272723">
        <w:rPr>
          <w:rFonts w:ascii="Arial" w:hAnsi="Arial" w:cs="Arial"/>
          <w:b/>
          <w:bCs/>
        </w:rPr>
        <w:t>Academic Year: 2026–2027</w:t>
      </w:r>
    </w:p>
    <w:p w14:paraId="0965595C" w14:textId="77777777" w:rsidR="00D96E75" w:rsidRPr="00272723" w:rsidRDefault="00D96E75" w:rsidP="00272723">
      <w:pPr>
        <w:spacing w:line="360" w:lineRule="auto"/>
        <w:rPr>
          <w:rFonts w:ascii="Arial" w:hAnsi="Arial" w:cs="Arial"/>
        </w:rPr>
      </w:pPr>
    </w:p>
    <w:sdt>
      <w:sdtPr>
        <w:rPr>
          <w:rFonts w:ascii="Arial" w:hAnsi="Arial" w:cs="Arial"/>
        </w:rPr>
        <w:id w:val="95303958"/>
        <w:docPartObj>
          <w:docPartGallery w:val="Table of Contents"/>
          <w:docPartUnique/>
        </w:docPartObj>
      </w:sdtPr>
      <w:sdtEndPr>
        <w:rPr>
          <w:rFonts w:eastAsiaTheme="minorHAnsi"/>
          <w:b/>
          <w:bCs/>
          <w:noProof/>
          <w:color w:val="auto"/>
          <w:kern w:val="2"/>
          <w:sz w:val="24"/>
          <w:szCs w:val="24"/>
          <w14:ligatures w14:val="standardContextual"/>
        </w:rPr>
      </w:sdtEndPr>
      <w:sdtContent>
        <w:p w14:paraId="65F1CC58" w14:textId="3215A13D" w:rsidR="00272723" w:rsidRPr="00272723" w:rsidRDefault="00272723" w:rsidP="00272723">
          <w:pPr>
            <w:pStyle w:val="TOCHeading"/>
            <w:spacing w:line="360" w:lineRule="auto"/>
            <w:jc w:val="center"/>
            <w:rPr>
              <w:rFonts w:ascii="Arial" w:hAnsi="Arial" w:cs="Arial"/>
              <w:b/>
              <w:bCs/>
              <w:color w:val="000000" w:themeColor="text1"/>
            </w:rPr>
          </w:pPr>
          <w:r w:rsidRPr="00272723">
            <w:rPr>
              <w:rFonts w:ascii="Arial" w:hAnsi="Arial" w:cs="Arial"/>
              <w:b/>
              <w:bCs/>
              <w:color w:val="000000" w:themeColor="text1"/>
            </w:rPr>
            <w:t>Table of Contents</w:t>
          </w:r>
        </w:p>
        <w:p w14:paraId="7A90C3E8" w14:textId="3F0BD999" w:rsidR="0070012D" w:rsidRDefault="00272723">
          <w:pPr>
            <w:pStyle w:val="TOC1"/>
            <w:tabs>
              <w:tab w:val="right" w:leader="dot" w:pos="9350"/>
            </w:tabs>
            <w:rPr>
              <w:rFonts w:asciiTheme="minorHAnsi" w:eastAsiaTheme="minorEastAsia" w:hAnsiTheme="minorHAnsi"/>
              <w:noProof/>
            </w:rPr>
          </w:pPr>
          <w:r w:rsidRPr="00272723">
            <w:rPr>
              <w:rFonts w:ascii="Arial" w:hAnsi="Arial" w:cs="Arial"/>
            </w:rPr>
            <w:fldChar w:fldCharType="begin"/>
          </w:r>
          <w:r w:rsidRPr="00272723">
            <w:rPr>
              <w:rFonts w:ascii="Arial" w:hAnsi="Arial" w:cs="Arial"/>
            </w:rPr>
            <w:instrText xml:space="preserve"> TOC \o "1-3" \h \z \u </w:instrText>
          </w:r>
          <w:r w:rsidRPr="00272723">
            <w:rPr>
              <w:rFonts w:ascii="Arial" w:hAnsi="Arial" w:cs="Arial"/>
            </w:rPr>
            <w:fldChar w:fldCharType="separate"/>
          </w:r>
          <w:hyperlink w:anchor="_Toc242890551" w:history="1">
            <w:r w:rsidR="0070012D" w:rsidRPr="009F2EFD">
              <w:rPr>
                <w:rStyle w:val="Hyperlink"/>
                <w:rFonts w:ascii="Arial" w:hAnsi="Arial" w:cs="Arial"/>
                <w:noProof/>
              </w:rPr>
              <w:t>Task A: Designing Innovative Working Practices</w:t>
            </w:r>
            <w:r w:rsidR="0070012D">
              <w:rPr>
                <w:noProof/>
                <w:webHidden/>
              </w:rPr>
              <w:tab/>
            </w:r>
            <w:r w:rsidR="0070012D">
              <w:rPr>
                <w:noProof/>
                <w:webHidden/>
              </w:rPr>
              <w:fldChar w:fldCharType="begin"/>
            </w:r>
            <w:r w:rsidR="0070012D">
              <w:rPr>
                <w:noProof/>
                <w:webHidden/>
              </w:rPr>
              <w:instrText xml:space="preserve"> PAGEREF _Toc242890551 \h </w:instrText>
            </w:r>
            <w:r w:rsidR="0070012D">
              <w:rPr>
                <w:noProof/>
                <w:webHidden/>
              </w:rPr>
            </w:r>
            <w:r w:rsidR="0070012D">
              <w:rPr>
                <w:noProof/>
                <w:webHidden/>
              </w:rPr>
              <w:fldChar w:fldCharType="separate"/>
            </w:r>
            <w:r w:rsidR="0070012D">
              <w:rPr>
                <w:noProof/>
                <w:webHidden/>
              </w:rPr>
              <w:t>3</w:t>
            </w:r>
            <w:r w:rsidR="0070012D">
              <w:rPr>
                <w:noProof/>
                <w:webHidden/>
              </w:rPr>
              <w:fldChar w:fldCharType="end"/>
            </w:r>
          </w:hyperlink>
        </w:p>
        <w:p w14:paraId="1EB88D79" w14:textId="6BA77E3C" w:rsidR="0070012D" w:rsidRDefault="0070012D">
          <w:pPr>
            <w:pStyle w:val="TOC2"/>
            <w:tabs>
              <w:tab w:val="right" w:leader="dot" w:pos="9350"/>
            </w:tabs>
            <w:rPr>
              <w:rFonts w:asciiTheme="minorHAnsi" w:eastAsiaTheme="minorEastAsia" w:hAnsiTheme="minorHAnsi"/>
              <w:noProof/>
            </w:rPr>
          </w:pPr>
          <w:hyperlink w:anchor="_Toc242890552" w:history="1">
            <w:r w:rsidRPr="009F2EFD">
              <w:rPr>
                <w:rStyle w:val="Hyperlink"/>
                <w:rFonts w:ascii="Arial" w:hAnsi="Arial" w:cs="Arial"/>
                <w:noProof/>
              </w:rPr>
              <w:t>1.1 Critical Evaluation of Traditional and Contemporary Working Practices</w:t>
            </w:r>
            <w:r>
              <w:rPr>
                <w:noProof/>
                <w:webHidden/>
              </w:rPr>
              <w:tab/>
            </w:r>
            <w:r>
              <w:rPr>
                <w:noProof/>
                <w:webHidden/>
              </w:rPr>
              <w:fldChar w:fldCharType="begin"/>
            </w:r>
            <w:r>
              <w:rPr>
                <w:noProof/>
                <w:webHidden/>
              </w:rPr>
              <w:instrText xml:space="preserve"> PAGEREF _Toc242890552 \h </w:instrText>
            </w:r>
            <w:r>
              <w:rPr>
                <w:noProof/>
                <w:webHidden/>
              </w:rPr>
            </w:r>
            <w:r>
              <w:rPr>
                <w:noProof/>
                <w:webHidden/>
              </w:rPr>
              <w:fldChar w:fldCharType="separate"/>
            </w:r>
            <w:r>
              <w:rPr>
                <w:noProof/>
                <w:webHidden/>
              </w:rPr>
              <w:t>3</w:t>
            </w:r>
            <w:r>
              <w:rPr>
                <w:noProof/>
                <w:webHidden/>
              </w:rPr>
              <w:fldChar w:fldCharType="end"/>
            </w:r>
          </w:hyperlink>
        </w:p>
        <w:p w14:paraId="29182DE8" w14:textId="62B9AE9D" w:rsidR="0070012D" w:rsidRDefault="0070012D">
          <w:pPr>
            <w:pStyle w:val="TOC2"/>
            <w:tabs>
              <w:tab w:val="right" w:leader="dot" w:pos="9350"/>
            </w:tabs>
            <w:rPr>
              <w:rFonts w:asciiTheme="minorHAnsi" w:eastAsiaTheme="minorEastAsia" w:hAnsiTheme="minorHAnsi"/>
              <w:noProof/>
            </w:rPr>
          </w:pPr>
          <w:hyperlink w:anchor="_Toc242890553" w:history="1">
            <w:r w:rsidRPr="009F2EFD">
              <w:rPr>
                <w:rStyle w:val="Hyperlink"/>
                <w:rFonts w:ascii="Arial" w:hAnsi="Arial" w:cs="Arial"/>
                <w:noProof/>
              </w:rPr>
              <w:t>1.2 Proposed Integrated Innovative Working Framework</w:t>
            </w:r>
            <w:r>
              <w:rPr>
                <w:noProof/>
                <w:webHidden/>
              </w:rPr>
              <w:tab/>
            </w:r>
            <w:r>
              <w:rPr>
                <w:noProof/>
                <w:webHidden/>
              </w:rPr>
              <w:fldChar w:fldCharType="begin"/>
            </w:r>
            <w:r>
              <w:rPr>
                <w:noProof/>
                <w:webHidden/>
              </w:rPr>
              <w:instrText xml:space="preserve"> PAGEREF _Toc242890553 \h </w:instrText>
            </w:r>
            <w:r>
              <w:rPr>
                <w:noProof/>
                <w:webHidden/>
              </w:rPr>
            </w:r>
            <w:r>
              <w:rPr>
                <w:noProof/>
                <w:webHidden/>
              </w:rPr>
              <w:fldChar w:fldCharType="separate"/>
            </w:r>
            <w:r>
              <w:rPr>
                <w:noProof/>
                <w:webHidden/>
              </w:rPr>
              <w:t>5</w:t>
            </w:r>
            <w:r>
              <w:rPr>
                <w:noProof/>
                <w:webHidden/>
              </w:rPr>
              <w:fldChar w:fldCharType="end"/>
            </w:r>
          </w:hyperlink>
        </w:p>
        <w:p w14:paraId="1FA5D3AE" w14:textId="498E796B" w:rsidR="0070012D" w:rsidRDefault="0070012D">
          <w:pPr>
            <w:pStyle w:val="TOC2"/>
            <w:tabs>
              <w:tab w:val="right" w:leader="dot" w:pos="9350"/>
            </w:tabs>
            <w:rPr>
              <w:rFonts w:asciiTheme="minorHAnsi" w:eastAsiaTheme="minorEastAsia" w:hAnsiTheme="minorHAnsi"/>
              <w:noProof/>
            </w:rPr>
          </w:pPr>
          <w:hyperlink w:anchor="_Toc242890554" w:history="1">
            <w:r w:rsidRPr="009F2EFD">
              <w:rPr>
                <w:rStyle w:val="Hyperlink"/>
                <w:rFonts w:ascii="Arial" w:hAnsi="Arial" w:cs="Arial"/>
                <w:noProof/>
              </w:rPr>
              <w:t>1.3 Implementation and Strategic Performance Implications</w:t>
            </w:r>
            <w:r>
              <w:rPr>
                <w:noProof/>
                <w:webHidden/>
              </w:rPr>
              <w:tab/>
            </w:r>
            <w:r>
              <w:rPr>
                <w:noProof/>
                <w:webHidden/>
              </w:rPr>
              <w:fldChar w:fldCharType="begin"/>
            </w:r>
            <w:r>
              <w:rPr>
                <w:noProof/>
                <w:webHidden/>
              </w:rPr>
              <w:instrText xml:space="preserve"> PAGEREF _Toc242890554 \h </w:instrText>
            </w:r>
            <w:r>
              <w:rPr>
                <w:noProof/>
                <w:webHidden/>
              </w:rPr>
            </w:r>
            <w:r>
              <w:rPr>
                <w:noProof/>
                <w:webHidden/>
              </w:rPr>
              <w:fldChar w:fldCharType="separate"/>
            </w:r>
            <w:r>
              <w:rPr>
                <w:noProof/>
                <w:webHidden/>
              </w:rPr>
              <w:t>7</w:t>
            </w:r>
            <w:r>
              <w:rPr>
                <w:noProof/>
                <w:webHidden/>
              </w:rPr>
              <w:fldChar w:fldCharType="end"/>
            </w:r>
          </w:hyperlink>
        </w:p>
        <w:p w14:paraId="37B68F1B" w14:textId="7361A9F0" w:rsidR="0070012D" w:rsidRDefault="0070012D">
          <w:pPr>
            <w:pStyle w:val="TOC1"/>
            <w:tabs>
              <w:tab w:val="right" w:leader="dot" w:pos="9350"/>
            </w:tabs>
            <w:rPr>
              <w:rFonts w:asciiTheme="minorHAnsi" w:eastAsiaTheme="minorEastAsia" w:hAnsiTheme="minorHAnsi"/>
              <w:noProof/>
            </w:rPr>
          </w:pPr>
          <w:hyperlink w:anchor="_Toc242890555" w:history="1">
            <w:r w:rsidRPr="009F2EFD">
              <w:rPr>
                <w:rStyle w:val="Hyperlink"/>
                <w:rFonts w:ascii="Arial" w:hAnsi="Arial" w:cs="Arial"/>
                <w:noProof/>
              </w:rPr>
              <w:t>Task B: Breeding an Environment Where Talent May Grow</w:t>
            </w:r>
            <w:r>
              <w:rPr>
                <w:noProof/>
                <w:webHidden/>
              </w:rPr>
              <w:tab/>
            </w:r>
            <w:r>
              <w:rPr>
                <w:noProof/>
                <w:webHidden/>
              </w:rPr>
              <w:fldChar w:fldCharType="begin"/>
            </w:r>
            <w:r>
              <w:rPr>
                <w:noProof/>
                <w:webHidden/>
              </w:rPr>
              <w:instrText xml:space="preserve"> PAGEREF _Toc242890555 \h </w:instrText>
            </w:r>
            <w:r>
              <w:rPr>
                <w:noProof/>
                <w:webHidden/>
              </w:rPr>
            </w:r>
            <w:r>
              <w:rPr>
                <w:noProof/>
                <w:webHidden/>
              </w:rPr>
              <w:fldChar w:fldCharType="separate"/>
            </w:r>
            <w:r>
              <w:rPr>
                <w:noProof/>
                <w:webHidden/>
              </w:rPr>
              <w:t>7</w:t>
            </w:r>
            <w:r>
              <w:rPr>
                <w:noProof/>
                <w:webHidden/>
              </w:rPr>
              <w:fldChar w:fldCharType="end"/>
            </w:r>
          </w:hyperlink>
        </w:p>
        <w:p w14:paraId="719CD0ED" w14:textId="04846DCF" w:rsidR="0070012D" w:rsidRDefault="0070012D">
          <w:pPr>
            <w:pStyle w:val="TOC2"/>
            <w:tabs>
              <w:tab w:val="right" w:leader="dot" w:pos="9350"/>
            </w:tabs>
            <w:rPr>
              <w:rFonts w:asciiTheme="minorHAnsi" w:eastAsiaTheme="minorEastAsia" w:hAnsiTheme="minorHAnsi"/>
              <w:noProof/>
            </w:rPr>
          </w:pPr>
          <w:hyperlink w:anchor="_Toc242890556" w:history="1">
            <w:r w:rsidRPr="009F2EFD">
              <w:rPr>
                <w:rStyle w:val="Hyperlink"/>
                <w:rFonts w:ascii="Arial" w:hAnsi="Arial" w:cs="Arial"/>
                <w:noProof/>
              </w:rPr>
              <w:t>B1. Critical Evaluation of Talent Development</w:t>
            </w:r>
            <w:r>
              <w:rPr>
                <w:noProof/>
                <w:webHidden/>
              </w:rPr>
              <w:tab/>
            </w:r>
            <w:r>
              <w:rPr>
                <w:noProof/>
                <w:webHidden/>
              </w:rPr>
              <w:fldChar w:fldCharType="begin"/>
            </w:r>
            <w:r>
              <w:rPr>
                <w:noProof/>
                <w:webHidden/>
              </w:rPr>
              <w:instrText xml:space="preserve"> PAGEREF _Toc242890556 \h </w:instrText>
            </w:r>
            <w:r>
              <w:rPr>
                <w:noProof/>
                <w:webHidden/>
              </w:rPr>
            </w:r>
            <w:r>
              <w:rPr>
                <w:noProof/>
                <w:webHidden/>
              </w:rPr>
              <w:fldChar w:fldCharType="separate"/>
            </w:r>
            <w:r>
              <w:rPr>
                <w:noProof/>
                <w:webHidden/>
              </w:rPr>
              <w:t>7</w:t>
            </w:r>
            <w:r>
              <w:rPr>
                <w:noProof/>
                <w:webHidden/>
              </w:rPr>
              <w:fldChar w:fldCharType="end"/>
            </w:r>
          </w:hyperlink>
        </w:p>
        <w:p w14:paraId="2808174D" w14:textId="1B974257" w:rsidR="0070012D" w:rsidRDefault="0070012D">
          <w:pPr>
            <w:pStyle w:val="TOC2"/>
            <w:tabs>
              <w:tab w:val="right" w:leader="dot" w:pos="9350"/>
            </w:tabs>
            <w:rPr>
              <w:rFonts w:asciiTheme="minorHAnsi" w:eastAsiaTheme="minorEastAsia" w:hAnsiTheme="minorHAnsi"/>
              <w:noProof/>
            </w:rPr>
          </w:pPr>
          <w:hyperlink w:anchor="_Toc242890557" w:history="1">
            <w:r w:rsidRPr="009F2EFD">
              <w:rPr>
                <w:rStyle w:val="Hyperlink"/>
                <w:rFonts w:ascii="Arial" w:hAnsi="Arial" w:cs="Arial"/>
                <w:noProof/>
              </w:rPr>
              <w:t>B2. Proposed Integrated Talent Growth Ecosystem</w:t>
            </w:r>
            <w:r>
              <w:rPr>
                <w:noProof/>
                <w:webHidden/>
              </w:rPr>
              <w:tab/>
            </w:r>
            <w:r>
              <w:rPr>
                <w:noProof/>
                <w:webHidden/>
              </w:rPr>
              <w:fldChar w:fldCharType="begin"/>
            </w:r>
            <w:r>
              <w:rPr>
                <w:noProof/>
                <w:webHidden/>
              </w:rPr>
              <w:instrText xml:space="preserve"> PAGEREF _Toc242890557 \h </w:instrText>
            </w:r>
            <w:r>
              <w:rPr>
                <w:noProof/>
                <w:webHidden/>
              </w:rPr>
            </w:r>
            <w:r>
              <w:rPr>
                <w:noProof/>
                <w:webHidden/>
              </w:rPr>
              <w:fldChar w:fldCharType="separate"/>
            </w:r>
            <w:r>
              <w:rPr>
                <w:noProof/>
                <w:webHidden/>
              </w:rPr>
              <w:t>9</w:t>
            </w:r>
            <w:r>
              <w:rPr>
                <w:noProof/>
                <w:webHidden/>
              </w:rPr>
              <w:fldChar w:fldCharType="end"/>
            </w:r>
          </w:hyperlink>
        </w:p>
        <w:p w14:paraId="59729A8C" w14:textId="5B083A60" w:rsidR="0070012D" w:rsidRDefault="0070012D">
          <w:pPr>
            <w:pStyle w:val="TOC2"/>
            <w:tabs>
              <w:tab w:val="right" w:leader="dot" w:pos="9350"/>
            </w:tabs>
            <w:rPr>
              <w:rFonts w:asciiTheme="minorHAnsi" w:eastAsiaTheme="minorEastAsia" w:hAnsiTheme="minorHAnsi"/>
              <w:noProof/>
            </w:rPr>
          </w:pPr>
          <w:hyperlink w:anchor="_Toc242890558" w:history="1">
            <w:r w:rsidRPr="009F2EFD">
              <w:rPr>
                <w:rStyle w:val="Hyperlink"/>
                <w:rFonts w:ascii="Arial" w:hAnsi="Arial" w:cs="Arial"/>
                <w:noProof/>
              </w:rPr>
              <w:t>B3. Implementation and Strategic Evaluation</w:t>
            </w:r>
            <w:r>
              <w:rPr>
                <w:noProof/>
                <w:webHidden/>
              </w:rPr>
              <w:tab/>
            </w:r>
            <w:r>
              <w:rPr>
                <w:noProof/>
                <w:webHidden/>
              </w:rPr>
              <w:fldChar w:fldCharType="begin"/>
            </w:r>
            <w:r>
              <w:rPr>
                <w:noProof/>
                <w:webHidden/>
              </w:rPr>
              <w:instrText xml:space="preserve"> PAGEREF _Toc242890558 \h </w:instrText>
            </w:r>
            <w:r>
              <w:rPr>
                <w:noProof/>
                <w:webHidden/>
              </w:rPr>
            </w:r>
            <w:r>
              <w:rPr>
                <w:noProof/>
                <w:webHidden/>
              </w:rPr>
              <w:fldChar w:fldCharType="separate"/>
            </w:r>
            <w:r>
              <w:rPr>
                <w:noProof/>
                <w:webHidden/>
              </w:rPr>
              <w:t>10</w:t>
            </w:r>
            <w:r>
              <w:rPr>
                <w:noProof/>
                <w:webHidden/>
              </w:rPr>
              <w:fldChar w:fldCharType="end"/>
            </w:r>
          </w:hyperlink>
        </w:p>
        <w:p w14:paraId="1C9FC1D5" w14:textId="51E62C85" w:rsidR="0070012D" w:rsidRDefault="0070012D">
          <w:pPr>
            <w:pStyle w:val="TOC1"/>
            <w:tabs>
              <w:tab w:val="right" w:leader="dot" w:pos="9350"/>
            </w:tabs>
            <w:rPr>
              <w:rFonts w:asciiTheme="minorHAnsi" w:eastAsiaTheme="minorEastAsia" w:hAnsiTheme="minorHAnsi"/>
              <w:noProof/>
            </w:rPr>
          </w:pPr>
          <w:hyperlink w:anchor="_Toc242890559" w:history="1">
            <w:r w:rsidRPr="009F2EFD">
              <w:rPr>
                <w:rStyle w:val="Hyperlink"/>
                <w:rFonts w:ascii="Arial" w:hAnsi="Arial" w:cs="Arial"/>
                <w:noProof/>
              </w:rPr>
              <w:t>Task C: Reflective Report Artificial Intelligence and Professional Capability Development</w:t>
            </w:r>
            <w:r>
              <w:rPr>
                <w:noProof/>
                <w:webHidden/>
              </w:rPr>
              <w:tab/>
            </w:r>
            <w:r>
              <w:rPr>
                <w:noProof/>
                <w:webHidden/>
              </w:rPr>
              <w:fldChar w:fldCharType="begin"/>
            </w:r>
            <w:r>
              <w:rPr>
                <w:noProof/>
                <w:webHidden/>
              </w:rPr>
              <w:instrText xml:space="preserve"> PAGEREF _Toc242890559 \h </w:instrText>
            </w:r>
            <w:r>
              <w:rPr>
                <w:noProof/>
                <w:webHidden/>
              </w:rPr>
            </w:r>
            <w:r>
              <w:rPr>
                <w:noProof/>
                <w:webHidden/>
              </w:rPr>
              <w:fldChar w:fldCharType="separate"/>
            </w:r>
            <w:r>
              <w:rPr>
                <w:noProof/>
                <w:webHidden/>
              </w:rPr>
              <w:t>11</w:t>
            </w:r>
            <w:r>
              <w:rPr>
                <w:noProof/>
                <w:webHidden/>
              </w:rPr>
              <w:fldChar w:fldCharType="end"/>
            </w:r>
          </w:hyperlink>
        </w:p>
        <w:p w14:paraId="37DBBB1B" w14:textId="679D3923" w:rsidR="0070012D" w:rsidRDefault="0070012D">
          <w:pPr>
            <w:pStyle w:val="TOC2"/>
            <w:tabs>
              <w:tab w:val="right" w:leader="dot" w:pos="9350"/>
            </w:tabs>
            <w:rPr>
              <w:rFonts w:asciiTheme="minorHAnsi" w:eastAsiaTheme="minorEastAsia" w:hAnsiTheme="minorHAnsi"/>
              <w:noProof/>
            </w:rPr>
          </w:pPr>
          <w:hyperlink w:anchor="_Toc242890560" w:history="1">
            <w:r w:rsidRPr="009F2EFD">
              <w:rPr>
                <w:rStyle w:val="Hyperlink"/>
                <w:rFonts w:ascii="Arial" w:hAnsi="Arial" w:cs="Arial"/>
                <w:noProof/>
              </w:rPr>
              <w:t>C1. Critical Evaluation of AI as a Strategic HR Decision-Support Tool</w:t>
            </w:r>
            <w:r>
              <w:rPr>
                <w:noProof/>
                <w:webHidden/>
              </w:rPr>
              <w:tab/>
            </w:r>
            <w:r>
              <w:rPr>
                <w:noProof/>
                <w:webHidden/>
              </w:rPr>
              <w:fldChar w:fldCharType="begin"/>
            </w:r>
            <w:r>
              <w:rPr>
                <w:noProof/>
                <w:webHidden/>
              </w:rPr>
              <w:instrText xml:space="preserve"> PAGEREF _Toc242890560 \h </w:instrText>
            </w:r>
            <w:r>
              <w:rPr>
                <w:noProof/>
                <w:webHidden/>
              </w:rPr>
            </w:r>
            <w:r>
              <w:rPr>
                <w:noProof/>
                <w:webHidden/>
              </w:rPr>
              <w:fldChar w:fldCharType="separate"/>
            </w:r>
            <w:r>
              <w:rPr>
                <w:noProof/>
                <w:webHidden/>
              </w:rPr>
              <w:t>11</w:t>
            </w:r>
            <w:r>
              <w:rPr>
                <w:noProof/>
                <w:webHidden/>
              </w:rPr>
              <w:fldChar w:fldCharType="end"/>
            </w:r>
          </w:hyperlink>
        </w:p>
        <w:p w14:paraId="03A5D387" w14:textId="160AA3E8" w:rsidR="0070012D" w:rsidRDefault="0070012D">
          <w:pPr>
            <w:pStyle w:val="TOC2"/>
            <w:tabs>
              <w:tab w:val="right" w:leader="dot" w:pos="9350"/>
            </w:tabs>
            <w:rPr>
              <w:rFonts w:asciiTheme="minorHAnsi" w:eastAsiaTheme="minorEastAsia" w:hAnsiTheme="minorHAnsi"/>
              <w:noProof/>
            </w:rPr>
          </w:pPr>
          <w:hyperlink w:anchor="_Toc242890561" w:history="1">
            <w:r w:rsidRPr="009F2EFD">
              <w:rPr>
                <w:rStyle w:val="Hyperlink"/>
                <w:noProof/>
              </w:rPr>
              <w:t>C2. Reflective Analysis of Three AI Applications</w:t>
            </w:r>
            <w:r>
              <w:rPr>
                <w:noProof/>
                <w:webHidden/>
              </w:rPr>
              <w:tab/>
            </w:r>
            <w:r>
              <w:rPr>
                <w:noProof/>
                <w:webHidden/>
              </w:rPr>
              <w:fldChar w:fldCharType="begin"/>
            </w:r>
            <w:r>
              <w:rPr>
                <w:noProof/>
                <w:webHidden/>
              </w:rPr>
              <w:instrText xml:space="preserve"> PAGEREF _Toc242890561 \h </w:instrText>
            </w:r>
            <w:r>
              <w:rPr>
                <w:noProof/>
                <w:webHidden/>
              </w:rPr>
            </w:r>
            <w:r>
              <w:rPr>
                <w:noProof/>
                <w:webHidden/>
              </w:rPr>
              <w:fldChar w:fldCharType="separate"/>
            </w:r>
            <w:r>
              <w:rPr>
                <w:noProof/>
                <w:webHidden/>
              </w:rPr>
              <w:t>11</w:t>
            </w:r>
            <w:r>
              <w:rPr>
                <w:noProof/>
                <w:webHidden/>
              </w:rPr>
              <w:fldChar w:fldCharType="end"/>
            </w:r>
          </w:hyperlink>
        </w:p>
        <w:p w14:paraId="0BB097EC" w14:textId="4D21F5E1" w:rsidR="0070012D" w:rsidRDefault="0070012D">
          <w:pPr>
            <w:pStyle w:val="TOC3"/>
            <w:tabs>
              <w:tab w:val="right" w:leader="dot" w:pos="9350"/>
            </w:tabs>
            <w:rPr>
              <w:noProof/>
            </w:rPr>
          </w:pPr>
          <w:hyperlink w:anchor="_Toc242890562" w:history="1">
            <w:r w:rsidRPr="009F2EFD">
              <w:rPr>
                <w:rStyle w:val="Hyperlink"/>
                <w:noProof/>
              </w:rPr>
              <w:t>Experience One: AI-Assisted Accessibility and Inclusive Employment</w:t>
            </w:r>
            <w:r>
              <w:rPr>
                <w:noProof/>
                <w:webHidden/>
              </w:rPr>
              <w:tab/>
            </w:r>
            <w:r>
              <w:rPr>
                <w:noProof/>
                <w:webHidden/>
              </w:rPr>
              <w:fldChar w:fldCharType="begin"/>
            </w:r>
            <w:r>
              <w:rPr>
                <w:noProof/>
                <w:webHidden/>
              </w:rPr>
              <w:instrText xml:space="preserve"> PAGEREF _Toc242890562 \h </w:instrText>
            </w:r>
            <w:r>
              <w:rPr>
                <w:noProof/>
                <w:webHidden/>
              </w:rPr>
            </w:r>
            <w:r>
              <w:rPr>
                <w:noProof/>
                <w:webHidden/>
              </w:rPr>
              <w:fldChar w:fldCharType="separate"/>
            </w:r>
            <w:r>
              <w:rPr>
                <w:noProof/>
                <w:webHidden/>
              </w:rPr>
              <w:t>11</w:t>
            </w:r>
            <w:r>
              <w:rPr>
                <w:noProof/>
                <w:webHidden/>
              </w:rPr>
              <w:fldChar w:fldCharType="end"/>
            </w:r>
          </w:hyperlink>
        </w:p>
        <w:p w14:paraId="10C0DCDA" w14:textId="53AA8C14" w:rsidR="0070012D" w:rsidRDefault="0070012D">
          <w:pPr>
            <w:pStyle w:val="TOC3"/>
            <w:tabs>
              <w:tab w:val="right" w:leader="dot" w:pos="9350"/>
            </w:tabs>
            <w:rPr>
              <w:noProof/>
            </w:rPr>
          </w:pPr>
          <w:hyperlink w:anchor="_Toc242890563" w:history="1">
            <w:r w:rsidRPr="009F2EFD">
              <w:rPr>
                <w:rStyle w:val="Hyperlink"/>
                <w:noProof/>
              </w:rPr>
              <w:t>Experience Two: AI-Based Employee Sentiment Analysis</w:t>
            </w:r>
            <w:r>
              <w:rPr>
                <w:noProof/>
                <w:webHidden/>
              </w:rPr>
              <w:tab/>
            </w:r>
            <w:r>
              <w:rPr>
                <w:noProof/>
                <w:webHidden/>
              </w:rPr>
              <w:fldChar w:fldCharType="begin"/>
            </w:r>
            <w:r>
              <w:rPr>
                <w:noProof/>
                <w:webHidden/>
              </w:rPr>
              <w:instrText xml:space="preserve"> PAGEREF _Toc242890563 \h </w:instrText>
            </w:r>
            <w:r>
              <w:rPr>
                <w:noProof/>
                <w:webHidden/>
              </w:rPr>
            </w:r>
            <w:r>
              <w:rPr>
                <w:noProof/>
                <w:webHidden/>
              </w:rPr>
              <w:fldChar w:fldCharType="separate"/>
            </w:r>
            <w:r>
              <w:rPr>
                <w:noProof/>
                <w:webHidden/>
              </w:rPr>
              <w:t>11</w:t>
            </w:r>
            <w:r>
              <w:rPr>
                <w:noProof/>
                <w:webHidden/>
              </w:rPr>
              <w:fldChar w:fldCharType="end"/>
            </w:r>
          </w:hyperlink>
        </w:p>
        <w:p w14:paraId="51E55FCD" w14:textId="5BC4D684" w:rsidR="0070012D" w:rsidRDefault="0070012D">
          <w:pPr>
            <w:pStyle w:val="TOC3"/>
            <w:tabs>
              <w:tab w:val="right" w:leader="dot" w:pos="9350"/>
            </w:tabs>
            <w:rPr>
              <w:noProof/>
            </w:rPr>
          </w:pPr>
          <w:hyperlink w:anchor="_Toc242890564" w:history="1">
            <w:r w:rsidRPr="009F2EFD">
              <w:rPr>
                <w:rStyle w:val="Hyperlink"/>
                <w:noProof/>
              </w:rPr>
              <w:t>Experience Three: AI-Assisted Workforce Scenario Planning</w:t>
            </w:r>
            <w:r>
              <w:rPr>
                <w:noProof/>
                <w:webHidden/>
              </w:rPr>
              <w:tab/>
            </w:r>
            <w:r>
              <w:rPr>
                <w:noProof/>
                <w:webHidden/>
              </w:rPr>
              <w:fldChar w:fldCharType="begin"/>
            </w:r>
            <w:r>
              <w:rPr>
                <w:noProof/>
                <w:webHidden/>
              </w:rPr>
              <w:instrText xml:space="preserve"> PAGEREF _Toc242890564 \h </w:instrText>
            </w:r>
            <w:r>
              <w:rPr>
                <w:noProof/>
                <w:webHidden/>
              </w:rPr>
            </w:r>
            <w:r>
              <w:rPr>
                <w:noProof/>
                <w:webHidden/>
              </w:rPr>
              <w:fldChar w:fldCharType="separate"/>
            </w:r>
            <w:r>
              <w:rPr>
                <w:noProof/>
                <w:webHidden/>
              </w:rPr>
              <w:t>12</w:t>
            </w:r>
            <w:r>
              <w:rPr>
                <w:noProof/>
                <w:webHidden/>
              </w:rPr>
              <w:fldChar w:fldCharType="end"/>
            </w:r>
          </w:hyperlink>
        </w:p>
        <w:p w14:paraId="679915AF" w14:textId="5C07ABC8" w:rsidR="0070012D" w:rsidRDefault="0070012D">
          <w:pPr>
            <w:pStyle w:val="TOC2"/>
            <w:tabs>
              <w:tab w:val="right" w:leader="dot" w:pos="9350"/>
            </w:tabs>
            <w:rPr>
              <w:rFonts w:asciiTheme="minorHAnsi" w:eastAsiaTheme="minorEastAsia" w:hAnsiTheme="minorHAnsi"/>
              <w:noProof/>
            </w:rPr>
          </w:pPr>
          <w:hyperlink w:anchor="_Toc242890565" w:history="1">
            <w:r w:rsidRPr="009F2EFD">
              <w:rPr>
                <w:rStyle w:val="Hyperlink"/>
                <w:rFonts w:ascii="Arial" w:hAnsi="Arial" w:cs="Arial"/>
                <w:noProof/>
              </w:rPr>
              <w:t>C3. Personal Capability Development Action Plan</w:t>
            </w:r>
            <w:r>
              <w:rPr>
                <w:noProof/>
                <w:webHidden/>
              </w:rPr>
              <w:tab/>
            </w:r>
            <w:r>
              <w:rPr>
                <w:noProof/>
                <w:webHidden/>
              </w:rPr>
              <w:fldChar w:fldCharType="begin"/>
            </w:r>
            <w:r>
              <w:rPr>
                <w:noProof/>
                <w:webHidden/>
              </w:rPr>
              <w:instrText xml:space="preserve"> PAGEREF _Toc242890565 \h </w:instrText>
            </w:r>
            <w:r>
              <w:rPr>
                <w:noProof/>
                <w:webHidden/>
              </w:rPr>
            </w:r>
            <w:r>
              <w:rPr>
                <w:noProof/>
                <w:webHidden/>
              </w:rPr>
              <w:fldChar w:fldCharType="separate"/>
            </w:r>
            <w:r>
              <w:rPr>
                <w:noProof/>
                <w:webHidden/>
              </w:rPr>
              <w:t>12</w:t>
            </w:r>
            <w:r>
              <w:rPr>
                <w:noProof/>
                <w:webHidden/>
              </w:rPr>
              <w:fldChar w:fldCharType="end"/>
            </w:r>
          </w:hyperlink>
        </w:p>
        <w:p w14:paraId="76E1CF16" w14:textId="56A83517" w:rsidR="0070012D" w:rsidRDefault="0070012D">
          <w:pPr>
            <w:pStyle w:val="TOC1"/>
            <w:tabs>
              <w:tab w:val="right" w:leader="dot" w:pos="9350"/>
            </w:tabs>
            <w:rPr>
              <w:rFonts w:asciiTheme="minorHAnsi" w:eastAsiaTheme="minorEastAsia" w:hAnsiTheme="minorHAnsi"/>
              <w:noProof/>
            </w:rPr>
          </w:pPr>
          <w:hyperlink w:anchor="_Toc242890566" w:history="1">
            <w:r w:rsidRPr="009F2EFD">
              <w:rPr>
                <w:rStyle w:val="Hyperlink"/>
                <w:noProof/>
              </w:rPr>
              <w:t>References</w:t>
            </w:r>
            <w:r>
              <w:rPr>
                <w:noProof/>
                <w:webHidden/>
              </w:rPr>
              <w:tab/>
            </w:r>
            <w:r>
              <w:rPr>
                <w:noProof/>
                <w:webHidden/>
              </w:rPr>
              <w:fldChar w:fldCharType="begin"/>
            </w:r>
            <w:r>
              <w:rPr>
                <w:noProof/>
                <w:webHidden/>
              </w:rPr>
              <w:instrText xml:space="preserve"> PAGEREF _Toc242890566 \h </w:instrText>
            </w:r>
            <w:r>
              <w:rPr>
                <w:noProof/>
                <w:webHidden/>
              </w:rPr>
            </w:r>
            <w:r>
              <w:rPr>
                <w:noProof/>
                <w:webHidden/>
              </w:rPr>
              <w:fldChar w:fldCharType="separate"/>
            </w:r>
            <w:r>
              <w:rPr>
                <w:noProof/>
                <w:webHidden/>
              </w:rPr>
              <w:t>13</w:t>
            </w:r>
            <w:r>
              <w:rPr>
                <w:noProof/>
                <w:webHidden/>
              </w:rPr>
              <w:fldChar w:fldCharType="end"/>
            </w:r>
          </w:hyperlink>
        </w:p>
        <w:p w14:paraId="08392EE1" w14:textId="4FD26A24" w:rsidR="00272723" w:rsidRPr="00272723" w:rsidRDefault="00272723" w:rsidP="00272723">
          <w:pPr>
            <w:spacing w:line="360" w:lineRule="auto"/>
            <w:rPr>
              <w:rFonts w:ascii="Arial" w:hAnsi="Arial" w:cs="Arial"/>
            </w:rPr>
          </w:pPr>
          <w:r w:rsidRPr="00272723">
            <w:rPr>
              <w:rFonts w:ascii="Arial" w:hAnsi="Arial" w:cs="Arial"/>
              <w:b/>
              <w:bCs/>
              <w:noProof/>
            </w:rPr>
            <w:fldChar w:fldCharType="end"/>
          </w:r>
        </w:p>
      </w:sdtContent>
    </w:sdt>
    <w:p w14:paraId="7ADA891B" w14:textId="77777777" w:rsidR="00D96E75" w:rsidRPr="00272723" w:rsidRDefault="00D96E75" w:rsidP="00272723">
      <w:pPr>
        <w:spacing w:line="360" w:lineRule="auto"/>
        <w:rPr>
          <w:rFonts w:ascii="Arial" w:hAnsi="Arial" w:cs="Arial"/>
        </w:rPr>
      </w:pPr>
    </w:p>
    <w:p w14:paraId="79DE478F" w14:textId="77777777" w:rsidR="00D96E75" w:rsidRPr="00272723" w:rsidRDefault="00D96E75" w:rsidP="00272723">
      <w:pPr>
        <w:spacing w:line="360" w:lineRule="auto"/>
        <w:rPr>
          <w:rFonts w:ascii="Arial" w:hAnsi="Arial" w:cs="Arial"/>
        </w:rPr>
      </w:pPr>
    </w:p>
    <w:p w14:paraId="571870A2" w14:textId="77777777" w:rsidR="00D96E75" w:rsidRPr="00272723" w:rsidRDefault="00D96E75" w:rsidP="00272723">
      <w:pPr>
        <w:spacing w:line="360" w:lineRule="auto"/>
        <w:rPr>
          <w:rFonts w:ascii="Arial" w:hAnsi="Arial" w:cs="Arial"/>
        </w:rPr>
      </w:pPr>
    </w:p>
    <w:p w14:paraId="79B96BA6" w14:textId="77777777" w:rsidR="00D96E75" w:rsidRPr="00272723" w:rsidRDefault="00D96E75" w:rsidP="00272723">
      <w:pPr>
        <w:spacing w:line="360" w:lineRule="auto"/>
        <w:rPr>
          <w:rFonts w:ascii="Arial" w:hAnsi="Arial" w:cs="Arial"/>
        </w:rPr>
      </w:pPr>
    </w:p>
    <w:p w14:paraId="5FA03376" w14:textId="77777777" w:rsidR="00D96E75" w:rsidRPr="00272723" w:rsidRDefault="00D96E75" w:rsidP="00272723">
      <w:pPr>
        <w:spacing w:line="360" w:lineRule="auto"/>
        <w:rPr>
          <w:rFonts w:ascii="Arial" w:hAnsi="Arial" w:cs="Arial"/>
        </w:rPr>
      </w:pPr>
    </w:p>
    <w:p w14:paraId="48C9D4CA" w14:textId="77777777" w:rsidR="00D96E75" w:rsidRPr="00272723" w:rsidRDefault="00D96E75" w:rsidP="00272723">
      <w:pPr>
        <w:spacing w:line="360" w:lineRule="auto"/>
        <w:rPr>
          <w:rFonts w:ascii="Arial" w:hAnsi="Arial" w:cs="Arial"/>
        </w:rPr>
      </w:pPr>
    </w:p>
    <w:p w14:paraId="3FFB7346" w14:textId="77777777" w:rsidR="00D96E75" w:rsidRPr="00272723" w:rsidRDefault="00D96E75" w:rsidP="00272723">
      <w:pPr>
        <w:pStyle w:val="Heading1"/>
        <w:spacing w:line="360" w:lineRule="auto"/>
        <w:rPr>
          <w:rFonts w:ascii="Arial" w:hAnsi="Arial" w:cs="Arial"/>
        </w:rPr>
      </w:pPr>
      <w:bookmarkStart w:id="0" w:name="_Toc242890551"/>
      <w:r w:rsidRPr="00272723">
        <w:rPr>
          <w:rFonts w:ascii="Arial" w:hAnsi="Arial" w:cs="Arial"/>
        </w:rPr>
        <w:lastRenderedPageBreak/>
        <w:t>Task A: Designing Innovative Working Practices</w:t>
      </w:r>
      <w:bookmarkEnd w:id="0"/>
    </w:p>
    <w:p w14:paraId="2C820BB0" w14:textId="77777777" w:rsidR="00D96E75" w:rsidRPr="00272723" w:rsidRDefault="00D96E75" w:rsidP="00272723">
      <w:pPr>
        <w:pStyle w:val="Heading2"/>
        <w:spacing w:line="360" w:lineRule="auto"/>
        <w:rPr>
          <w:rFonts w:ascii="Arial" w:hAnsi="Arial" w:cs="Arial"/>
        </w:rPr>
      </w:pPr>
      <w:bookmarkStart w:id="1" w:name="_Toc242890552"/>
      <w:r w:rsidRPr="00272723">
        <w:rPr>
          <w:rFonts w:ascii="Arial" w:hAnsi="Arial" w:cs="Arial"/>
        </w:rPr>
        <w:t>1.1 Critical Evaluation of Traditional and Contemporary Working Practices</w:t>
      </w:r>
      <w:bookmarkEnd w:id="1"/>
    </w:p>
    <w:p w14:paraId="785F4D39" w14:textId="5DA0EC62" w:rsidR="00D96E75" w:rsidRPr="00272723" w:rsidRDefault="00D96E75" w:rsidP="00272723">
      <w:pPr>
        <w:spacing w:line="360" w:lineRule="auto"/>
        <w:jc w:val="both"/>
        <w:rPr>
          <w:rFonts w:ascii="Arial" w:hAnsi="Arial" w:cs="Arial"/>
        </w:rPr>
      </w:pPr>
      <w:r w:rsidRPr="00272723">
        <w:rPr>
          <w:rFonts w:ascii="Arial" w:hAnsi="Arial" w:cs="Arial"/>
        </w:rPr>
        <w:t xml:space="preserve">The setup conundrum faced by NexSpace Health Systems (NHSX) illustrates a core inaptitude in traditional </w:t>
      </w:r>
      <w:r w:rsidRPr="00272723">
        <w:rPr>
          <w:rFonts w:ascii="Arial" w:hAnsi="Arial" w:cs="Arial"/>
        </w:rPr>
        <w:t>organizational</w:t>
      </w:r>
      <w:r w:rsidRPr="00272723">
        <w:rPr>
          <w:rFonts w:ascii="Arial" w:hAnsi="Arial" w:cs="Arial"/>
        </w:rPr>
        <w:t xml:space="preserve"> structures and management models to meet the strategic requirements of a fast-growing healthcare tech company. Operating in the United Kingdom, India and United Arab Emirates with some 600 workers nationwide, NHSX relies on expertise, constant innovation and international working. However, its hierarchical decision-making process and limited experimentation and dispersal of hybrid practices have contributed to a lack of responsiveness at the </w:t>
      </w:r>
      <w:r w:rsidRPr="00272723">
        <w:rPr>
          <w:rFonts w:ascii="Arial" w:hAnsi="Arial" w:cs="Arial"/>
        </w:rPr>
        <w:t>organization</w:t>
      </w:r>
      <w:r w:rsidRPr="00272723">
        <w:rPr>
          <w:rFonts w:ascii="Arial" w:hAnsi="Arial" w:cs="Arial"/>
        </w:rPr>
        <w:t xml:space="preserve"> level. However, to improve sustainably, it is necessary to redesign the work in a holistic manner and to avoid technological and/or managerial interventions in isolation. Adopted in such a manner, the approach is in line with strategic human resource management, which understands that the performance of an organization is related to the alignment of human resources, capabilities and working habits (Ulrich 1997; Jiang et al. 2012).</w:t>
      </w:r>
    </w:p>
    <w:p w14:paraId="732BD5D8" w14:textId="1FFB3E9F" w:rsidR="00D96E75" w:rsidRPr="00272723" w:rsidRDefault="00D96E75" w:rsidP="00272723">
      <w:pPr>
        <w:spacing w:line="360" w:lineRule="auto"/>
        <w:jc w:val="both"/>
        <w:rPr>
          <w:rFonts w:ascii="Arial" w:hAnsi="Arial" w:cs="Arial"/>
        </w:rPr>
      </w:pPr>
      <w:r w:rsidRPr="00272723">
        <w:rPr>
          <w:rFonts w:ascii="Arial" w:hAnsi="Arial" w:cs="Arial"/>
        </w:rPr>
        <w:t xml:space="preserve">Traditional work design that takes off from scientific management and bureaucratic concepts puts emphasis on hierarchical leadership, uniformity and </w:t>
      </w:r>
      <w:r w:rsidRPr="00272723">
        <w:rPr>
          <w:rFonts w:ascii="Arial" w:hAnsi="Arial" w:cs="Arial"/>
        </w:rPr>
        <w:t>unambiguity</w:t>
      </w:r>
      <w:r w:rsidRPr="00272723">
        <w:rPr>
          <w:rFonts w:ascii="Arial" w:hAnsi="Arial" w:cs="Arial"/>
        </w:rPr>
        <w:t xml:space="preserve">. Aesthetically these are desired for their consistency to the functioning of </w:t>
      </w:r>
      <w:r w:rsidRPr="00272723">
        <w:rPr>
          <w:rFonts w:ascii="Arial" w:hAnsi="Arial" w:cs="Arial"/>
        </w:rPr>
        <w:t>operations but</w:t>
      </w:r>
      <w:r w:rsidRPr="00272723">
        <w:rPr>
          <w:rFonts w:ascii="Arial" w:hAnsi="Arial" w:cs="Arial"/>
        </w:rPr>
        <w:t xml:space="preserve"> can prove to be a hindrance for creativity in the case of problems, which can be solved by the application of interdisciplinary knowledge and quick decisions. From the point of NHSX, overly managerial controls can hinder employees' closest to emerging tech challenges at their jobs. Notwithstanding, the entire removal of formal authority would introduce significant risks since clinical </w:t>
      </w:r>
      <w:r w:rsidRPr="00272723">
        <w:rPr>
          <w:rFonts w:ascii="Arial" w:hAnsi="Arial" w:cs="Arial"/>
        </w:rPr>
        <w:t>decisions</w:t>
      </w:r>
      <w:r w:rsidRPr="00272723">
        <w:rPr>
          <w:rFonts w:ascii="Arial" w:hAnsi="Arial" w:cs="Arial"/>
        </w:rPr>
        <w:t xml:space="preserve"> supporting technologies have to rely on a strong validation process, cyber security and accountable governance. The key goal of this strategy thus needs to be selective </w:t>
      </w:r>
      <w:r w:rsidRPr="00272723">
        <w:rPr>
          <w:rFonts w:ascii="Arial" w:hAnsi="Arial" w:cs="Arial"/>
        </w:rPr>
        <w:t>decentralization</w:t>
      </w:r>
      <w:r w:rsidRPr="00272723">
        <w:rPr>
          <w:rFonts w:ascii="Arial" w:hAnsi="Arial" w:cs="Arial"/>
        </w:rPr>
        <w:t xml:space="preserve">: autonomy of the employees combined with proportional professional control. A study by Hackman and Oldham (EMPCRIT) that investigated a sample of 658 employees in 62 jobs showed empirical evidence of the motivational effect of job design, but some aspects of the study's historical and </w:t>
      </w:r>
      <w:r w:rsidRPr="00272723">
        <w:rPr>
          <w:rFonts w:ascii="Arial" w:hAnsi="Arial" w:cs="Arial"/>
        </w:rPr>
        <w:t>organizational</w:t>
      </w:r>
      <w:r w:rsidRPr="00272723">
        <w:rPr>
          <w:rFonts w:ascii="Arial" w:hAnsi="Arial" w:cs="Arial"/>
        </w:rPr>
        <w:t xml:space="preserve"> context make it inappropriate for </w:t>
      </w:r>
      <w:r w:rsidRPr="00272723">
        <w:rPr>
          <w:rFonts w:ascii="Arial" w:hAnsi="Arial" w:cs="Arial"/>
        </w:rPr>
        <w:t>generalization</w:t>
      </w:r>
      <w:r w:rsidRPr="00272723">
        <w:rPr>
          <w:rFonts w:ascii="Arial" w:hAnsi="Arial" w:cs="Arial"/>
        </w:rPr>
        <w:t xml:space="preserve"> to contemporary healthcare technology.</w:t>
      </w:r>
    </w:p>
    <w:p w14:paraId="2AE43B4B" w14:textId="77777777" w:rsidR="00272723" w:rsidRDefault="00D96E75" w:rsidP="00272723">
      <w:pPr>
        <w:spacing w:line="360" w:lineRule="auto"/>
        <w:jc w:val="both"/>
        <w:rPr>
          <w:rFonts w:ascii="Arial" w:hAnsi="Arial" w:cs="Arial"/>
        </w:rPr>
      </w:pPr>
      <w:r w:rsidRPr="00272723">
        <w:rPr>
          <w:rFonts w:ascii="Arial" w:hAnsi="Arial" w:cs="Arial"/>
        </w:rPr>
        <w:lastRenderedPageBreak/>
        <w:t xml:space="preserve">High-Performance Work Systems (HPWS) provide one way of boosting </w:t>
      </w:r>
      <w:r w:rsidRPr="00272723">
        <w:rPr>
          <w:rFonts w:ascii="Arial" w:hAnsi="Arial" w:cs="Arial"/>
        </w:rPr>
        <w:t>organizational</w:t>
      </w:r>
      <w:r w:rsidRPr="00272723">
        <w:rPr>
          <w:rFonts w:ascii="Arial" w:hAnsi="Arial" w:cs="Arial"/>
        </w:rPr>
        <w:t xml:space="preserve"> capability through a package of integrated human resource practices which increase employee capabilities, motivation and opportunities. The evidence provided by Jiang et al. (2012) in their </w:t>
      </w:r>
      <w:r w:rsidRPr="00272723">
        <w:rPr>
          <w:rFonts w:ascii="Arial" w:hAnsi="Arial" w:cs="Arial"/>
        </w:rPr>
        <w:t>meta-analysis</w:t>
      </w:r>
      <w:r w:rsidRPr="00272723">
        <w:rPr>
          <w:rFonts w:ascii="Arial" w:hAnsi="Arial" w:cs="Arial"/>
        </w:rPr>
        <w:t xml:space="preserve"> confirms links between complementary HR systems, employee capabilities, and the employee motivation and consequences. However, any performance-based schemes should not be taken as a positive solution to enhance employee welfare without further ado. Boxall and Macky (2014) identified positive wellbeing outcomes when they were correlated with autonomy and employee participation and work intensity with fatigue and stress and with detrimental work–life balance outcomes. In the context of NHSX, this is especially significance as managers already find it challenging to balance </w:t>
      </w:r>
      <w:r w:rsidRPr="00272723">
        <w:rPr>
          <w:rFonts w:ascii="Arial" w:hAnsi="Arial" w:cs="Arial"/>
        </w:rPr>
        <w:t>high-performance</w:t>
      </w:r>
      <w:r w:rsidRPr="00272723">
        <w:rPr>
          <w:rFonts w:ascii="Arial" w:hAnsi="Arial" w:cs="Arial"/>
        </w:rPr>
        <w:t xml:space="preserve"> demands with the health and well-being of staff. So, improvements should be based on increased ability and </w:t>
      </w:r>
      <w:r w:rsidRPr="00272723">
        <w:rPr>
          <w:rFonts w:ascii="Arial" w:hAnsi="Arial" w:cs="Arial"/>
        </w:rPr>
        <w:t>coordination,</w:t>
      </w:r>
      <w:r w:rsidRPr="00272723">
        <w:rPr>
          <w:rFonts w:ascii="Arial" w:hAnsi="Arial" w:cs="Arial"/>
        </w:rPr>
        <w:t xml:space="preserve"> not more work pressure.</w:t>
      </w:r>
    </w:p>
    <w:p w14:paraId="35F020E3" w14:textId="10D08753" w:rsidR="00D96E75" w:rsidRPr="00272723" w:rsidRDefault="00D96E75" w:rsidP="00272723">
      <w:pPr>
        <w:spacing w:line="360" w:lineRule="auto"/>
        <w:jc w:val="both"/>
        <w:rPr>
          <w:rFonts w:ascii="Arial" w:hAnsi="Arial" w:cs="Arial"/>
        </w:rPr>
      </w:pPr>
      <w:r w:rsidRPr="00272723">
        <w:rPr>
          <w:rFonts w:ascii="Arial" w:hAnsi="Arial" w:cs="Arial"/>
        </w:rPr>
        <w:t xml:space="preserve">The complementary perspective uttered from High-Involvement Work Systems (HIWS) is on information sharing, participative decision-making and employee voice. This is especially true for NHSX's small-scale experimentation as staff can’t be the innovation partners if </w:t>
      </w:r>
      <w:r w:rsidRPr="00272723">
        <w:rPr>
          <w:rFonts w:ascii="Arial" w:hAnsi="Arial" w:cs="Arial"/>
        </w:rPr>
        <w:t>organizational</w:t>
      </w:r>
      <w:r w:rsidRPr="00272723">
        <w:rPr>
          <w:rFonts w:ascii="Arial" w:hAnsi="Arial" w:cs="Arial"/>
        </w:rPr>
        <w:t xml:space="preserve"> structures impose limitations on their actions. However, such participatory experiences may be 'symbolic' whereby the idea of participation is promoted in the form of </w:t>
      </w:r>
      <w:r w:rsidRPr="00272723">
        <w:rPr>
          <w:rFonts w:ascii="Arial" w:hAnsi="Arial" w:cs="Arial"/>
        </w:rPr>
        <w:t>suggestion,</w:t>
      </w:r>
      <w:r w:rsidRPr="00272723">
        <w:rPr>
          <w:rFonts w:ascii="Arial" w:hAnsi="Arial" w:cs="Arial"/>
        </w:rPr>
        <w:t xml:space="preserve"> but it does not carry </w:t>
      </w:r>
      <w:r w:rsidRPr="00272723">
        <w:rPr>
          <w:rFonts w:ascii="Arial" w:hAnsi="Arial" w:cs="Arial"/>
        </w:rPr>
        <w:t>attendant</w:t>
      </w:r>
      <w:r w:rsidRPr="00272723">
        <w:rPr>
          <w:rFonts w:ascii="Arial" w:hAnsi="Arial" w:cs="Arial"/>
        </w:rPr>
        <w:t xml:space="preserve"> decision-making power. A more integrating perspective is provided by Sociotechnical Systems Theory (STS) which acknowledges group processes and relationships, in addition to technological processes, are necessary for the effectiveness of the system. Thus, an effective NHSX transformation should aim to tackle decision rights, managerial </w:t>
      </w:r>
      <w:r w:rsidRPr="00272723">
        <w:rPr>
          <w:rFonts w:ascii="Arial" w:hAnsi="Arial" w:cs="Arial"/>
        </w:rPr>
        <w:t>behavior</w:t>
      </w:r>
      <w:r w:rsidRPr="00272723">
        <w:rPr>
          <w:rFonts w:ascii="Arial" w:hAnsi="Arial" w:cs="Arial"/>
        </w:rPr>
        <w:t xml:space="preserve"> and collaboration systems in tandem, not prescribe digital tools without </w:t>
      </w:r>
      <w:r w:rsidRPr="00272723">
        <w:rPr>
          <w:rFonts w:ascii="Arial" w:hAnsi="Arial" w:cs="Arial"/>
        </w:rPr>
        <w:t>organizational</w:t>
      </w:r>
      <w:r w:rsidRPr="00272723">
        <w:rPr>
          <w:rFonts w:ascii="Arial" w:hAnsi="Arial" w:cs="Arial"/>
        </w:rPr>
        <w:t xml:space="preserve"> transformations.</w:t>
      </w:r>
    </w:p>
    <w:p w14:paraId="6592AB6E" w14:textId="107D90A7" w:rsidR="00D96E75" w:rsidRPr="00272723" w:rsidRDefault="00D96E75" w:rsidP="00272723">
      <w:pPr>
        <w:spacing w:line="360" w:lineRule="auto"/>
        <w:jc w:val="both"/>
        <w:rPr>
          <w:rFonts w:ascii="Arial" w:hAnsi="Arial" w:cs="Arial"/>
        </w:rPr>
      </w:pPr>
      <w:r w:rsidRPr="00272723">
        <w:rPr>
          <w:rFonts w:ascii="Arial" w:hAnsi="Arial" w:cs="Arial"/>
        </w:rPr>
        <w:lastRenderedPageBreak/>
        <w:drawing>
          <wp:inline distT="0" distB="0" distL="0" distR="0" wp14:anchorId="3C230EDD" wp14:editId="608FFC5D">
            <wp:extent cx="5943600" cy="3538220"/>
            <wp:effectExtent l="0" t="0" r="0" b="5080"/>
            <wp:docPr id="379430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430318" name=""/>
                    <pic:cNvPicPr/>
                  </pic:nvPicPr>
                  <pic:blipFill>
                    <a:blip r:embed="rId6"/>
                    <a:stretch>
                      <a:fillRect/>
                    </a:stretch>
                  </pic:blipFill>
                  <pic:spPr>
                    <a:xfrm>
                      <a:off x="0" y="0"/>
                      <a:ext cx="5943600" cy="3538220"/>
                    </a:xfrm>
                    <a:prstGeom prst="rect">
                      <a:avLst/>
                    </a:prstGeom>
                  </pic:spPr>
                </pic:pic>
              </a:graphicData>
            </a:graphic>
          </wp:inline>
        </w:drawing>
      </w:r>
    </w:p>
    <w:p w14:paraId="114CFB9A" w14:textId="3779DB6B" w:rsidR="00D96E75" w:rsidRPr="00272723" w:rsidRDefault="00D96E75" w:rsidP="00272723">
      <w:pPr>
        <w:spacing w:line="360" w:lineRule="auto"/>
        <w:jc w:val="both"/>
        <w:rPr>
          <w:rFonts w:ascii="Arial" w:hAnsi="Arial" w:cs="Arial"/>
        </w:rPr>
      </w:pPr>
      <w:r w:rsidRPr="00272723">
        <w:rPr>
          <w:rFonts w:ascii="Arial" w:hAnsi="Arial" w:cs="Arial"/>
        </w:rPr>
        <w:t xml:space="preserve">As shown in Table 1, modern work practices have complementary benefits, but conditions for effectiveness must be in place for the working practices to be effective. Adopting an integration of the approaches would thus be preferable to adopting any individual model without stepping back and considering how it would be </w:t>
      </w:r>
      <w:r w:rsidRPr="00272723">
        <w:rPr>
          <w:rFonts w:ascii="Arial" w:hAnsi="Arial" w:cs="Arial"/>
        </w:rPr>
        <w:t>organized</w:t>
      </w:r>
      <w:r w:rsidRPr="00272723">
        <w:rPr>
          <w:rFonts w:ascii="Arial" w:hAnsi="Arial" w:cs="Arial"/>
        </w:rPr>
        <w:t>.</w:t>
      </w:r>
    </w:p>
    <w:p w14:paraId="217B6CAE" w14:textId="77777777" w:rsidR="00D96E75" w:rsidRPr="00272723" w:rsidRDefault="00D96E75" w:rsidP="00272723">
      <w:pPr>
        <w:pStyle w:val="Heading2"/>
        <w:spacing w:line="360" w:lineRule="auto"/>
        <w:rPr>
          <w:rFonts w:ascii="Arial" w:hAnsi="Arial" w:cs="Arial"/>
        </w:rPr>
      </w:pPr>
      <w:bookmarkStart w:id="2" w:name="_Toc242890553"/>
      <w:r w:rsidRPr="00272723">
        <w:rPr>
          <w:rFonts w:ascii="Arial" w:hAnsi="Arial" w:cs="Arial"/>
        </w:rPr>
        <w:t>1.2 Proposed Integrated Innovative Working Framework</w:t>
      </w:r>
      <w:bookmarkEnd w:id="2"/>
    </w:p>
    <w:p w14:paraId="307C47FB" w14:textId="0A21FED0" w:rsidR="00D96E75" w:rsidRPr="00272723" w:rsidRDefault="00D96E75" w:rsidP="00272723">
      <w:pPr>
        <w:spacing w:line="360" w:lineRule="auto"/>
        <w:jc w:val="both"/>
        <w:rPr>
          <w:rFonts w:ascii="Arial" w:hAnsi="Arial" w:cs="Arial"/>
        </w:rPr>
      </w:pPr>
      <w:r w:rsidRPr="00272723">
        <w:rPr>
          <w:rFonts w:ascii="Arial" w:hAnsi="Arial" w:cs="Arial"/>
        </w:rPr>
        <w:t xml:space="preserve">NHSX needs to move to an integrated, sociotechnical, agile working approach with multidisciplinary product teams of various software engineers, AI experts, clinical experts, product managers and cybersecurity experts. These teams should have authority to make decisions about everyday build and application features and functioning, with incremental releases, formal project reviews and recurrent comments. </w:t>
      </w:r>
      <w:r w:rsidRPr="00272723">
        <w:rPr>
          <w:rFonts w:ascii="Arial" w:hAnsi="Arial" w:cs="Arial"/>
        </w:rPr>
        <w:t>But</w:t>
      </w:r>
      <w:r w:rsidRPr="00272723">
        <w:rPr>
          <w:rFonts w:ascii="Arial" w:hAnsi="Arial" w:cs="Arial"/>
        </w:rPr>
        <w:t xml:space="preserve"> clinical safety, sensitive data and regulatory decisions should always be evaluated by experts in the field. This setup would help </w:t>
      </w:r>
      <w:r w:rsidRPr="00272723">
        <w:rPr>
          <w:rFonts w:ascii="Arial" w:hAnsi="Arial" w:cs="Arial"/>
        </w:rPr>
        <w:t>minimize</w:t>
      </w:r>
      <w:r w:rsidRPr="00272723">
        <w:rPr>
          <w:rFonts w:ascii="Arial" w:hAnsi="Arial" w:cs="Arial"/>
        </w:rPr>
        <w:t xml:space="preserve"> unnecessary bureaucracy, and maintain accountability, which is integral to accountable healthcare innovation. At the same time the involvement of employees in improvements should be increased through improvement forums, frank participation, experimentation with no negative consequences as to employment, and sensibility of the manager to put forward good suggestions.</w:t>
      </w:r>
      <w:r w:rsidRPr="00272723">
        <w:rPr>
          <w:rFonts w:ascii="Arial" w:hAnsi="Arial" w:cs="Arial"/>
        </w:rPr>
        <w:t xml:space="preserve"> </w:t>
      </w:r>
      <w:proofErr w:type="gramStart"/>
      <w:r w:rsidRPr="00272723">
        <w:rPr>
          <w:rFonts w:ascii="Arial" w:hAnsi="Arial" w:cs="Arial"/>
        </w:rPr>
        <w:t>Particular focus</w:t>
      </w:r>
      <w:proofErr w:type="gramEnd"/>
      <w:r w:rsidRPr="00272723">
        <w:rPr>
          <w:rFonts w:ascii="Arial" w:hAnsi="Arial" w:cs="Arial"/>
        </w:rPr>
        <w:t xml:space="preserve"> is needed </w:t>
      </w:r>
      <w:proofErr w:type="gramStart"/>
      <w:r w:rsidRPr="00272723">
        <w:rPr>
          <w:rFonts w:ascii="Arial" w:hAnsi="Arial" w:cs="Arial"/>
        </w:rPr>
        <w:t>in</w:t>
      </w:r>
      <w:proofErr w:type="gramEnd"/>
      <w:r w:rsidRPr="00272723">
        <w:rPr>
          <w:rFonts w:ascii="Arial" w:hAnsi="Arial" w:cs="Arial"/>
        </w:rPr>
        <w:t xml:space="preserve"> </w:t>
      </w:r>
      <w:r w:rsidRPr="00272723">
        <w:rPr>
          <w:rFonts w:ascii="Arial" w:hAnsi="Arial" w:cs="Arial"/>
        </w:rPr>
        <w:lastRenderedPageBreak/>
        <w:t xml:space="preserve">hybrid/flexible modes of working due to NHSX's operating across three countries and a deterioration in international </w:t>
      </w:r>
      <w:proofErr w:type="gramStart"/>
      <w:r w:rsidRPr="00272723">
        <w:rPr>
          <w:rFonts w:ascii="Arial" w:hAnsi="Arial" w:cs="Arial"/>
        </w:rPr>
        <w:t>working</w:t>
      </w:r>
      <w:proofErr w:type="gramEnd"/>
      <w:r w:rsidRPr="00272723">
        <w:rPr>
          <w:rFonts w:ascii="Arial" w:hAnsi="Arial" w:cs="Arial"/>
        </w:rPr>
        <w:t xml:space="preserve">. In a technology firm in China, Bloom, Han, and Liang (2024) ran a randomized controlled trial on 1,612 workers that showed hybrid working led to about a 33% decrease in the probability of an employee </w:t>
      </w:r>
      <w:r w:rsidRPr="00272723">
        <w:rPr>
          <w:rFonts w:ascii="Arial" w:hAnsi="Arial" w:cs="Arial"/>
        </w:rPr>
        <w:t>leaving. Bloom</w:t>
      </w:r>
      <w:r w:rsidRPr="00272723">
        <w:rPr>
          <w:rFonts w:ascii="Arial" w:hAnsi="Arial" w:cs="Arial"/>
        </w:rPr>
        <w:t xml:space="preserve">, Han, and Liang (2024) conducted a randomized trial study of 1,612 employees of a Chinese technology firm, which resulted in an approximately 33% decrease in the probability of an employee exiting the firm. In another study of communication networks among 61,182 Microsoft employees, however, Yang et al. (2022) discovered that networks became more static and siloed ad AFTER wide-spread remote work. These results underscore the need to differentiate between hybrid and remote work and understand that they are not the same </w:t>
      </w:r>
      <w:r w:rsidRPr="00272723">
        <w:rPr>
          <w:rFonts w:ascii="Arial" w:hAnsi="Arial" w:cs="Arial"/>
        </w:rPr>
        <w:t>organizational</w:t>
      </w:r>
      <w:r w:rsidRPr="00272723">
        <w:rPr>
          <w:rFonts w:ascii="Arial" w:hAnsi="Arial" w:cs="Arial"/>
        </w:rPr>
        <w:t xml:space="preserve"> practices.</w:t>
      </w:r>
    </w:p>
    <w:p w14:paraId="2333E20E" w14:textId="32806CB8" w:rsidR="00D96E75" w:rsidRPr="00272723" w:rsidRDefault="00D96E75" w:rsidP="00272723">
      <w:pPr>
        <w:spacing w:line="360" w:lineRule="auto"/>
        <w:jc w:val="both"/>
        <w:rPr>
          <w:rFonts w:ascii="Arial" w:hAnsi="Arial" w:cs="Arial"/>
        </w:rPr>
      </w:pPr>
      <w:r w:rsidRPr="00272723">
        <w:rPr>
          <w:rFonts w:ascii="Arial" w:hAnsi="Arial" w:cs="Arial"/>
        </w:rPr>
        <w:t xml:space="preserve">The CIPD (2025) also found that 74% of UK </w:t>
      </w:r>
      <w:r w:rsidRPr="00272723">
        <w:rPr>
          <w:rFonts w:ascii="Arial" w:hAnsi="Arial" w:cs="Arial"/>
        </w:rPr>
        <w:t>organizations</w:t>
      </w:r>
      <w:r w:rsidRPr="00272723">
        <w:rPr>
          <w:rFonts w:ascii="Arial" w:hAnsi="Arial" w:cs="Arial"/>
        </w:rPr>
        <w:t xml:space="preserve"> surveyed had been operating with hybrid working, and 41% of employers felt that productivity increased </w:t>
      </w:r>
      <w:r w:rsidRPr="00272723">
        <w:rPr>
          <w:rFonts w:ascii="Arial" w:hAnsi="Arial" w:cs="Arial"/>
        </w:rPr>
        <w:t>because of</w:t>
      </w:r>
      <w:r w:rsidRPr="00272723">
        <w:rPr>
          <w:rFonts w:ascii="Arial" w:hAnsi="Arial" w:cs="Arial"/>
        </w:rPr>
        <w:t xml:space="preserve"> increased home or hybrid working, opposed to 16% saying the productivity reduced. The results reported here show that flexible working is relevant to today's </w:t>
      </w:r>
      <w:r w:rsidRPr="00272723">
        <w:rPr>
          <w:rFonts w:ascii="Arial" w:hAnsi="Arial" w:cs="Arial"/>
        </w:rPr>
        <w:t>organizations</w:t>
      </w:r>
      <w:r w:rsidRPr="00272723">
        <w:rPr>
          <w:rFonts w:ascii="Arial" w:hAnsi="Arial" w:cs="Arial"/>
        </w:rPr>
        <w:t xml:space="preserve">, but the productivity scores are based on the manager's perceptions and do not allow the establishment of a causal relationship between performance. In addition, evidence from the survey in the UK should not necessarily be translated to NHSX employees in India and in the UAE. </w:t>
      </w:r>
      <w:r w:rsidRPr="00272723">
        <w:rPr>
          <w:rFonts w:ascii="Arial" w:hAnsi="Arial" w:cs="Arial"/>
        </w:rPr>
        <w:t>Therefore</w:t>
      </w:r>
      <w:r w:rsidRPr="00272723">
        <w:rPr>
          <w:rFonts w:ascii="Arial" w:hAnsi="Arial" w:cs="Arial"/>
        </w:rPr>
        <w:t xml:space="preserve">, the development of proposed model should </w:t>
      </w:r>
      <w:r w:rsidRPr="00272723">
        <w:rPr>
          <w:rFonts w:ascii="Arial" w:hAnsi="Arial" w:cs="Arial"/>
        </w:rPr>
        <w:t>consider</w:t>
      </w:r>
      <w:r w:rsidRPr="00272723">
        <w:rPr>
          <w:rFonts w:ascii="Arial" w:hAnsi="Arial" w:cs="Arial"/>
        </w:rPr>
        <w:t xml:space="preserve"> the local operating conditions and the task requirement instead of the uniform attendance conditions.</w:t>
      </w:r>
      <w:r w:rsidRPr="00272723">
        <w:rPr>
          <w:rFonts w:ascii="Arial" w:hAnsi="Arial" w:cs="Arial"/>
        </w:rPr>
        <w:t xml:space="preserve"> </w:t>
      </w:r>
      <w:r w:rsidRPr="00272723">
        <w:rPr>
          <w:rFonts w:ascii="Arial" w:hAnsi="Arial" w:cs="Arial"/>
        </w:rPr>
        <w:t xml:space="preserve">Overall, NHSX considers that the synchronously planned collaboration should be used to support complex product development work as well as mentoring and clinical risk discussions, whereas the location and </w:t>
      </w:r>
      <w:r w:rsidRPr="00272723">
        <w:rPr>
          <w:rFonts w:ascii="Arial" w:hAnsi="Arial" w:cs="Arial"/>
        </w:rPr>
        <w:t>scheduling of</w:t>
      </w:r>
      <w:r w:rsidRPr="00272723">
        <w:rPr>
          <w:rFonts w:ascii="Arial" w:hAnsi="Arial" w:cs="Arial"/>
        </w:rPr>
        <w:t xml:space="preserve"> independent analytical tasks should be more flexible. Shared collaboration windows should be set up for cross-border teams, and meeting times inconvenient for one partner should be rotated and the decisions kept in easily retrievable notes which are asynchronous. Grzegorczyk et al (2021) also underscore the importance of </w:t>
      </w:r>
      <w:r w:rsidRPr="00272723">
        <w:rPr>
          <w:rFonts w:ascii="Arial" w:hAnsi="Arial" w:cs="Arial"/>
        </w:rPr>
        <w:t>coordinating</w:t>
      </w:r>
      <w:r w:rsidRPr="00272723">
        <w:rPr>
          <w:rFonts w:ascii="Arial" w:hAnsi="Arial" w:cs="Arial"/>
        </w:rPr>
        <w:t xml:space="preserve"> between physical work, digital infrastructure and </w:t>
      </w:r>
      <w:r w:rsidRPr="00272723">
        <w:rPr>
          <w:rFonts w:ascii="Arial" w:hAnsi="Arial" w:cs="Arial"/>
        </w:rPr>
        <w:t>organizational</w:t>
      </w:r>
      <w:r w:rsidRPr="00272723">
        <w:rPr>
          <w:rFonts w:ascii="Arial" w:hAnsi="Arial" w:cs="Arial"/>
        </w:rPr>
        <w:t xml:space="preserve"> </w:t>
      </w:r>
      <w:r w:rsidRPr="00272723">
        <w:rPr>
          <w:rFonts w:ascii="Arial" w:hAnsi="Arial" w:cs="Arial"/>
        </w:rPr>
        <w:t>behavior</w:t>
      </w:r>
      <w:r w:rsidRPr="00272723">
        <w:rPr>
          <w:rFonts w:ascii="Arial" w:hAnsi="Arial" w:cs="Arial"/>
        </w:rPr>
        <w:t xml:space="preserve"> and working practices for effective hybrid working. Clear access controls along with accountabilities documented should therefore be part of secure digital platforms that support communication, project co-ordination and collaborative knowledge creation. But it is important that technology facilitates knowledge </w:t>
      </w:r>
      <w:r w:rsidRPr="00272723">
        <w:rPr>
          <w:rFonts w:ascii="Arial" w:hAnsi="Arial" w:cs="Arial"/>
        </w:rPr>
        <w:lastRenderedPageBreak/>
        <w:t>sharing instead of employee monitoring, or that employees feel there need to be constant expectations of their availability.</w:t>
      </w:r>
    </w:p>
    <w:p w14:paraId="647CC3AC" w14:textId="77777777" w:rsidR="00D96E75" w:rsidRPr="00272723" w:rsidRDefault="00D96E75" w:rsidP="00272723">
      <w:pPr>
        <w:pStyle w:val="Heading2"/>
        <w:spacing w:line="360" w:lineRule="auto"/>
        <w:rPr>
          <w:rFonts w:ascii="Arial" w:hAnsi="Arial" w:cs="Arial"/>
        </w:rPr>
      </w:pPr>
      <w:bookmarkStart w:id="3" w:name="_Toc242890554"/>
      <w:r w:rsidRPr="00272723">
        <w:rPr>
          <w:rFonts w:ascii="Arial" w:hAnsi="Arial" w:cs="Arial"/>
        </w:rPr>
        <w:t>1.3 Implementation and Strategic Performance Implications</w:t>
      </w:r>
      <w:bookmarkEnd w:id="3"/>
    </w:p>
    <w:p w14:paraId="5D65F681" w14:textId="22B2FB43" w:rsidR="00D96E75" w:rsidRPr="00272723" w:rsidRDefault="00D96E75" w:rsidP="00272723">
      <w:pPr>
        <w:spacing w:line="360" w:lineRule="auto"/>
        <w:jc w:val="both"/>
        <w:rPr>
          <w:rFonts w:ascii="Arial" w:hAnsi="Arial" w:cs="Arial"/>
        </w:rPr>
      </w:pPr>
      <w:r w:rsidRPr="00272723">
        <w:rPr>
          <w:rFonts w:ascii="Arial" w:hAnsi="Arial" w:cs="Arial"/>
        </w:rPr>
        <w:t xml:space="preserve">A round robin test between NHSX and selected international product teams for six months could be managed to get an assessment to guide a broader rollout. Decision rights, training needs and baseline metrics should be co-developed amongst the HR leaders, operational managers, clinical governance representatives and employees. Decision-cycle time, product quality, effect of knowledge-sharing, employee involvement and wellbeing and voluntary turnover should be considered. The Board should view these measures in the context of all measures </w:t>
      </w:r>
      <w:r w:rsidRPr="00272723">
        <w:rPr>
          <w:rFonts w:ascii="Arial" w:hAnsi="Arial" w:cs="Arial"/>
        </w:rPr>
        <w:t>because</w:t>
      </w:r>
      <w:r w:rsidRPr="00272723">
        <w:rPr>
          <w:rFonts w:ascii="Arial" w:hAnsi="Arial" w:cs="Arial"/>
        </w:rPr>
        <w:t xml:space="preserve"> it could be strategically counterproductive to accept measures that increase delivery </w:t>
      </w:r>
      <w:r w:rsidRPr="00272723">
        <w:rPr>
          <w:rFonts w:ascii="Arial" w:hAnsi="Arial" w:cs="Arial"/>
        </w:rPr>
        <w:t>speed but</w:t>
      </w:r>
      <w:r w:rsidRPr="00272723">
        <w:rPr>
          <w:rFonts w:ascii="Arial" w:hAnsi="Arial" w:cs="Arial"/>
        </w:rPr>
        <w:t xml:space="preserve"> are associated with decreases in clinical assurance or employee burnout.</w:t>
      </w:r>
      <w:r w:rsidRPr="00272723">
        <w:rPr>
          <w:rFonts w:ascii="Arial" w:hAnsi="Arial" w:cs="Arial"/>
        </w:rPr>
        <w:t xml:space="preserve"> </w:t>
      </w:r>
      <w:r w:rsidRPr="00272723">
        <w:rPr>
          <w:rFonts w:ascii="Arial" w:hAnsi="Arial" w:cs="Arial"/>
        </w:rPr>
        <w:t xml:space="preserve">In sum, innovative working practices are not simply a bundle of “fashionable” management practices, but an </w:t>
      </w:r>
      <w:r w:rsidRPr="00272723">
        <w:rPr>
          <w:rFonts w:ascii="Arial" w:hAnsi="Arial" w:cs="Arial"/>
        </w:rPr>
        <w:t>organized</w:t>
      </w:r>
      <w:r w:rsidRPr="00272723">
        <w:rPr>
          <w:rFonts w:ascii="Arial" w:hAnsi="Arial" w:cs="Arial"/>
        </w:rPr>
        <w:t xml:space="preserve"> system within the </w:t>
      </w:r>
      <w:r w:rsidRPr="00272723">
        <w:rPr>
          <w:rFonts w:ascii="Arial" w:hAnsi="Arial" w:cs="Arial"/>
        </w:rPr>
        <w:t>organization</w:t>
      </w:r>
      <w:r w:rsidRPr="00272723">
        <w:rPr>
          <w:rFonts w:ascii="Arial" w:hAnsi="Arial" w:cs="Arial"/>
        </w:rPr>
        <w:t xml:space="preserve">. Through people-led and purposeful employee engagement, multidisciplinary agility, task-based flexibility and responsible governance, NHSX can create more positive conditions for sustainable innovation and overcome operational, human </w:t>
      </w:r>
      <w:r w:rsidRPr="00272723">
        <w:rPr>
          <w:rFonts w:ascii="Arial" w:hAnsi="Arial" w:cs="Arial"/>
        </w:rPr>
        <w:t>resource-related</w:t>
      </w:r>
      <w:r w:rsidRPr="00272723">
        <w:rPr>
          <w:rFonts w:ascii="Arial" w:hAnsi="Arial" w:cs="Arial"/>
        </w:rPr>
        <w:t xml:space="preserve"> challenges associated with international expansion.</w:t>
      </w:r>
    </w:p>
    <w:p w14:paraId="3E05FB28" w14:textId="77777777" w:rsidR="005027FA" w:rsidRPr="00272723" w:rsidRDefault="005027FA" w:rsidP="00272723">
      <w:pPr>
        <w:pStyle w:val="Heading1"/>
        <w:spacing w:line="360" w:lineRule="auto"/>
        <w:rPr>
          <w:rFonts w:ascii="Arial" w:hAnsi="Arial" w:cs="Arial"/>
        </w:rPr>
      </w:pPr>
      <w:bookmarkStart w:id="4" w:name="_Toc242890555"/>
      <w:r w:rsidRPr="00272723">
        <w:rPr>
          <w:rFonts w:ascii="Arial" w:hAnsi="Arial" w:cs="Arial"/>
        </w:rPr>
        <w:t>Task B: Breeding an Environment Where Talent May Grow</w:t>
      </w:r>
      <w:bookmarkEnd w:id="4"/>
    </w:p>
    <w:p w14:paraId="0680F64A" w14:textId="77777777" w:rsidR="005027FA" w:rsidRPr="00272723" w:rsidRDefault="005027FA" w:rsidP="00272723">
      <w:pPr>
        <w:pStyle w:val="Heading2"/>
        <w:spacing w:line="360" w:lineRule="auto"/>
        <w:rPr>
          <w:rFonts w:ascii="Arial" w:hAnsi="Arial" w:cs="Arial"/>
        </w:rPr>
      </w:pPr>
      <w:bookmarkStart w:id="5" w:name="_Toc242890556"/>
      <w:r w:rsidRPr="00272723">
        <w:rPr>
          <w:rFonts w:ascii="Arial" w:hAnsi="Arial" w:cs="Arial"/>
        </w:rPr>
        <w:t>B1. Critical Evaluation of Talent Development</w:t>
      </w:r>
      <w:bookmarkEnd w:id="5"/>
    </w:p>
    <w:p w14:paraId="2854D199" w14:textId="47E354D9" w:rsidR="005027FA" w:rsidRPr="00272723" w:rsidRDefault="005027FA" w:rsidP="00272723">
      <w:pPr>
        <w:spacing w:line="360" w:lineRule="auto"/>
        <w:jc w:val="both"/>
        <w:rPr>
          <w:rFonts w:ascii="Arial" w:hAnsi="Arial" w:cs="Arial"/>
        </w:rPr>
      </w:pPr>
      <w:r w:rsidRPr="00272723">
        <w:rPr>
          <w:rFonts w:ascii="Arial" w:hAnsi="Arial" w:cs="Arial"/>
        </w:rPr>
        <w:t xml:space="preserve">NexSpace Health Systems (NHSX) is experiencing a strategic mismatch between international expansion and workforce development through the loss of high-performing staff. NHSX covers the United Kingdom, India and the United Arab Emirates and relies on specific expertise to get AI healthcare technologies created. But poor learning opportunities, lack of common guidance on career paths and limited experimentation pose a risk of losing strategically valuable capabilities. According to Barney's (1991) Resource-Based View, distinctive </w:t>
      </w:r>
      <w:r w:rsidRPr="00272723">
        <w:rPr>
          <w:rFonts w:ascii="Arial" w:hAnsi="Arial" w:cs="Arial"/>
        </w:rPr>
        <w:t>organizational</w:t>
      </w:r>
      <w:r w:rsidRPr="00272723">
        <w:rPr>
          <w:rFonts w:ascii="Arial" w:hAnsi="Arial" w:cs="Arial"/>
        </w:rPr>
        <w:t xml:space="preserve"> resources provide the sustainability of a so-called competitive advantage; however, when development needs and career aspirations of employees are ignored, it is impossible for them to add value to the </w:t>
      </w:r>
      <w:r w:rsidRPr="00272723">
        <w:rPr>
          <w:rFonts w:ascii="Arial" w:hAnsi="Arial" w:cs="Arial"/>
        </w:rPr>
        <w:lastRenderedPageBreak/>
        <w:t>organization</w:t>
      </w:r>
      <w:r w:rsidRPr="00272723">
        <w:rPr>
          <w:rFonts w:ascii="Arial" w:hAnsi="Arial" w:cs="Arial"/>
        </w:rPr>
        <w:t xml:space="preserve">. To achieve this, NHSX needs an integrated talent ecosystem to benefit the individual employees as well as the </w:t>
      </w:r>
      <w:r w:rsidRPr="00272723">
        <w:rPr>
          <w:rFonts w:ascii="Arial" w:hAnsi="Arial" w:cs="Arial"/>
        </w:rPr>
        <w:t>organization’s</w:t>
      </w:r>
      <w:r w:rsidRPr="00272723">
        <w:rPr>
          <w:rFonts w:ascii="Arial" w:hAnsi="Arial" w:cs="Arial"/>
        </w:rPr>
        <w:t xml:space="preserve"> respective goals.</w:t>
      </w:r>
    </w:p>
    <w:p w14:paraId="7B978578" w14:textId="1B3A3FAB" w:rsidR="00D96E75" w:rsidRPr="00272723" w:rsidRDefault="005027FA" w:rsidP="00272723">
      <w:pPr>
        <w:spacing w:line="360" w:lineRule="auto"/>
        <w:jc w:val="both"/>
        <w:rPr>
          <w:rFonts w:ascii="Arial" w:hAnsi="Arial" w:cs="Arial"/>
        </w:rPr>
      </w:pPr>
      <w:r w:rsidRPr="00272723">
        <w:rPr>
          <w:rFonts w:ascii="Arial" w:hAnsi="Arial" w:cs="Arial"/>
        </w:rPr>
        <w:t xml:space="preserve">The organizational theory is provided by Senge's (1990) Learning </w:t>
      </w:r>
      <w:r w:rsidRPr="00272723">
        <w:rPr>
          <w:rFonts w:ascii="Arial" w:hAnsi="Arial" w:cs="Arial"/>
        </w:rPr>
        <w:t>Organization</w:t>
      </w:r>
      <w:r w:rsidRPr="00272723">
        <w:rPr>
          <w:rFonts w:ascii="Arial" w:hAnsi="Arial" w:cs="Arial"/>
        </w:rPr>
        <w:t xml:space="preserve">, which is based on the following four beliefs: personal mastery, shared vision, mental models, team learning and systems thinking. It is relevant, because it enables knowledge sharing across the departments and across the overseas locations. But that's not the recipe for </w:t>
      </w:r>
      <w:r w:rsidRPr="00272723">
        <w:rPr>
          <w:rFonts w:ascii="Arial" w:hAnsi="Arial" w:cs="Arial"/>
        </w:rPr>
        <w:t>organizational</w:t>
      </w:r>
      <w:r w:rsidRPr="00272723">
        <w:rPr>
          <w:rFonts w:ascii="Arial" w:hAnsi="Arial" w:cs="Arial"/>
        </w:rPr>
        <w:t xml:space="preserve"> learning without an address of issues with workloads, hierarchical constraints and unequal learning opportunities. From the viewpoint of learning, Fuller and Unwin (2004) make the distinction between learning-rich work settings that </w:t>
      </w:r>
      <w:r w:rsidRPr="00272723">
        <w:rPr>
          <w:rFonts w:ascii="Arial" w:hAnsi="Arial" w:cs="Arial"/>
        </w:rPr>
        <w:t>give</w:t>
      </w:r>
      <w:r w:rsidRPr="00272723">
        <w:rPr>
          <w:rFonts w:ascii="Arial" w:hAnsi="Arial" w:cs="Arial"/>
        </w:rPr>
        <w:t xml:space="preserve"> out-of-scope learning and learning poor work setting that give limited opportunities to learn. This should involve, therefore, cross functional learning opportunities within NHSX supported by managerial commitment and protected development time as well as formal training program.</w:t>
      </w:r>
      <w:r w:rsidRPr="00272723">
        <w:rPr>
          <w:rFonts w:ascii="Arial" w:hAnsi="Arial" w:cs="Arial"/>
        </w:rPr>
        <w:t xml:space="preserve"> </w:t>
      </w:r>
      <w:r w:rsidRPr="00272723">
        <w:rPr>
          <w:rFonts w:ascii="Arial" w:hAnsi="Arial" w:cs="Arial"/>
        </w:rPr>
        <w:t xml:space="preserve">Dweck's (2006) Growth Mindset also highlights learning, feedback and effective strategies to build capabilities. However, a growth mindset without support leads to resources or opportunities could further amplify the expectations of performance. In the study of 51 work teams, Edmondson's (1999) study showed that psychological safety correlated with learning </w:t>
      </w:r>
      <w:r w:rsidRPr="00272723">
        <w:rPr>
          <w:rFonts w:ascii="Arial" w:hAnsi="Arial" w:cs="Arial"/>
        </w:rPr>
        <w:t>behaviors</w:t>
      </w:r>
      <w:r w:rsidRPr="00272723">
        <w:rPr>
          <w:rFonts w:ascii="Arial" w:hAnsi="Arial" w:cs="Arial"/>
        </w:rPr>
        <w:t xml:space="preserve">, stressing the need for staff to feel safe to admit fault, call into question taken-for-granted things, and try new approaches. They will be especially relevant to healthcare technologies, in which the presence of hidden errors could </w:t>
      </w:r>
      <w:proofErr w:type="gramStart"/>
      <w:r w:rsidRPr="00272723">
        <w:rPr>
          <w:rFonts w:ascii="Arial" w:hAnsi="Arial" w:cs="Arial"/>
        </w:rPr>
        <w:t>impact</w:t>
      </w:r>
      <w:proofErr w:type="gramEnd"/>
      <w:r w:rsidRPr="00272723">
        <w:rPr>
          <w:rFonts w:ascii="Arial" w:hAnsi="Arial" w:cs="Arial"/>
        </w:rPr>
        <w:t xml:space="preserve"> the quality of the products, although the findings </w:t>
      </w:r>
      <w:r w:rsidRPr="00272723">
        <w:rPr>
          <w:rFonts w:ascii="Arial" w:hAnsi="Arial" w:cs="Arial"/>
        </w:rPr>
        <w:t>cannot</w:t>
      </w:r>
      <w:r w:rsidRPr="00272723">
        <w:rPr>
          <w:rFonts w:ascii="Arial" w:hAnsi="Arial" w:cs="Arial"/>
        </w:rPr>
        <w:t xml:space="preserve"> be simply </w:t>
      </w:r>
      <w:r w:rsidRPr="00272723">
        <w:rPr>
          <w:rFonts w:ascii="Arial" w:hAnsi="Arial" w:cs="Arial"/>
        </w:rPr>
        <w:t>generalized</w:t>
      </w:r>
      <w:r w:rsidRPr="00272723">
        <w:rPr>
          <w:rFonts w:ascii="Arial" w:hAnsi="Arial" w:cs="Arial"/>
        </w:rPr>
        <w:t xml:space="preserve"> to NHSX. Therefore, there needs to be a balance of psychological safety and professional responsibility with effective clinical management.</w:t>
      </w:r>
      <w:r w:rsidRPr="00272723">
        <w:rPr>
          <w:rFonts w:ascii="Arial" w:hAnsi="Arial" w:cs="Arial"/>
        </w:rPr>
        <w:t xml:space="preserve"> </w:t>
      </w:r>
      <w:r w:rsidRPr="00272723">
        <w:rPr>
          <w:rFonts w:ascii="Arial" w:hAnsi="Arial" w:cs="Arial"/>
        </w:rPr>
        <w:t>In the context of motivation and wellbeing, the following three conditions of autonomy, competence, and relatedness are important (Ryan and Deci, 2000). This is complemented by Job Crafting Theory which is based on employees' ability to modify tasks or relationships with other workers (</w:t>
      </w:r>
      <w:proofErr w:type="spellStart"/>
      <w:r w:rsidRPr="00272723">
        <w:rPr>
          <w:rFonts w:ascii="Arial" w:hAnsi="Arial" w:cs="Arial"/>
        </w:rPr>
        <w:t>Wrzesniewski</w:t>
      </w:r>
      <w:proofErr w:type="spellEnd"/>
      <w:r w:rsidRPr="00272723">
        <w:rPr>
          <w:rFonts w:ascii="Arial" w:hAnsi="Arial" w:cs="Arial"/>
        </w:rPr>
        <w:t xml:space="preserve"> and Dutton, 2001). However, too much autonomy raises the possibility of ambiguous roles in </w:t>
      </w:r>
      <w:r w:rsidRPr="00272723">
        <w:rPr>
          <w:rFonts w:ascii="Arial" w:hAnsi="Arial" w:cs="Arial"/>
        </w:rPr>
        <w:t>clinically</w:t>
      </w:r>
      <w:r w:rsidRPr="00272723">
        <w:rPr>
          <w:rFonts w:ascii="Arial" w:hAnsi="Arial" w:cs="Arial"/>
        </w:rPr>
        <w:t xml:space="preserve"> critical functions. Therefore, meaningful autonomy of the employees and defined responsibilities, coaching and quality assurance should be promoted by NHSX.</w:t>
      </w:r>
    </w:p>
    <w:p w14:paraId="2F9B1919" w14:textId="77777777" w:rsidR="005027FA" w:rsidRPr="00272723" w:rsidRDefault="005027FA" w:rsidP="00272723">
      <w:pPr>
        <w:pStyle w:val="Heading2"/>
        <w:spacing w:line="360" w:lineRule="auto"/>
        <w:rPr>
          <w:rFonts w:ascii="Arial" w:hAnsi="Arial" w:cs="Arial"/>
        </w:rPr>
      </w:pPr>
      <w:bookmarkStart w:id="6" w:name="_Toc242890557"/>
      <w:r w:rsidRPr="00272723">
        <w:rPr>
          <w:rFonts w:ascii="Arial" w:hAnsi="Arial" w:cs="Arial"/>
        </w:rPr>
        <w:lastRenderedPageBreak/>
        <w:t>B2. Proposed Integrated Talent Growth Ecosystem</w:t>
      </w:r>
      <w:bookmarkEnd w:id="6"/>
    </w:p>
    <w:p w14:paraId="0DD67845" w14:textId="24D00EBC" w:rsidR="005027FA" w:rsidRPr="00272723" w:rsidRDefault="005027FA" w:rsidP="00272723">
      <w:pPr>
        <w:spacing w:line="360" w:lineRule="auto"/>
        <w:jc w:val="both"/>
        <w:rPr>
          <w:rFonts w:ascii="Arial" w:hAnsi="Arial" w:cs="Arial"/>
        </w:rPr>
      </w:pPr>
      <w:r w:rsidRPr="00272723">
        <w:rPr>
          <w:rFonts w:ascii="Arial" w:hAnsi="Arial" w:cs="Arial"/>
        </w:rPr>
        <w:t xml:space="preserve">NHSX should have a talent ecosystem that is integrated and includes Strategic Workforce Planning, Capability Development, Career mobility, Leadership succession and developmental performance management. Strategically important positions have been emphasized by Collings and </w:t>
      </w:r>
      <w:proofErr w:type="spellStart"/>
      <w:r w:rsidRPr="00272723">
        <w:rPr>
          <w:rFonts w:ascii="Arial" w:hAnsi="Arial" w:cs="Arial"/>
        </w:rPr>
        <w:t>Mellahi</w:t>
      </w:r>
      <w:proofErr w:type="spellEnd"/>
      <w:r w:rsidRPr="00272723">
        <w:rPr>
          <w:rFonts w:ascii="Arial" w:hAnsi="Arial" w:cs="Arial"/>
        </w:rPr>
        <w:t xml:space="preserve"> (2009) and employee retention and internal mobility are highlighted in Cappelli and Keller (2014), as central issues of talent-management. Yet, by focusing on the opportunities only on the high-potential employees may create perceptions of inequity. NHSX needs to balance and direct </w:t>
      </w:r>
      <w:r w:rsidRPr="00272723">
        <w:rPr>
          <w:rFonts w:ascii="Arial" w:hAnsi="Arial" w:cs="Arial"/>
        </w:rPr>
        <w:t>investment</w:t>
      </w:r>
      <w:r w:rsidRPr="00272723">
        <w:rPr>
          <w:rFonts w:ascii="Arial" w:hAnsi="Arial" w:cs="Arial"/>
        </w:rPr>
        <w:t>, on the one hand, in key abilities and, on the other hand, access to development transparently throughout its workforce.</w:t>
      </w:r>
    </w:p>
    <w:p w14:paraId="00E4FB0B" w14:textId="5B26061C" w:rsidR="005027FA" w:rsidRPr="00272723" w:rsidRDefault="008608DE" w:rsidP="00272723">
      <w:pPr>
        <w:spacing w:line="360" w:lineRule="auto"/>
        <w:jc w:val="center"/>
        <w:rPr>
          <w:rFonts w:ascii="Arial" w:hAnsi="Arial" w:cs="Arial"/>
        </w:rPr>
      </w:pPr>
      <w:r w:rsidRPr="00272723">
        <w:rPr>
          <w:rFonts w:ascii="Arial" w:hAnsi="Arial" w:cs="Arial"/>
        </w:rPr>
        <w:drawing>
          <wp:inline distT="0" distB="0" distL="0" distR="0" wp14:anchorId="5CC5574E" wp14:editId="2AB6AECB">
            <wp:extent cx="5693343" cy="4270007"/>
            <wp:effectExtent l="0" t="0" r="3175" b="0"/>
            <wp:docPr id="92215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5841" name=""/>
                    <pic:cNvPicPr/>
                  </pic:nvPicPr>
                  <pic:blipFill>
                    <a:blip r:embed="rId7"/>
                    <a:stretch>
                      <a:fillRect/>
                    </a:stretch>
                  </pic:blipFill>
                  <pic:spPr>
                    <a:xfrm>
                      <a:off x="0" y="0"/>
                      <a:ext cx="5726027" cy="4294520"/>
                    </a:xfrm>
                    <a:prstGeom prst="rect">
                      <a:avLst/>
                    </a:prstGeom>
                  </pic:spPr>
                </pic:pic>
              </a:graphicData>
            </a:graphic>
          </wp:inline>
        </w:drawing>
      </w:r>
    </w:p>
    <w:p w14:paraId="1AB6F7F3" w14:textId="6ACE298A" w:rsidR="008608DE" w:rsidRPr="00272723" w:rsidRDefault="008608DE" w:rsidP="00272723">
      <w:pPr>
        <w:spacing w:line="360" w:lineRule="auto"/>
        <w:jc w:val="both"/>
        <w:rPr>
          <w:rFonts w:ascii="Arial" w:hAnsi="Arial" w:cs="Arial"/>
        </w:rPr>
      </w:pPr>
      <w:r w:rsidRPr="00272723">
        <w:rPr>
          <w:rFonts w:ascii="Arial" w:hAnsi="Arial" w:cs="Arial"/>
        </w:rPr>
        <w:t xml:space="preserve">Figure 1 shows that </w:t>
      </w:r>
      <w:r w:rsidRPr="00272723">
        <w:rPr>
          <w:rFonts w:ascii="Arial" w:hAnsi="Arial" w:cs="Arial"/>
        </w:rPr>
        <w:t>organizational</w:t>
      </w:r>
      <w:r w:rsidRPr="00272723">
        <w:rPr>
          <w:rFonts w:ascii="Arial" w:hAnsi="Arial" w:cs="Arial"/>
        </w:rPr>
        <w:t xml:space="preserve"> learning, psychological safety and employee motivation are enabling circumstances for five interdependent practices related to </w:t>
      </w:r>
      <w:r w:rsidRPr="00272723">
        <w:rPr>
          <w:rFonts w:ascii="Arial" w:hAnsi="Arial" w:cs="Arial"/>
        </w:rPr>
        <w:t>talent management</w:t>
      </w:r>
      <w:r w:rsidRPr="00272723">
        <w:rPr>
          <w:rFonts w:ascii="Arial" w:hAnsi="Arial" w:cs="Arial"/>
        </w:rPr>
        <w:t xml:space="preserve">. This framework acknowledges NHSX's constrained career progression and disjointed international knowledge-sharing but needs to be tested out before it can </w:t>
      </w:r>
      <w:r w:rsidRPr="00272723">
        <w:rPr>
          <w:rFonts w:ascii="Arial" w:hAnsi="Arial" w:cs="Arial"/>
        </w:rPr>
        <w:lastRenderedPageBreak/>
        <w:t>be accepted as outcomes.</w:t>
      </w:r>
      <w:r w:rsidRPr="00272723">
        <w:rPr>
          <w:rFonts w:ascii="Arial" w:hAnsi="Arial" w:cs="Arial"/>
        </w:rPr>
        <w:t xml:space="preserve"> </w:t>
      </w:r>
      <w:r w:rsidRPr="00272723">
        <w:rPr>
          <w:rFonts w:ascii="Arial" w:hAnsi="Arial" w:cs="Arial"/>
        </w:rPr>
        <w:t xml:space="preserve">SWP should start by assessing current and future clinical AI, </w:t>
      </w:r>
      <w:r w:rsidRPr="00272723">
        <w:rPr>
          <w:rFonts w:ascii="Arial" w:hAnsi="Arial" w:cs="Arial"/>
        </w:rPr>
        <w:t>cybersecurity,</w:t>
      </w:r>
      <w:r w:rsidRPr="00272723">
        <w:rPr>
          <w:rFonts w:ascii="Arial" w:hAnsi="Arial" w:cs="Arial"/>
        </w:rPr>
        <w:t xml:space="preserve"> healthcare regulation and international leadership skills. Learning and capability development should integrate technical mentoring, structured learning, protected time for learning and cross-functional projects that tie employees together from all three countries. Internal career progression and specialist pathways would be marked out (by means of a talent platform within the company) and would decrease the need for external recruitment. Next generation leaders should be identified through coaching, challenging assignments and have multiple potential choices into key roles. Lastly, changes needed around developmental performance management are moving away from their old maxim of performing just once a year, </w:t>
      </w:r>
      <w:r w:rsidRPr="00272723">
        <w:rPr>
          <w:rFonts w:ascii="Arial" w:hAnsi="Arial" w:cs="Arial"/>
        </w:rPr>
        <w:t>providing</w:t>
      </w:r>
      <w:r w:rsidRPr="00272723">
        <w:rPr>
          <w:rFonts w:ascii="Arial" w:hAnsi="Arial" w:cs="Arial"/>
        </w:rPr>
        <w:t xml:space="preserve"> regular feedback, career conversations and </w:t>
      </w:r>
      <w:r w:rsidRPr="00272723">
        <w:rPr>
          <w:rFonts w:ascii="Arial" w:hAnsi="Arial" w:cs="Arial"/>
        </w:rPr>
        <w:t>recognizing</w:t>
      </w:r>
      <w:r w:rsidRPr="00272723">
        <w:rPr>
          <w:rFonts w:ascii="Arial" w:hAnsi="Arial" w:cs="Arial"/>
        </w:rPr>
        <w:t xml:space="preserve"> mentoring, knowledge sharing and responsible innovation. These programs need line managers who are competent in this area, and need involvement of employees, to ensure that policies are converted into development opportunities.</w:t>
      </w:r>
    </w:p>
    <w:p w14:paraId="25A86C09" w14:textId="77777777" w:rsidR="008608DE" w:rsidRPr="00272723" w:rsidRDefault="008608DE" w:rsidP="00272723">
      <w:pPr>
        <w:pStyle w:val="Heading2"/>
        <w:spacing w:line="360" w:lineRule="auto"/>
        <w:rPr>
          <w:rFonts w:ascii="Arial" w:hAnsi="Arial" w:cs="Arial"/>
        </w:rPr>
      </w:pPr>
      <w:bookmarkStart w:id="7" w:name="_Toc242890558"/>
      <w:r w:rsidRPr="00272723">
        <w:rPr>
          <w:rFonts w:ascii="Arial" w:hAnsi="Arial" w:cs="Arial"/>
        </w:rPr>
        <w:t>B3. Implementation and Strategic Evaluation</w:t>
      </w:r>
      <w:bookmarkEnd w:id="7"/>
    </w:p>
    <w:p w14:paraId="1C5E86A7" w14:textId="4C99A169" w:rsidR="008608DE" w:rsidRPr="00272723" w:rsidRDefault="008608DE" w:rsidP="00272723">
      <w:pPr>
        <w:spacing w:line="360" w:lineRule="auto"/>
        <w:jc w:val="both"/>
        <w:rPr>
          <w:rFonts w:ascii="Arial" w:hAnsi="Arial" w:cs="Arial"/>
        </w:rPr>
      </w:pPr>
      <w:r w:rsidRPr="00272723">
        <w:rPr>
          <w:rFonts w:ascii="Arial" w:hAnsi="Arial" w:cs="Arial"/>
        </w:rPr>
        <w:t>The proposed framework should be implemented in a six-month pilot with selected international teams, with HR leaders, operational managers and employee representatives coordinating the effort, through NHSX. The four elements of voluntary staff turnover, learning participation, mobility within the company and assessed career prospects should be measured in a workforce assessment from the outset. Further assessments should include assessment of capability gains, readiness for succession, cross-border knowledge sharing and psychological safety, and not just training participants. Data comparisons between locations and employee groups would help to show the inequitable development opportunities.</w:t>
      </w:r>
      <w:r w:rsidRPr="00272723">
        <w:rPr>
          <w:rFonts w:ascii="Arial" w:hAnsi="Arial" w:cs="Arial"/>
        </w:rPr>
        <w:t xml:space="preserve"> </w:t>
      </w:r>
      <w:r w:rsidRPr="00272723">
        <w:rPr>
          <w:rFonts w:ascii="Arial" w:hAnsi="Arial" w:cs="Arial"/>
        </w:rPr>
        <w:t xml:space="preserve">In the end, NHSX will not be able to address a retention issue through the provision of training alone. The vision for talent development should include a continuous learning lens, employee motivation and drive, clear paths for individual growth and leadership accountability, all removed from the context of the traditional </w:t>
      </w:r>
      <w:r w:rsidRPr="00272723">
        <w:rPr>
          <w:rFonts w:ascii="Arial" w:hAnsi="Arial" w:cs="Arial"/>
        </w:rPr>
        <w:t>organization</w:t>
      </w:r>
      <w:r w:rsidRPr="00272723">
        <w:rPr>
          <w:rFonts w:ascii="Arial" w:hAnsi="Arial" w:cs="Arial"/>
        </w:rPr>
        <w:t>. The proposed ecosystem will support Task A's innovative working framework as employees entrusted with the power to help shape the future of their communities' businesses have the capacity and opportunity to continue to grow professionally.</w:t>
      </w:r>
    </w:p>
    <w:p w14:paraId="1D59701A" w14:textId="1F32662B" w:rsidR="008608DE" w:rsidRPr="00272723" w:rsidRDefault="008608DE" w:rsidP="00272723">
      <w:pPr>
        <w:pStyle w:val="Heading1"/>
        <w:spacing w:line="360" w:lineRule="auto"/>
        <w:rPr>
          <w:rFonts w:ascii="Arial" w:hAnsi="Arial" w:cs="Arial"/>
        </w:rPr>
      </w:pPr>
      <w:bookmarkStart w:id="8" w:name="_Toc242890559"/>
      <w:r w:rsidRPr="00272723">
        <w:rPr>
          <w:rFonts w:ascii="Arial" w:hAnsi="Arial" w:cs="Arial"/>
        </w:rPr>
        <w:lastRenderedPageBreak/>
        <w:t>Task C: Reflective Report Artificial Intelligence and Professional Capability Development</w:t>
      </w:r>
      <w:bookmarkEnd w:id="8"/>
    </w:p>
    <w:p w14:paraId="0B2E48B3" w14:textId="77777777" w:rsidR="008608DE" w:rsidRPr="00272723" w:rsidRDefault="008608DE" w:rsidP="00272723">
      <w:pPr>
        <w:pStyle w:val="Heading2"/>
        <w:spacing w:line="360" w:lineRule="auto"/>
        <w:rPr>
          <w:rFonts w:ascii="Arial" w:hAnsi="Arial" w:cs="Arial"/>
        </w:rPr>
      </w:pPr>
      <w:bookmarkStart w:id="9" w:name="_Toc242890560"/>
      <w:r w:rsidRPr="00272723">
        <w:rPr>
          <w:rFonts w:ascii="Arial" w:hAnsi="Arial" w:cs="Arial"/>
        </w:rPr>
        <w:t>C1. Critical Evaluation of AI as a Strategic HR Decision-Support Tool</w:t>
      </w:r>
      <w:bookmarkEnd w:id="9"/>
    </w:p>
    <w:p w14:paraId="646E055A" w14:textId="18080F4B" w:rsidR="008608DE" w:rsidRPr="00272723" w:rsidRDefault="008608DE" w:rsidP="00272723">
      <w:pPr>
        <w:spacing w:line="360" w:lineRule="auto"/>
        <w:jc w:val="both"/>
        <w:rPr>
          <w:rFonts w:ascii="Arial" w:hAnsi="Arial" w:cs="Arial"/>
        </w:rPr>
      </w:pPr>
      <w:r w:rsidRPr="00272723">
        <w:rPr>
          <w:rFonts w:ascii="Arial" w:hAnsi="Arial" w:cs="Arial"/>
        </w:rPr>
        <w:t xml:space="preserve">Machine learning (AI) can be applied in strategic Human Resource Management to forecast the need for workforce, supporting accessibility and analyzing employee feedback. However, this does not mean that technology is efficient in </w:t>
      </w:r>
      <w:r w:rsidRPr="00272723">
        <w:rPr>
          <w:rFonts w:ascii="Arial" w:hAnsi="Arial" w:cs="Arial"/>
        </w:rPr>
        <w:t>making</w:t>
      </w:r>
      <w:r w:rsidRPr="00272723">
        <w:rPr>
          <w:rFonts w:ascii="Arial" w:hAnsi="Arial" w:cs="Arial"/>
        </w:rPr>
        <w:t xml:space="preserve"> decisions that are ethical </w:t>
      </w:r>
      <w:r w:rsidRPr="00272723">
        <w:rPr>
          <w:rFonts w:ascii="Arial" w:hAnsi="Arial" w:cs="Arial"/>
        </w:rPr>
        <w:t>or contextually</w:t>
      </w:r>
      <w:r w:rsidRPr="00272723">
        <w:rPr>
          <w:rFonts w:ascii="Arial" w:hAnsi="Arial" w:cs="Arial"/>
        </w:rPr>
        <w:t xml:space="preserve"> appropriate. Tambe, Cappelli and Yakubovich (2019) list a few constraints that include employee trust, algorithmic fairness and </w:t>
      </w:r>
      <w:r w:rsidRPr="00272723">
        <w:rPr>
          <w:rFonts w:ascii="Arial" w:hAnsi="Arial" w:cs="Arial"/>
        </w:rPr>
        <w:t>organizational</w:t>
      </w:r>
      <w:r w:rsidRPr="00272723">
        <w:rPr>
          <w:rFonts w:ascii="Arial" w:hAnsi="Arial" w:cs="Arial"/>
        </w:rPr>
        <w:t xml:space="preserve"> complexity, and incomplete data. Likewise, </w:t>
      </w:r>
      <w:proofErr w:type="spellStart"/>
      <w:r w:rsidRPr="00272723">
        <w:rPr>
          <w:rFonts w:ascii="Arial" w:hAnsi="Arial" w:cs="Arial"/>
        </w:rPr>
        <w:t>Bankins</w:t>
      </w:r>
      <w:proofErr w:type="spellEnd"/>
      <w:r w:rsidRPr="00272723">
        <w:rPr>
          <w:rFonts w:ascii="Arial" w:hAnsi="Arial" w:cs="Arial"/>
        </w:rPr>
        <w:t xml:space="preserve"> (2021) states that with every AI implementation will come considerations of the suitability of the task and the need for suitable human oversight. These restrictions are of special concern to me as </w:t>
      </w:r>
      <w:proofErr w:type="gramStart"/>
      <w:r w:rsidRPr="00272723">
        <w:rPr>
          <w:rFonts w:ascii="Arial" w:hAnsi="Arial" w:cs="Arial"/>
        </w:rPr>
        <w:t>a HR</w:t>
      </w:r>
      <w:proofErr w:type="gramEnd"/>
      <w:r w:rsidRPr="00272723">
        <w:rPr>
          <w:rFonts w:ascii="Arial" w:hAnsi="Arial" w:cs="Arial"/>
        </w:rPr>
        <w:t xml:space="preserve"> prospective as Human Resource decisions will have a direct impact on individual's wellbeing, dignity and career opportunities. The CIPD (n.d.) Profession Map also emphasizes that judgements </w:t>
      </w:r>
      <w:proofErr w:type="gramStart"/>
      <w:r w:rsidRPr="00272723">
        <w:rPr>
          <w:rFonts w:ascii="Arial" w:hAnsi="Arial" w:cs="Arial"/>
        </w:rPr>
        <w:t>have to</w:t>
      </w:r>
      <w:proofErr w:type="gramEnd"/>
      <w:r w:rsidRPr="00272723">
        <w:rPr>
          <w:rFonts w:ascii="Arial" w:hAnsi="Arial" w:cs="Arial"/>
        </w:rPr>
        <w:t xml:space="preserve"> be made, and that these judgements must be made on an on-going basis with principles-led, evidence-based and outcomes-driven approach. In conclusion, AI should be used to complement professional evaluation rather than </w:t>
      </w:r>
      <w:r w:rsidRPr="00272723">
        <w:rPr>
          <w:rFonts w:ascii="Arial" w:hAnsi="Arial" w:cs="Arial"/>
        </w:rPr>
        <w:t>supersede</w:t>
      </w:r>
      <w:r w:rsidRPr="00272723">
        <w:rPr>
          <w:rFonts w:ascii="Arial" w:hAnsi="Arial" w:cs="Arial"/>
        </w:rPr>
        <w:t xml:space="preserve"> empathy and accountability or participation by employees.</w:t>
      </w:r>
    </w:p>
    <w:p w14:paraId="15562699" w14:textId="77777777" w:rsidR="00272723" w:rsidRPr="00272723" w:rsidRDefault="00272723" w:rsidP="0070012D">
      <w:pPr>
        <w:pStyle w:val="Heading2"/>
      </w:pPr>
      <w:bookmarkStart w:id="10" w:name="_Toc242890561"/>
      <w:r w:rsidRPr="00272723">
        <w:t>C2. Reflective Analysis of Three AI Applications</w:t>
      </w:r>
      <w:bookmarkEnd w:id="10"/>
    </w:p>
    <w:p w14:paraId="25136A01" w14:textId="77777777" w:rsidR="00272723" w:rsidRPr="00272723" w:rsidRDefault="00272723" w:rsidP="0070012D">
      <w:pPr>
        <w:pStyle w:val="Heading3"/>
      </w:pPr>
      <w:bookmarkStart w:id="11" w:name="_Toc242890562"/>
      <w:r w:rsidRPr="00272723">
        <w:t>Experience One: AI-Assisted Accessibility and Inclusive Employment</w:t>
      </w:r>
      <w:bookmarkEnd w:id="11"/>
    </w:p>
    <w:p w14:paraId="3FE66A28" w14:textId="4E3933A0" w:rsidR="005027FA" w:rsidRPr="00272723" w:rsidRDefault="00272723" w:rsidP="00272723">
      <w:pPr>
        <w:spacing w:line="360" w:lineRule="auto"/>
        <w:jc w:val="both"/>
        <w:rPr>
          <w:rFonts w:ascii="Arial" w:hAnsi="Arial" w:cs="Arial"/>
        </w:rPr>
      </w:pPr>
      <w:r w:rsidRPr="00272723">
        <w:rPr>
          <w:rFonts w:ascii="Arial" w:hAnsi="Arial" w:cs="Arial"/>
        </w:rPr>
        <w:t>Exploring AI-driven accessibility technologies, such as Microsoft Seeing AI, can help assess how AI can be used to provide automated text recognition and environmental description to support people with visual impairments as employees. Professional benefit may be development of knowledge of work accommodations and technology. But if they are wrong, this may lead to physical obstacles and/or loss of confidence among employees. The main learning goal is to consider that inclusive HR practice cannot be done without consulting with employees and assessing their needs in individual cases and not to think technological assistance necessarily makes people equal.</w:t>
      </w:r>
    </w:p>
    <w:p w14:paraId="3B7D12FF" w14:textId="77777777" w:rsidR="00272723" w:rsidRPr="00272723" w:rsidRDefault="00272723" w:rsidP="0070012D">
      <w:pPr>
        <w:pStyle w:val="Heading3"/>
      </w:pPr>
      <w:bookmarkStart w:id="12" w:name="_Toc242890563"/>
      <w:r w:rsidRPr="00272723">
        <w:t>Experience Two: AI-Based Employee Sentiment Analysis</w:t>
      </w:r>
      <w:bookmarkEnd w:id="12"/>
    </w:p>
    <w:p w14:paraId="2094517E" w14:textId="29F52776" w:rsidR="00272723" w:rsidRPr="00272723" w:rsidRDefault="00272723" w:rsidP="00272723">
      <w:pPr>
        <w:spacing w:line="360" w:lineRule="auto"/>
        <w:jc w:val="both"/>
        <w:rPr>
          <w:rFonts w:ascii="Arial" w:hAnsi="Arial" w:cs="Arial"/>
        </w:rPr>
      </w:pPr>
      <w:r w:rsidRPr="00272723">
        <w:rPr>
          <w:rFonts w:ascii="Arial" w:hAnsi="Arial" w:cs="Arial"/>
        </w:rPr>
        <w:t xml:space="preserve">In a second proposed scenario, using AI sentiment classification to imaginary employee feedback relating to workload, management support and career prospects. This kind of </w:t>
      </w:r>
      <w:r w:rsidRPr="00272723">
        <w:rPr>
          <w:rFonts w:ascii="Arial" w:hAnsi="Arial" w:cs="Arial"/>
        </w:rPr>
        <w:lastRenderedPageBreak/>
        <w:t xml:space="preserve">analysis might contribute </w:t>
      </w:r>
      <w:proofErr w:type="gramStart"/>
      <w:r w:rsidRPr="00272723">
        <w:rPr>
          <w:rFonts w:ascii="Arial" w:hAnsi="Arial" w:cs="Arial"/>
        </w:rPr>
        <w:t>in</w:t>
      </w:r>
      <w:proofErr w:type="gramEnd"/>
      <w:r w:rsidRPr="00272723">
        <w:rPr>
          <w:rFonts w:ascii="Arial" w:hAnsi="Arial" w:cs="Arial"/>
        </w:rPr>
        <w:t xml:space="preserve"> pointing out often recurring concerns and help decision making in </w:t>
      </w:r>
      <w:r w:rsidRPr="00272723">
        <w:rPr>
          <w:rFonts w:ascii="Arial" w:hAnsi="Arial" w:cs="Arial"/>
        </w:rPr>
        <w:t>organizations</w:t>
      </w:r>
      <w:r w:rsidRPr="00272723">
        <w:rPr>
          <w:rFonts w:ascii="Arial" w:hAnsi="Arial" w:cs="Arial"/>
        </w:rPr>
        <w:t>. Despite this, automated classifications might not detect sarcasm, cultural differences, and context of employee experiences. In this exercise, critical thinking with data interpretation skills would be developed and the need for quantitative output to be accompanied with qualitative feedback would be highlighted. When assessing wellbeing and psychological safety of international teams, this difference is particularly important for NHSX.</w:t>
      </w:r>
    </w:p>
    <w:p w14:paraId="66A23BA7" w14:textId="77777777" w:rsidR="00272723" w:rsidRPr="00272723" w:rsidRDefault="00272723" w:rsidP="0070012D">
      <w:pPr>
        <w:pStyle w:val="Heading3"/>
      </w:pPr>
      <w:bookmarkStart w:id="13" w:name="_Toc242890564"/>
      <w:r w:rsidRPr="00272723">
        <w:t>Experience Three: AI-Assisted Workforce Scenario Planning</w:t>
      </w:r>
      <w:bookmarkEnd w:id="13"/>
    </w:p>
    <w:p w14:paraId="01382C29" w14:textId="0623871D" w:rsidR="00272723" w:rsidRPr="00272723" w:rsidRDefault="00272723" w:rsidP="00272723">
      <w:pPr>
        <w:spacing w:line="360" w:lineRule="auto"/>
        <w:jc w:val="both"/>
        <w:rPr>
          <w:rFonts w:ascii="Arial" w:hAnsi="Arial" w:cs="Arial"/>
        </w:rPr>
      </w:pPr>
      <w:r w:rsidRPr="00272723">
        <w:rPr>
          <w:rFonts w:ascii="Arial" w:hAnsi="Arial" w:cs="Arial"/>
        </w:rPr>
        <w:t>A third scenario would be to provide synthetic information on workforce, along with scenarios of various combinations of recruitment, reskilling and succession-planning. While forecasting provided by AI can make strategic choices easier, seemingly “precise” forecasts could be based on incorrect premises, or organizational future requirements may not align with worker aspirations. The main professional lesson would be on how prediction and managerial decision-making differ, and on being responsible for decisions made. This underscores the need to challenge models' assumptions; to think of alternative explanations and maintain corporate responsibility when making workforce changes.</w:t>
      </w:r>
    </w:p>
    <w:p w14:paraId="5095454A" w14:textId="77777777" w:rsidR="00272723" w:rsidRPr="00272723" w:rsidRDefault="00272723" w:rsidP="00272723">
      <w:pPr>
        <w:pStyle w:val="Heading2"/>
        <w:spacing w:line="360" w:lineRule="auto"/>
        <w:rPr>
          <w:rFonts w:ascii="Arial" w:hAnsi="Arial" w:cs="Arial"/>
        </w:rPr>
      </w:pPr>
      <w:bookmarkStart w:id="14" w:name="_Toc242890565"/>
      <w:r w:rsidRPr="00272723">
        <w:rPr>
          <w:rFonts w:ascii="Arial" w:hAnsi="Arial" w:cs="Arial"/>
        </w:rPr>
        <w:t>C3. Personal Capability Development Action Plan</w:t>
      </w:r>
      <w:bookmarkEnd w:id="14"/>
    </w:p>
    <w:p w14:paraId="71B4FA48" w14:textId="77777777" w:rsidR="0070012D" w:rsidRDefault="00272723" w:rsidP="0070012D">
      <w:pPr>
        <w:spacing w:line="360" w:lineRule="auto"/>
        <w:jc w:val="both"/>
        <w:rPr>
          <w:rFonts w:ascii="Arial" w:hAnsi="Arial" w:cs="Arial"/>
        </w:rPr>
      </w:pPr>
      <w:r w:rsidRPr="00272723">
        <w:rPr>
          <w:rFonts w:ascii="Arial" w:hAnsi="Arial" w:cs="Arial"/>
        </w:rPr>
        <w:t xml:space="preserve">The three capability skills that I will aim to strengthen over the next 3 months with structured professional </w:t>
      </w:r>
      <w:r w:rsidRPr="00272723">
        <w:rPr>
          <w:rFonts w:ascii="Arial" w:hAnsi="Arial" w:cs="Arial"/>
        </w:rPr>
        <w:t>learning</w:t>
      </w:r>
      <w:r w:rsidRPr="00272723">
        <w:rPr>
          <w:rFonts w:ascii="Arial" w:hAnsi="Arial" w:cs="Arial"/>
        </w:rPr>
        <w:t xml:space="preserve"> are: For this month I will be testing out two AI accessibility tools and assessing their real-world applicability when it comes to inclusive HR. In the second month I will be comparing 10 fictional employee feedback statements to determine </w:t>
      </w:r>
      <w:proofErr w:type="gramStart"/>
      <w:r w:rsidRPr="00272723">
        <w:rPr>
          <w:rFonts w:ascii="Arial" w:hAnsi="Arial" w:cs="Arial"/>
        </w:rPr>
        <w:t>whether or not</w:t>
      </w:r>
      <w:proofErr w:type="gramEnd"/>
      <w:r w:rsidRPr="00272723">
        <w:rPr>
          <w:rFonts w:ascii="Arial" w:hAnsi="Arial" w:cs="Arial"/>
        </w:rPr>
        <w:t xml:space="preserve"> they were classified correctly by the AI and whether a different qualitative classification was reached by a human. In the third month, I will build three scenarios for workforce planning with synthetic data and </w:t>
      </w:r>
      <w:r w:rsidRPr="00272723">
        <w:rPr>
          <w:rFonts w:ascii="Arial" w:hAnsi="Arial" w:cs="Arial"/>
        </w:rPr>
        <w:t>analyses</w:t>
      </w:r>
      <w:r w:rsidRPr="00272723">
        <w:rPr>
          <w:rFonts w:ascii="Arial" w:hAnsi="Arial" w:cs="Arial"/>
        </w:rPr>
        <w:t xml:space="preserve"> their assumptions, the ethical and organizational questions and possibilities that arise.</w:t>
      </w:r>
      <w:r w:rsidRPr="00272723">
        <w:rPr>
          <w:rFonts w:ascii="Arial" w:hAnsi="Arial" w:cs="Arial"/>
        </w:rPr>
        <w:t xml:space="preserve"> </w:t>
      </w:r>
      <w:r w:rsidRPr="00272723">
        <w:rPr>
          <w:rFonts w:ascii="Arial" w:hAnsi="Arial" w:cs="Arial"/>
        </w:rPr>
        <w:t xml:space="preserve">The reflective journal and feedback from a tutor or peer will be used as a means of assessing progress </w:t>
      </w:r>
      <w:r w:rsidRPr="00272723">
        <w:rPr>
          <w:rFonts w:ascii="Arial" w:hAnsi="Arial" w:cs="Arial"/>
        </w:rPr>
        <w:t>monthly</w:t>
      </w:r>
      <w:r w:rsidRPr="00272723">
        <w:rPr>
          <w:rFonts w:ascii="Arial" w:hAnsi="Arial" w:cs="Arial"/>
        </w:rPr>
        <w:t>. My goal in my professional life is to promote responsible AI literacy, combined with critical thinking and inclusive practice with empathetic judgement that helps and guides HR decisions and that all AI suggestions are subservient to them.</w:t>
      </w:r>
    </w:p>
    <w:p w14:paraId="554E33FD" w14:textId="5E8D66FE" w:rsidR="00272723" w:rsidRPr="0070012D" w:rsidRDefault="00272723" w:rsidP="0070012D">
      <w:pPr>
        <w:pStyle w:val="Heading1"/>
      </w:pPr>
      <w:bookmarkStart w:id="15" w:name="_Toc242890566"/>
      <w:r w:rsidRPr="00272723">
        <w:lastRenderedPageBreak/>
        <w:t>References</w:t>
      </w:r>
      <w:bookmarkEnd w:id="15"/>
    </w:p>
    <w:p w14:paraId="342D522B"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Barney, J.B. (1991) ‘Firm resources and sustained competitive advantage’, Journal of Management, 17(1), pp. 99–120. Available at: </w:t>
      </w:r>
      <w:hyperlink r:id="rId8" w:history="1">
        <w:r w:rsidRPr="00272723">
          <w:rPr>
            <w:rStyle w:val="Hyperlink"/>
            <w:rFonts w:ascii="Arial" w:hAnsi="Arial" w:cs="Arial"/>
          </w:rPr>
          <w:t>https://doi.org/10.1177/014920639101700108</w:t>
        </w:r>
      </w:hyperlink>
    </w:p>
    <w:p w14:paraId="49B60C9E" w14:textId="77777777" w:rsidR="00272723" w:rsidRPr="00272723" w:rsidRDefault="00272723" w:rsidP="00272723">
      <w:pPr>
        <w:spacing w:line="360" w:lineRule="auto"/>
        <w:jc w:val="both"/>
        <w:rPr>
          <w:rFonts w:ascii="Arial" w:hAnsi="Arial" w:cs="Arial"/>
        </w:rPr>
      </w:pPr>
      <w:proofErr w:type="spellStart"/>
      <w:r w:rsidRPr="00272723">
        <w:rPr>
          <w:rFonts w:ascii="Arial" w:hAnsi="Arial" w:cs="Arial"/>
        </w:rPr>
        <w:t>Bankins</w:t>
      </w:r>
      <w:proofErr w:type="spellEnd"/>
      <w:r w:rsidRPr="00272723">
        <w:rPr>
          <w:rFonts w:ascii="Arial" w:hAnsi="Arial" w:cs="Arial"/>
        </w:rPr>
        <w:t xml:space="preserve">, S. (2021) ‘The ethical use of artificial intelligence in human resource management: a decision-making framework’, Ethics and Information Technology, 23(4), pp. 841–854. Available at: </w:t>
      </w:r>
      <w:hyperlink r:id="rId9" w:history="1">
        <w:r w:rsidRPr="00272723">
          <w:rPr>
            <w:rStyle w:val="Hyperlink"/>
            <w:rFonts w:ascii="Arial" w:hAnsi="Arial" w:cs="Arial"/>
          </w:rPr>
          <w:t>https://doi.org/10.1007/s10676-021-09619-6</w:t>
        </w:r>
      </w:hyperlink>
    </w:p>
    <w:p w14:paraId="680EF0CC"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Bloom, N., Han, R. and Liang, J. (2024) ‘Hybrid working from home improves retention without damaging performance’, Nature, 630, pp. 920–925. Available at: </w:t>
      </w:r>
      <w:hyperlink r:id="rId10" w:history="1">
        <w:r w:rsidRPr="00272723">
          <w:rPr>
            <w:rStyle w:val="Hyperlink"/>
            <w:rFonts w:ascii="Arial" w:hAnsi="Arial" w:cs="Arial"/>
          </w:rPr>
          <w:t>https://doi.org/10.1038/s41586-024-07500-2</w:t>
        </w:r>
      </w:hyperlink>
    </w:p>
    <w:p w14:paraId="2038B56D"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Boxall, P. and Macky, K. (2014) ‘High-involvement work processes, work intensification and employee well-being’, Work, Employment and Society, 28(6), pp. 963–984. Available at: </w:t>
      </w:r>
      <w:hyperlink r:id="rId11" w:history="1">
        <w:r w:rsidRPr="00272723">
          <w:rPr>
            <w:rStyle w:val="Hyperlink"/>
            <w:rFonts w:ascii="Arial" w:hAnsi="Arial" w:cs="Arial"/>
          </w:rPr>
          <w:t>https://doi.org/10.1177/0950017013512714</w:t>
        </w:r>
      </w:hyperlink>
    </w:p>
    <w:p w14:paraId="3A94DEFB"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Cappelli, P. and Keller, J.R. (2014) ‘Talent management: conceptual approaches and practical challenges’, Annual Review of Organizational Psychology and Organizational Behavior, 1, pp. 305–331. Available at: </w:t>
      </w:r>
      <w:hyperlink r:id="rId12" w:history="1">
        <w:r w:rsidRPr="00272723">
          <w:rPr>
            <w:rStyle w:val="Hyperlink"/>
            <w:rFonts w:ascii="Arial" w:hAnsi="Arial" w:cs="Arial"/>
          </w:rPr>
          <w:t>https://doi.org/10.1146/annurev-orgpsych-031413-091314</w:t>
        </w:r>
      </w:hyperlink>
    </w:p>
    <w:p w14:paraId="7C3B087D"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Chartered Institute of Personnel and Development (CIPD) (2025) Flexible and hybrid working practices in 2025. London: CIPD. Available at: </w:t>
      </w:r>
      <w:hyperlink r:id="rId13" w:history="1">
        <w:r w:rsidRPr="00272723">
          <w:rPr>
            <w:rStyle w:val="Hyperlink"/>
            <w:rFonts w:ascii="Arial" w:hAnsi="Arial" w:cs="Arial"/>
          </w:rPr>
          <w:t>https://www.cipd.org/en/knowledge/reports/flexible-hybrid-working/</w:t>
        </w:r>
      </w:hyperlink>
      <w:r w:rsidRPr="00272723">
        <w:rPr>
          <w:rFonts w:ascii="Arial" w:hAnsi="Arial" w:cs="Arial"/>
        </w:rPr>
        <w:t xml:space="preserve"> (Accessed: 1 October 2026). </w:t>
      </w:r>
    </w:p>
    <w:p w14:paraId="1E45A53D"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Chartered Institute of Personnel and Development (CIPD) (n.d.) Explore the Profession Map. Available at: </w:t>
      </w:r>
      <w:hyperlink r:id="rId14" w:history="1">
        <w:r w:rsidRPr="00272723">
          <w:rPr>
            <w:rStyle w:val="Hyperlink"/>
            <w:rFonts w:ascii="Arial" w:hAnsi="Arial" w:cs="Arial"/>
          </w:rPr>
          <w:t>https://www.cipd.org/en/the-people-profession/the-profession-map/explore-the-profession-map/</w:t>
        </w:r>
      </w:hyperlink>
      <w:r w:rsidRPr="00272723">
        <w:rPr>
          <w:rFonts w:ascii="Arial" w:hAnsi="Arial" w:cs="Arial"/>
        </w:rPr>
        <w:t xml:space="preserve"> (Accessed: 1 October 2026).</w:t>
      </w:r>
    </w:p>
    <w:p w14:paraId="70E0C75C"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Chowdhury, S., Dey, P., Joel-Edgar, S., Bhattacharya, S., Rodriguez-Espindola, O., Abadie, A. and Truong, L. (2023) ‘Unlocking the value of artificial intelligence in human resource management through AI capability framework’, Human Resource Management Review, 33(1), 100899. Available at: </w:t>
      </w:r>
      <w:hyperlink r:id="rId15" w:history="1">
        <w:r w:rsidRPr="00272723">
          <w:rPr>
            <w:rStyle w:val="Hyperlink"/>
            <w:rFonts w:ascii="Arial" w:hAnsi="Arial" w:cs="Arial"/>
          </w:rPr>
          <w:t>https://doi.org/10.1016/j.hrmr.2022.100899</w:t>
        </w:r>
      </w:hyperlink>
    </w:p>
    <w:p w14:paraId="7A4D0915" w14:textId="77777777" w:rsidR="00272723" w:rsidRPr="00272723" w:rsidRDefault="00272723" w:rsidP="00272723">
      <w:pPr>
        <w:spacing w:line="360" w:lineRule="auto"/>
        <w:jc w:val="both"/>
        <w:rPr>
          <w:rFonts w:ascii="Arial" w:hAnsi="Arial" w:cs="Arial"/>
        </w:rPr>
      </w:pPr>
      <w:r w:rsidRPr="00272723">
        <w:rPr>
          <w:rFonts w:ascii="Arial" w:hAnsi="Arial" w:cs="Arial"/>
        </w:rPr>
        <w:lastRenderedPageBreak/>
        <w:t xml:space="preserve">Collings, D.G. and </w:t>
      </w:r>
      <w:proofErr w:type="spellStart"/>
      <w:r w:rsidRPr="00272723">
        <w:rPr>
          <w:rFonts w:ascii="Arial" w:hAnsi="Arial" w:cs="Arial"/>
        </w:rPr>
        <w:t>Mellahi</w:t>
      </w:r>
      <w:proofErr w:type="spellEnd"/>
      <w:r w:rsidRPr="00272723">
        <w:rPr>
          <w:rFonts w:ascii="Arial" w:hAnsi="Arial" w:cs="Arial"/>
        </w:rPr>
        <w:t xml:space="preserve">, K. (2009) ‘Strategic talent management: a review and research agenda’, Human Resource Management Review, 19(4), pp. 304–313. Available at: </w:t>
      </w:r>
      <w:hyperlink r:id="rId16" w:history="1">
        <w:r w:rsidRPr="00272723">
          <w:rPr>
            <w:rStyle w:val="Hyperlink"/>
            <w:rFonts w:ascii="Arial" w:hAnsi="Arial" w:cs="Arial"/>
          </w:rPr>
          <w:t>https://doi.org/10.1016/j.hrmr.2009.04.001</w:t>
        </w:r>
      </w:hyperlink>
    </w:p>
    <w:p w14:paraId="786263C9" w14:textId="77777777" w:rsidR="00272723" w:rsidRPr="00272723" w:rsidRDefault="00272723" w:rsidP="00272723">
      <w:pPr>
        <w:spacing w:line="360" w:lineRule="auto"/>
        <w:jc w:val="both"/>
        <w:rPr>
          <w:rFonts w:ascii="Arial" w:hAnsi="Arial" w:cs="Arial"/>
        </w:rPr>
      </w:pPr>
      <w:r w:rsidRPr="00272723">
        <w:rPr>
          <w:rFonts w:ascii="Arial" w:hAnsi="Arial" w:cs="Arial"/>
        </w:rPr>
        <w:t>Dweck, C.S. (2006) Mindset: The New Psychology of Success. New York: Random House.</w:t>
      </w:r>
    </w:p>
    <w:p w14:paraId="719B0B48"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Edmondson, A. (1999) ‘Psychological safety and learning behavior in work teams’, Administrative Science Quarterly, 44(2), pp. 350–383. Available at: </w:t>
      </w:r>
      <w:hyperlink r:id="rId17" w:history="1">
        <w:r w:rsidRPr="00272723">
          <w:rPr>
            <w:rStyle w:val="Hyperlink"/>
            <w:rFonts w:ascii="Arial" w:hAnsi="Arial" w:cs="Arial"/>
          </w:rPr>
          <w:t>https://doi.org/10.2307/2666999</w:t>
        </w:r>
      </w:hyperlink>
    </w:p>
    <w:p w14:paraId="640CAD55" w14:textId="77777777" w:rsidR="00272723" w:rsidRPr="00272723" w:rsidRDefault="00272723" w:rsidP="00272723">
      <w:pPr>
        <w:spacing w:line="360" w:lineRule="auto"/>
        <w:jc w:val="both"/>
        <w:rPr>
          <w:rFonts w:ascii="Arial" w:hAnsi="Arial" w:cs="Arial"/>
        </w:rPr>
      </w:pPr>
      <w:r w:rsidRPr="00272723">
        <w:rPr>
          <w:rFonts w:ascii="Arial" w:hAnsi="Arial" w:cs="Arial"/>
        </w:rPr>
        <w:t>Fuller, A. and Unwin, L. (</w:t>
      </w:r>
      <w:proofErr w:type="gramStart"/>
      <w:r w:rsidRPr="00272723">
        <w:rPr>
          <w:rFonts w:ascii="Arial" w:hAnsi="Arial" w:cs="Arial"/>
        </w:rPr>
        <w:t>2004) ‘</w:t>
      </w:r>
      <w:proofErr w:type="gramEnd"/>
      <w:r w:rsidRPr="00272723">
        <w:rPr>
          <w:rFonts w:ascii="Arial" w:hAnsi="Arial" w:cs="Arial"/>
        </w:rPr>
        <w:t>Expansive learning environments: integrating organizational and personal development’, in Rainbird, H., Fuller, A. and Munro, A. (eds.) Workplace Learning in Context. London: Routledge, pp. 126–144.</w:t>
      </w:r>
    </w:p>
    <w:p w14:paraId="55629089"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Grzegorczyk, M., Mariniello, M., Nurski, L. and </w:t>
      </w:r>
      <w:proofErr w:type="spellStart"/>
      <w:r w:rsidRPr="00272723">
        <w:rPr>
          <w:rFonts w:ascii="Arial" w:hAnsi="Arial" w:cs="Arial"/>
        </w:rPr>
        <w:t>Schraepen</w:t>
      </w:r>
      <w:proofErr w:type="spellEnd"/>
      <w:r w:rsidRPr="00272723">
        <w:rPr>
          <w:rFonts w:ascii="Arial" w:hAnsi="Arial" w:cs="Arial"/>
        </w:rPr>
        <w:t xml:space="preserve">, T. (2021) Blending the physical and virtual: a hybrid model for the future of work. Policy Contribution 14/2021. Brussels: Bruegel. Available at: </w:t>
      </w:r>
      <w:hyperlink r:id="rId18" w:history="1">
        <w:r w:rsidRPr="00272723">
          <w:rPr>
            <w:rStyle w:val="Hyperlink"/>
            <w:rFonts w:ascii="Arial" w:hAnsi="Arial" w:cs="Arial"/>
          </w:rPr>
          <w:t>https://www.bruegel.org/policy-brief/blending-physical-and-virtual-hybrid-model-future-work</w:t>
        </w:r>
      </w:hyperlink>
    </w:p>
    <w:p w14:paraId="414FBEDF"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Hackman, J.R. and Oldham, G.R. (1976) ‘Motivation through the design of work: test of a theory’, Organizational Behavior and Human Performance, 16(2), pp. 250–279. Available at: </w:t>
      </w:r>
      <w:hyperlink r:id="rId19" w:history="1">
        <w:r w:rsidRPr="00272723">
          <w:rPr>
            <w:rStyle w:val="Hyperlink"/>
            <w:rFonts w:ascii="Arial" w:hAnsi="Arial" w:cs="Arial"/>
          </w:rPr>
          <w:t>https://doi.org/10.1016/0030-5073(76)90016-7</w:t>
        </w:r>
      </w:hyperlink>
    </w:p>
    <w:p w14:paraId="2B5A4874" w14:textId="77777777" w:rsidR="00272723" w:rsidRPr="00272723" w:rsidRDefault="00272723" w:rsidP="00272723">
      <w:pPr>
        <w:spacing w:line="360" w:lineRule="auto"/>
        <w:jc w:val="both"/>
        <w:rPr>
          <w:rFonts w:ascii="Arial" w:hAnsi="Arial" w:cs="Arial"/>
        </w:rPr>
      </w:pPr>
      <w:r w:rsidRPr="00272723">
        <w:rPr>
          <w:rFonts w:ascii="Arial" w:hAnsi="Arial" w:cs="Arial"/>
        </w:rPr>
        <w:t>Jiang, K., Lepak, D.P., Hu, J. and Baer, J.C. (</w:t>
      </w:r>
      <w:proofErr w:type="gramStart"/>
      <w:r w:rsidRPr="00272723">
        <w:rPr>
          <w:rFonts w:ascii="Arial" w:hAnsi="Arial" w:cs="Arial"/>
        </w:rPr>
        <w:t>2012) ‘</w:t>
      </w:r>
      <w:proofErr w:type="gramEnd"/>
      <w:r w:rsidRPr="00272723">
        <w:rPr>
          <w:rFonts w:ascii="Arial" w:hAnsi="Arial" w:cs="Arial"/>
        </w:rPr>
        <w:t xml:space="preserve">How does human resource management influence organizational outcomes? A meta-analytic investigation of mediating mechanisms’, Academy of Management Journal, 55(6), pp. 1264–1294. Available at: </w:t>
      </w:r>
      <w:hyperlink r:id="rId20" w:history="1">
        <w:r w:rsidRPr="00272723">
          <w:rPr>
            <w:rStyle w:val="Hyperlink"/>
            <w:rFonts w:ascii="Arial" w:hAnsi="Arial" w:cs="Arial"/>
          </w:rPr>
          <w:t>https://doi.org/10.5465/amj.2011.0088</w:t>
        </w:r>
      </w:hyperlink>
    </w:p>
    <w:p w14:paraId="419A6301"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Petre, A., </w:t>
      </w:r>
      <w:proofErr w:type="spellStart"/>
      <w:r w:rsidRPr="00272723">
        <w:rPr>
          <w:rFonts w:ascii="Arial" w:hAnsi="Arial" w:cs="Arial"/>
        </w:rPr>
        <w:t>Rațiu</w:t>
      </w:r>
      <w:proofErr w:type="spellEnd"/>
      <w:r w:rsidRPr="00272723">
        <w:rPr>
          <w:rFonts w:ascii="Arial" w:hAnsi="Arial" w:cs="Arial"/>
        </w:rPr>
        <w:t xml:space="preserve">, P. and </w:t>
      </w:r>
      <w:proofErr w:type="spellStart"/>
      <w:r w:rsidRPr="00272723">
        <w:rPr>
          <w:rFonts w:ascii="Arial" w:hAnsi="Arial" w:cs="Arial"/>
        </w:rPr>
        <w:t>Osoian</w:t>
      </w:r>
      <w:proofErr w:type="spellEnd"/>
      <w:r w:rsidRPr="00272723">
        <w:rPr>
          <w:rFonts w:ascii="Arial" w:hAnsi="Arial" w:cs="Arial"/>
        </w:rPr>
        <w:t xml:space="preserve">, C. (2024) ‘How is AI shaping the future of work? Empowering employees, not replacing them’, Studia Universitatis Babeș-Bolyai </w:t>
      </w:r>
      <w:proofErr w:type="spellStart"/>
      <w:r w:rsidRPr="00272723">
        <w:rPr>
          <w:rFonts w:ascii="Arial" w:hAnsi="Arial" w:cs="Arial"/>
        </w:rPr>
        <w:t>Oeconomica</w:t>
      </w:r>
      <w:proofErr w:type="spellEnd"/>
      <w:r w:rsidRPr="00272723">
        <w:rPr>
          <w:rFonts w:ascii="Arial" w:hAnsi="Arial" w:cs="Arial"/>
        </w:rPr>
        <w:t xml:space="preserve">, 69(3), pp. 1–13. Available at: </w:t>
      </w:r>
      <w:hyperlink r:id="rId21" w:history="1">
        <w:r w:rsidRPr="00272723">
          <w:rPr>
            <w:rStyle w:val="Hyperlink"/>
            <w:rFonts w:ascii="Arial" w:hAnsi="Arial" w:cs="Arial"/>
          </w:rPr>
          <w:t>https://doi.org/10.2478/subboec-2024-0011</w:t>
        </w:r>
      </w:hyperlink>
    </w:p>
    <w:p w14:paraId="5AD50789"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Ryan, R.M. and Deci, E.L. (2000) ‘Self-determination theory and the facilitation of intrinsic motivation, social development, and well-being’, American Psychologist, 55(1), pp. 68–78. Available at: </w:t>
      </w:r>
      <w:hyperlink r:id="rId22" w:history="1">
        <w:r w:rsidRPr="00272723">
          <w:rPr>
            <w:rStyle w:val="Hyperlink"/>
            <w:rFonts w:ascii="Arial" w:hAnsi="Arial" w:cs="Arial"/>
          </w:rPr>
          <w:t>https://doi.org/10.1037/0003-066X.55.1.68</w:t>
        </w:r>
      </w:hyperlink>
    </w:p>
    <w:p w14:paraId="398EFB5F" w14:textId="77777777" w:rsidR="00272723" w:rsidRPr="00272723" w:rsidRDefault="00272723" w:rsidP="00272723">
      <w:pPr>
        <w:spacing w:line="360" w:lineRule="auto"/>
        <w:jc w:val="both"/>
        <w:rPr>
          <w:rFonts w:ascii="Arial" w:hAnsi="Arial" w:cs="Arial"/>
        </w:rPr>
      </w:pPr>
      <w:r w:rsidRPr="00272723">
        <w:rPr>
          <w:rFonts w:ascii="Arial" w:hAnsi="Arial" w:cs="Arial"/>
        </w:rPr>
        <w:lastRenderedPageBreak/>
        <w:t>Senge, P.M. (1990) The Fifth Discipline: The Art and Practice of the Learning Organization. New York: Doubleday.</w:t>
      </w:r>
    </w:p>
    <w:p w14:paraId="3D4E34DE"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Tambe, P., Cappelli, P. and Yakubovich, V. (2019) ‘Artificial intelligence in human resources management: challenges and a path forward’, California Management Review, 61(4), pp. 15–42. Available at: </w:t>
      </w:r>
      <w:hyperlink r:id="rId23" w:history="1">
        <w:r w:rsidRPr="00272723">
          <w:rPr>
            <w:rStyle w:val="Hyperlink"/>
            <w:rFonts w:ascii="Arial" w:hAnsi="Arial" w:cs="Arial"/>
          </w:rPr>
          <w:t>https://doi.org/10.1177/0008125619867910</w:t>
        </w:r>
      </w:hyperlink>
    </w:p>
    <w:p w14:paraId="7C4EFBD1"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Tims, M., Bakker, A.B. and Derks, D. (2012) ‘Development and validation of the job crafting scale’, Journal of Vocational Behavior, 80(1), pp. 173–186. Available at: </w:t>
      </w:r>
      <w:hyperlink r:id="rId24" w:history="1">
        <w:r w:rsidRPr="00272723">
          <w:rPr>
            <w:rStyle w:val="Hyperlink"/>
            <w:rFonts w:ascii="Arial" w:hAnsi="Arial" w:cs="Arial"/>
          </w:rPr>
          <w:t>https://doi.org/10.1016/j.jvb.2011.05.009</w:t>
        </w:r>
      </w:hyperlink>
    </w:p>
    <w:p w14:paraId="7D1F7297" w14:textId="77777777" w:rsidR="00272723" w:rsidRPr="00272723" w:rsidRDefault="00272723" w:rsidP="00272723">
      <w:pPr>
        <w:spacing w:line="360" w:lineRule="auto"/>
        <w:jc w:val="both"/>
        <w:rPr>
          <w:rFonts w:ascii="Arial" w:hAnsi="Arial" w:cs="Arial"/>
        </w:rPr>
      </w:pPr>
      <w:r w:rsidRPr="00272723">
        <w:rPr>
          <w:rFonts w:ascii="Arial" w:hAnsi="Arial" w:cs="Arial"/>
        </w:rPr>
        <w:t>Ulrich, D. (1997) Human Resource Champions: The Next Agenda for Adding Value and Delivering Results. Boston, MA: Harvard Business School Press.</w:t>
      </w:r>
    </w:p>
    <w:p w14:paraId="3A7BF9D3"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Wrzesniewski, A. and Dutton, J.E. (2001) ‘Crafting a job: revisioning employees as active crafters of their work’, Academy of Management Review, 26(2), pp. 179–201. Available at: </w:t>
      </w:r>
      <w:hyperlink r:id="rId25" w:history="1">
        <w:r w:rsidRPr="00272723">
          <w:rPr>
            <w:rStyle w:val="Hyperlink"/>
            <w:rFonts w:ascii="Arial" w:hAnsi="Arial" w:cs="Arial"/>
          </w:rPr>
          <w:t>https://doi.org/10.5465/amr.2001.4378011</w:t>
        </w:r>
      </w:hyperlink>
    </w:p>
    <w:p w14:paraId="412BEDF1" w14:textId="77777777" w:rsidR="00272723" w:rsidRPr="00272723" w:rsidRDefault="00272723" w:rsidP="00272723">
      <w:pPr>
        <w:spacing w:line="360" w:lineRule="auto"/>
        <w:jc w:val="both"/>
        <w:rPr>
          <w:rFonts w:ascii="Arial" w:hAnsi="Arial" w:cs="Arial"/>
        </w:rPr>
      </w:pPr>
      <w:r w:rsidRPr="00272723">
        <w:rPr>
          <w:rFonts w:ascii="Arial" w:hAnsi="Arial" w:cs="Arial"/>
        </w:rPr>
        <w:t xml:space="preserve">Yang, L., Holtz, D., Jaffe, S., Suri, S., Sinha, S., Weston, J., Joyce, C., Shah, N., Sherman, K., Hecht, B. and Teevan, J. (2022) ‘The effects of remote work on collaboration among information workers’, Nature Human </w:t>
      </w:r>
      <w:proofErr w:type="spellStart"/>
      <w:r w:rsidRPr="00272723">
        <w:rPr>
          <w:rFonts w:ascii="Arial" w:hAnsi="Arial" w:cs="Arial"/>
        </w:rPr>
        <w:t>Behaviour</w:t>
      </w:r>
      <w:proofErr w:type="spellEnd"/>
      <w:r w:rsidRPr="00272723">
        <w:rPr>
          <w:rFonts w:ascii="Arial" w:hAnsi="Arial" w:cs="Arial"/>
        </w:rPr>
        <w:t xml:space="preserve">, 6, pp. 43–54. Available at: </w:t>
      </w:r>
      <w:hyperlink r:id="rId26" w:history="1">
        <w:r w:rsidRPr="00272723">
          <w:rPr>
            <w:rStyle w:val="Hyperlink"/>
            <w:rFonts w:ascii="Arial" w:hAnsi="Arial" w:cs="Arial"/>
          </w:rPr>
          <w:t>https://doi.org/10.1038/s41562-021-01196-4</w:t>
        </w:r>
      </w:hyperlink>
    </w:p>
    <w:p w14:paraId="3B34FD41" w14:textId="77777777" w:rsidR="00272723" w:rsidRPr="00272723" w:rsidRDefault="00272723" w:rsidP="00272723">
      <w:pPr>
        <w:spacing w:line="360" w:lineRule="auto"/>
        <w:jc w:val="both"/>
        <w:rPr>
          <w:rFonts w:ascii="Arial" w:hAnsi="Arial" w:cs="Arial"/>
        </w:rPr>
      </w:pPr>
    </w:p>
    <w:sectPr w:rsidR="00272723" w:rsidRPr="00272723">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3CCEE" w14:textId="77777777" w:rsidR="00DB177A" w:rsidRDefault="00DB177A" w:rsidP="00272723">
      <w:pPr>
        <w:spacing w:after="0" w:line="240" w:lineRule="auto"/>
      </w:pPr>
      <w:r>
        <w:separator/>
      </w:r>
    </w:p>
  </w:endnote>
  <w:endnote w:type="continuationSeparator" w:id="0">
    <w:p w14:paraId="169962C3" w14:textId="77777777" w:rsidR="00DB177A" w:rsidRDefault="00DB177A" w:rsidP="00272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8875129"/>
      <w:docPartObj>
        <w:docPartGallery w:val="Page Numbers (Bottom of Page)"/>
        <w:docPartUnique/>
      </w:docPartObj>
    </w:sdtPr>
    <w:sdtEndPr>
      <w:rPr>
        <w:color w:val="7F7F7F" w:themeColor="background1" w:themeShade="7F"/>
        <w:spacing w:val="60"/>
      </w:rPr>
    </w:sdtEndPr>
    <w:sdtContent>
      <w:p w14:paraId="645E8EDD" w14:textId="60B5E49C" w:rsidR="00272723" w:rsidRDefault="0027272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79F5C4" w14:textId="77777777" w:rsidR="00272723" w:rsidRDefault="00272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4AABE8" w14:textId="77777777" w:rsidR="00DB177A" w:rsidRDefault="00DB177A" w:rsidP="00272723">
      <w:pPr>
        <w:spacing w:after="0" w:line="240" w:lineRule="auto"/>
      </w:pPr>
      <w:r>
        <w:separator/>
      </w:r>
    </w:p>
  </w:footnote>
  <w:footnote w:type="continuationSeparator" w:id="0">
    <w:p w14:paraId="3C0170CE" w14:textId="77777777" w:rsidR="00DB177A" w:rsidRDefault="00DB177A" w:rsidP="00272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8AFBB" w14:textId="31577928" w:rsidR="00272723" w:rsidRPr="00272723" w:rsidRDefault="00272723" w:rsidP="00272723">
    <w:pPr>
      <w:pStyle w:val="Header"/>
    </w:pPr>
    <w:r>
      <w:rPr>
        <w:noProof/>
      </w:rPr>
      <w:drawing>
        <wp:anchor distT="0" distB="0" distL="114300" distR="114300" simplePos="0" relativeHeight="251658240" behindDoc="0" locked="0" layoutInCell="1" allowOverlap="1" wp14:anchorId="3DBA2405" wp14:editId="2A8278EA">
          <wp:simplePos x="0" y="0"/>
          <wp:positionH relativeFrom="page">
            <wp:align>right</wp:align>
          </wp:positionH>
          <wp:positionV relativeFrom="paragraph">
            <wp:posOffset>-710726</wp:posOffset>
          </wp:positionV>
          <wp:extent cx="2455375" cy="1309824"/>
          <wp:effectExtent l="0" t="0" r="2540" b="5080"/>
          <wp:wrapNone/>
          <wp:docPr id="843377287" name="Picture 3"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niversity of Wales Trinity Saint David launches new digital healthcare  course - Digital Health and Care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55375" cy="1309824"/>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E75"/>
    <w:rsid w:val="001150F4"/>
    <w:rsid w:val="00272723"/>
    <w:rsid w:val="005027FA"/>
    <w:rsid w:val="0070012D"/>
    <w:rsid w:val="0072053B"/>
    <w:rsid w:val="007A7915"/>
    <w:rsid w:val="007D4B72"/>
    <w:rsid w:val="008608DE"/>
    <w:rsid w:val="008629E4"/>
    <w:rsid w:val="00AF0A44"/>
    <w:rsid w:val="00D96E75"/>
    <w:rsid w:val="00DB17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B0532"/>
  <w15:chartTrackingRefBased/>
  <w15:docId w15:val="{7CCA86DE-4C19-4966-8E74-DD3C01386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0F4"/>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1150F4"/>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7A7915"/>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D96E7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96E7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96E7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6E7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6E7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6E7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0F4"/>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1150F4"/>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7A7915"/>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D96E7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96E7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96E7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96E7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96E7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96E7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96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6E7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6E7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96E75"/>
    <w:pPr>
      <w:spacing w:before="160"/>
      <w:jc w:val="center"/>
    </w:pPr>
    <w:rPr>
      <w:i/>
      <w:iCs/>
      <w:color w:val="404040" w:themeColor="text1" w:themeTint="BF"/>
    </w:rPr>
  </w:style>
  <w:style w:type="character" w:customStyle="1" w:styleId="QuoteChar">
    <w:name w:val="Quote Char"/>
    <w:basedOn w:val="DefaultParagraphFont"/>
    <w:link w:val="Quote"/>
    <w:uiPriority w:val="29"/>
    <w:rsid w:val="00D96E75"/>
    <w:rPr>
      <w:i/>
      <w:iCs/>
      <w:color w:val="404040" w:themeColor="text1" w:themeTint="BF"/>
    </w:rPr>
  </w:style>
  <w:style w:type="paragraph" w:styleId="ListParagraph">
    <w:name w:val="List Paragraph"/>
    <w:basedOn w:val="Normal"/>
    <w:uiPriority w:val="34"/>
    <w:qFormat/>
    <w:rsid w:val="00D96E75"/>
    <w:pPr>
      <w:ind w:left="720"/>
      <w:contextualSpacing/>
    </w:pPr>
  </w:style>
  <w:style w:type="character" w:styleId="IntenseEmphasis">
    <w:name w:val="Intense Emphasis"/>
    <w:basedOn w:val="DefaultParagraphFont"/>
    <w:uiPriority w:val="21"/>
    <w:qFormat/>
    <w:rsid w:val="00D96E75"/>
    <w:rPr>
      <w:i/>
      <w:iCs/>
      <w:color w:val="0F4761" w:themeColor="accent1" w:themeShade="BF"/>
    </w:rPr>
  </w:style>
  <w:style w:type="paragraph" w:styleId="IntenseQuote">
    <w:name w:val="Intense Quote"/>
    <w:basedOn w:val="Normal"/>
    <w:next w:val="Normal"/>
    <w:link w:val="IntenseQuoteChar"/>
    <w:uiPriority w:val="30"/>
    <w:qFormat/>
    <w:rsid w:val="00D96E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6E75"/>
    <w:rPr>
      <w:i/>
      <w:iCs/>
      <w:color w:val="0F4761" w:themeColor="accent1" w:themeShade="BF"/>
    </w:rPr>
  </w:style>
  <w:style w:type="character" w:styleId="IntenseReference">
    <w:name w:val="Intense Reference"/>
    <w:basedOn w:val="DefaultParagraphFont"/>
    <w:uiPriority w:val="32"/>
    <w:qFormat/>
    <w:rsid w:val="00D96E75"/>
    <w:rPr>
      <w:b/>
      <w:bCs/>
      <w:smallCaps/>
      <w:color w:val="0F4761" w:themeColor="accent1" w:themeShade="BF"/>
      <w:spacing w:val="5"/>
    </w:rPr>
  </w:style>
  <w:style w:type="character" w:styleId="Hyperlink">
    <w:name w:val="Hyperlink"/>
    <w:basedOn w:val="DefaultParagraphFont"/>
    <w:uiPriority w:val="99"/>
    <w:unhideWhenUsed/>
    <w:rsid w:val="00272723"/>
    <w:rPr>
      <w:color w:val="467886" w:themeColor="hyperlink"/>
      <w:u w:val="single"/>
    </w:rPr>
  </w:style>
  <w:style w:type="character" w:styleId="UnresolvedMention">
    <w:name w:val="Unresolved Mention"/>
    <w:basedOn w:val="DefaultParagraphFont"/>
    <w:uiPriority w:val="99"/>
    <w:semiHidden/>
    <w:unhideWhenUsed/>
    <w:rsid w:val="00272723"/>
    <w:rPr>
      <w:color w:val="605E5C"/>
      <w:shd w:val="clear" w:color="auto" w:fill="E1DFDD"/>
    </w:rPr>
  </w:style>
  <w:style w:type="paragraph" w:styleId="TOCHeading">
    <w:name w:val="TOC Heading"/>
    <w:basedOn w:val="Heading1"/>
    <w:next w:val="Normal"/>
    <w:uiPriority w:val="39"/>
    <w:unhideWhenUsed/>
    <w:qFormat/>
    <w:rsid w:val="00272723"/>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272723"/>
    <w:pPr>
      <w:spacing w:after="100"/>
    </w:pPr>
  </w:style>
  <w:style w:type="paragraph" w:styleId="TOC2">
    <w:name w:val="toc 2"/>
    <w:basedOn w:val="Normal"/>
    <w:next w:val="Normal"/>
    <w:autoRedefine/>
    <w:uiPriority w:val="39"/>
    <w:unhideWhenUsed/>
    <w:rsid w:val="00272723"/>
    <w:pPr>
      <w:spacing w:after="100"/>
      <w:ind w:left="240"/>
    </w:pPr>
  </w:style>
  <w:style w:type="paragraph" w:styleId="Header">
    <w:name w:val="header"/>
    <w:basedOn w:val="Normal"/>
    <w:link w:val="HeaderChar"/>
    <w:uiPriority w:val="99"/>
    <w:unhideWhenUsed/>
    <w:rsid w:val="002727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2723"/>
  </w:style>
  <w:style w:type="paragraph" w:styleId="Footer">
    <w:name w:val="footer"/>
    <w:basedOn w:val="Normal"/>
    <w:link w:val="FooterChar"/>
    <w:uiPriority w:val="99"/>
    <w:unhideWhenUsed/>
    <w:rsid w:val="002727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2723"/>
  </w:style>
  <w:style w:type="paragraph" w:styleId="TOC3">
    <w:name w:val="toc 3"/>
    <w:basedOn w:val="Normal"/>
    <w:next w:val="Normal"/>
    <w:autoRedefine/>
    <w:uiPriority w:val="39"/>
    <w:unhideWhenUsed/>
    <w:rsid w:val="0070012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9101700108" TargetMode="External"/><Relationship Id="rId13" Type="http://schemas.openxmlformats.org/officeDocument/2006/relationships/hyperlink" Target="https://www.cipd.org/en/knowledge/reports/flexible-hybrid-working/" TargetMode="External"/><Relationship Id="rId18" Type="http://schemas.openxmlformats.org/officeDocument/2006/relationships/hyperlink" Target="https://www.bruegel.org/policy-brief/blending-physical-and-virtual-hybrid-model-future-work" TargetMode="External"/><Relationship Id="rId26" Type="http://schemas.openxmlformats.org/officeDocument/2006/relationships/hyperlink" Target="https://doi.org/10.1038/s41562-021-01196-4" TargetMode="External"/><Relationship Id="rId3" Type="http://schemas.openxmlformats.org/officeDocument/2006/relationships/webSettings" Target="webSettings.xml"/><Relationship Id="rId21" Type="http://schemas.openxmlformats.org/officeDocument/2006/relationships/hyperlink" Target="https://doi.org/10.2478/subboec-2024-0011" TargetMode="External"/><Relationship Id="rId7" Type="http://schemas.openxmlformats.org/officeDocument/2006/relationships/image" Target="media/image2.png"/><Relationship Id="rId12" Type="http://schemas.openxmlformats.org/officeDocument/2006/relationships/hyperlink" Target="https://doi.org/10.1146/annurev-orgpsych-031413-091314" TargetMode="External"/><Relationship Id="rId17" Type="http://schemas.openxmlformats.org/officeDocument/2006/relationships/hyperlink" Target="https://doi.org/10.2307/2666999" TargetMode="External"/><Relationship Id="rId25" Type="http://schemas.openxmlformats.org/officeDocument/2006/relationships/hyperlink" Target="https://doi.org/10.5465/amr.2001.4378011" TargetMode="External"/><Relationship Id="rId2" Type="http://schemas.openxmlformats.org/officeDocument/2006/relationships/settings" Target="settings.xml"/><Relationship Id="rId16" Type="http://schemas.openxmlformats.org/officeDocument/2006/relationships/hyperlink" Target="https://doi.org/10.1016/j.hrmr.2009.04.001" TargetMode="External"/><Relationship Id="rId20" Type="http://schemas.openxmlformats.org/officeDocument/2006/relationships/hyperlink" Target="https://doi.org/10.5465/amj.2011.0088"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77/0950017013512714" TargetMode="External"/><Relationship Id="rId24" Type="http://schemas.openxmlformats.org/officeDocument/2006/relationships/hyperlink" Target="https://doi.org/10.1016/j.jvb.2011.05.009" TargetMode="External"/><Relationship Id="rId5" Type="http://schemas.openxmlformats.org/officeDocument/2006/relationships/endnotes" Target="endnotes.xml"/><Relationship Id="rId15" Type="http://schemas.openxmlformats.org/officeDocument/2006/relationships/hyperlink" Target="https://doi.org/10.1016/j.hrmr.2022.100899" TargetMode="External"/><Relationship Id="rId23" Type="http://schemas.openxmlformats.org/officeDocument/2006/relationships/hyperlink" Target="https://doi.org/10.1177/0008125619867910" TargetMode="External"/><Relationship Id="rId28" Type="http://schemas.openxmlformats.org/officeDocument/2006/relationships/footer" Target="footer1.xml"/><Relationship Id="rId10" Type="http://schemas.openxmlformats.org/officeDocument/2006/relationships/hyperlink" Target="https://doi.org/10.1038/s41586-024-07500-2" TargetMode="External"/><Relationship Id="rId19" Type="http://schemas.openxmlformats.org/officeDocument/2006/relationships/hyperlink" Target="https://doi.org/10.1016/0030-5073(76)90016-7" TargetMode="External"/><Relationship Id="rId4" Type="http://schemas.openxmlformats.org/officeDocument/2006/relationships/footnotes" Target="footnotes.xml"/><Relationship Id="rId9" Type="http://schemas.openxmlformats.org/officeDocument/2006/relationships/hyperlink" Target="https://doi.org/10.1007/s10676-021-09619-6" TargetMode="External"/><Relationship Id="rId14" Type="http://schemas.openxmlformats.org/officeDocument/2006/relationships/hyperlink" Target="https://www.cipd.org/en/the-people-profession/the-profession-map/explore-the-profession-map/" TargetMode="External"/><Relationship Id="rId22" Type="http://schemas.openxmlformats.org/officeDocument/2006/relationships/hyperlink" Target="https://doi.org/10.1037/0003-066X.55.1.68"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15</Pages>
  <Words>4489</Words>
  <Characters>25593</Characters>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2026-10-14T23:33:00Z</dcterms:created>
  <dcterms:modified xsi:type="dcterms:W3CDTF">2026-10-15T00:15:00Z</dcterms:modified>
</cp:coreProperties>
</file>