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9ECAB" w14:textId="77777777" w:rsidR="00B00095" w:rsidRDefault="00000000">
      <w:pPr>
        <w:spacing w:after="680"/>
        <w:jc w:val="center"/>
      </w:pPr>
      <w:r>
        <w:rPr>
          <w:noProof/>
        </w:rPr>
        <w:drawing>
          <wp:inline distT="0" distB="0" distL="0" distR="0" wp14:anchorId="4CF551A7" wp14:editId="7A4A4290">
            <wp:extent cx="2057400" cy="822960"/>
            <wp:effectExtent l="0" t="0" r="0" b="0"/>
            <wp:docPr id="1" name="Picture 1" descr="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2057400" cy="822960"/>
                    </a:xfrm>
                    <a:prstGeom prst="rect">
                      <a:avLst/>
                    </a:prstGeom>
                  </pic:spPr>
                </pic:pic>
              </a:graphicData>
            </a:graphic>
          </wp:inline>
        </w:drawing>
      </w:r>
    </w:p>
    <w:p w14:paraId="3CC954FB" w14:textId="77777777" w:rsidR="00B00095" w:rsidRPr="00FB7A07" w:rsidRDefault="00000000">
      <w:pPr>
        <w:spacing w:after="160"/>
        <w:jc w:val="center"/>
        <w:rPr>
          <w:rFonts w:cs="Calibri"/>
        </w:rPr>
      </w:pPr>
      <w:r w:rsidRPr="00FB7A07">
        <w:rPr>
          <w:rFonts w:cs="Calibri"/>
          <w:b/>
          <w:color w:val="B5121B"/>
          <w:sz w:val="22"/>
        </w:rPr>
        <w:t>MASTER OF BUSINESS ADMINISTRATION</w:t>
      </w:r>
    </w:p>
    <w:p w14:paraId="12CDFA80" w14:textId="77777777" w:rsidR="00B00095" w:rsidRPr="00FB7A07" w:rsidRDefault="00000000">
      <w:pPr>
        <w:spacing w:after="240" w:line="252" w:lineRule="auto"/>
        <w:jc w:val="center"/>
        <w:rPr>
          <w:rFonts w:cs="Calibri"/>
        </w:rPr>
      </w:pPr>
      <w:r w:rsidRPr="00FB7A07">
        <w:rPr>
          <w:rFonts w:cs="Calibri"/>
          <w:b/>
          <w:sz w:val="50"/>
        </w:rPr>
        <w:t>International Market Entry Strategy and</w:t>
      </w:r>
      <w:r w:rsidRPr="00FB7A07">
        <w:rPr>
          <w:rFonts w:cs="Calibri"/>
          <w:b/>
          <w:sz w:val="50"/>
        </w:rPr>
        <w:br/>
        <w:t>Marketing Mix</w:t>
      </w:r>
    </w:p>
    <w:p w14:paraId="030FC7C3" w14:textId="77777777" w:rsidR="00B00095" w:rsidRPr="00FB7A07" w:rsidRDefault="00000000">
      <w:pPr>
        <w:pBdr>
          <w:bottom w:val="single" w:sz="10" w:space="8" w:color="B5121B"/>
        </w:pBdr>
        <w:spacing w:after="440"/>
        <w:jc w:val="center"/>
        <w:rPr>
          <w:rFonts w:cs="Calibri"/>
        </w:rPr>
      </w:pPr>
      <w:r w:rsidRPr="00FB7A07">
        <w:rPr>
          <w:rFonts w:cs="Calibri"/>
          <w:b/>
          <w:color w:val="B5121B"/>
          <w:sz w:val="34"/>
        </w:rPr>
        <w:t>Toyota in Japan and the United Kingdom</w:t>
      </w:r>
    </w:p>
    <w:tbl>
      <w:tblPr>
        <w:tblW w:w="7800" w:type="dxa"/>
        <w:jc w:val="center"/>
        <w:tblLayout w:type="fixed"/>
        <w:tblLook w:val="04A0" w:firstRow="1" w:lastRow="0" w:firstColumn="1" w:lastColumn="0" w:noHBand="0" w:noVBand="1"/>
      </w:tblPr>
      <w:tblGrid>
        <w:gridCol w:w="2200"/>
        <w:gridCol w:w="5600"/>
      </w:tblGrid>
      <w:tr w:rsidR="00B00095" w:rsidRPr="00FB7A07" w14:paraId="1FD7DC05" w14:textId="77777777">
        <w:trPr>
          <w:tblHeader/>
          <w:jc w:val="center"/>
        </w:trPr>
        <w:tc>
          <w:tcPr>
            <w:tcW w:w="2200" w:type="dxa"/>
            <w:shd w:val="clear" w:color="auto" w:fill="B5121B"/>
            <w:tcMar>
              <w:top w:w="90" w:type="dxa"/>
              <w:left w:w="120" w:type="dxa"/>
              <w:bottom w:w="90" w:type="dxa"/>
              <w:right w:w="120" w:type="dxa"/>
            </w:tcMar>
          </w:tcPr>
          <w:p w14:paraId="0F6F2D5A" w14:textId="77777777" w:rsidR="00B00095" w:rsidRPr="00FB7A07" w:rsidRDefault="00000000">
            <w:pPr>
              <w:spacing w:after="0" w:line="240" w:lineRule="auto"/>
              <w:rPr>
                <w:rFonts w:asciiTheme="majorHAnsi" w:hAnsiTheme="majorHAnsi" w:cstheme="majorHAnsi"/>
                <w:szCs w:val="24"/>
              </w:rPr>
            </w:pPr>
            <w:r w:rsidRPr="00FB7A07">
              <w:rPr>
                <w:rFonts w:asciiTheme="majorHAnsi" w:hAnsiTheme="majorHAnsi" w:cstheme="majorHAnsi"/>
                <w:b/>
                <w:color w:val="FFFFFF"/>
                <w:szCs w:val="24"/>
              </w:rPr>
              <w:t>Submission detail</w:t>
            </w:r>
          </w:p>
        </w:tc>
        <w:tc>
          <w:tcPr>
            <w:tcW w:w="5600" w:type="dxa"/>
            <w:shd w:val="clear" w:color="auto" w:fill="B5121B"/>
            <w:tcMar>
              <w:top w:w="90" w:type="dxa"/>
              <w:left w:w="120" w:type="dxa"/>
              <w:bottom w:w="90" w:type="dxa"/>
              <w:right w:w="120" w:type="dxa"/>
            </w:tcMar>
          </w:tcPr>
          <w:p w14:paraId="372BA14D" w14:textId="77777777" w:rsidR="00B00095" w:rsidRPr="00FB7A07" w:rsidRDefault="00000000">
            <w:pPr>
              <w:spacing w:after="0" w:line="240" w:lineRule="auto"/>
              <w:rPr>
                <w:rFonts w:asciiTheme="majorHAnsi" w:hAnsiTheme="majorHAnsi" w:cstheme="majorHAnsi"/>
                <w:szCs w:val="24"/>
              </w:rPr>
            </w:pPr>
            <w:r w:rsidRPr="00FB7A07">
              <w:rPr>
                <w:rFonts w:asciiTheme="majorHAnsi" w:hAnsiTheme="majorHAnsi" w:cstheme="majorHAnsi"/>
                <w:b/>
                <w:color w:val="FFFFFF"/>
                <w:szCs w:val="24"/>
              </w:rPr>
              <w:t>Information</w:t>
            </w:r>
          </w:p>
        </w:tc>
      </w:tr>
      <w:tr w:rsidR="00B00095" w:rsidRPr="00FB7A07" w14:paraId="556312AF" w14:textId="77777777">
        <w:trPr>
          <w:jc w:val="center"/>
        </w:trPr>
        <w:tc>
          <w:tcPr>
            <w:tcW w:w="2200" w:type="dxa"/>
            <w:shd w:val="clear" w:color="auto" w:fill="F2F4F7"/>
            <w:tcMar>
              <w:top w:w="95" w:type="dxa"/>
              <w:left w:w="120" w:type="dxa"/>
              <w:bottom w:w="95" w:type="dxa"/>
              <w:right w:w="120" w:type="dxa"/>
            </w:tcMar>
            <w:vAlign w:val="center"/>
          </w:tcPr>
          <w:p w14:paraId="37206583" w14:textId="77777777" w:rsidR="00B00095" w:rsidRPr="00FB7A07" w:rsidRDefault="00000000">
            <w:pPr>
              <w:spacing w:after="0" w:line="276" w:lineRule="auto"/>
              <w:rPr>
                <w:rFonts w:asciiTheme="majorHAnsi" w:hAnsiTheme="majorHAnsi" w:cstheme="majorHAnsi"/>
                <w:szCs w:val="24"/>
              </w:rPr>
            </w:pPr>
            <w:r w:rsidRPr="00FB7A07">
              <w:rPr>
                <w:rFonts w:asciiTheme="majorHAnsi" w:hAnsiTheme="majorHAnsi" w:cstheme="majorHAnsi"/>
                <w:b/>
                <w:szCs w:val="24"/>
              </w:rPr>
              <w:t>Module</w:t>
            </w:r>
          </w:p>
        </w:tc>
        <w:tc>
          <w:tcPr>
            <w:tcW w:w="5600" w:type="dxa"/>
            <w:tcMar>
              <w:top w:w="95" w:type="dxa"/>
              <w:left w:w="120" w:type="dxa"/>
              <w:bottom w:w="95" w:type="dxa"/>
              <w:right w:w="120" w:type="dxa"/>
            </w:tcMar>
            <w:vAlign w:val="center"/>
          </w:tcPr>
          <w:p w14:paraId="70E3272E" w14:textId="77777777" w:rsidR="00B00095" w:rsidRPr="00FB7A07" w:rsidRDefault="00000000">
            <w:pPr>
              <w:spacing w:after="0" w:line="276" w:lineRule="auto"/>
              <w:rPr>
                <w:rFonts w:asciiTheme="majorHAnsi" w:hAnsiTheme="majorHAnsi" w:cstheme="majorHAnsi"/>
                <w:szCs w:val="24"/>
              </w:rPr>
            </w:pPr>
            <w:r w:rsidRPr="00FB7A07">
              <w:rPr>
                <w:rFonts w:asciiTheme="majorHAnsi" w:hAnsiTheme="majorHAnsi" w:cstheme="majorHAnsi"/>
                <w:szCs w:val="24"/>
              </w:rPr>
              <w:t>International Marketing: Principles and Practices</w:t>
            </w:r>
          </w:p>
        </w:tc>
      </w:tr>
      <w:tr w:rsidR="00B00095" w:rsidRPr="00FB7A07" w14:paraId="7570F2AB" w14:textId="77777777">
        <w:trPr>
          <w:jc w:val="center"/>
        </w:trPr>
        <w:tc>
          <w:tcPr>
            <w:tcW w:w="2200" w:type="dxa"/>
            <w:shd w:val="clear" w:color="auto" w:fill="F2F4F7"/>
            <w:tcMar>
              <w:top w:w="95" w:type="dxa"/>
              <w:left w:w="120" w:type="dxa"/>
              <w:bottom w:w="95" w:type="dxa"/>
              <w:right w:w="120" w:type="dxa"/>
            </w:tcMar>
            <w:vAlign w:val="center"/>
          </w:tcPr>
          <w:p w14:paraId="54D0B0E5" w14:textId="77777777" w:rsidR="00B00095" w:rsidRPr="00FB7A07" w:rsidRDefault="00000000">
            <w:pPr>
              <w:spacing w:after="0" w:line="276" w:lineRule="auto"/>
              <w:rPr>
                <w:rFonts w:asciiTheme="majorHAnsi" w:hAnsiTheme="majorHAnsi" w:cstheme="majorHAnsi"/>
                <w:szCs w:val="24"/>
              </w:rPr>
            </w:pPr>
            <w:r w:rsidRPr="00FB7A07">
              <w:rPr>
                <w:rFonts w:asciiTheme="majorHAnsi" w:hAnsiTheme="majorHAnsi" w:cstheme="majorHAnsi"/>
                <w:b/>
                <w:szCs w:val="24"/>
              </w:rPr>
              <w:t>Module code</w:t>
            </w:r>
          </w:p>
        </w:tc>
        <w:tc>
          <w:tcPr>
            <w:tcW w:w="5600" w:type="dxa"/>
            <w:tcMar>
              <w:top w:w="95" w:type="dxa"/>
              <w:left w:w="120" w:type="dxa"/>
              <w:bottom w:w="95" w:type="dxa"/>
              <w:right w:w="120" w:type="dxa"/>
            </w:tcMar>
            <w:vAlign w:val="center"/>
          </w:tcPr>
          <w:p w14:paraId="651F1B8E" w14:textId="77777777" w:rsidR="00B00095" w:rsidRPr="00FB7A07" w:rsidRDefault="00000000">
            <w:pPr>
              <w:spacing w:after="0" w:line="276" w:lineRule="auto"/>
              <w:rPr>
                <w:rFonts w:asciiTheme="majorHAnsi" w:hAnsiTheme="majorHAnsi" w:cstheme="majorHAnsi"/>
                <w:szCs w:val="24"/>
              </w:rPr>
            </w:pPr>
            <w:r w:rsidRPr="00FB7A07">
              <w:rPr>
                <w:rFonts w:asciiTheme="majorHAnsi" w:hAnsiTheme="majorHAnsi" w:cstheme="majorHAnsi"/>
                <w:szCs w:val="24"/>
              </w:rPr>
              <w:t>LCMB7026</w:t>
            </w:r>
          </w:p>
        </w:tc>
      </w:tr>
      <w:tr w:rsidR="00B00095" w:rsidRPr="00FB7A07" w14:paraId="05FF7BD1" w14:textId="77777777">
        <w:trPr>
          <w:jc w:val="center"/>
        </w:trPr>
        <w:tc>
          <w:tcPr>
            <w:tcW w:w="2200" w:type="dxa"/>
            <w:shd w:val="clear" w:color="auto" w:fill="F2F4F7"/>
            <w:tcMar>
              <w:top w:w="95" w:type="dxa"/>
              <w:left w:w="120" w:type="dxa"/>
              <w:bottom w:w="95" w:type="dxa"/>
              <w:right w:w="120" w:type="dxa"/>
            </w:tcMar>
            <w:vAlign w:val="center"/>
          </w:tcPr>
          <w:p w14:paraId="091A9365" w14:textId="77777777" w:rsidR="00B00095" w:rsidRPr="00FB7A07" w:rsidRDefault="00000000">
            <w:pPr>
              <w:spacing w:after="0" w:line="276" w:lineRule="auto"/>
              <w:rPr>
                <w:rFonts w:asciiTheme="majorHAnsi" w:hAnsiTheme="majorHAnsi" w:cstheme="majorHAnsi"/>
                <w:szCs w:val="24"/>
              </w:rPr>
            </w:pPr>
            <w:r w:rsidRPr="00FB7A07">
              <w:rPr>
                <w:rFonts w:asciiTheme="majorHAnsi" w:hAnsiTheme="majorHAnsi" w:cstheme="majorHAnsi"/>
                <w:b/>
                <w:szCs w:val="24"/>
              </w:rPr>
              <w:t>Lecturer</w:t>
            </w:r>
          </w:p>
        </w:tc>
        <w:tc>
          <w:tcPr>
            <w:tcW w:w="5600" w:type="dxa"/>
            <w:tcMar>
              <w:top w:w="95" w:type="dxa"/>
              <w:left w:w="120" w:type="dxa"/>
              <w:bottom w:w="95" w:type="dxa"/>
              <w:right w:w="120" w:type="dxa"/>
            </w:tcMar>
            <w:vAlign w:val="center"/>
          </w:tcPr>
          <w:p w14:paraId="5B95342D" w14:textId="53392ACB" w:rsidR="00B00095" w:rsidRPr="00FB7A07" w:rsidRDefault="00DC69ED">
            <w:pPr>
              <w:spacing w:after="0" w:line="276" w:lineRule="auto"/>
              <w:rPr>
                <w:rFonts w:asciiTheme="majorHAnsi" w:hAnsiTheme="majorHAnsi" w:cstheme="majorHAnsi"/>
                <w:szCs w:val="24"/>
              </w:rPr>
            </w:pPr>
            <w:r>
              <w:rPr>
                <w:rFonts w:asciiTheme="majorHAnsi" w:hAnsiTheme="majorHAnsi" w:cstheme="majorHAnsi"/>
                <w:szCs w:val="24"/>
              </w:rPr>
              <w:t>Aso Abdullah</w:t>
            </w:r>
            <w:r w:rsidR="00000000" w:rsidRPr="00FB7A07">
              <w:rPr>
                <w:rFonts w:asciiTheme="majorHAnsi" w:hAnsiTheme="majorHAnsi" w:cstheme="majorHAnsi"/>
                <w:szCs w:val="24"/>
              </w:rPr>
              <w:t xml:space="preserve"> / Dian </w:t>
            </w:r>
            <w:proofErr w:type="spellStart"/>
            <w:r w:rsidR="00000000" w:rsidRPr="00FB7A07">
              <w:rPr>
                <w:rFonts w:asciiTheme="majorHAnsi" w:hAnsiTheme="majorHAnsi" w:cstheme="majorHAnsi"/>
                <w:szCs w:val="24"/>
              </w:rPr>
              <w:t>Mayasari</w:t>
            </w:r>
            <w:proofErr w:type="spellEnd"/>
          </w:p>
        </w:tc>
      </w:tr>
      <w:tr w:rsidR="006D038C" w:rsidRPr="00FB7A07" w14:paraId="18429787" w14:textId="77777777" w:rsidTr="009A4DA5">
        <w:trPr>
          <w:jc w:val="center"/>
        </w:trPr>
        <w:tc>
          <w:tcPr>
            <w:tcW w:w="2200" w:type="dxa"/>
            <w:shd w:val="clear" w:color="auto" w:fill="F2F4F7"/>
            <w:tcMar>
              <w:top w:w="95" w:type="dxa"/>
              <w:left w:w="120" w:type="dxa"/>
              <w:bottom w:w="95" w:type="dxa"/>
              <w:right w:w="120" w:type="dxa"/>
            </w:tcMar>
            <w:vAlign w:val="center"/>
          </w:tcPr>
          <w:p w14:paraId="353DAFC2" w14:textId="77777777" w:rsidR="006D038C" w:rsidRPr="00FB7A07" w:rsidRDefault="006D038C" w:rsidP="006D038C">
            <w:pPr>
              <w:spacing w:after="0" w:line="276" w:lineRule="auto"/>
              <w:rPr>
                <w:rFonts w:asciiTheme="majorHAnsi" w:hAnsiTheme="majorHAnsi" w:cstheme="majorHAnsi"/>
                <w:szCs w:val="24"/>
              </w:rPr>
            </w:pPr>
            <w:r w:rsidRPr="00FB7A07">
              <w:rPr>
                <w:rFonts w:asciiTheme="majorHAnsi" w:hAnsiTheme="majorHAnsi" w:cstheme="majorHAnsi"/>
                <w:b/>
                <w:szCs w:val="24"/>
              </w:rPr>
              <w:t>Student name</w:t>
            </w:r>
          </w:p>
        </w:tc>
        <w:tc>
          <w:tcPr>
            <w:tcW w:w="5600" w:type="dxa"/>
            <w:tcMar>
              <w:top w:w="95" w:type="dxa"/>
              <w:left w:w="120" w:type="dxa"/>
              <w:bottom w:w="95" w:type="dxa"/>
              <w:right w:w="120" w:type="dxa"/>
            </w:tcMar>
          </w:tcPr>
          <w:p w14:paraId="1A8C6D1C" w14:textId="4E4BFE5F" w:rsidR="006D038C" w:rsidRPr="00FB7A07" w:rsidRDefault="006D038C" w:rsidP="006D038C">
            <w:pPr>
              <w:spacing w:after="0" w:line="276" w:lineRule="auto"/>
              <w:rPr>
                <w:rFonts w:asciiTheme="majorHAnsi" w:hAnsiTheme="majorHAnsi" w:cstheme="majorHAnsi"/>
                <w:szCs w:val="24"/>
              </w:rPr>
            </w:pPr>
            <w:r>
              <w:rPr>
                <w:sz w:val="23"/>
              </w:rPr>
              <w:t>Joy Deb</w:t>
            </w:r>
          </w:p>
        </w:tc>
      </w:tr>
      <w:tr w:rsidR="006D038C" w:rsidRPr="00FB7A07" w14:paraId="34356829" w14:textId="77777777" w:rsidTr="009A4DA5">
        <w:trPr>
          <w:jc w:val="center"/>
        </w:trPr>
        <w:tc>
          <w:tcPr>
            <w:tcW w:w="2200" w:type="dxa"/>
            <w:shd w:val="clear" w:color="auto" w:fill="F2F4F7"/>
            <w:tcMar>
              <w:top w:w="95" w:type="dxa"/>
              <w:left w:w="120" w:type="dxa"/>
              <w:bottom w:w="95" w:type="dxa"/>
              <w:right w:w="120" w:type="dxa"/>
            </w:tcMar>
            <w:vAlign w:val="center"/>
          </w:tcPr>
          <w:p w14:paraId="4DBBCD0A" w14:textId="77777777" w:rsidR="006D038C" w:rsidRPr="00FB7A07" w:rsidRDefault="006D038C" w:rsidP="006D038C">
            <w:pPr>
              <w:spacing w:after="0" w:line="276" w:lineRule="auto"/>
              <w:rPr>
                <w:rFonts w:asciiTheme="majorHAnsi" w:hAnsiTheme="majorHAnsi" w:cstheme="majorHAnsi"/>
                <w:szCs w:val="24"/>
              </w:rPr>
            </w:pPr>
            <w:r w:rsidRPr="00FB7A07">
              <w:rPr>
                <w:rFonts w:asciiTheme="majorHAnsi" w:hAnsiTheme="majorHAnsi" w:cstheme="majorHAnsi"/>
                <w:b/>
                <w:szCs w:val="24"/>
              </w:rPr>
              <w:t>Student ID</w:t>
            </w:r>
          </w:p>
        </w:tc>
        <w:tc>
          <w:tcPr>
            <w:tcW w:w="5600" w:type="dxa"/>
            <w:tcMar>
              <w:top w:w="95" w:type="dxa"/>
              <w:left w:w="120" w:type="dxa"/>
              <w:bottom w:w="95" w:type="dxa"/>
              <w:right w:w="120" w:type="dxa"/>
            </w:tcMar>
          </w:tcPr>
          <w:p w14:paraId="38B5DEE9" w14:textId="0E9C836C" w:rsidR="006D038C" w:rsidRPr="00FB7A07" w:rsidRDefault="006D038C" w:rsidP="006D038C">
            <w:pPr>
              <w:spacing w:after="0" w:line="276" w:lineRule="auto"/>
              <w:rPr>
                <w:rFonts w:asciiTheme="majorHAnsi" w:hAnsiTheme="majorHAnsi" w:cstheme="majorHAnsi"/>
                <w:szCs w:val="24"/>
              </w:rPr>
            </w:pPr>
            <w:r>
              <w:rPr>
                <w:sz w:val="23"/>
              </w:rPr>
              <w:t>2505865</w:t>
            </w:r>
          </w:p>
        </w:tc>
      </w:tr>
      <w:tr w:rsidR="00B00095" w:rsidRPr="00FB7A07" w14:paraId="445F79E3" w14:textId="77777777">
        <w:trPr>
          <w:jc w:val="center"/>
        </w:trPr>
        <w:tc>
          <w:tcPr>
            <w:tcW w:w="2200" w:type="dxa"/>
            <w:shd w:val="clear" w:color="auto" w:fill="F2F4F7"/>
            <w:tcMar>
              <w:top w:w="95" w:type="dxa"/>
              <w:left w:w="120" w:type="dxa"/>
              <w:bottom w:w="95" w:type="dxa"/>
              <w:right w:w="120" w:type="dxa"/>
            </w:tcMar>
            <w:vAlign w:val="center"/>
          </w:tcPr>
          <w:p w14:paraId="7FE9CCB9" w14:textId="43B61850" w:rsidR="00B00095" w:rsidRPr="00FB7A07" w:rsidRDefault="00B00095">
            <w:pPr>
              <w:spacing w:after="0" w:line="276" w:lineRule="auto"/>
              <w:rPr>
                <w:rFonts w:asciiTheme="majorHAnsi" w:hAnsiTheme="majorHAnsi" w:cstheme="majorHAnsi"/>
                <w:szCs w:val="24"/>
              </w:rPr>
            </w:pPr>
          </w:p>
        </w:tc>
        <w:tc>
          <w:tcPr>
            <w:tcW w:w="5600" w:type="dxa"/>
            <w:tcMar>
              <w:top w:w="95" w:type="dxa"/>
              <w:left w:w="120" w:type="dxa"/>
              <w:bottom w:w="95" w:type="dxa"/>
              <w:right w:w="120" w:type="dxa"/>
            </w:tcMar>
            <w:vAlign w:val="center"/>
          </w:tcPr>
          <w:p w14:paraId="475FE19F" w14:textId="70C273E8" w:rsidR="00B00095" w:rsidRPr="00FB7A07" w:rsidRDefault="00B00095">
            <w:pPr>
              <w:spacing w:after="0" w:line="276" w:lineRule="auto"/>
              <w:rPr>
                <w:rFonts w:asciiTheme="majorHAnsi" w:hAnsiTheme="majorHAnsi" w:cstheme="majorHAnsi"/>
                <w:szCs w:val="24"/>
              </w:rPr>
            </w:pPr>
          </w:p>
        </w:tc>
      </w:tr>
      <w:tr w:rsidR="00B00095" w:rsidRPr="00FB7A07" w14:paraId="6D1089F8" w14:textId="77777777">
        <w:trPr>
          <w:jc w:val="center"/>
        </w:trPr>
        <w:tc>
          <w:tcPr>
            <w:tcW w:w="2200" w:type="dxa"/>
            <w:shd w:val="clear" w:color="auto" w:fill="F2F4F7"/>
            <w:tcMar>
              <w:top w:w="95" w:type="dxa"/>
              <w:left w:w="120" w:type="dxa"/>
              <w:bottom w:w="95" w:type="dxa"/>
              <w:right w:w="120" w:type="dxa"/>
            </w:tcMar>
            <w:vAlign w:val="center"/>
          </w:tcPr>
          <w:p w14:paraId="1DD3CD3D" w14:textId="77777777" w:rsidR="00B00095" w:rsidRPr="00FB7A07" w:rsidRDefault="00000000">
            <w:pPr>
              <w:spacing w:after="0" w:line="276" w:lineRule="auto"/>
              <w:rPr>
                <w:rFonts w:asciiTheme="majorHAnsi" w:hAnsiTheme="majorHAnsi" w:cstheme="majorHAnsi"/>
                <w:szCs w:val="24"/>
              </w:rPr>
            </w:pPr>
            <w:r w:rsidRPr="00FB7A07">
              <w:rPr>
                <w:rFonts w:asciiTheme="majorHAnsi" w:hAnsiTheme="majorHAnsi" w:cstheme="majorHAnsi"/>
                <w:b/>
                <w:szCs w:val="24"/>
              </w:rPr>
              <w:t>Submission date</w:t>
            </w:r>
          </w:p>
        </w:tc>
        <w:tc>
          <w:tcPr>
            <w:tcW w:w="5600" w:type="dxa"/>
            <w:tcMar>
              <w:top w:w="95" w:type="dxa"/>
              <w:left w:w="120" w:type="dxa"/>
              <w:bottom w:w="95" w:type="dxa"/>
              <w:right w:w="120" w:type="dxa"/>
            </w:tcMar>
            <w:vAlign w:val="center"/>
          </w:tcPr>
          <w:p w14:paraId="6175537B" w14:textId="6C22A622" w:rsidR="00B00095" w:rsidRPr="00FB7A07" w:rsidRDefault="00DC69ED">
            <w:pPr>
              <w:spacing w:after="0" w:line="276" w:lineRule="auto"/>
              <w:rPr>
                <w:rFonts w:asciiTheme="majorHAnsi" w:hAnsiTheme="majorHAnsi" w:cstheme="majorHAnsi"/>
                <w:szCs w:val="24"/>
              </w:rPr>
            </w:pPr>
            <w:r>
              <w:rPr>
                <w:rFonts w:asciiTheme="majorHAnsi" w:hAnsiTheme="majorHAnsi" w:cstheme="majorHAnsi"/>
                <w:szCs w:val="24"/>
              </w:rPr>
              <w:t>23/07/2026</w:t>
            </w:r>
          </w:p>
        </w:tc>
      </w:tr>
    </w:tbl>
    <w:p w14:paraId="7C240E8F" w14:textId="77777777" w:rsidR="00B00095" w:rsidRDefault="00B00095">
      <w:pPr>
        <w:sectPr w:rsidR="00B00095">
          <w:pgSz w:w="11906" w:h="16838"/>
          <w:pgMar w:top="1440" w:right="1440" w:bottom="1440" w:left="1440" w:header="709" w:footer="709" w:gutter="0"/>
          <w:cols w:space="720"/>
          <w:titlePg/>
          <w:docGrid w:linePitch="360"/>
        </w:sectPr>
      </w:pPr>
    </w:p>
    <w:p w14:paraId="0E4F90AB" w14:textId="77777777" w:rsidR="00B00095" w:rsidRPr="007066CC" w:rsidRDefault="00000000" w:rsidP="007066CC">
      <w:pPr>
        <w:jc w:val="center"/>
        <w:rPr>
          <w:b/>
          <w:bCs/>
          <w:sz w:val="28"/>
          <w:szCs w:val="24"/>
        </w:rPr>
      </w:pPr>
      <w:r w:rsidRPr="007066CC">
        <w:rPr>
          <w:b/>
          <w:bCs/>
          <w:sz w:val="28"/>
          <w:szCs w:val="24"/>
        </w:rPr>
        <w:lastRenderedPageBreak/>
        <w:t>Table of Contents</w:t>
      </w:r>
    </w:p>
    <w:p w14:paraId="066504F7" w14:textId="313FB9F9" w:rsidR="007066CC" w:rsidRDefault="00000000">
      <w:pPr>
        <w:pStyle w:val="TOC1"/>
        <w:tabs>
          <w:tab w:val="right" w:leader="dot" w:pos="9016"/>
        </w:tabs>
        <w:rPr>
          <w:rFonts w:asciiTheme="minorHAnsi" w:eastAsiaTheme="minorEastAsia" w:hAnsiTheme="minorHAnsi"/>
          <w:noProof/>
          <w:color w:val="auto"/>
          <w:kern w:val="2"/>
          <w:szCs w:val="24"/>
          <w14:ligatures w14:val="standardContextual"/>
        </w:rPr>
      </w:pPr>
      <w:r>
        <w:fldChar w:fldCharType="begin"/>
      </w:r>
      <w:r>
        <w:instrText xml:space="preserve"> TOC \o "1-3" \h \z \u </w:instrText>
      </w:r>
      <w:r>
        <w:fldChar w:fldCharType="separate"/>
      </w:r>
      <w:hyperlink w:anchor="_Toc234632788" w:history="1">
        <w:r w:rsidR="007066CC" w:rsidRPr="0004406C">
          <w:rPr>
            <w:rStyle w:val="Hyperlink"/>
            <w:noProof/>
          </w:rPr>
          <w:t>Section 1: International Marketing Analysis</w:t>
        </w:r>
        <w:r w:rsidR="007066CC">
          <w:rPr>
            <w:noProof/>
            <w:webHidden/>
          </w:rPr>
          <w:tab/>
        </w:r>
        <w:r w:rsidR="007066CC">
          <w:rPr>
            <w:noProof/>
            <w:webHidden/>
          </w:rPr>
          <w:fldChar w:fldCharType="begin"/>
        </w:r>
        <w:r w:rsidR="007066CC">
          <w:rPr>
            <w:noProof/>
            <w:webHidden/>
          </w:rPr>
          <w:instrText xml:space="preserve"> PAGEREF _Toc234632788 \h </w:instrText>
        </w:r>
        <w:r w:rsidR="007066CC">
          <w:rPr>
            <w:noProof/>
            <w:webHidden/>
          </w:rPr>
        </w:r>
        <w:r w:rsidR="007066CC">
          <w:rPr>
            <w:noProof/>
            <w:webHidden/>
          </w:rPr>
          <w:fldChar w:fldCharType="separate"/>
        </w:r>
        <w:r w:rsidR="007066CC">
          <w:rPr>
            <w:noProof/>
            <w:webHidden/>
          </w:rPr>
          <w:t>2</w:t>
        </w:r>
        <w:r w:rsidR="007066CC">
          <w:rPr>
            <w:noProof/>
            <w:webHidden/>
          </w:rPr>
          <w:fldChar w:fldCharType="end"/>
        </w:r>
      </w:hyperlink>
    </w:p>
    <w:p w14:paraId="6C7C3804" w14:textId="28482508"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789" w:history="1">
        <w:r w:rsidRPr="0004406C">
          <w:rPr>
            <w:rStyle w:val="Hyperlink"/>
            <w:noProof/>
          </w:rPr>
          <w:t>Executive Summary</w:t>
        </w:r>
        <w:r>
          <w:rPr>
            <w:noProof/>
            <w:webHidden/>
          </w:rPr>
          <w:tab/>
        </w:r>
        <w:r>
          <w:rPr>
            <w:noProof/>
            <w:webHidden/>
          </w:rPr>
          <w:fldChar w:fldCharType="begin"/>
        </w:r>
        <w:r>
          <w:rPr>
            <w:noProof/>
            <w:webHidden/>
          </w:rPr>
          <w:instrText xml:space="preserve"> PAGEREF _Toc234632789 \h </w:instrText>
        </w:r>
        <w:r>
          <w:rPr>
            <w:noProof/>
            <w:webHidden/>
          </w:rPr>
        </w:r>
        <w:r>
          <w:rPr>
            <w:noProof/>
            <w:webHidden/>
          </w:rPr>
          <w:fldChar w:fldCharType="separate"/>
        </w:r>
        <w:r>
          <w:rPr>
            <w:noProof/>
            <w:webHidden/>
          </w:rPr>
          <w:t>2</w:t>
        </w:r>
        <w:r>
          <w:rPr>
            <w:noProof/>
            <w:webHidden/>
          </w:rPr>
          <w:fldChar w:fldCharType="end"/>
        </w:r>
      </w:hyperlink>
    </w:p>
    <w:p w14:paraId="747DEBCF" w14:textId="7F2811EC"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790" w:history="1">
        <w:r w:rsidRPr="0004406C">
          <w:rPr>
            <w:rStyle w:val="Hyperlink"/>
            <w:noProof/>
          </w:rPr>
          <w:t>1. Introduction</w:t>
        </w:r>
        <w:r>
          <w:rPr>
            <w:noProof/>
            <w:webHidden/>
          </w:rPr>
          <w:tab/>
        </w:r>
        <w:r>
          <w:rPr>
            <w:noProof/>
            <w:webHidden/>
          </w:rPr>
          <w:fldChar w:fldCharType="begin"/>
        </w:r>
        <w:r>
          <w:rPr>
            <w:noProof/>
            <w:webHidden/>
          </w:rPr>
          <w:instrText xml:space="preserve"> PAGEREF _Toc234632790 \h </w:instrText>
        </w:r>
        <w:r>
          <w:rPr>
            <w:noProof/>
            <w:webHidden/>
          </w:rPr>
        </w:r>
        <w:r>
          <w:rPr>
            <w:noProof/>
            <w:webHidden/>
          </w:rPr>
          <w:fldChar w:fldCharType="separate"/>
        </w:r>
        <w:r>
          <w:rPr>
            <w:noProof/>
            <w:webHidden/>
          </w:rPr>
          <w:t>2</w:t>
        </w:r>
        <w:r>
          <w:rPr>
            <w:noProof/>
            <w:webHidden/>
          </w:rPr>
          <w:fldChar w:fldCharType="end"/>
        </w:r>
      </w:hyperlink>
    </w:p>
    <w:p w14:paraId="1DCC55DE" w14:textId="45DD508D"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791" w:history="1">
        <w:r w:rsidRPr="0004406C">
          <w:rPr>
            <w:rStyle w:val="Hyperlink"/>
            <w:noProof/>
          </w:rPr>
          <w:t>2. Comparative Market Environment</w:t>
        </w:r>
        <w:r>
          <w:rPr>
            <w:noProof/>
            <w:webHidden/>
          </w:rPr>
          <w:tab/>
        </w:r>
        <w:r>
          <w:rPr>
            <w:noProof/>
            <w:webHidden/>
          </w:rPr>
          <w:fldChar w:fldCharType="begin"/>
        </w:r>
        <w:r>
          <w:rPr>
            <w:noProof/>
            <w:webHidden/>
          </w:rPr>
          <w:instrText xml:space="preserve"> PAGEREF _Toc234632791 \h </w:instrText>
        </w:r>
        <w:r>
          <w:rPr>
            <w:noProof/>
            <w:webHidden/>
          </w:rPr>
        </w:r>
        <w:r>
          <w:rPr>
            <w:noProof/>
            <w:webHidden/>
          </w:rPr>
          <w:fldChar w:fldCharType="separate"/>
        </w:r>
        <w:r>
          <w:rPr>
            <w:noProof/>
            <w:webHidden/>
          </w:rPr>
          <w:t>3</w:t>
        </w:r>
        <w:r>
          <w:rPr>
            <w:noProof/>
            <w:webHidden/>
          </w:rPr>
          <w:fldChar w:fldCharType="end"/>
        </w:r>
      </w:hyperlink>
    </w:p>
    <w:p w14:paraId="4306EE41" w14:textId="71F5C58A"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792" w:history="1">
        <w:r w:rsidRPr="0004406C">
          <w:rPr>
            <w:rStyle w:val="Hyperlink"/>
            <w:noProof/>
          </w:rPr>
          <w:t>2.1 PESTEL analysis</w:t>
        </w:r>
        <w:r>
          <w:rPr>
            <w:noProof/>
            <w:webHidden/>
          </w:rPr>
          <w:tab/>
        </w:r>
        <w:r>
          <w:rPr>
            <w:noProof/>
            <w:webHidden/>
          </w:rPr>
          <w:fldChar w:fldCharType="begin"/>
        </w:r>
        <w:r>
          <w:rPr>
            <w:noProof/>
            <w:webHidden/>
          </w:rPr>
          <w:instrText xml:space="preserve"> PAGEREF _Toc234632792 \h </w:instrText>
        </w:r>
        <w:r>
          <w:rPr>
            <w:noProof/>
            <w:webHidden/>
          </w:rPr>
        </w:r>
        <w:r>
          <w:rPr>
            <w:noProof/>
            <w:webHidden/>
          </w:rPr>
          <w:fldChar w:fldCharType="separate"/>
        </w:r>
        <w:r>
          <w:rPr>
            <w:noProof/>
            <w:webHidden/>
          </w:rPr>
          <w:t>3</w:t>
        </w:r>
        <w:r>
          <w:rPr>
            <w:noProof/>
            <w:webHidden/>
          </w:rPr>
          <w:fldChar w:fldCharType="end"/>
        </w:r>
      </w:hyperlink>
    </w:p>
    <w:p w14:paraId="7BEF0DD3" w14:textId="5D16FD79"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793" w:history="1">
        <w:r w:rsidRPr="0004406C">
          <w:rPr>
            <w:rStyle w:val="Hyperlink"/>
            <w:noProof/>
          </w:rPr>
          <w:t>2.2 Hofstede cultural comparison</w:t>
        </w:r>
        <w:r>
          <w:rPr>
            <w:noProof/>
            <w:webHidden/>
          </w:rPr>
          <w:tab/>
        </w:r>
        <w:r>
          <w:rPr>
            <w:noProof/>
            <w:webHidden/>
          </w:rPr>
          <w:fldChar w:fldCharType="begin"/>
        </w:r>
        <w:r>
          <w:rPr>
            <w:noProof/>
            <w:webHidden/>
          </w:rPr>
          <w:instrText xml:space="preserve"> PAGEREF _Toc234632793 \h </w:instrText>
        </w:r>
        <w:r>
          <w:rPr>
            <w:noProof/>
            <w:webHidden/>
          </w:rPr>
        </w:r>
        <w:r>
          <w:rPr>
            <w:noProof/>
            <w:webHidden/>
          </w:rPr>
          <w:fldChar w:fldCharType="separate"/>
        </w:r>
        <w:r>
          <w:rPr>
            <w:noProof/>
            <w:webHidden/>
          </w:rPr>
          <w:t>6</w:t>
        </w:r>
        <w:r>
          <w:rPr>
            <w:noProof/>
            <w:webHidden/>
          </w:rPr>
          <w:fldChar w:fldCharType="end"/>
        </w:r>
      </w:hyperlink>
    </w:p>
    <w:p w14:paraId="1CF24C2B" w14:textId="65050F6E"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794" w:history="1">
        <w:r w:rsidRPr="0004406C">
          <w:rPr>
            <w:rStyle w:val="Hyperlink"/>
            <w:noProof/>
          </w:rPr>
          <w:t>3. Segmentation, Targeting and Positioning</w:t>
        </w:r>
        <w:r>
          <w:rPr>
            <w:noProof/>
            <w:webHidden/>
          </w:rPr>
          <w:tab/>
        </w:r>
        <w:r>
          <w:rPr>
            <w:noProof/>
            <w:webHidden/>
          </w:rPr>
          <w:fldChar w:fldCharType="begin"/>
        </w:r>
        <w:r>
          <w:rPr>
            <w:noProof/>
            <w:webHidden/>
          </w:rPr>
          <w:instrText xml:space="preserve"> PAGEREF _Toc234632794 \h </w:instrText>
        </w:r>
        <w:r>
          <w:rPr>
            <w:noProof/>
            <w:webHidden/>
          </w:rPr>
        </w:r>
        <w:r>
          <w:rPr>
            <w:noProof/>
            <w:webHidden/>
          </w:rPr>
          <w:fldChar w:fldCharType="separate"/>
        </w:r>
        <w:r>
          <w:rPr>
            <w:noProof/>
            <w:webHidden/>
          </w:rPr>
          <w:t>8</w:t>
        </w:r>
        <w:r>
          <w:rPr>
            <w:noProof/>
            <w:webHidden/>
          </w:rPr>
          <w:fldChar w:fldCharType="end"/>
        </w:r>
      </w:hyperlink>
    </w:p>
    <w:p w14:paraId="1660D27C" w14:textId="1034D2DA"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795" w:history="1">
        <w:r w:rsidRPr="0004406C">
          <w:rPr>
            <w:rStyle w:val="Hyperlink"/>
            <w:noProof/>
          </w:rPr>
          <w:t>4. Comparative International Marketing Mix</w:t>
        </w:r>
        <w:r>
          <w:rPr>
            <w:noProof/>
            <w:webHidden/>
          </w:rPr>
          <w:tab/>
        </w:r>
        <w:r>
          <w:rPr>
            <w:noProof/>
            <w:webHidden/>
          </w:rPr>
          <w:fldChar w:fldCharType="begin"/>
        </w:r>
        <w:r>
          <w:rPr>
            <w:noProof/>
            <w:webHidden/>
          </w:rPr>
          <w:instrText xml:space="preserve"> PAGEREF _Toc234632795 \h </w:instrText>
        </w:r>
        <w:r>
          <w:rPr>
            <w:noProof/>
            <w:webHidden/>
          </w:rPr>
        </w:r>
        <w:r>
          <w:rPr>
            <w:noProof/>
            <w:webHidden/>
          </w:rPr>
          <w:fldChar w:fldCharType="separate"/>
        </w:r>
        <w:r>
          <w:rPr>
            <w:noProof/>
            <w:webHidden/>
          </w:rPr>
          <w:t>9</w:t>
        </w:r>
        <w:r>
          <w:rPr>
            <w:noProof/>
            <w:webHidden/>
          </w:rPr>
          <w:fldChar w:fldCharType="end"/>
        </w:r>
      </w:hyperlink>
    </w:p>
    <w:p w14:paraId="1B778FC1" w14:textId="1D0D20AD"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796" w:history="1">
        <w:r w:rsidRPr="0004406C">
          <w:rPr>
            <w:rStyle w:val="Hyperlink"/>
            <w:noProof/>
          </w:rPr>
          <w:t>4.1 Product and price</w:t>
        </w:r>
        <w:r>
          <w:rPr>
            <w:noProof/>
            <w:webHidden/>
          </w:rPr>
          <w:tab/>
        </w:r>
        <w:r>
          <w:rPr>
            <w:noProof/>
            <w:webHidden/>
          </w:rPr>
          <w:fldChar w:fldCharType="begin"/>
        </w:r>
        <w:r>
          <w:rPr>
            <w:noProof/>
            <w:webHidden/>
          </w:rPr>
          <w:instrText xml:space="preserve"> PAGEREF _Toc234632796 \h </w:instrText>
        </w:r>
        <w:r>
          <w:rPr>
            <w:noProof/>
            <w:webHidden/>
          </w:rPr>
        </w:r>
        <w:r>
          <w:rPr>
            <w:noProof/>
            <w:webHidden/>
          </w:rPr>
          <w:fldChar w:fldCharType="separate"/>
        </w:r>
        <w:r>
          <w:rPr>
            <w:noProof/>
            <w:webHidden/>
          </w:rPr>
          <w:t>11</w:t>
        </w:r>
        <w:r>
          <w:rPr>
            <w:noProof/>
            <w:webHidden/>
          </w:rPr>
          <w:fldChar w:fldCharType="end"/>
        </w:r>
      </w:hyperlink>
    </w:p>
    <w:p w14:paraId="54D29523" w14:textId="1636A627"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797" w:history="1">
        <w:r w:rsidRPr="0004406C">
          <w:rPr>
            <w:rStyle w:val="Hyperlink"/>
            <w:noProof/>
          </w:rPr>
          <w:t>4.2 Place and promotion</w:t>
        </w:r>
        <w:r>
          <w:rPr>
            <w:noProof/>
            <w:webHidden/>
          </w:rPr>
          <w:tab/>
        </w:r>
        <w:r>
          <w:rPr>
            <w:noProof/>
            <w:webHidden/>
          </w:rPr>
          <w:fldChar w:fldCharType="begin"/>
        </w:r>
        <w:r>
          <w:rPr>
            <w:noProof/>
            <w:webHidden/>
          </w:rPr>
          <w:instrText xml:space="preserve"> PAGEREF _Toc234632797 \h </w:instrText>
        </w:r>
        <w:r>
          <w:rPr>
            <w:noProof/>
            <w:webHidden/>
          </w:rPr>
        </w:r>
        <w:r>
          <w:rPr>
            <w:noProof/>
            <w:webHidden/>
          </w:rPr>
          <w:fldChar w:fldCharType="separate"/>
        </w:r>
        <w:r>
          <w:rPr>
            <w:noProof/>
            <w:webHidden/>
          </w:rPr>
          <w:t>12</w:t>
        </w:r>
        <w:r>
          <w:rPr>
            <w:noProof/>
            <w:webHidden/>
          </w:rPr>
          <w:fldChar w:fldCharType="end"/>
        </w:r>
      </w:hyperlink>
    </w:p>
    <w:p w14:paraId="2DB03822" w14:textId="54FA609D"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798" w:history="1">
        <w:r w:rsidRPr="0004406C">
          <w:rPr>
            <w:rStyle w:val="Hyperlink"/>
            <w:noProof/>
          </w:rPr>
          <w:t>4.3 People, process and physical evidence</w:t>
        </w:r>
        <w:r>
          <w:rPr>
            <w:noProof/>
            <w:webHidden/>
          </w:rPr>
          <w:tab/>
        </w:r>
        <w:r>
          <w:rPr>
            <w:noProof/>
            <w:webHidden/>
          </w:rPr>
          <w:fldChar w:fldCharType="begin"/>
        </w:r>
        <w:r>
          <w:rPr>
            <w:noProof/>
            <w:webHidden/>
          </w:rPr>
          <w:instrText xml:space="preserve"> PAGEREF _Toc234632798 \h </w:instrText>
        </w:r>
        <w:r>
          <w:rPr>
            <w:noProof/>
            <w:webHidden/>
          </w:rPr>
        </w:r>
        <w:r>
          <w:rPr>
            <w:noProof/>
            <w:webHidden/>
          </w:rPr>
          <w:fldChar w:fldCharType="separate"/>
        </w:r>
        <w:r>
          <w:rPr>
            <w:noProof/>
            <w:webHidden/>
          </w:rPr>
          <w:t>13</w:t>
        </w:r>
        <w:r>
          <w:rPr>
            <w:noProof/>
            <w:webHidden/>
          </w:rPr>
          <w:fldChar w:fldCharType="end"/>
        </w:r>
      </w:hyperlink>
    </w:p>
    <w:p w14:paraId="5C6630B7" w14:textId="0F0963D3"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799" w:history="1">
        <w:r w:rsidRPr="0004406C">
          <w:rPr>
            <w:rStyle w:val="Hyperlink"/>
            <w:noProof/>
          </w:rPr>
          <w:t>5. Market Entry Strategy in the United Kingdom</w:t>
        </w:r>
        <w:r>
          <w:rPr>
            <w:noProof/>
            <w:webHidden/>
          </w:rPr>
          <w:tab/>
        </w:r>
        <w:r>
          <w:rPr>
            <w:noProof/>
            <w:webHidden/>
          </w:rPr>
          <w:fldChar w:fldCharType="begin"/>
        </w:r>
        <w:r>
          <w:rPr>
            <w:noProof/>
            <w:webHidden/>
          </w:rPr>
          <w:instrText xml:space="preserve"> PAGEREF _Toc234632799 \h </w:instrText>
        </w:r>
        <w:r>
          <w:rPr>
            <w:noProof/>
            <w:webHidden/>
          </w:rPr>
        </w:r>
        <w:r>
          <w:rPr>
            <w:noProof/>
            <w:webHidden/>
          </w:rPr>
          <w:fldChar w:fldCharType="separate"/>
        </w:r>
        <w:r>
          <w:rPr>
            <w:noProof/>
            <w:webHidden/>
          </w:rPr>
          <w:t>14</w:t>
        </w:r>
        <w:r>
          <w:rPr>
            <w:noProof/>
            <w:webHidden/>
          </w:rPr>
          <w:fldChar w:fldCharType="end"/>
        </w:r>
      </w:hyperlink>
    </w:p>
    <w:p w14:paraId="5767B771" w14:textId="2B709EC3"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800" w:history="1">
        <w:r w:rsidRPr="0004406C">
          <w:rPr>
            <w:rStyle w:val="Hyperlink"/>
            <w:noProof/>
          </w:rPr>
          <w:t>6. Ethical Evaluation: UK “Born to Roam” Promotion</w:t>
        </w:r>
        <w:r>
          <w:rPr>
            <w:noProof/>
            <w:webHidden/>
          </w:rPr>
          <w:tab/>
        </w:r>
        <w:r>
          <w:rPr>
            <w:noProof/>
            <w:webHidden/>
          </w:rPr>
          <w:fldChar w:fldCharType="begin"/>
        </w:r>
        <w:r>
          <w:rPr>
            <w:noProof/>
            <w:webHidden/>
          </w:rPr>
          <w:instrText xml:space="preserve"> PAGEREF _Toc234632800 \h </w:instrText>
        </w:r>
        <w:r>
          <w:rPr>
            <w:noProof/>
            <w:webHidden/>
          </w:rPr>
        </w:r>
        <w:r>
          <w:rPr>
            <w:noProof/>
            <w:webHidden/>
          </w:rPr>
          <w:fldChar w:fldCharType="separate"/>
        </w:r>
        <w:r>
          <w:rPr>
            <w:noProof/>
            <w:webHidden/>
          </w:rPr>
          <w:t>15</w:t>
        </w:r>
        <w:r>
          <w:rPr>
            <w:noProof/>
            <w:webHidden/>
          </w:rPr>
          <w:fldChar w:fldCharType="end"/>
        </w:r>
      </w:hyperlink>
    </w:p>
    <w:p w14:paraId="40F55785" w14:textId="5581B2AE"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801" w:history="1">
        <w:r w:rsidRPr="0004406C">
          <w:rPr>
            <w:rStyle w:val="Hyperlink"/>
            <w:noProof/>
          </w:rPr>
          <w:t>7. Recommendations</w:t>
        </w:r>
        <w:r>
          <w:rPr>
            <w:noProof/>
            <w:webHidden/>
          </w:rPr>
          <w:tab/>
        </w:r>
        <w:r>
          <w:rPr>
            <w:noProof/>
            <w:webHidden/>
          </w:rPr>
          <w:fldChar w:fldCharType="begin"/>
        </w:r>
        <w:r>
          <w:rPr>
            <w:noProof/>
            <w:webHidden/>
          </w:rPr>
          <w:instrText xml:space="preserve"> PAGEREF _Toc234632801 \h </w:instrText>
        </w:r>
        <w:r>
          <w:rPr>
            <w:noProof/>
            <w:webHidden/>
          </w:rPr>
        </w:r>
        <w:r>
          <w:rPr>
            <w:noProof/>
            <w:webHidden/>
          </w:rPr>
          <w:fldChar w:fldCharType="separate"/>
        </w:r>
        <w:r>
          <w:rPr>
            <w:noProof/>
            <w:webHidden/>
          </w:rPr>
          <w:t>16</w:t>
        </w:r>
        <w:r>
          <w:rPr>
            <w:noProof/>
            <w:webHidden/>
          </w:rPr>
          <w:fldChar w:fldCharType="end"/>
        </w:r>
      </w:hyperlink>
    </w:p>
    <w:p w14:paraId="1F2B719E" w14:textId="748232A5"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802" w:history="1">
        <w:r w:rsidRPr="0004406C">
          <w:rPr>
            <w:rStyle w:val="Hyperlink"/>
            <w:noProof/>
          </w:rPr>
          <w:t>8. Conclusion</w:t>
        </w:r>
        <w:r>
          <w:rPr>
            <w:noProof/>
            <w:webHidden/>
          </w:rPr>
          <w:tab/>
        </w:r>
        <w:r>
          <w:rPr>
            <w:noProof/>
            <w:webHidden/>
          </w:rPr>
          <w:fldChar w:fldCharType="begin"/>
        </w:r>
        <w:r>
          <w:rPr>
            <w:noProof/>
            <w:webHidden/>
          </w:rPr>
          <w:instrText xml:space="preserve"> PAGEREF _Toc234632802 \h </w:instrText>
        </w:r>
        <w:r>
          <w:rPr>
            <w:noProof/>
            <w:webHidden/>
          </w:rPr>
        </w:r>
        <w:r>
          <w:rPr>
            <w:noProof/>
            <w:webHidden/>
          </w:rPr>
          <w:fldChar w:fldCharType="separate"/>
        </w:r>
        <w:r>
          <w:rPr>
            <w:noProof/>
            <w:webHidden/>
          </w:rPr>
          <w:t>18</w:t>
        </w:r>
        <w:r>
          <w:rPr>
            <w:noProof/>
            <w:webHidden/>
          </w:rPr>
          <w:fldChar w:fldCharType="end"/>
        </w:r>
      </w:hyperlink>
    </w:p>
    <w:p w14:paraId="60B28E3E" w14:textId="777DBD15"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803" w:history="1">
        <w:r w:rsidRPr="0004406C">
          <w:rPr>
            <w:rStyle w:val="Hyperlink"/>
            <w:noProof/>
          </w:rPr>
          <w:t>Section 2: Reflective Account (Giving an account of what you reflected on using Gibbs' Reflective Cycle)</w:t>
        </w:r>
        <w:r>
          <w:rPr>
            <w:noProof/>
            <w:webHidden/>
          </w:rPr>
          <w:tab/>
        </w:r>
        <w:r>
          <w:rPr>
            <w:noProof/>
            <w:webHidden/>
          </w:rPr>
          <w:fldChar w:fldCharType="begin"/>
        </w:r>
        <w:r>
          <w:rPr>
            <w:noProof/>
            <w:webHidden/>
          </w:rPr>
          <w:instrText xml:space="preserve"> PAGEREF _Toc234632803 \h </w:instrText>
        </w:r>
        <w:r>
          <w:rPr>
            <w:noProof/>
            <w:webHidden/>
          </w:rPr>
        </w:r>
        <w:r>
          <w:rPr>
            <w:noProof/>
            <w:webHidden/>
          </w:rPr>
          <w:fldChar w:fldCharType="separate"/>
        </w:r>
        <w:r>
          <w:rPr>
            <w:noProof/>
            <w:webHidden/>
          </w:rPr>
          <w:t>19</w:t>
        </w:r>
        <w:r>
          <w:rPr>
            <w:noProof/>
            <w:webHidden/>
          </w:rPr>
          <w:fldChar w:fldCharType="end"/>
        </w:r>
      </w:hyperlink>
    </w:p>
    <w:p w14:paraId="3D07C42E" w14:textId="7F182FB5"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804" w:history="1">
        <w:r w:rsidRPr="0004406C">
          <w:rPr>
            <w:rStyle w:val="Hyperlink"/>
            <w:noProof/>
          </w:rPr>
          <w:t>9.1 Description</w:t>
        </w:r>
        <w:r>
          <w:rPr>
            <w:noProof/>
            <w:webHidden/>
          </w:rPr>
          <w:tab/>
        </w:r>
        <w:r>
          <w:rPr>
            <w:noProof/>
            <w:webHidden/>
          </w:rPr>
          <w:fldChar w:fldCharType="begin"/>
        </w:r>
        <w:r>
          <w:rPr>
            <w:noProof/>
            <w:webHidden/>
          </w:rPr>
          <w:instrText xml:space="preserve"> PAGEREF _Toc234632804 \h </w:instrText>
        </w:r>
        <w:r>
          <w:rPr>
            <w:noProof/>
            <w:webHidden/>
          </w:rPr>
        </w:r>
        <w:r>
          <w:rPr>
            <w:noProof/>
            <w:webHidden/>
          </w:rPr>
          <w:fldChar w:fldCharType="separate"/>
        </w:r>
        <w:r>
          <w:rPr>
            <w:noProof/>
            <w:webHidden/>
          </w:rPr>
          <w:t>19</w:t>
        </w:r>
        <w:r>
          <w:rPr>
            <w:noProof/>
            <w:webHidden/>
          </w:rPr>
          <w:fldChar w:fldCharType="end"/>
        </w:r>
      </w:hyperlink>
    </w:p>
    <w:p w14:paraId="6DFDE283" w14:textId="1FE6F72B"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805" w:history="1">
        <w:r w:rsidRPr="0004406C">
          <w:rPr>
            <w:rStyle w:val="Hyperlink"/>
            <w:noProof/>
          </w:rPr>
          <w:t>9.2 Feelings</w:t>
        </w:r>
        <w:r>
          <w:rPr>
            <w:noProof/>
            <w:webHidden/>
          </w:rPr>
          <w:tab/>
        </w:r>
        <w:r>
          <w:rPr>
            <w:noProof/>
            <w:webHidden/>
          </w:rPr>
          <w:fldChar w:fldCharType="begin"/>
        </w:r>
        <w:r>
          <w:rPr>
            <w:noProof/>
            <w:webHidden/>
          </w:rPr>
          <w:instrText xml:space="preserve"> PAGEREF _Toc234632805 \h </w:instrText>
        </w:r>
        <w:r>
          <w:rPr>
            <w:noProof/>
            <w:webHidden/>
          </w:rPr>
        </w:r>
        <w:r>
          <w:rPr>
            <w:noProof/>
            <w:webHidden/>
          </w:rPr>
          <w:fldChar w:fldCharType="separate"/>
        </w:r>
        <w:r>
          <w:rPr>
            <w:noProof/>
            <w:webHidden/>
          </w:rPr>
          <w:t>19</w:t>
        </w:r>
        <w:r>
          <w:rPr>
            <w:noProof/>
            <w:webHidden/>
          </w:rPr>
          <w:fldChar w:fldCharType="end"/>
        </w:r>
      </w:hyperlink>
    </w:p>
    <w:p w14:paraId="3FE7B892" w14:textId="254C6D31"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806" w:history="1">
        <w:r w:rsidRPr="0004406C">
          <w:rPr>
            <w:rStyle w:val="Hyperlink"/>
            <w:noProof/>
          </w:rPr>
          <w:t>9.3 Evaluation</w:t>
        </w:r>
        <w:r>
          <w:rPr>
            <w:noProof/>
            <w:webHidden/>
          </w:rPr>
          <w:tab/>
        </w:r>
        <w:r>
          <w:rPr>
            <w:noProof/>
            <w:webHidden/>
          </w:rPr>
          <w:fldChar w:fldCharType="begin"/>
        </w:r>
        <w:r>
          <w:rPr>
            <w:noProof/>
            <w:webHidden/>
          </w:rPr>
          <w:instrText xml:space="preserve"> PAGEREF _Toc234632806 \h </w:instrText>
        </w:r>
        <w:r>
          <w:rPr>
            <w:noProof/>
            <w:webHidden/>
          </w:rPr>
        </w:r>
        <w:r>
          <w:rPr>
            <w:noProof/>
            <w:webHidden/>
          </w:rPr>
          <w:fldChar w:fldCharType="separate"/>
        </w:r>
        <w:r>
          <w:rPr>
            <w:noProof/>
            <w:webHidden/>
          </w:rPr>
          <w:t>19</w:t>
        </w:r>
        <w:r>
          <w:rPr>
            <w:noProof/>
            <w:webHidden/>
          </w:rPr>
          <w:fldChar w:fldCharType="end"/>
        </w:r>
      </w:hyperlink>
    </w:p>
    <w:p w14:paraId="37A091FB" w14:textId="76112BB8"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807" w:history="1">
        <w:r w:rsidRPr="0004406C">
          <w:rPr>
            <w:rStyle w:val="Hyperlink"/>
            <w:noProof/>
          </w:rPr>
          <w:t>9.4 Analysis</w:t>
        </w:r>
        <w:r>
          <w:rPr>
            <w:noProof/>
            <w:webHidden/>
          </w:rPr>
          <w:tab/>
        </w:r>
        <w:r>
          <w:rPr>
            <w:noProof/>
            <w:webHidden/>
          </w:rPr>
          <w:fldChar w:fldCharType="begin"/>
        </w:r>
        <w:r>
          <w:rPr>
            <w:noProof/>
            <w:webHidden/>
          </w:rPr>
          <w:instrText xml:space="preserve"> PAGEREF _Toc234632807 \h </w:instrText>
        </w:r>
        <w:r>
          <w:rPr>
            <w:noProof/>
            <w:webHidden/>
          </w:rPr>
        </w:r>
        <w:r>
          <w:rPr>
            <w:noProof/>
            <w:webHidden/>
          </w:rPr>
          <w:fldChar w:fldCharType="separate"/>
        </w:r>
        <w:r>
          <w:rPr>
            <w:noProof/>
            <w:webHidden/>
          </w:rPr>
          <w:t>20</w:t>
        </w:r>
        <w:r>
          <w:rPr>
            <w:noProof/>
            <w:webHidden/>
          </w:rPr>
          <w:fldChar w:fldCharType="end"/>
        </w:r>
      </w:hyperlink>
    </w:p>
    <w:p w14:paraId="260D14F7" w14:textId="6FB6057B"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808" w:history="1">
        <w:r w:rsidRPr="0004406C">
          <w:rPr>
            <w:rStyle w:val="Hyperlink"/>
            <w:noProof/>
          </w:rPr>
          <w:t>9.5 Conclusion</w:t>
        </w:r>
        <w:r>
          <w:rPr>
            <w:noProof/>
            <w:webHidden/>
          </w:rPr>
          <w:tab/>
        </w:r>
        <w:r>
          <w:rPr>
            <w:noProof/>
            <w:webHidden/>
          </w:rPr>
          <w:fldChar w:fldCharType="begin"/>
        </w:r>
        <w:r>
          <w:rPr>
            <w:noProof/>
            <w:webHidden/>
          </w:rPr>
          <w:instrText xml:space="preserve"> PAGEREF _Toc234632808 \h </w:instrText>
        </w:r>
        <w:r>
          <w:rPr>
            <w:noProof/>
            <w:webHidden/>
          </w:rPr>
        </w:r>
        <w:r>
          <w:rPr>
            <w:noProof/>
            <w:webHidden/>
          </w:rPr>
          <w:fldChar w:fldCharType="separate"/>
        </w:r>
        <w:r>
          <w:rPr>
            <w:noProof/>
            <w:webHidden/>
          </w:rPr>
          <w:t>21</w:t>
        </w:r>
        <w:r>
          <w:rPr>
            <w:noProof/>
            <w:webHidden/>
          </w:rPr>
          <w:fldChar w:fldCharType="end"/>
        </w:r>
      </w:hyperlink>
    </w:p>
    <w:p w14:paraId="5EEA05D8" w14:textId="733DD123" w:rsidR="007066CC" w:rsidRDefault="007066CC">
      <w:pPr>
        <w:pStyle w:val="TOC2"/>
        <w:tabs>
          <w:tab w:val="right" w:leader="dot" w:pos="9016"/>
        </w:tabs>
        <w:rPr>
          <w:rFonts w:asciiTheme="minorHAnsi" w:eastAsiaTheme="minorEastAsia" w:hAnsiTheme="minorHAnsi"/>
          <w:noProof/>
          <w:color w:val="auto"/>
          <w:kern w:val="2"/>
          <w:szCs w:val="24"/>
          <w14:ligatures w14:val="standardContextual"/>
        </w:rPr>
      </w:pPr>
      <w:hyperlink w:anchor="_Toc234632809" w:history="1">
        <w:r w:rsidRPr="0004406C">
          <w:rPr>
            <w:rStyle w:val="Hyperlink"/>
            <w:noProof/>
          </w:rPr>
          <w:t>9.6 Action Plan</w:t>
        </w:r>
        <w:r>
          <w:rPr>
            <w:noProof/>
            <w:webHidden/>
          </w:rPr>
          <w:tab/>
        </w:r>
        <w:r>
          <w:rPr>
            <w:noProof/>
            <w:webHidden/>
          </w:rPr>
          <w:fldChar w:fldCharType="begin"/>
        </w:r>
        <w:r>
          <w:rPr>
            <w:noProof/>
            <w:webHidden/>
          </w:rPr>
          <w:instrText xml:space="preserve"> PAGEREF _Toc234632809 \h </w:instrText>
        </w:r>
        <w:r>
          <w:rPr>
            <w:noProof/>
            <w:webHidden/>
          </w:rPr>
        </w:r>
        <w:r>
          <w:rPr>
            <w:noProof/>
            <w:webHidden/>
          </w:rPr>
          <w:fldChar w:fldCharType="separate"/>
        </w:r>
        <w:r>
          <w:rPr>
            <w:noProof/>
            <w:webHidden/>
          </w:rPr>
          <w:t>21</w:t>
        </w:r>
        <w:r>
          <w:rPr>
            <w:noProof/>
            <w:webHidden/>
          </w:rPr>
          <w:fldChar w:fldCharType="end"/>
        </w:r>
      </w:hyperlink>
    </w:p>
    <w:p w14:paraId="52EF1F90" w14:textId="317663BE" w:rsidR="007066CC" w:rsidRDefault="007066CC">
      <w:pPr>
        <w:pStyle w:val="TOC1"/>
        <w:tabs>
          <w:tab w:val="right" w:leader="dot" w:pos="9016"/>
        </w:tabs>
        <w:rPr>
          <w:rFonts w:asciiTheme="minorHAnsi" w:eastAsiaTheme="minorEastAsia" w:hAnsiTheme="minorHAnsi"/>
          <w:noProof/>
          <w:color w:val="auto"/>
          <w:kern w:val="2"/>
          <w:szCs w:val="24"/>
          <w14:ligatures w14:val="standardContextual"/>
        </w:rPr>
      </w:pPr>
      <w:hyperlink w:anchor="_Toc234632810" w:history="1">
        <w:r w:rsidRPr="0004406C">
          <w:rPr>
            <w:rStyle w:val="Hyperlink"/>
            <w:noProof/>
          </w:rPr>
          <w:t>References</w:t>
        </w:r>
        <w:r>
          <w:rPr>
            <w:noProof/>
            <w:webHidden/>
          </w:rPr>
          <w:tab/>
        </w:r>
        <w:r>
          <w:rPr>
            <w:noProof/>
            <w:webHidden/>
          </w:rPr>
          <w:fldChar w:fldCharType="begin"/>
        </w:r>
        <w:r>
          <w:rPr>
            <w:noProof/>
            <w:webHidden/>
          </w:rPr>
          <w:instrText xml:space="preserve"> PAGEREF _Toc234632810 \h </w:instrText>
        </w:r>
        <w:r>
          <w:rPr>
            <w:noProof/>
            <w:webHidden/>
          </w:rPr>
        </w:r>
        <w:r>
          <w:rPr>
            <w:noProof/>
            <w:webHidden/>
          </w:rPr>
          <w:fldChar w:fldCharType="separate"/>
        </w:r>
        <w:r>
          <w:rPr>
            <w:noProof/>
            <w:webHidden/>
          </w:rPr>
          <w:t>22</w:t>
        </w:r>
        <w:r>
          <w:rPr>
            <w:noProof/>
            <w:webHidden/>
          </w:rPr>
          <w:fldChar w:fldCharType="end"/>
        </w:r>
      </w:hyperlink>
    </w:p>
    <w:p w14:paraId="5EB6347E" w14:textId="3A9AA6F6" w:rsidR="00B00095" w:rsidRDefault="00000000" w:rsidP="00FB7A07">
      <w:pPr>
        <w:pStyle w:val="TOC11"/>
        <w:tabs>
          <w:tab w:val="right" w:leader="dot" w:pos="8784"/>
        </w:tabs>
      </w:pPr>
      <w:r>
        <w:fldChar w:fldCharType="end"/>
      </w:r>
    </w:p>
    <w:p w14:paraId="6795EF8F" w14:textId="2F99384A" w:rsidR="00FB7A07" w:rsidRPr="00FB7A07" w:rsidRDefault="00FB7A07" w:rsidP="00FB7A07">
      <w:pPr>
        <w:pStyle w:val="Heading1"/>
      </w:pPr>
      <w:bookmarkStart w:id="0" w:name="_Toc234632788"/>
      <w:r w:rsidRPr="00FB7A07">
        <w:lastRenderedPageBreak/>
        <w:t>Section 1: International Marketing Analysis</w:t>
      </w:r>
      <w:bookmarkEnd w:id="0"/>
    </w:p>
    <w:p w14:paraId="7E14208E" w14:textId="77777777" w:rsidR="00FB7A07" w:rsidRPr="00FB7A07" w:rsidRDefault="00FB7A07" w:rsidP="007066CC">
      <w:pPr>
        <w:pStyle w:val="Heading1"/>
      </w:pPr>
      <w:bookmarkStart w:id="1" w:name="_Toc234632789"/>
      <w:r w:rsidRPr="00FB7A07">
        <w:t>Executive Summary</w:t>
      </w:r>
      <w:bookmarkEnd w:id="1"/>
    </w:p>
    <w:p w14:paraId="6531DF18" w14:textId="77777777" w:rsidR="00FB7A07" w:rsidRPr="00FB7A07" w:rsidRDefault="00FB7A07" w:rsidP="00FB7A07">
      <w:r w:rsidRPr="00FB7A07">
        <w:t xml:space="preserve">Toyota's model in Japan and the UK shows that it can be selectively adapted and not </w:t>
      </w:r>
      <w:proofErr w:type="spellStart"/>
      <w:r w:rsidRPr="00FB7A07">
        <w:t>globalised</w:t>
      </w:r>
      <w:proofErr w:type="spellEnd"/>
      <w:r w:rsidRPr="00FB7A07">
        <w:t>. A common core of the brand is reliability, quality, safety and progressive electrification. But marketing mixes, budgets, distribution channels, communication and service proofing are sensitive to various market conditions and cultures. In Japan, they value product variety, security and technical assurance and durability of relationships. The UK needs clear and individual benefits, easy access to finance, digital convenience and an accelerated shift to battery electric. Toyota's low-risk approach to unlocking the UK market, first via export and then a distributor, then a 100% sales and manufacturing investment eased uncertainty and provided increasing levels of control. That 2023 UK ad however revealed a disconnect between image- and word-based positioning, and SUV. Acceleration of credible battery electric adoption with evidence-led environmental communications, and coordination of customer data in both the physical and digital world, will be key for future advantage.</w:t>
      </w:r>
    </w:p>
    <w:p w14:paraId="45489122" w14:textId="77777777" w:rsidR="00FB7A07" w:rsidRPr="00FB7A07" w:rsidRDefault="00FB7A07" w:rsidP="00FB7A07">
      <w:pPr>
        <w:pStyle w:val="Heading1"/>
      </w:pPr>
      <w:bookmarkStart w:id="2" w:name="_Toc234632790"/>
      <w:r w:rsidRPr="00FB7A07">
        <w:t>1. Introduction</w:t>
      </w:r>
      <w:bookmarkEnd w:id="2"/>
    </w:p>
    <w:p w14:paraId="0BF49108" w14:textId="77777777" w:rsidR="00FB7A07" w:rsidRPr="00FB7A07" w:rsidRDefault="00FB7A07" w:rsidP="00FB7A07">
      <w:r w:rsidRPr="00FB7A07">
        <w:t>Established in 1937 in Japan, Toyota Motor Corporation has grown from a car company to become a global mobility company. Its strategy continues to be based on reliable engineering, constant improvement, and a multi-pathway approach of hybrid electric vehicles (HEVs), plug-in hybrids (PHEVs), battery-electric vehicles (BEVs) and fuel-cell vehicles. This breadth is a reaction to the uneven level of infrastructure, energy systems and customer needs in the various markets, but also poses a risk that the company will not match the pace of the BEV adoption in markets where it is gaining traction (Toyota Motor Corporation, 2025).</w:t>
      </w:r>
    </w:p>
    <w:p w14:paraId="406CA4EA" w14:textId="77777777" w:rsidR="00FB7A07" w:rsidRPr="00FB7A07" w:rsidRDefault="00FB7A07" w:rsidP="00FB7A07">
      <w:r w:rsidRPr="00FB7A07">
        <w:t xml:space="preserve">The UK is a mature host market with Toyota shifting from imports to significant local production, with Japan being the home market and source of Toyota's production philosophy. Both are liberal democracies with a high standard of living, high safety requirements and high environmental standards and have demanding industrial policies, but they differ in their demographics, industrial policies, consumer culture and the rate of </w:t>
      </w:r>
      <w:r w:rsidRPr="00FB7A07">
        <w:lastRenderedPageBreak/>
        <w:t xml:space="preserve">electrification. The key strategic issue is thus not whether Toyota should </w:t>
      </w:r>
      <w:proofErr w:type="spellStart"/>
      <w:r w:rsidRPr="00FB7A07">
        <w:t>standardise</w:t>
      </w:r>
      <w:proofErr w:type="spellEnd"/>
      <w:r w:rsidRPr="00FB7A07">
        <w:t xml:space="preserve"> or adapt; it's which of its components need to be </w:t>
      </w:r>
      <w:proofErr w:type="spellStart"/>
      <w:r w:rsidRPr="00FB7A07">
        <w:t>standardised</w:t>
      </w:r>
      <w:proofErr w:type="spellEnd"/>
      <w:r w:rsidRPr="00FB7A07">
        <w:t xml:space="preserve"> and which to be adapted. This balance is now more considered as a ‘relational' and ‘contextual' one and no longer a binary choice (Poulis, 2024).</w:t>
      </w:r>
    </w:p>
    <w:p w14:paraId="22FF8A03" w14:textId="77777777" w:rsidR="00FB7A07" w:rsidRPr="00FB7A07" w:rsidRDefault="00FB7A07" w:rsidP="00FB7A07">
      <w:pPr>
        <w:pStyle w:val="Heading1"/>
      </w:pPr>
      <w:bookmarkStart w:id="3" w:name="_Toc234632791"/>
      <w:r w:rsidRPr="00FB7A07">
        <w:t>2. Comparative Market Environment</w:t>
      </w:r>
      <w:bookmarkEnd w:id="3"/>
    </w:p>
    <w:p w14:paraId="405E693C" w14:textId="77777777" w:rsidR="00FB7A07" w:rsidRPr="00FB7A07" w:rsidRDefault="00FB7A07" w:rsidP="00FB7A07">
      <w:pPr>
        <w:pStyle w:val="Heading2"/>
      </w:pPr>
      <w:bookmarkStart w:id="4" w:name="_Toc234632792"/>
      <w:r w:rsidRPr="00FB7A07">
        <w:t>2.1 PESTEL analysis</w:t>
      </w:r>
      <w:bookmarkEnd w:id="4"/>
    </w:p>
    <w:p w14:paraId="00F7FBF7" w14:textId="77777777" w:rsidR="00FB7A07" w:rsidRPr="00FB7A07" w:rsidRDefault="00FB7A07" w:rsidP="00FB7A07">
      <w:r w:rsidRPr="00FB7A07">
        <w:t>Political circumstances are stable, with varying directions of policy. HEVs, PHEVs, BEVs and fuel-cell vehicles are all considered “electrified” and Japan is targeting electrified vehicles for all new passenger cars by 2035. This strengthens Toyota's extensive technologies and hybrid capabilities. The UK is more prescriptive: Sales of cars with just internal combustion engines are to end from 2030, and the UK is introducing a growing ZEV mandate for manufacturers. Toyota's hybrid leadership is therefore very much aligned with the Japanese pathway, but is only a transitional leadership option in the UK, as regulatory compliance is increasingly becoming linked to BEV volumes (Agency for Natural Resources and Energy, 2024; Department for Transport, 2025).</w:t>
      </w:r>
    </w:p>
    <w:p w14:paraId="4489EC0D" w14:textId="77777777" w:rsidR="00FB7A07" w:rsidRPr="00FB7A07" w:rsidRDefault="00FB7A07" w:rsidP="00FB7A07">
      <w:r w:rsidRPr="00FB7A07">
        <w:t xml:space="preserve">Purchase pressures as well are generated by economic conditions. Slow growth, population decline and intense competition among Japanese manufacturers are the issues that Japan has a large domestic automobile base but slow growth. Real headspace in the UK's new-car market has exceeded the two million </w:t>
      </w:r>
      <w:proofErr w:type="gramStart"/>
      <w:r w:rsidRPr="00FB7A07">
        <w:t>mark</w:t>
      </w:r>
      <w:proofErr w:type="gramEnd"/>
      <w:r w:rsidRPr="00FB7A07">
        <w:t xml:space="preserve"> for 2025, with BEVs hitting a quarter of market demand, but at the same time headspace in real household disposable income has declined in the third quarter. Customers might thus appreciate electrification, but be price sensitive and concerned about the charging cost and uncertainty of the residual value. Toyota can support volume by offering HEV/finance products, and while strong BEV support measures might be required to meet regulatory requirements and hold off on Chinese and European competition (Office for National Statistics, 2025; Society of Motor Manufacturers and Traders, 2026a).</w:t>
      </w:r>
    </w:p>
    <w:p w14:paraId="7A3186D6" w14:textId="77777777" w:rsidR="00FB7A07" w:rsidRPr="00FB7A07" w:rsidRDefault="00FB7A07" w:rsidP="00FB7A07">
      <w:r w:rsidRPr="00FB7A07">
        <w:t xml:space="preserve">Economic conditions are peripheral to the issue of portfolio </w:t>
      </w:r>
      <w:proofErr w:type="spellStart"/>
      <w:proofErr w:type="gramStart"/>
      <w:r w:rsidRPr="00FB7A07">
        <w:t>adaptation.Social</w:t>
      </w:r>
      <w:proofErr w:type="spellEnd"/>
      <w:proofErr w:type="gramEnd"/>
      <w:r w:rsidRPr="00FB7A07">
        <w:t xml:space="preserve"> conditions are of central importance for the question of portfolio adaptation. In 2024, Japan had a population of 123.8 million, which is the smallest population in the nation's history, and it is </w:t>
      </w:r>
      <w:r w:rsidRPr="00FB7A07">
        <w:lastRenderedPageBreak/>
        <w:t xml:space="preserve">experiencing a decrease in population for the 14th year in a row: nearly one in three people is aged 65 or older in 2023. This demand thus </w:t>
      </w:r>
      <w:proofErr w:type="spellStart"/>
      <w:r w:rsidRPr="00FB7A07">
        <w:t>prioritises</w:t>
      </w:r>
      <w:proofErr w:type="spellEnd"/>
      <w:r w:rsidRPr="00FB7A07">
        <w:t xml:space="preserve"> compact cars, ease of access, enhanced safety and reassurance from the dealer and mobility solutions for the elderly. In the UK there is more of an individual culture of consumers and different use cases in urban, suburban and rural areas. Small hybrids can help to solve urban costs, crossovers can be used by families, and commercial vehicles and SUVs can continue to be used as they are in rural areas and for fleets. Even if either market is treated as a whole as being culturally homogeneous, it would still be misleading because there are significant differences within the countries (Statistics Bureau of Japan, 2025), based on age, region, household structure and income.</w:t>
      </w:r>
    </w:p>
    <w:p w14:paraId="590EBC6C" w14:textId="77777777" w:rsidR="00FB7A07" w:rsidRPr="00FB7A07" w:rsidRDefault="00FB7A07" w:rsidP="00FB7A07">
      <w:r w:rsidRPr="00FB7A07">
        <w:t xml:space="preserve">Electrification is a technology that is at the intersection of technology and environmental forces, and is at different stages of maturity. The hybrid share is well established in Japan and the proportion of alternative fuel vehicles being registered as passengers continues to increase, while the policy is still place to encourage charging infrastructure and clean energy vehicle purchases. In 2025, almost half a million BEVs were registered in the UK, but demand has not been on track with the required path way forward. Toyota's multi-pathway approach is a way to </w:t>
      </w:r>
      <w:proofErr w:type="spellStart"/>
      <w:r w:rsidRPr="00FB7A07">
        <w:t>minimise</w:t>
      </w:r>
      <w:proofErr w:type="spellEnd"/>
      <w:r w:rsidRPr="00FB7A07">
        <w:t xml:space="preserve"> technology concentration risk, but BEV products, charging relationships, and educating customers need to be done at the same time as the regulatory requirements and customer organic demand in the UK. The communication of environmental performance should also be done throughout the vehicle life cycle and not be limited to tailpipe claims (JAMA, 2025; SMMT, 2026a).</w:t>
      </w:r>
    </w:p>
    <w:p w14:paraId="292E99F8" w14:textId="40780908" w:rsidR="00B00095" w:rsidRDefault="00FB7A07" w:rsidP="00FB7A07">
      <w:r w:rsidRPr="00FB7A07">
        <w:t>Both markets have stringent type-approval, safety, product-liability, privacy and advertising requirements under the law. Toyota's focus on quality assurance is underlined in Japan by the meticulous certification culture, but there have been some irregularities in the certification of the industry in recent years, meaning that domestic reputation can't replace transparency. The CAP Code in Britain is a social-responsibility test that is applied to advertising, in addition to a truthfulness test. The distinct legal focus translates to a direct marketing impact: Technical substantiation, environmental context and digital-consent governance are not something that can be left to checking after creative development, but need to be part of campaign design before launch.</w:t>
      </w:r>
    </w:p>
    <w:p w14:paraId="7BD58E37" w14:textId="77777777" w:rsidR="00B00095" w:rsidRDefault="00000000" w:rsidP="00FB7A07">
      <w:r w:rsidRPr="00FB7A07">
        <w:rPr>
          <w:b/>
          <w:bCs/>
        </w:rPr>
        <w:t>Table 1.</w:t>
      </w:r>
      <w:r>
        <w:t xml:space="preserve"> Comparative PESTEL implications for Toyota</w:t>
      </w:r>
    </w:p>
    <w:tbl>
      <w:tblPr>
        <w:tblStyle w:val="TableGrid"/>
        <w:tblW w:w="9026" w:type="dxa"/>
        <w:jc w:val="center"/>
        <w:tblLayout w:type="fixed"/>
        <w:tblLook w:val="04A0" w:firstRow="1" w:lastRow="0" w:firstColumn="1" w:lastColumn="0" w:noHBand="0" w:noVBand="1"/>
      </w:tblPr>
      <w:tblGrid>
        <w:gridCol w:w="1700"/>
        <w:gridCol w:w="2000"/>
        <w:gridCol w:w="2000"/>
        <w:gridCol w:w="3326"/>
      </w:tblGrid>
      <w:tr w:rsidR="00B00095" w14:paraId="120EBE98" w14:textId="77777777">
        <w:trPr>
          <w:cantSplit/>
          <w:tblHeader/>
          <w:jc w:val="center"/>
        </w:trPr>
        <w:tc>
          <w:tcPr>
            <w:tcW w:w="1700" w:type="dxa"/>
            <w:shd w:val="clear" w:color="auto" w:fill="B5121B"/>
            <w:tcMar>
              <w:top w:w="90" w:type="dxa"/>
              <w:left w:w="105" w:type="dxa"/>
              <w:bottom w:w="90" w:type="dxa"/>
              <w:right w:w="105" w:type="dxa"/>
            </w:tcMar>
            <w:vAlign w:val="center"/>
          </w:tcPr>
          <w:p w14:paraId="4ABDCCFD" w14:textId="77777777" w:rsidR="00B00095" w:rsidRPr="00FB7A07" w:rsidRDefault="00000000" w:rsidP="00FB7A07">
            <w:pPr>
              <w:jc w:val="center"/>
              <w:rPr>
                <w:b/>
                <w:bCs/>
                <w:color w:val="FFFFFF" w:themeColor="background1"/>
              </w:rPr>
            </w:pPr>
            <w:r w:rsidRPr="00FB7A07">
              <w:rPr>
                <w:b/>
                <w:bCs/>
                <w:color w:val="FFFFFF" w:themeColor="background1"/>
              </w:rPr>
              <w:lastRenderedPageBreak/>
              <w:t>Factor</w:t>
            </w:r>
          </w:p>
        </w:tc>
        <w:tc>
          <w:tcPr>
            <w:tcW w:w="2000" w:type="dxa"/>
            <w:shd w:val="clear" w:color="auto" w:fill="B5121B"/>
            <w:tcMar>
              <w:top w:w="90" w:type="dxa"/>
              <w:left w:w="105" w:type="dxa"/>
              <w:bottom w:w="90" w:type="dxa"/>
              <w:right w:w="105" w:type="dxa"/>
            </w:tcMar>
            <w:vAlign w:val="center"/>
          </w:tcPr>
          <w:p w14:paraId="6E6DED3C" w14:textId="77777777" w:rsidR="00B00095" w:rsidRPr="00FB7A07" w:rsidRDefault="00000000" w:rsidP="00FB7A07">
            <w:pPr>
              <w:jc w:val="center"/>
              <w:rPr>
                <w:b/>
                <w:bCs/>
                <w:color w:val="FFFFFF" w:themeColor="background1"/>
              </w:rPr>
            </w:pPr>
            <w:r w:rsidRPr="00FB7A07">
              <w:rPr>
                <w:b/>
                <w:bCs/>
                <w:color w:val="FFFFFF" w:themeColor="background1"/>
              </w:rPr>
              <w:t>Japan</w:t>
            </w:r>
          </w:p>
        </w:tc>
        <w:tc>
          <w:tcPr>
            <w:tcW w:w="2000" w:type="dxa"/>
            <w:shd w:val="clear" w:color="auto" w:fill="B5121B"/>
            <w:tcMar>
              <w:top w:w="90" w:type="dxa"/>
              <w:left w:w="105" w:type="dxa"/>
              <w:bottom w:w="90" w:type="dxa"/>
              <w:right w:w="105" w:type="dxa"/>
            </w:tcMar>
            <w:vAlign w:val="center"/>
          </w:tcPr>
          <w:p w14:paraId="0A330326" w14:textId="77777777" w:rsidR="00B00095" w:rsidRPr="00FB7A07" w:rsidRDefault="00000000" w:rsidP="00FB7A07">
            <w:pPr>
              <w:jc w:val="center"/>
              <w:rPr>
                <w:b/>
                <w:bCs/>
                <w:color w:val="FFFFFF" w:themeColor="background1"/>
              </w:rPr>
            </w:pPr>
            <w:r w:rsidRPr="00FB7A07">
              <w:rPr>
                <w:b/>
                <w:bCs/>
                <w:color w:val="FFFFFF" w:themeColor="background1"/>
              </w:rPr>
              <w:t>United Kingdom</w:t>
            </w:r>
          </w:p>
        </w:tc>
        <w:tc>
          <w:tcPr>
            <w:tcW w:w="3326" w:type="dxa"/>
            <w:shd w:val="clear" w:color="auto" w:fill="B5121B"/>
            <w:tcMar>
              <w:top w:w="90" w:type="dxa"/>
              <w:left w:w="105" w:type="dxa"/>
              <w:bottom w:w="90" w:type="dxa"/>
              <w:right w:w="105" w:type="dxa"/>
            </w:tcMar>
            <w:vAlign w:val="center"/>
          </w:tcPr>
          <w:p w14:paraId="620C6F17" w14:textId="77777777" w:rsidR="00B00095" w:rsidRPr="00FB7A07" w:rsidRDefault="00000000" w:rsidP="00FB7A07">
            <w:pPr>
              <w:jc w:val="center"/>
              <w:rPr>
                <w:b/>
                <w:bCs/>
                <w:color w:val="FFFFFF" w:themeColor="background1"/>
              </w:rPr>
            </w:pPr>
            <w:r w:rsidRPr="00FB7A07">
              <w:rPr>
                <w:b/>
                <w:bCs/>
                <w:color w:val="FFFFFF" w:themeColor="background1"/>
              </w:rPr>
              <w:t>Strategic implication</w:t>
            </w:r>
          </w:p>
        </w:tc>
      </w:tr>
      <w:tr w:rsidR="00B00095" w14:paraId="37299018" w14:textId="77777777">
        <w:trPr>
          <w:cantSplit/>
          <w:jc w:val="center"/>
        </w:trPr>
        <w:tc>
          <w:tcPr>
            <w:tcW w:w="1700" w:type="dxa"/>
            <w:tcMar>
              <w:top w:w="90" w:type="dxa"/>
              <w:left w:w="105" w:type="dxa"/>
              <w:bottom w:w="90" w:type="dxa"/>
              <w:right w:w="105" w:type="dxa"/>
            </w:tcMar>
            <w:vAlign w:val="center"/>
          </w:tcPr>
          <w:p w14:paraId="5AB27CA6" w14:textId="77777777" w:rsidR="00B00095" w:rsidRDefault="00000000" w:rsidP="00FB7A07">
            <w:r>
              <w:t>Political</w:t>
            </w:r>
          </w:p>
        </w:tc>
        <w:tc>
          <w:tcPr>
            <w:tcW w:w="2000" w:type="dxa"/>
            <w:tcMar>
              <w:top w:w="90" w:type="dxa"/>
              <w:left w:w="105" w:type="dxa"/>
              <w:bottom w:w="90" w:type="dxa"/>
              <w:right w:w="105" w:type="dxa"/>
            </w:tcMar>
            <w:vAlign w:val="center"/>
          </w:tcPr>
          <w:p w14:paraId="0C64C553" w14:textId="77777777" w:rsidR="00B00095" w:rsidRDefault="00000000" w:rsidP="00FB7A07">
            <w:r>
              <w:t>Broad 2035 electrification pathway includes HEV, PHEV, BEV and fuel cell</w:t>
            </w:r>
          </w:p>
        </w:tc>
        <w:tc>
          <w:tcPr>
            <w:tcW w:w="2000" w:type="dxa"/>
            <w:tcMar>
              <w:top w:w="90" w:type="dxa"/>
              <w:left w:w="105" w:type="dxa"/>
              <w:bottom w:w="90" w:type="dxa"/>
              <w:right w:w="105" w:type="dxa"/>
            </w:tcMar>
            <w:vAlign w:val="center"/>
          </w:tcPr>
          <w:p w14:paraId="10F2AC8A" w14:textId="77777777" w:rsidR="00B00095" w:rsidRDefault="00000000" w:rsidP="00FB7A07">
            <w:r>
              <w:t>ZEV mandate increasingly rewards BEV registrations</w:t>
            </w:r>
          </w:p>
        </w:tc>
        <w:tc>
          <w:tcPr>
            <w:tcW w:w="3326" w:type="dxa"/>
            <w:tcMar>
              <w:top w:w="90" w:type="dxa"/>
              <w:left w:w="105" w:type="dxa"/>
              <w:bottom w:w="90" w:type="dxa"/>
              <w:right w:w="105" w:type="dxa"/>
            </w:tcMar>
            <w:vAlign w:val="center"/>
          </w:tcPr>
          <w:p w14:paraId="48D1E421" w14:textId="77777777" w:rsidR="00B00095" w:rsidRDefault="00000000" w:rsidP="00FB7A07">
            <w:r>
              <w:t>Retain multi-pathway depth in Japan; shift UK launch and media weight toward BEVs</w:t>
            </w:r>
          </w:p>
        </w:tc>
      </w:tr>
      <w:tr w:rsidR="00B00095" w14:paraId="1279B9EC" w14:textId="77777777">
        <w:trPr>
          <w:cantSplit/>
          <w:jc w:val="center"/>
        </w:trPr>
        <w:tc>
          <w:tcPr>
            <w:tcW w:w="1700" w:type="dxa"/>
            <w:shd w:val="clear" w:color="auto" w:fill="F2F4F7"/>
            <w:tcMar>
              <w:top w:w="90" w:type="dxa"/>
              <w:left w:w="105" w:type="dxa"/>
              <w:bottom w:w="90" w:type="dxa"/>
              <w:right w:w="105" w:type="dxa"/>
            </w:tcMar>
            <w:vAlign w:val="center"/>
          </w:tcPr>
          <w:p w14:paraId="5089B4D8" w14:textId="77777777" w:rsidR="00B00095" w:rsidRDefault="00000000" w:rsidP="00FB7A07">
            <w:r>
              <w:t>Economic</w:t>
            </w:r>
          </w:p>
        </w:tc>
        <w:tc>
          <w:tcPr>
            <w:tcW w:w="2000" w:type="dxa"/>
            <w:shd w:val="clear" w:color="auto" w:fill="F2F4F7"/>
            <w:tcMar>
              <w:top w:w="90" w:type="dxa"/>
              <w:left w:w="105" w:type="dxa"/>
              <w:bottom w:w="90" w:type="dxa"/>
              <w:right w:w="105" w:type="dxa"/>
            </w:tcMar>
            <w:vAlign w:val="center"/>
          </w:tcPr>
          <w:p w14:paraId="4DEBB14A" w14:textId="77777777" w:rsidR="00B00095" w:rsidRDefault="00000000" w:rsidP="00FB7A07">
            <w:r>
              <w:t>Mature domestic industry, modest growth and strong local competition</w:t>
            </w:r>
          </w:p>
        </w:tc>
        <w:tc>
          <w:tcPr>
            <w:tcW w:w="2000" w:type="dxa"/>
            <w:shd w:val="clear" w:color="auto" w:fill="F2F4F7"/>
            <w:tcMar>
              <w:top w:w="90" w:type="dxa"/>
              <w:left w:w="105" w:type="dxa"/>
              <w:bottom w:w="90" w:type="dxa"/>
              <w:right w:w="105" w:type="dxa"/>
            </w:tcMar>
            <w:vAlign w:val="center"/>
          </w:tcPr>
          <w:p w14:paraId="65FD3028" w14:textId="77777777" w:rsidR="00B00095" w:rsidRDefault="00000000" w:rsidP="00FB7A07">
            <w:r>
              <w:t>Large market, weak income growth and price-sensitive transition</w:t>
            </w:r>
          </w:p>
        </w:tc>
        <w:tc>
          <w:tcPr>
            <w:tcW w:w="3326" w:type="dxa"/>
            <w:shd w:val="clear" w:color="auto" w:fill="F2F4F7"/>
            <w:tcMar>
              <w:top w:w="90" w:type="dxa"/>
              <w:left w:w="105" w:type="dxa"/>
              <w:bottom w:w="90" w:type="dxa"/>
              <w:right w:w="105" w:type="dxa"/>
            </w:tcMar>
            <w:vAlign w:val="center"/>
          </w:tcPr>
          <w:p w14:paraId="3D2D6B4A" w14:textId="77777777" w:rsidR="00B00095" w:rsidRDefault="00000000" w:rsidP="00FB7A07">
            <w:r>
              <w:t>Use dense domestic choice in Japan and finance-led affordability in the UK</w:t>
            </w:r>
          </w:p>
        </w:tc>
      </w:tr>
      <w:tr w:rsidR="00B00095" w14:paraId="492D1180" w14:textId="77777777">
        <w:trPr>
          <w:cantSplit/>
          <w:jc w:val="center"/>
        </w:trPr>
        <w:tc>
          <w:tcPr>
            <w:tcW w:w="1700" w:type="dxa"/>
            <w:tcMar>
              <w:top w:w="90" w:type="dxa"/>
              <w:left w:w="105" w:type="dxa"/>
              <w:bottom w:w="90" w:type="dxa"/>
              <w:right w:w="105" w:type="dxa"/>
            </w:tcMar>
            <w:vAlign w:val="center"/>
          </w:tcPr>
          <w:p w14:paraId="62DE4383" w14:textId="77777777" w:rsidR="00B00095" w:rsidRDefault="00000000" w:rsidP="00FB7A07">
            <w:r>
              <w:t>Social</w:t>
            </w:r>
          </w:p>
        </w:tc>
        <w:tc>
          <w:tcPr>
            <w:tcW w:w="2000" w:type="dxa"/>
            <w:tcMar>
              <w:top w:w="90" w:type="dxa"/>
              <w:left w:w="105" w:type="dxa"/>
              <w:bottom w:w="90" w:type="dxa"/>
              <w:right w:w="105" w:type="dxa"/>
            </w:tcMar>
            <w:vAlign w:val="center"/>
          </w:tcPr>
          <w:p w14:paraId="03D0DBF3" w14:textId="77777777" w:rsidR="00B00095" w:rsidRDefault="00000000" w:rsidP="00FB7A07">
            <w:r>
              <w:t>Shrinking, ageing population and dense cities</w:t>
            </w:r>
          </w:p>
        </w:tc>
        <w:tc>
          <w:tcPr>
            <w:tcW w:w="2000" w:type="dxa"/>
            <w:tcMar>
              <w:top w:w="90" w:type="dxa"/>
              <w:left w:w="105" w:type="dxa"/>
              <w:bottom w:w="90" w:type="dxa"/>
              <w:right w:w="105" w:type="dxa"/>
            </w:tcMar>
            <w:vAlign w:val="center"/>
          </w:tcPr>
          <w:p w14:paraId="7E92A734" w14:textId="77777777" w:rsidR="00B00095" w:rsidRDefault="00000000" w:rsidP="00FB7A07">
            <w:r>
              <w:t>Diverse household, fleet and rural mobility needs</w:t>
            </w:r>
          </w:p>
        </w:tc>
        <w:tc>
          <w:tcPr>
            <w:tcW w:w="3326" w:type="dxa"/>
            <w:tcMar>
              <w:top w:w="90" w:type="dxa"/>
              <w:left w:w="105" w:type="dxa"/>
              <w:bottom w:w="90" w:type="dxa"/>
              <w:right w:w="105" w:type="dxa"/>
            </w:tcMar>
            <w:vAlign w:val="center"/>
          </w:tcPr>
          <w:p w14:paraId="5B25835B" w14:textId="77777777" w:rsidR="00B00095" w:rsidRDefault="00000000" w:rsidP="00FB7A07">
            <w:proofErr w:type="spellStart"/>
            <w:r>
              <w:t>Prioritise</w:t>
            </w:r>
            <w:proofErr w:type="spellEnd"/>
            <w:r>
              <w:t xml:space="preserve"> compactness, safety and accessibility in Japan; segment by lifestyle and use case in the UK</w:t>
            </w:r>
          </w:p>
        </w:tc>
      </w:tr>
      <w:tr w:rsidR="00B00095" w14:paraId="163FEBEE" w14:textId="77777777">
        <w:trPr>
          <w:cantSplit/>
          <w:jc w:val="center"/>
        </w:trPr>
        <w:tc>
          <w:tcPr>
            <w:tcW w:w="1700" w:type="dxa"/>
            <w:shd w:val="clear" w:color="auto" w:fill="F2F4F7"/>
            <w:tcMar>
              <w:top w:w="90" w:type="dxa"/>
              <w:left w:w="105" w:type="dxa"/>
              <w:bottom w:w="90" w:type="dxa"/>
              <w:right w:w="105" w:type="dxa"/>
            </w:tcMar>
            <w:vAlign w:val="center"/>
          </w:tcPr>
          <w:p w14:paraId="6105345D" w14:textId="77777777" w:rsidR="00B00095" w:rsidRDefault="00000000" w:rsidP="00FB7A07">
            <w:r>
              <w:t>Technological</w:t>
            </w:r>
          </w:p>
        </w:tc>
        <w:tc>
          <w:tcPr>
            <w:tcW w:w="2000" w:type="dxa"/>
            <w:shd w:val="clear" w:color="auto" w:fill="F2F4F7"/>
            <w:tcMar>
              <w:top w:w="90" w:type="dxa"/>
              <w:left w:w="105" w:type="dxa"/>
              <w:bottom w:w="90" w:type="dxa"/>
              <w:right w:w="105" w:type="dxa"/>
            </w:tcMar>
            <w:vAlign w:val="center"/>
          </w:tcPr>
          <w:p w14:paraId="1FB6BDF6" w14:textId="77777777" w:rsidR="00B00095" w:rsidRDefault="00000000" w:rsidP="00FB7A07">
            <w:r>
              <w:t>Strong hybrid ecosystem and manufacturing capability</w:t>
            </w:r>
          </w:p>
        </w:tc>
        <w:tc>
          <w:tcPr>
            <w:tcW w:w="2000" w:type="dxa"/>
            <w:shd w:val="clear" w:color="auto" w:fill="F2F4F7"/>
            <w:tcMar>
              <w:top w:w="90" w:type="dxa"/>
              <w:left w:w="105" w:type="dxa"/>
              <w:bottom w:w="90" w:type="dxa"/>
              <w:right w:w="105" w:type="dxa"/>
            </w:tcMar>
            <w:vAlign w:val="center"/>
          </w:tcPr>
          <w:p w14:paraId="40A2489B" w14:textId="77777777" w:rsidR="00B00095" w:rsidRDefault="00000000" w:rsidP="00FB7A07">
            <w:r>
              <w:t>Faster BEV adoption but uneven charging confidence</w:t>
            </w:r>
          </w:p>
        </w:tc>
        <w:tc>
          <w:tcPr>
            <w:tcW w:w="3326" w:type="dxa"/>
            <w:shd w:val="clear" w:color="auto" w:fill="F2F4F7"/>
            <w:tcMar>
              <w:top w:w="90" w:type="dxa"/>
              <w:left w:w="105" w:type="dxa"/>
              <w:bottom w:w="90" w:type="dxa"/>
              <w:right w:w="105" w:type="dxa"/>
            </w:tcMar>
            <w:vAlign w:val="center"/>
          </w:tcPr>
          <w:p w14:paraId="2CC82BAA" w14:textId="77777777" w:rsidR="00B00095" w:rsidRDefault="00000000" w:rsidP="00FB7A07">
            <w:proofErr w:type="spellStart"/>
            <w:r>
              <w:t>Monetise</w:t>
            </w:r>
            <w:proofErr w:type="spellEnd"/>
            <w:r>
              <w:t xml:space="preserve"> hybrid know-how while building UK charging and software partnerships</w:t>
            </w:r>
          </w:p>
        </w:tc>
      </w:tr>
      <w:tr w:rsidR="00B00095" w14:paraId="7E28A5F9" w14:textId="77777777">
        <w:trPr>
          <w:cantSplit/>
          <w:jc w:val="center"/>
        </w:trPr>
        <w:tc>
          <w:tcPr>
            <w:tcW w:w="1700" w:type="dxa"/>
            <w:tcMar>
              <w:top w:w="90" w:type="dxa"/>
              <w:left w:w="105" w:type="dxa"/>
              <w:bottom w:w="90" w:type="dxa"/>
              <w:right w:w="105" w:type="dxa"/>
            </w:tcMar>
            <w:vAlign w:val="center"/>
          </w:tcPr>
          <w:p w14:paraId="2D4AD4C4" w14:textId="77777777" w:rsidR="00B00095" w:rsidRDefault="00000000" w:rsidP="00FB7A07">
            <w:r>
              <w:t>Environmental</w:t>
            </w:r>
          </w:p>
        </w:tc>
        <w:tc>
          <w:tcPr>
            <w:tcW w:w="2000" w:type="dxa"/>
            <w:tcMar>
              <w:top w:w="90" w:type="dxa"/>
              <w:left w:w="105" w:type="dxa"/>
              <w:bottom w:w="90" w:type="dxa"/>
              <w:right w:w="105" w:type="dxa"/>
            </w:tcMar>
            <w:vAlign w:val="center"/>
          </w:tcPr>
          <w:p w14:paraId="2AD12BBC" w14:textId="77777777" w:rsidR="00B00095" w:rsidRDefault="00000000" w:rsidP="00FB7A07">
            <w:r>
              <w:t>Life-cycle efficiency and resource security shape policy</w:t>
            </w:r>
          </w:p>
        </w:tc>
        <w:tc>
          <w:tcPr>
            <w:tcW w:w="2000" w:type="dxa"/>
            <w:tcMar>
              <w:top w:w="90" w:type="dxa"/>
              <w:left w:w="105" w:type="dxa"/>
              <w:bottom w:w="90" w:type="dxa"/>
              <w:right w:w="105" w:type="dxa"/>
            </w:tcMar>
            <w:vAlign w:val="center"/>
          </w:tcPr>
          <w:p w14:paraId="35879E8B" w14:textId="77777777" w:rsidR="00B00095" w:rsidRDefault="00000000" w:rsidP="00FB7A07">
            <w:r>
              <w:t xml:space="preserve">Binding </w:t>
            </w:r>
            <w:proofErr w:type="spellStart"/>
            <w:r>
              <w:t>decarbonisation</w:t>
            </w:r>
            <w:proofErr w:type="spellEnd"/>
            <w:r>
              <w:t xml:space="preserve"> pathway and active scrutiny of high-carbon promotion</w:t>
            </w:r>
          </w:p>
        </w:tc>
        <w:tc>
          <w:tcPr>
            <w:tcW w:w="3326" w:type="dxa"/>
            <w:tcMar>
              <w:top w:w="90" w:type="dxa"/>
              <w:left w:w="105" w:type="dxa"/>
              <w:bottom w:w="90" w:type="dxa"/>
              <w:right w:w="105" w:type="dxa"/>
            </w:tcMar>
            <w:vAlign w:val="center"/>
          </w:tcPr>
          <w:p w14:paraId="2EDA0CC5" w14:textId="77777777" w:rsidR="00B00095" w:rsidRDefault="00000000" w:rsidP="00FB7A07">
            <w:r>
              <w:t>Publish comparable life-cycle evidence and avoid nature imagery detached from vehicle purpose</w:t>
            </w:r>
          </w:p>
        </w:tc>
      </w:tr>
      <w:tr w:rsidR="00B00095" w14:paraId="67697EEF" w14:textId="77777777">
        <w:trPr>
          <w:cantSplit/>
          <w:jc w:val="center"/>
        </w:trPr>
        <w:tc>
          <w:tcPr>
            <w:tcW w:w="1700" w:type="dxa"/>
            <w:shd w:val="clear" w:color="auto" w:fill="F2F4F7"/>
            <w:tcMar>
              <w:top w:w="90" w:type="dxa"/>
              <w:left w:w="105" w:type="dxa"/>
              <w:bottom w:w="90" w:type="dxa"/>
              <w:right w:w="105" w:type="dxa"/>
            </w:tcMar>
            <w:vAlign w:val="center"/>
          </w:tcPr>
          <w:p w14:paraId="78743B70" w14:textId="77777777" w:rsidR="00B00095" w:rsidRDefault="00000000" w:rsidP="00FB7A07">
            <w:r>
              <w:lastRenderedPageBreak/>
              <w:t>Legal</w:t>
            </w:r>
          </w:p>
        </w:tc>
        <w:tc>
          <w:tcPr>
            <w:tcW w:w="2000" w:type="dxa"/>
            <w:shd w:val="clear" w:color="auto" w:fill="F2F4F7"/>
            <w:tcMar>
              <w:top w:w="90" w:type="dxa"/>
              <w:left w:w="105" w:type="dxa"/>
              <w:bottom w:w="90" w:type="dxa"/>
              <w:right w:w="105" w:type="dxa"/>
            </w:tcMar>
            <w:vAlign w:val="center"/>
          </w:tcPr>
          <w:p w14:paraId="1E192CCE" w14:textId="77777777" w:rsidR="00B00095" w:rsidRDefault="00000000" w:rsidP="00FB7A07">
            <w:r>
              <w:t>Detailed certification and consumer-safety expectations</w:t>
            </w:r>
          </w:p>
        </w:tc>
        <w:tc>
          <w:tcPr>
            <w:tcW w:w="2000" w:type="dxa"/>
            <w:shd w:val="clear" w:color="auto" w:fill="F2F4F7"/>
            <w:tcMar>
              <w:top w:w="90" w:type="dxa"/>
              <w:left w:w="105" w:type="dxa"/>
              <w:bottom w:w="90" w:type="dxa"/>
              <w:right w:w="105" w:type="dxa"/>
            </w:tcMar>
            <w:vAlign w:val="center"/>
          </w:tcPr>
          <w:p w14:paraId="46D88AB7" w14:textId="77777777" w:rsidR="00B00095" w:rsidRDefault="00000000" w:rsidP="00FB7A07">
            <w:r>
              <w:t>ZEV, data-protection and strict advertising responsibility</w:t>
            </w:r>
          </w:p>
        </w:tc>
        <w:tc>
          <w:tcPr>
            <w:tcW w:w="3326" w:type="dxa"/>
            <w:shd w:val="clear" w:color="auto" w:fill="F2F4F7"/>
            <w:tcMar>
              <w:top w:w="90" w:type="dxa"/>
              <w:left w:w="105" w:type="dxa"/>
              <w:bottom w:w="90" w:type="dxa"/>
              <w:right w:w="105" w:type="dxa"/>
            </w:tcMar>
            <w:vAlign w:val="center"/>
          </w:tcPr>
          <w:p w14:paraId="7C4E6AF0" w14:textId="77777777" w:rsidR="00B00095" w:rsidRDefault="00000000" w:rsidP="00FB7A07">
            <w:r>
              <w:t>Establish market-level compliance gates for product, data and creative claims</w:t>
            </w:r>
          </w:p>
        </w:tc>
      </w:tr>
    </w:tbl>
    <w:p w14:paraId="4C3D2C2B" w14:textId="77777777" w:rsidR="00B00095" w:rsidRPr="00FB7A07" w:rsidRDefault="00000000" w:rsidP="00FB7A07">
      <w:pPr>
        <w:rPr>
          <w:i/>
          <w:iCs/>
          <w:sz w:val="22"/>
          <w:szCs w:val="20"/>
        </w:rPr>
      </w:pPr>
      <w:r w:rsidRPr="00FB7A07">
        <w:rPr>
          <w:i/>
          <w:iCs/>
          <w:sz w:val="22"/>
          <w:szCs w:val="20"/>
        </w:rPr>
        <w:t>Source: Compiled from Agency for Natural Resources and Energy (2024), Statistics Bureau of Japan (2025), Department for Transport (2025), Office for National Statistics (2025) and Society of Motor Manufacturers and Traders (2026a).</w:t>
      </w:r>
    </w:p>
    <w:p w14:paraId="4E9DF345" w14:textId="77777777" w:rsidR="00FB7A07" w:rsidRPr="00FB7A07" w:rsidRDefault="00FB7A07" w:rsidP="00FB7A07">
      <w:r w:rsidRPr="00FB7A07">
        <w:t>PESTEL can be helpful to uncover external constraints, but can lead to static lists and false equivalences between factors. The key interaction is between regulation, income and technology, which all influence adoption. If the price of the vehicles and the confidence in charging is still an issue, then a strict mandate in the UK does not automatically generate consumer demand. On the other hand, Japan's overall policy framing could help to maintain hybrid volume and reduce the urgency for BEVs. The framework is thus interpreted here as a connected one, and not as a prediction.</w:t>
      </w:r>
    </w:p>
    <w:p w14:paraId="1C8A73C9" w14:textId="77777777" w:rsidR="00FB7A07" w:rsidRPr="00FB7A07" w:rsidRDefault="00FB7A07" w:rsidP="00FB7A07">
      <w:pPr>
        <w:pStyle w:val="Heading2"/>
      </w:pPr>
      <w:bookmarkStart w:id="5" w:name="_Toc234632793"/>
      <w:r w:rsidRPr="00FB7A07">
        <w:t>2.2 Hofstede cultural comparison</w:t>
      </w:r>
      <w:bookmarkEnd w:id="5"/>
    </w:p>
    <w:p w14:paraId="694EF507" w14:textId="662C1F1E" w:rsidR="00B00095" w:rsidRDefault="00FB7A07" w:rsidP="00FB7A07">
      <w:r w:rsidRPr="00FB7A07">
        <w:t>Uncertainty avoidance and long-term orientation and indulgence are the dimensions with the most distinct differences in the six dimensions of The Culture Factor. The uncertainty avoidance score for Japan is 92, and the long-term orientation score is 100, while the scores for the UK are 35 and 60 respectively. There is also a very high level of achievement motivation in Japan (95) compared to the UK (66). These patterns facilitate detailed technical information, staged decision processes, craftsmanship, durability and long ownership assurance in Japan. British communications are more direct, flexible and benefit-led, and individual choice and immediate usability are more apparent</w:t>
      </w:r>
      <w:r>
        <w:t xml:space="preserve"> (The Culture Factor Group, 2026).</w:t>
      </w:r>
    </w:p>
    <w:p w14:paraId="45A9BB13" w14:textId="77777777" w:rsidR="00B00095" w:rsidRDefault="00000000">
      <w:pPr>
        <w:keepNext/>
        <w:spacing w:after="60"/>
        <w:jc w:val="center"/>
      </w:pPr>
      <w:r>
        <w:rPr>
          <w:noProof/>
        </w:rPr>
        <w:lastRenderedPageBreak/>
        <w:drawing>
          <wp:inline distT="0" distB="0" distL="0" distR="0" wp14:anchorId="0DE898C9" wp14:editId="2F39FDE9">
            <wp:extent cx="5623560" cy="3085396"/>
            <wp:effectExtent l="0" t="0" r="0" b="0"/>
            <wp:docPr id="2" name="Picture 2" descr="Bar chart comparing Japan and United Kingdom scores across six Hofstede cultural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stede_comparison.png"/>
                    <pic:cNvPicPr/>
                  </pic:nvPicPr>
                  <pic:blipFill>
                    <a:blip r:embed="rId9"/>
                    <a:stretch>
                      <a:fillRect/>
                    </a:stretch>
                  </pic:blipFill>
                  <pic:spPr>
                    <a:xfrm>
                      <a:off x="0" y="0"/>
                      <a:ext cx="5623560" cy="3085396"/>
                    </a:xfrm>
                    <a:prstGeom prst="rect">
                      <a:avLst/>
                    </a:prstGeom>
                  </pic:spPr>
                </pic:pic>
              </a:graphicData>
            </a:graphic>
          </wp:inline>
        </w:drawing>
      </w:r>
    </w:p>
    <w:p w14:paraId="7CA5D76A" w14:textId="105A3216" w:rsidR="00FB7A07" w:rsidRPr="00FB7A07" w:rsidRDefault="00FB7A07" w:rsidP="00FB7A07">
      <w:pPr>
        <w:spacing w:after="0"/>
        <w:jc w:val="center"/>
        <w:rPr>
          <w:rFonts w:cs="Calibri"/>
          <w:i/>
          <w:iCs/>
          <w:sz w:val="22"/>
        </w:rPr>
      </w:pPr>
      <w:r w:rsidRPr="00FB7A07">
        <w:rPr>
          <w:rFonts w:cs="Calibri"/>
          <w:i/>
          <w:iCs/>
          <w:sz w:val="22"/>
        </w:rPr>
        <w:t>Figure 1. Hofstede six-dimension comparison: Japan and the United Kingdom</w:t>
      </w:r>
    </w:p>
    <w:p w14:paraId="1B7A9648" w14:textId="10573556" w:rsidR="00B00095" w:rsidRPr="00FB7A07" w:rsidRDefault="00000000" w:rsidP="00FB7A07">
      <w:pPr>
        <w:spacing w:after="0"/>
        <w:jc w:val="center"/>
        <w:rPr>
          <w:rFonts w:cs="Calibri"/>
          <w:i/>
          <w:iCs/>
          <w:sz w:val="22"/>
        </w:rPr>
      </w:pPr>
      <w:r w:rsidRPr="00FB7A07">
        <w:rPr>
          <w:rFonts w:cs="Calibri"/>
          <w:i/>
          <w:iCs/>
          <w:sz w:val="22"/>
        </w:rPr>
        <w:t>Source: The Culture Factor Group (2026).</w:t>
      </w:r>
    </w:p>
    <w:p w14:paraId="74634345" w14:textId="77777777" w:rsidR="00FB7A07" w:rsidRPr="00FB7A07" w:rsidRDefault="00FB7A07" w:rsidP="00FB7A07">
      <w:r w:rsidRPr="00FB7A07">
        <w:t>In Japan the PDI for 74, IDI for 62, in comparison, UK the PDI for 35 and the IDI of 76 are moderate. Toyota's selling methodology in Japan can therefore still remain in place, namely the expert guidance, the well-timed explanations and reassurance, not only by the brand, but also by the dealer. Transparency of comparing, self-configuration and messages regarding personal control are more effective with customers in the UK. But Japan's score of 42 (vs. Britain's score of 69) means that there's less of a tolerance for indulgence in advertising, which is particularly important to consider when evaluating how often qualities might need to be demonstrated in a material that is often humorous, leisurely and lifestyle-oriented in Britain.</w:t>
      </w:r>
    </w:p>
    <w:p w14:paraId="1F18AE92" w14:textId="77777777" w:rsidR="00FB7A07" w:rsidRPr="00FB7A07" w:rsidRDefault="00FB7A07" w:rsidP="00FB7A07">
      <w:r w:rsidRPr="00FB7A07">
        <w:t xml:space="preserve">These are not descriptions of all consumers; rather they are a set of hypotheses that are directional. There may be class, age, regional and generational variations which may be obscured by Hofstede's national averages, and some contest his original model as assuming coherent nation-state units, that is, assuming that countries are homogenous groups. Thus, it should apply behavioral data and dealer feedback and conduct segment research to test cultural propositions at Toyota. It does not imply that the dimensions are inherently ‘bad'—when used carefully, they might account for the fact that the same communications are interpreted differently; but mechanically, they can also serve to create stereotypes and disregard fast-changing attitudes (as noted by McSweeney, 2002). Cross-cultural evidence </w:t>
      </w:r>
      <w:r w:rsidRPr="00FB7A07">
        <w:lastRenderedPageBreak/>
        <w:t xml:space="preserve">indicates that identity, information processing and motivation are important factors that influence branding and advertising, and segment evidence should hold ultimate sway (de </w:t>
      </w:r>
      <w:proofErr w:type="spellStart"/>
      <w:r w:rsidRPr="00FB7A07">
        <w:t>Mooij</w:t>
      </w:r>
      <w:proofErr w:type="spellEnd"/>
      <w:r w:rsidRPr="00FB7A07">
        <w:t xml:space="preserve"> and Hofstede, 2011).</w:t>
      </w:r>
    </w:p>
    <w:p w14:paraId="10EDDE4D" w14:textId="77777777" w:rsidR="00FB7A07" w:rsidRPr="00FB7A07" w:rsidRDefault="00FB7A07" w:rsidP="00FB7A07">
      <w:pPr>
        <w:pStyle w:val="Heading1"/>
      </w:pPr>
      <w:bookmarkStart w:id="6" w:name="_Toc234632794"/>
      <w:r w:rsidRPr="00FB7A07">
        <w:t>3. Segmentation, Targeting and Positioning</w:t>
      </w:r>
      <w:bookmarkEnd w:id="6"/>
    </w:p>
    <w:p w14:paraId="1075D97C" w14:textId="21EE3E8D" w:rsidR="00FB7A07" w:rsidRPr="00FB7A07" w:rsidRDefault="00FB7A07" w:rsidP="00FB7A07">
      <w:r w:rsidRPr="00FB7A07">
        <w:t xml:space="preserve">Toyota has the same differentiated strategy in both markets; the segment architecture is adjusted based on the local demand. Japan's extensive range is suitable for first time city drivers, families, older motorists, enthusiasts, consumers with a high concentration on quality and commercial vehicles and customers that demand accessible vehicles. Size is a key consideration as well as body type and context – such as compact hatchbacks, minivan, SUVs as well as sports and </w:t>
      </w:r>
      <w:proofErr w:type="spellStart"/>
      <w:r w:rsidRPr="00FB7A07">
        <w:t>specialised</w:t>
      </w:r>
      <w:proofErr w:type="spellEnd"/>
      <w:r w:rsidRPr="00FB7A07">
        <w:t xml:space="preserve"> mobility. Leasing plays a crucial role in the Japanese market, where the KINTO subscription model and other connected services are also performing well, helping to transform car ownership into a preferred option (Toyota Motor Corporation, 2026a).</w:t>
      </w:r>
    </w:p>
    <w:p w14:paraId="44B41D2A" w14:textId="728805B5" w:rsidR="00B00095" w:rsidRDefault="00FB7A07" w:rsidP="00FB7A07">
      <w:r w:rsidRPr="00FB7A07">
        <w:t xml:space="preserve">Toyota's range in the UK is more focused and blatantly geared towards Urban mobility, family moving, electrified driving, business fleets and commercial uses. Yaris and Aygo X cater to compact-car buyers; Yaris Cross, C-HR, RAV4 and bZ4X cater for crossover buyers; Corolla caters for the family and fleet buyers; and Hilux, </w:t>
      </w:r>
      <w:proofErr w:type="spellStart"/>
      <w:r w:rsidRPr="00FB7A07">
        <w:t>Proace</w:t>
      </w:r>
      <w:proofErr w:type="spellEnd"/>
      <w:r w:rsidRPr="00FB7A07">
        <w:t xml:space="preserve"> and Land Cruiser caters for professional capability. Indication of target – monthly affordability and use case as well as demographics in online model selection, finance/business-contracts options </w:t>
      </w:r>
      <w:r>
        <w:t>(Toyota (GB), 2026a).</w:t>
      </w:r>
    </w:p>
    <w:p w14:paraId="4CCFA5EE" w14:textId="77777777" w:rsidR="00B00095" w:rsidRDefault="00000000" w:rsidP="00FB7A07">
      <w:r w:rsidRPr="00FB7A07">
        <w:rPr>
          <w:b/>
          <w:bCs/>
        </w:rPr>
        <w:t>Table 2.</w:t>
      </w:r>
      <w:r>
        <w:t xml:space="preserve"> Comparative STP strategy</w:t>
      </w:r>
    </w:p>
    <w:tbl>
      <w:tblPr>
        <w:tblStyle w:val="TableGrid"/>
        <w:tblW w:w="9026" w:type="dxa"/>
        <w:jc w:val="center"/>
        <w:tblLayout w:type="fixed"/>
        <w:tblLook w:val="04A0" w:firstRow="1" w:lastRow="0" w:firstColumn="1" w:lastColumn="0" w:noHBand="0" w:noVBand="1"/>
      </w:tblPr>
      <w:tblGrid>
        <w:gridCol w:w="1700"/>
        <w:gridCol w:w="2100"/>
        <w:gridCol w:w="2100"/>
        <w:gridCol w:w="3126"/>
      </w:tblGrid>
      <w:tr w:rsidR="00B00095" w14:paraId="57EE0159" w14:textId="77777777">
        <w:trPr>
          <w:cantSplit/>
          <w:tblHeader/>
          <w:jc w:val="center"/>
        </w:trPr>
        <w:tc>
          <w:tcPr>
            <w:tcW w:w="1700" w:type="dxa"/>
            <w:shd w:val="clear" w:color="auto" w:fill="B5121B"/>
            <w:tcMar>
              <w:top w:w="90" w:type="dxa"/>
              <w:left w:w="105" w:type="dxa"/>
              <w:bottom w:w="90" w:type="dxa"/>
              <w:right w:w="105" w:type="dxa"/>
            </w:tcMar>
            <w:vAlign w:val="center"/>
          </w:tcPr>
          <w:p w14:paraId="551D74D9" w14:textId="77777777" w:rsidR="00B00095" w:rsidRPr="00FB7A07" w:rsidRDefault="00000000" w:rsidP="00FB7A07">
            <w:pPr>
              <w:jc w:val="center"/>
              <w:rPr>
                <w:b/>
                <w:bCs/>
                <w:color w:val="FFFFFF" w:themeColor="background1"/>
              </w:rPr>
            </w:pPr>
            <w:r w:rsidRPr="00FB7A07">
              <w:rPr>
                <w:b/>
                <w:bCs/>
                <w:color w:val="FFFFFF" w:themeColor="background1"/>
              </w:rPr>
              <w:t>STP element</w:t>
            </w:r>
          </w:p>
        </w:tc>
        <w:tc>
          <w:tcPr>
            <w:tcW w:w="2100" w:type="dxa"/>
            <w:shd w:val="clear" w:color="auto" w:fill="B5121B"/>
            <w:tcMar>
              <w:top w:w="90" w:type="dxa"/>
              <w:left w:w="105" w:type="dxa"/>
              <w:bottom w:w="90" w:type="dxa"/>
              <w:right w:w="105" w:type="dxa"/>
            </w:tcMar>
            <w:vAlign w:val="center"/>
          </w:tcPr>
          <w:p w14:paraId="66189D6B" w14:textId="77777777" w:rsidR="00B00095" w:rsidRPr="00FB7A07" w:rsidRDefault="00000000" w:rsidP="00FB7A07">
            <w:pPr>
              <w:jc w:val="center"/>
              <w:rPr>
                <w:b/>
                <w:bCs/>
                <w:color w:val="FFFFFF" w:themeColor="background1"/>
              </w:rPr>
            </w:pPr>
            <w:r w:rsidRPr="00FB7A07">
              <w:rPr>
                <w:b/>
                <w:bCs/>
                <w:color w:val="FFFFFF" w:themeColor="background1"/>
              </w:rPr>
              <w:t>Japan</w:t>
            </w:r>
          </w:p>
        </w:tc>
        <w:tc>
          <w:tcPr>
            <w:tcW w:w="2100" w:type="dxa"/>
            <w:shd w:val="clear" w:color="auto" w:fill="B5121B"/>
            <w:tcMar>
              <w:top w:w="90" w:type="dxa"/>
              <w:left w:w="105" w:type="dxa"/>
              <w:bottom w:w="90" w:type="dxa"/>
              <w:right w:w="105" w:type="dxa"/>
            </w:tcMar>
            <w:vAlign w:val="center"/>
          </w:tcPr>
          <w:p w14:paraId="595C03FC" w14:textId="77777777" w:rsidR="00B00095" w:rsidRPr="00FB7A07" w:rsidRDefault="00000000" w:rsidP="00FB7A07">
            <w:pPr>
              <w:jc w:val="center"/>
              <w:rPr>
                <w:b/>
                <w:bCs/>
                <w:color w:val="FFFFFF" w:themeColor="background1"/>
              </w:rPr>
            </w:pPr>
            <w:r w:rsidRPr="00FB7A07">
              <w:rPr>
                <w:b/>
                <w:bCs/>
                <w:color w:val="FFFFFF" w:themeColor="background1"/>
              </w:rPr>
              <w:t>United Kingdom</w:t>
            </w:r>
          </w:p>
        </w:tc>
        <w:tc>
          <w:tcPr>
            <w:tcW w:w="3126" w:type="dxa"/>
            <w:shd w:val="clear" w:color="auto" w:fill="B5121B"/>
            <w:tcMar>
              <w:top w:w="90" w:type="dxa"/>
              <w:left w:w="105" w:type="dxa"/>
              <w:bottom w:w="90" w:type="dxa"/>
              <w:right w:w="105" w:type="dxa"/>
            </w:tcMar>
            <w:vAlign w:val="center"/>
          </w:tcPr>
          <w:p w14:paraId="3A11CCE3" w14:textId="77777777" w:rsidR="00B00095" w:rsidRPr="00FB7A07" w:rsidRDefault="00000000" w:rsidP="00FB7A07">
            <w:pPr>
              <w:jc w:val="center"/>
              <w:rPr>
                <w:b/>
                <w:bCs/>
                <w:color w:val="FFFFFF" w:themeColor="background1"/>
              </w:rPr>
            </w:pPr>
            <w:r w:rsidRPr="00FB7A07">
              <w:rPr>
                <w:b/>
                <w:bCs/>
                <w:color w:val="FFFFFF" w:themeColor="background1"/>
              </w:rPr>
              <w:t>Critical assessment</w:t>
            </w:r>
          </w:p>
        </w:tc>
      </w:tr>
      <w:tr w:rsidR="00B00095" w14:paraId="0D0E886D" w14:textId="77777777">
        <w:trPr>
          <w:cantSplit/>
          <w:jc w:val="center"/>
        </w:trPr>
        <w:tc>
          <w:tcPr>
            <w:tcW w:w="1700" w:type="dxa"/>
            <w:tcMar>
              <w:top w:w="90" w:type="dxa"/>
              <w:left w:w="105" w:type="dxa"/>
              <w:bottom w:w="90" w:type="dxa"/>
              <w:right w:w="105" w:type="dxa"/>
            </w:tcMar>
            <w:vAlign w:val="center"/>
          </w:tcPr>
          <w:p w14:paraId="60B687D9" w14:textId="77777777" w:rsidR="00B00095" w:rsidRDefault="00000000" w:rsidP="00FB7A07">
            <w:r>
              <w:t>Segmentation</w:t>
            </w:r>
          </w:p>
        </w:tc>
        <w:tc>
          <w:tcPr>
            <w:tcW w:w="2100" w:type="dxa"/>
            <w:tcMar>
              <w:top w:w="90" w:type="dxa"/>
              <w:left w:w="105" w:type="dxa"/>
              <w:bottom w:w="90" w:type="dxa"/>
              <w:right w:w="105" w:type="dxa"/>
            </w:tcMar>
            <w:vAlign w:val="center"/>
          </w:tcPr>
          <w:p w14:paraId="55868BD6" w14:textId="77777777" w:rsidR="00B00095" w:rsidRDefault="00000000" w:rsidP="00FB7A07">
            <w:r>
              <w:t>Life stage, household size, body type, accessibility, performance and ownership model</w:t>
            </w:r>
          </w:p>
        </w:tc>
        <w:tc>
          <w:tcPr>
            <w:tcW w:w="2100" w:type="dxa"/>
            <w:tcMar>
              <w:top w:w="90" w:type="dxa"/>
              <w:left w:w="105" w:type="dxa"/>
              <w:bottom w:w="90" w:type="dxa"/>
              <w:right w:w="105" w:type="dxa"/>
            </w:tcMar>
            <w:vAlign w:val="center"/>
          </w:tcPr>
          <w:p w14:paraId="25AF8230" w14:textId="77777777" w:rsidR="00B00095" w:rsidRDefault="00000000" w:rsidP="00FB7A07">
            <w:r>
              <w:t>Urban/family lifestyle, fleet status, powertrain preference, monthly budget and utility</w:t>
            </w:r>
          </w:p>
        </w:tc>
        <w:tc>
          <w:tcPr>
            <w:tcW w:w="3126" w:type="dxa"/>
            <w:tcMar>
              <w:top w:w="90" w:type="dxa"/>
              <w:left w:w="105" w:type="dxa"/>
              <w:bottom w:w="90" w:type="dxa"/>
              <w:right w:w="105" w:type="dxa"/>
            </w:tcMar>
            <w:vAlign w:val="center"/>
          </w:tcPr>
          <w:p w14:paraId="59221F10" w14:textId="77777777" w:rsidR="00B00095" w:rsidRDefault="00000000" w:rsidP="00FB7A07">
            <w:r>
              <w:t>Both are differentiated, but UK segmentation is more finance- and transition-led</w:t>
            </w:r>
          </w:p>
        </w:tc>
      </w:tr>
      <w:tr w:rsidR="00B00095" w14:paraId="18B979B2" w14:textId="77777777">
        <w:trPr>
          <w:cantSplit/>
          <w:jc w:val="center"/>
        </w:trPr>
        <w:tc>
          <w:tcPr>
            <w:tcW w:w="1700" w:type="dxa"/>
            <w:shd w:val="clear" w:color="auto" w:fill="F2F4F7"/>
            <w:tcMar>
              <w:top w:w="90" w:type="dxa"/>
              <w:left w:w="105" w:type="dxa"/>
              <w:bottom w:w="90" w:type="dxa"/>
              <w:right w:w="105" w:type="dxa"/>
            </w:tcMar>
            <w:vAlign w:val="center"/>
          </w:tcPr>
          <w:p w14:paraId="01946863" w14:textId="77777777" w:rsidR="00B00095" w:rsidRDefault="00000000" w:rsidP="00FB7A07">
            <w:r>
              <w:lastRenderedPageBreak/>
              <w:t>Targeting</w:t>
            </w:r>
          </w:p>
        </w:tc>
        <w:tc>
          <w:tcPr>
            <w:tcW w:w="2100" w:type="dxa"/>
            <w:shd w:val="clear" w:color="auto" w:fill="F2F4F7"/>
            <w:tcMar>
              <w:top w:w="90" w:type="dxa"/>
              <w:left w:w="105" w:type="dxa"/>
              <w:bottom w:w="90" w:type="dxa"/>
              <w:right w:w="105" w:type="dxa"/>
            </w:tcMar>
            <w:vAlign w:val="center"/>
          </w:tcPr>
          <w:p w14:paraId="35754694" w14:textId="77777777" w:rsidR="00B00095" w:rsidRDefault="00000000" w:rsidP="00FB7A07">
            <w:r>
              <w:t>Broad domestic coverage with dense model and grade choice</w:t>
            </w:r>
          </w:p>
        </w:tc>
        <w:tc>
          <w:tcPr>
            <w:tcW w:w="2100" w:type="dxa"/>
            <w:shd w:val="clear" w:color="auto" w:fill="F2F4F7"/>
            <w:tcMar>
              <w:top w:w="90" w:type="dxa"/>
              <w:left w:w="105" w:type="dxa"/>
              <w:bottom w:w="90" w:type="dxa"/>
              <w:right w:w="105" w:type="dxa"/>
            </w:tcMar>
            <w:vAlign w:val="center"/>
          </w:tcPr>
          <w:p w14:paraId="6F216079" w14:textId="77777777" w:rsidR="00B00095" w:rsidRDefault="00000000" w:rsidP="00FB7A07">
            <w:r>
              <w:t>Selective mass market with strong hybrid, crossover, fleet and commercial focus</w:t>
            </w:r>
          </w:p>
        </w:tc>
        <w:tc>
          <w:tcPr>
            <w:tcW w:w="3126" w:type="dxa"/>
            <w:shd w:val="clear" w:color="auto" w:fill="F2F4F7"/>
            <w:tcMar>
              <w:top w:w="90" w:type="dxa"/>
              <w:left w:w="105" w:type="dxa"/>
              <w:bottom w:w="90" w:type="dxa"/>
              <w:right w:w="105" w:type="dxa"/>
            </w:tcMar>
            <w:vAlign w:val="center"/>
          </w:tcPr>
          <w:p w14:paraId="6E7EFCE9" w14:textId="77777777" w:rsidR="00B00095" w:rsidRDefault="00000000" w:rsidP="00FB7A07">
            <w:r>
              <w:t xml:space="preserve">Japan </w:t>
            </w:r>
            <w:proofErr w:type="spellStart"/>
            <w:r>
              <w:t>maximises</w:t>
            </w:r>
            <w:proofErr w:type="spellEnd"/>
            <w:r>
              <w:t xml:space="preserve"> coverage; UK must avoid overdependence on hybrid adopters</w:t>
            </w:r>
          </w:p>
        </w:tc>
      </w:tr>
      <w:tr w:rsidR="00B00095" w14:paraId="1AA5FD96" w14:textId="77777777">
        <w:trPr>
          <w:cantSplit/>
          <w:jc w:val="center"/>
        </w:trPr>
        <w:tc>
          <w:tcPr>
            <w:tcW w:w="1700" w:type="dxa"/>
            <w:tcMar>
              <w:top w:w="90" w:type="dxa"/>
              <w:left w:w="105" w:type="dxa"/>
              <w:bottom w:w="90" w:type="dxa"/>
              <w:right w:w="105" w:type="dxa"/>
            </w:tcMar>
            <w:vAlign w:val="center"/>
          </w:tcPr>
          <w:p w14:paraId="1E7E6FAB" w14:textId="77777777" w:rsidR="00B00095" w:rsidRDefault="00000000" w:rsidP="00FB7A07">
            <w:r>
              <w:t>Positioning</w:t>
            </w:r>
          </w:p>
        </w:tc>
        <w:tc>
          <w:tcPr>
            <w:tcW w:w="2100" w:type="dxa"/>
            <w:tcMar>
              <w:top w:w="90" w:type="dxa"/>
              <w:left w:w="105" w:type="dxa"/>
              <w:bottom w:w="90" w:type="dxa"/>
              <w:right w:w="105" w:type="dxa"/>
            </w:tcMar>
            <w:vAlign w:val="center"/>
          </w:tcPr>
          <w:p w14:paraId="738EA9F7" w14:textId="77777777" w:rsidR="00B00095" w:rsidRDefault="00000000" w:rsidP="00FB7A07">
            <w:r>
              <w:t>Trusted national engineering, craftsmanship, safety and long-term ownership</w:t>
            </w:r>
          </w:p>
        </w:tc>
        <w:tc>
          <w:tcPr>
            <w:tcW w:w="2100" w:type="dxa"/>
            <w:tcMar>
              <w:top w:w="90" w:type="dxa"/>
              <w:left w:w="105" w:type="dxa"/>
              <w:bottom w:w="90" w:type="dxa"/>
              <w:right w:w="105" w:type="dxa"/>
            </w:tcMar>
            <w:vAlign w:val="center"/>
          </w:tcPr>
          <w:p w14:paraId="431B676F" w14:textId="77777777" w:rsidR="00B00095" w:rsidRDefault="00000000" w:rsidP="00FB7A07">
            <w:r>
              <w:t>Reliable electrified mobility, low running costs, practicality and reassurance</w:t>
            </w:r>
          </w:p>
        </w:tc>
        <w:tc>
          <w:tcPr>
            <w:tcW w:w="3126" w:type="dxa"/>
            <w:tcMar>
              <w:top w:w="90" w:type="dxa"/>
              <w:left w:w="105" w:type="dxa"/>
              <w:bottom w:w="90" w:type="dxa"/>
              <w:right w:w="105" w:type="dxa"/>
            </w:tcMar>
            <w:vAlign w:val="center"/>
          </w:tcPr>
          <w:p w14:paraId="0D5BED29" w14:textId="77777777" w:rsidR="00B00095" w:rsidRDefault="00000000" w:rsidP="00FB7A07">
            <w:r>
              <w:t>The global quality core travels well, while the proof and emotional tone require adaptation</w:t>
            </w:r>
          </w:p>
        </w:tc>
      </w:tr>
    </w:tbl>
    <w:p w14:paraId="6D089FA4" w14:textId="77777777" w:rsidR="00B00095" w:rsidRPr="00FB7A07" w:rsidRDefault="00000000">
      <w:pPr>
        <w:spacing w:before="60" w:after="160" w:line="276" w:lineRule="auto"/>
        <w:rPr>
          <w:rFonts w:asciiTheme="majorHAnsi" w:hAnsiTheme="majorHAnsi" w:cstheme="majorHAnsi"/>
          <w:sz w:val="32"/>
          <w:szCs w:val="28"/>
        </w:rPr>
      </w:pPr>
      <w:r w:rsidRPr="00FB7A07">
        <w:rPr>
          <w:rFonts w:asciiTheme="majorHAnsi" w:hAnsiTheme="majorHAnsi" w:cstheme="majorHAnsi"/>
          <w:i/>
          <w:color w:val="5B6573"/>
          <w:szCs w:val="28"/>
        </w:rPr>
        <w:t>Source: Compiled from Toyota Motor Corporation (2025; 2026a) and Toyota (GB) (2026a).</w:t>
      </w:r>
    </w:p>
    <w:p w14:paraId="21A12763" w14:textId="77777777" w:rsidR="00FB7A07" w:rsidRPr="00FB7A07" w:rsidRDefault="00FB7A07" w:rsidP="00FB7A07">
      <w:r w:rsidRPr="00FB7A07">
        <w:t>The positioning is best when global and local meanings are complementary. Quality, durability and reliability give a solid foundation with “electrification”. This is backed up by the heritage, manufacturing skills and attention to detail of Japan. In the UK, this promise is made real by hybrid experience, local production of the Corolla, warranty and fuel economy. The problem is there may be a middle ground, as Toyota can be seen as less radical than the BEV specialists, and their SUV visuals may not align with the environmental claims. There is thus a need to move beyond a general “electrification” of positioning and demonstrate what is the most suitable low carbon solution for each application.</w:t>
      </w:r>
    </w:p>
    <w:p w14:paraId="3E70B8E6" w14:textId="77777777" w:rsidR="00FB7A07" w:rsidRPr="00FB7A07" w:rsidRDefault="00FB7A07" w:rsidP="00FB7A07">
      <w:pPr>
        <w:pStyle w:val="Heading1"/>
      </w:pPr>
      <w:bookmarkStart w:id="7" w:name="_Toc234632795"/>
      <w:r w:rsidRPr="00FB7A07">
        <w:t>4. Comparative International Marketing Mix</w:t>
      </w:r>
      <w:bookmarkEnd w:id="7"/>
    </w:p>
    <w:p w14:paraId="2CEFA7A7" w14:textId="6809E56E" w:rsidR="00B00095" w:rsidRDefault="00FB7A07" w:rsidP="00FB7A07">
      <w:r w:rsidRPr="00FB7A07">
        <w:t xml:space="preserve">Fit is more important than maximum uniformity, when it comes to international marketing performance. Decades of </w:t>
      </w:r>
      <w:proofErr w:type="spellStart"/>
      <w:r w:rsidRPr="00FB7A07">
        <w:t>standardisation</w:t>
      </w:r>
      <w:proofErr w:type="spellEnd"/>
      <w:r w:rsidRPr="00FB7A07">
        <w:t xml:space="preserve"> and adaptations have been researched and there is no single better solution—it is dependent on the similarity of the environment, competitive conditions and the </w:t>
      </w:r>
      <w:proofErr w:type="spellStart"/>
      <w:r w:rsidRPr="00FB7A07">
        <w:t>organisation's</w:t>
      </w:r>
      <w:proofErr w:type="spellEnd"/>
      <w:r w:rsidRPr="00FB7A07">
        <w:t xml:space="preserve"> ability to conduct. Toyota </w:t>
      </w:r>
      <w:proofErr w:type="spellStart"/>
      <w:r w:rsidRPr="00FB7A07">
        <w:t>harmonises</w:t>
      </w:r>
      <w:proofErr w:type="spellEnd"/>
      <w:r w:rsidRPr="00FB7A07">
        <w:t xml:space="preserve"> badge, engineering philosophy, safety terminology and quality control procedures and adjusts market-related aspects that impact value</w:t>
      </w:r>
      <w:r>
        <w:t xml:space="preserve"> (Schmid and </w:t>
      </w:r>
      <w:proofErr w:type="spellStart"/>
      <w:r>
        <w:t>Kotulla</w:t>
      </w:r>
      <w:proofErr w:type="spellEnd"/>
      <w:r>
        <w:t>, 2011).</w:t>
      </w:r>
    </w:p>
    <w:p w14:paraId="00FF6D77" w14:textId="77777777" w:rsidR="00B00095" w:rsidRDefault="00000000" w:rsidP="00FB7A07">
      <w:r w:rsidRPr="00FB7A07">
        <w:rPr>
          <w:b/>
          <w:bCs/>
        </w:rPr>
        <w:t>Table 3</w:t>
      </w:r>
      <w:r>
        <w:t>. Toyota’s comparative 7Ps</w:t>
      </w:r>
    </w:p>
    <w:tbl>
      <w:tblPr>
        <w:tblStyle w:val="TableGrid"/>
        <w:tblW w:w="9026" w:type="dxa"/>
        <w:jc w:val="center"/>
        <w:tblLayout w:type="fixed"/>
        <w:tblLook w:val="04A0" w:firstRow="1" w:lastRow="0" w:firstColumn="1" w:lastColumn="0" w:noHBand="0" w:noVBand="1"/>
      </w:tblPr>
      <w:tblGrid>
        <w:gridCol w:w="1500"/>
        <w:gridCol w:w="2100"/>
        <w:gridCol w:w="2100"/>
        <w:gridCol w:w="3326"/>
      </w:tblGrid>
      <w:tr w:rsidR="00B00095" w14:paraId="48A61025" w14:textId="77777777">
        <w:trPr>
          <w:cantSplit/>
          <w:tblHeader/>
          <w:jc w:val="center"/>
        </w:trPr>
        <w:tc>
          <w:tcPr>
            <w:tcW w:w="1500" w:type="dxa"/>
            <w:shd w:val="clear" w:color="auto" w:fill="B5121B"/>
            <w:tcMar>
              <w:top w:w="90" w:type="dxa"/>
              <w:left w:w="105" w:type="dxa"/>
              <w:bottom w:w="90" w:type="dxa"/>
              <w:right w:w="105" w:type="dxa"/>
            </w:tcMar>
            <w:vAlign w:val="center"/>
          </w:tcPr>
          <w:p w14:paraId="62171FC2" w14:textId="77777777" w:rsidR="00B00095" w:rsidRPr="00FB7A07" w:rsidRDefault="00000000" w:rsidP="00FB7A07">
            <w:pPr>
              <w:jc w:val="center"/>
              <w:rPr>
                <w:b/>
                <w:bCs/>
                <w:color w:val="FFFFFF" w:themeColor="background1"/>
              </w:rPr>
            </w:pPr>
            <w:r w:rsidRPr="00FB7A07">
              <w:rPr>
                <w:b/>
                <w:bCs/>
                <w:color w:val="FFFFFF" w:themeColor="background1"/>
              </w:rPr>
              <w:lastRenderedPageBreak/>
              <w:t>Element</w:t>
            </w:r>
          </w:p>
        </w:tc>
        <w:tc>
          <w:tcPr>
            <w:tcW w:w="2100" w:type="dxa"/>
            <w:shd w:val="clear" w:color="auto" w:fill="B5121B"/>
            <w:tcMar>
              <w:top w:w="90" w:type="dxa"/>
              <w:left w:w="105" w:type="dxa"/>
              <w:bottom w:w="90" w:type="dxa"/>
              <w:right w:w="105" w:type="dxa"/>
            </w:tcMar>
            <w:vAlign w:val="center"/>
          </w:tcPr>
          <w:p w14:paraId="2C2A31CA" w14:textId="77777777" w:rsidR="00B00095" w:rsidRPr="00FB7A07" w:rsidRDefault="00000000" w:rsidP="00FB7A07">
            <w:pPr>
              <w:jc w:val="center"/>
              <w:rPr>
                <w:b/>
                <w:bCs/>
                <w:color w:val="FFFFFF" w:themeColor="background1"/>
              </w:rPr>
            </w:pPr>
            <w:r w:rsidRPr="00FB7A07">
              <w:rPr>
                <w:b/>
                <w:bCs/>
                <w:color w:val="FFFFFF" w:themeColor="background1"/>
              </w:rPr>
              <w:t>Japan</w:t>
            </w:r>
          </w:p>
        </w:tc>
        <w:tc>
          <w:tcPr>
            <w:tcW w:w="2100" w:type="dxa"/>
            <w:shd w:val="clear" w:color="auto" w:fill="B5121B"/>
            <w:tcMar>
              <w:top w:w="90" w:type="dxa"/>
              <w:left w:w="105" w:type="dxa"/>
              <w:bottom w:w="90" w:type="dxa"/>
              <w:right w:w="105" w:type="dxa"/>
            </w:tcMar>
            <w:vAlign w:val="center"/>
          </w:tcPr>
          <w:p w14:paraId="69C4EF4B" w14:textId="77777777" w:rsidR="00B00095" w:rsidRPr="00FB7A07" w:rsidRDefault="00000000" w:rsidP="00FB7A07">
            <w:pPr>
              <w:jc w:val="center"/>
              <w:rPr>
                <w:b/>
                <w:bCs/>
                <w:color w:val="FFFFFF" w:themeColor="background1"/>
              </w:rPr>
            </w:pPr>
            <w:r w:rsidRPr="00FB7A07">
              <w:rPr>
                <w:b/>
                <w:bCs/>
                <w:color w:val="FFFFFF" w:themeColor="background1"/>
              </w:rPr>
              <w:t>United Kingdom</w:t>
            </w:r>
          </w:p>
        </w:tc>
        <w:tc>
          <w:tcPr>
            <w:tcW w:w="3326" w:type="dxa"/>
            <w:shd w:val="clear" w:color="auto" w:fill="B5121B"/>
            <w:tcMar>
              <w:top w:w="90" w:type="dxa"/>
              <w:left w:w="105" w:type="dxa"/>
              <w:bottom w:w="90" w:type="dxa"/>
              <w:right w:w="105" w:type="dxa"/>
            </w:tcMar>
            <w:vAlign w:val="center"/>
          </w:tcPr>
          <w:p w14:paraId="431CF314" w14:textId="77777777" w:rsidR="00B00095" w:rsidRPr="00FB7A07" w:rsidRDefault="00000000" w:rsidP="00FB7A07">
            <w:pPr>
              <w:jc w:val="center"/>
              <w:rPr>
                <w:b/>
                <w:bCs/>
                <w:color w:val="FFFFFF" w:themeColor="background1"/>
              </w:rPr>
            </w:pPr>
            <w:r w:rsidRPr="00FB7A07">
              <w:rPr>
                <w:b/>
                <w:bCs/>
                <w:color w:val="FFFFFF" w:themeColor="background1"/>
              </w:rPr>
              <w:t>Evaluation</w:t>
            </w:r>
          </w:p>
        </w:tc>
      </w:tr>
      <w:tr w:rsidR="00B00095" w14:paraId="0EFFD6EF" w14:textId="77777777">
        <w:trPr>
          <w:cantSplit/>
          <w:jc w:val="center"/>
        </w:trPr>
        <w:tc>
          <w:tcPr>
            <w:tcW w:w="1500" w:type="dxa"/>
            <w:tcMar>
              <w:top w:w="90" w:type="dxa"/>
              <w:left w:w="105" w:type="dxa"/>
              <w:bottom w:w="90" w:type="dxa"/>
              <w:right w:w="105" w:type="dxa"/>
            </w:tcMar>
            <w:vAlign w:val="center"/>
          </w:tcPr>
          <w:p w14:paraId="25C63907" w14:textId="77777777" w:rsidR="00B00095" w:rsidRDefault="00000000" w:rsidP="00FB7A07">
            <w:r>
              <w:t>Product</w:t>
            </w:r>
          </w:p>
        </w:tc>
        <w:tc>
          <w:tcPr>
            <w:tcW w:w="2100" w:type="dxa"/>
            <w:tcMar>
              <w:top w:w="90" w:type="dxa"/>
              <w:left w:w="105" w:type="dxa"/>
              <w:bottom w:w="90" w:type="dxa"/>
              <w:right w:w="105" w:type="dxa"/>
            </w:tcMar>
            <w:vAlign w:val="center"/>
          </w:tcPr>
          <w:p w14:paraId="4086965D" w14:textId="77777777" w:rsidR="00B00095" w:rsidRDefault="00000000" w:rsidP="00FB7A07">
            <w:r>
              <w:t>Very broad range, compact cars, minivans, premium and specialist mobility; HEV, PHEV, BEV and fuel cell</w:t>
            </w:r>
          </w:p>
        </w:tc>
        <w:tc>
          <w:tcPr>
            <w:tcW w:w="2100" w:type="dxa"/>
            <w:tcMar>
              <w:top w:w="90" w:type="dxa"/>
              <w:left w:w="105" w:type="dxa"/>
              <w:bottom w:w="90" w:type="dxa"/>
              <w:right w:w="105" w:type="dxa"/>
            </w:tcMar>
            <w:vAlign w:val="center"/>
          </w:tcPr>
          <w:p w14:paraId="064338F1" w14:textId="77777777" w:rsidR="00B00095" w:rsidRDefault="00000000" w:rsidP="00FB7A07">
            <w:r>
              <w:t>Concentrated range of small hybrids, crossovers, BEVs and commercial vehicles</w:t>
            </w:r>
          </w:p>
        </w:tc>
        <w:tc>
          <w:tcPr>
            <w:tcW w:w="3326" w:type="dxa"/>
            <w:tcMar>
              <w:top w:w="90" w:type="dxa"/>
              <w:left w:w="105" w:type="dxa"/>
              <w:bottom w:w="90" w:type="dxa"/>
              <w:right w:w="105" w:type="dxa"/>
            </w:tcMar>
            <w:vAlign w:val="center"/>
          </w:tcPr>
          <w:p w14:paraId="5BEC3025" w14:textId="77777777" w:rsidR="00B00095" w:rsidRDefault="00000000" w:rsidP="00FB7A07">
            <w:r>
              <w:t>Product adaptation is substantial and justified by road space, demographics and category demand</w:t>
            </w:r>
          </w:p>
        </w:tc>
      </w:tr>
      <w:tr w:rsidR="00B00095" w14:paraId="1894C86C" w14:textId="77777777">
        <w:trPr>
          <w:cantSplit/>
          <w:jc w:val="center"/>
        </w:trPr>
        <w:tc>
          <w:tcPr>
            <w:tcW w:w="1500" w:type="dxa"/>
            <w:shd w:val="clear" w:color="auto" w:fill="F2F4F7"/>
            <w:tcMar>
              <w:top w:w="90" w:type="dxa"/>
              <w:left w:w="105" w:type="dxa"/>
              <w:bottom w:w="90" w:type="dxa"/>
              <w:right w:w="105" w:type="dxa"/>
            </w:tcMar>
            <w:vAlign w:val="center"/>
          </w:tcPr>
          <w:p w14:paraId="07E539FD" w14:textId="77777777" w:rsidR="00B00095" w:rsidRDefault="00000000" w:rsidP="00FB7A07">
            <w:r>
              <w:t>Price</w:t>
            </w:r>
          </w:p>
        </w:tc>
        <w:tc>
          <w:tcPr>
            <w:tcW w:w="2100" w:type="dxa"/>
            <w:shd w:val="clear" w:color="auto" w:fill="F2F4F7"/>
            <w:tcMar>
              <w:top w:w="90" w:type="dxa"/>
              <w:left w:w="105" w:type="dxa"/>
              <w:bottom w:w="90" w:type="dxa"/>
              <w:right w:w="105" w:type="dxa"/>
            </w:tcMar>
            <w:vAlign w:val="center"/>
          </w:tcPr>
          <w:p w14:paraId="7FEE43FF" w14:textId="77777777" w:rsidR="00B00095" w:rsidRDefault="00000000" w:rsidP="00FB7A07">
            <w:r>
              <w:t>Tax-inclusive suggested prices, dealer discretion and KINTO monthly subscription</w:t>
            </w:r>
          </w:p>
        </w:tc>
        <w:tc>
          <w:tcPr>
            <w:tcW w:w="2100" w:type="dxa"/>
            <w:shd w:val="clear" w:color="auto" w:fill="F2F4F7"/>
            <w:tcMar>
              <w:top w:w="90" w:type="dxa"/>
              <w:left w:w="105" w:type="dxa"/>
              <w:bottom w:w="90" w:type="dxa"/>
              <w:right w:w="105" w:type="dxa"/>
            </w:tcMar>
            <w:vAlign w:val="center"/>
          </w:tcPr>
          <w:p w14:paraId="72B38A77" w14:textId="77777777" w:rsidR="00B00095" w:rsidRDefault="00000000" w:rsidP="00FB7A07">
            <w:r>
              <w:t>Transparent online prices, PCP/PCH, fleet contracts and temporary BEV savings</w:t>
            </w:r>
          </w:p>
        </w:tc>
        <w:tc>
          <w:tcPr>
            <w:tcW w:w="3326" w:type="dxa"/>
            <w:shd w:val="clear" w:color="auto" w:fill="F2F4F7"/>
            <w:tcMar>
              <w:top w:w="90" w:type="dxa"/>
              <w:left w:w="105" w:type="dxa"/>
              <w:bottom w:w="90" w:type="dxa"/>
              <w:right w:w="105" w:type="dxa"/>
            </w:tcMar>
            <w:vAlign w:val="center"/>
          </w:tcPr>
          <w:p w14:paraId="6CD3E8BF" w14:textId="77777777" w:rsidR="00B00095" w:rsidRDefault="00000000" w:rsidP="00FB7A07">
            <w:r>
              <w:t>UK finance reduces entry cost but can obscure total cost; both markets require clearer life-cycle value</w:t>
            </w:r>
          </w:p>
        </w:tc>
      </w:tr>
      <w:tr w:rsidR="00B00095" w14:paraId="195F5E17" w14:textId="77777777">
        <w:trPr>
          <w:cantSplit/>
          <w:jc w:val="center"/>
        </w:trPr>
        <w:tc>
          <w:tcPr>
            <w:tcW w:w="1500" w:type="dxa"/>
            <w:tcMar>
              <w:top w:w="90" w:type="dxa"/>
              <w:left w:w="105" w:type="dxa"/>
              <w:bottom w:w="90" w:type="dxa"/>
              <w:right w:w="105" w:type="dxa"/>
            </w:tcMar>
            <w:vAlign w:val="center"/>
          </w:tcPr>
          <w:p w14:paraId="1ED99367" w14:textId="77777777" w:rsidR="00B00095" w:rsidRDefault="00000000" w:rsidP="00FB7A07">
            <w:r>
              <w:t>Place</w:t>
            </w:r>
          </w:p>
        </w:tc>
        <w:tc>
          <w:tcPr>
            <w:tcW w:w="2100" w:type="dxa"/>
            <w:tcMar>
              <w:top w:w="90" w:type="dxa"/>
              <w:left w:w="105" w:type="dxa"/>
              <w:bottom w:w="90" w:type="dxa"/>
              <w:right w:w="105" w:type="dxa"/>
            </w:tcMar>
            <w:vAlign w:val="center"/>
          </w:tcPr>
          <w:p w14:paraId="1BF8AACA" w14:textId="77777777" w:rsidR="00B00095" w:rsidRDefault="00000000" w:rsidP="00FB7A07">
            <w:r>
              <w:t>Dense domestic dealer coverage integrated with web quotation, test-drive and connected accounts</w:t>
            </w:r>
          </w:p>
        </w:tc>
        <w:tc>
          <w:tcPr>
            <w:tcW w:w="2100" w:type="dxa"/>
            <w:tcMar>
              <w:top w:w="90" w:type="dxa"/>
              <w:left w:w="105" w:type="dxa"/>
              <w:bottom w:w="90" w:type="dxa"/>
              <w:right w:w="105" w:type="dxa"/>
            </w:tcMar>
            <w:vAlign w:val="center"/>
          </w:tcPr>
          <w:p w14:paraId="2DBCCF17" w14:textId="77777777" w:rsidR="00B00095" w:rsidRDefault="00000000" w:rsidP="00FB7A07">
            <w:r>
              <w:t xml:space="preserve">Dealer network plus online new/used </w:t>
            </w:r>
            <w:proofErr w:type="gramStart"/>
            <w:r>
              <w:t>buying</w:t>
            </w:r>
            <w:proofErr w:type="gramEnd"/>
            <w:r>
              <w:t>, home charging and business channels</w:t>
            </w:r>
          </w:p>
        </w:tc>
        <w:tc>
          <w:tcPr>
            <w:tcW w:w="3326" w:type="dxa"/>
            <w:tcMar>
              <w:top w:w="90" w:type="dxa"/>
              <w:left w:w="105" w:type="dxa"/>
              <w:bottom w:w="90" w:type="dxa"/>
              <w:right w:w="105" w:type="dxa"/>
            </w:tcMar>
            <w:vAlign w:val="center"/>
          </w:tcPr>
          <w:p w14:paraId="3F6178AD" w14:textId="77777777" w:rsidR="00B00095" w:rsidRDefault="00000000" w:rsidP="00FB7A07">
            <w:r>
              <w:t>Omnichannel consistency is essential; customers should move between digital and dealer contact without repetition</w:t>
            </w:r>
          </w:p>
        </w:tc>
      </w:tr>
      <w:tr w:rsidR="00B00095" w14:paraId="1AE43095" w14:textId="77777777">
        <w:trPr>
          <w:cantSplit/>
          <w:jc w:val="center"/>
        </w:trPr>
        <w:tc>
          <w:tcPr>
            <w:tcW w:w="1500" w:type="dxa"/>
            <w:shd w:val="clear" w:color="auto" w:fill="F2F4F7"/>
            <w:tcMar>
              <w:top w:w="90" w:type="dxa"/>
              <w:left w:w="105" w:type="dxa"/>
              <w:bottom w:w="90" w:type="dxa"/>
              <w:right w:w="105" w:type="dxa"/>
            </w:tcMar>
            <w:vAlign w:val="center"/>
          </w:tcPr>
          <w:p w14:paraId="7AA958A4" w14:textId="77777777" w:rsidR="00B00095" w:rsidRDefault="00000000" w:rsidP="00FB7A07">
            <w:r>
              <w:t>Promotion</w:t>
            </w:r>
          </w:p>
        </w:tc>
        <w:tc>
          <w:tcPr>
            <w:tcW w:w="2100" w:type="dxa"/>
            <w:shd w:val="clear" w:color="auto" w:fill="F2F4F7"/>
            <w:tcMar>
              <w:top w:w="90" w:type="dxa"/>
              <w:left w:w="105" w:type="dxa"/>
              <w:bottom w:w="90" w:type="dxa"/>
              <w:right w:w="105" w:type="dxa"/>
            </w:tcMar>
            <w:vAlign w:val="center"/>
          </w:tcPr>
          <w:p w14:paraId="4DBA85EF" w14:textId="77777777" w:rsidR="00B00095" w:rsidRDefault="00000000" w:rsidP="00FB7A07">
            <w:r>
              <w:t>Technical detail, safety, craftsmanship, model-specific proof and restrained tone</w:t>
            </w:r>
          </w:p>
        </w:tc>
        <w:tc>
          <w:tcPr>
            <w:tcW w:w="2100" w:type="dxa"/>
            <w:shd w:val="clear" w:color="auto" w:fill="F2F4F7"/>
            <w:tcMar>
              <w:top w:w="90" w:type="dxa"/>
              <w:left w:w="105" w:type="dxa"/>
              <w:bottom w:w="90" w:type="dxa"/>
              <w:right w:w="105" w:type="dxa"/>
            </w:tcMar>
            <w:vAlign w:val="center"/>
          </w:tcPr>
          <w:p w14:paraId="07B1137F" w14:textId="77777777" w:rsidR="00B00095" w:rsidRDefault="00000000" w:rsidP="00FB7A07">
            <w:r>
              <w:t>Efficiency, lifestyle, finance, British production and adventure themes</w:t>
            </w:r>
          </w:p>
        </w:tc>
        <w:tc>
          <w:tcPr>
            <w:tcW w:w="3326" w:type="dxa"/>
            <w:shd w:val="clear" w:color="auto" w:fill="F2F4F7"/>
            <w:tcMar>
              <w:top w:w="90" w:type="dxa"/>
              <w:left w:w="105" w:type="dxa"/>
              <w:bottom w:w="90" w:type="dxa"/>
              <w:right w:w="105" w:type="dxa"/>
            </w:tcMar>
            <w:vAlign w:val="center"/>
          </w:tcPr>
          <w:p w14:paraId="2F45914E" w14:textId="77777777" w:rsidR="00B00095" w:rsidRDefault="00000000" w:rsidP="00FB7A07">
            <w:r>
              <w:t>UK creativity creates engagement but needs stronger environmental governance; Japanese proof can become overly complex</w:t>
            </w:r>
          </w:p>
        </w:tc>
      </w:tr>
      <w:tr w:rsidR="00B00095" w14:paraId="659715E5" w14:textId="77777777">
        <w:trPr>
          <w:cantSplit/>
          <w:jc w:val="center"/>
        </w:trPr>
        <w:tc>
          <w:tcPr>
            <w:tcW w:w="1500" w:type="dxa"/>
            <w:tcMar>
              <w:top w:w="90" w:type="dxa"/>
              <w:left w:w="105" w:type="dxa"/>
              <w:bottom w:w="90" w:type="dxa"/>
              <w:right w:w="105" w:type="dxa"/>
            </w:tcMar>
            <w:vAlign w:val="center"/>
          </w:tcPr>
          <w:p w14:paraId="3F289667" w14:textId="77777777" w:rsidR="00B00095" w:rsidRDefault="00000000" w:rsidP="00FB7A07">
            <w:r>
              <w:lastRenderedPageBreak/>
              <w:t>People</w:t>
            </w:r>
          </w:p>
        </w:tc>
        <w:tc>
          <w:tcPr>
            <w:tcW w:w="2100" w:type="dxa"/>
            <w:tcMar>
              <w:top w:w="90" w:type="dxa"/>
              <w:left w:w="105" w:type="dxa"/>
              <w:bottom w:w="90" w:type="dxa"/>
              <w:right w:w="105" w:type="dxa"/>
            </w:tcMar>
            <w:vAlign w:val="center"/>
          </w:tcPr>
          <w:p w14:paraId="131EB1D5" w14:textId="77777777" w:rsidR="00B00095" w:rsidRDefault="00000000" w:rsidP="00FB7A07">
            <w:r>
              <w:t>Highly trained dealer advisers and service personnel operating within formal quality routines</w:t>
            </w:r>
          </w:p>
        </w:tc>
        <w:tc>
          <w:tcPr>
            <w:tcW w:w="2100" w:type="dxa"/>
            <w:tcMar>
              <w:top w:w="90" w:type="dxa"/>
              <w:left w:w="105" w:type="dxa"/>
              <w:bottom w:w="90" w:type="dxa"/>
              <w:right w:w="105" w:type="dxa"/>
            </w:tcMar>
            <w:vAlign w:val="center"/>
          </w:tcPr>
          <w:p w14:paraId="1B98E5A3" w14:textId="77777777" w:rsidR="00B00095" w:rsidRDefault="00000000" w:rsidP="00FB7A07">
            <w:r>
              <w:t>Dealer teams, fleet specialists and trained technicians supported by customer-care channels</w:t>
            </w:r>
          </w:p>
        </w:tc>
        <w:tc>
          <w:tcPr>
            <w:tcW w:w="3326" w:type="dxa"/>
            <w:tcMar>
              <w:top w:w="90" w:type="dxa"/>
              <w:left w:w="105" w:type="dxa"/>
              <w:bottom w:w="90" w:type="dxa"/>
              <w:right w:w="105" w:type="dxa"/>
            </w:tcMar>
            <w:vAlign w:val="center"/>
          </w:tcPr>
          <w:p w14:paraId="53AE6CF7" w14:textId="77777777" w:rsidR="00B00095" w:rsidRDefault="00000000" w:rsidP="00FB7A07">
            <w:r>
              <w:t xml:space="preserve">Service </w:t>
            </w:r>
            <w:proofErr w:type="spellStart"/>
            <w:r>
              <w:t>behaviour</w:t>
            </w:r>
            <w:proofErr w:type="spellEnd"/>
            <w:r>
              <w:t xml:space="preserve"> should be locally natural while competence standards remain global</w:t>
            </w:r>
          </w:p>
        </w:tc>
      </w:tr>
      <w:tr w:rsidR="00B00095" w14:paraId="78B1EA9F" w14:textId="77777777">
        <w:trPr>
          <w:cantSplit/>
          <w:jc w:val="center"/>
        </w:trPr>
        <w:tc>
          <w:tcPr>
            <w:tcW w:w="1500" w:type="dxa"/>
            <w:shd w:val="clear" w:color="auto" w:fill="F2F4F7"/>
            <w:tcMar>
              <w:top w:w="90" w:type="dxa"/>
              <w:left w:w="105" w:type="dxa"/>
              <w:bottom w:w="90" w:type="dxa"/>
              <w:right w:w="105" w:type="dxa"/>
            </w:tcMar>
            <w:vAlign w:val="center"/>
          </w:tcPr>
          <w:p w14:paraId="702FEE0C" w14:textId="77777777" w:rsidR="00B00095" w:rsidRDefault="00000000" w:rsidP="00FB7A07">
            <w:r>
              <w:t>Process</w:t>
            </w:r>
          </w:p>
        </w:tc>
        <w:tc>
          <w:tcPr>
            <w:tcW w:w="2100" w:type="dxa"/>
            <w:shd w:val="clear" w:color="auto" w:fill="F2F4F7"/>
            <w:tcMar>
              <w:top w:w="90" w:type="dxa"/>
              <w:left w:w="105" w:type="dxa"/>
              <w:bottom w:w="90" w:type="dxa"/>
              <w:right w:w="105" w:type="dxa"/>
            </w:tcMar>
            <w:vAlign w:val="center"/>
          </w:tcPr>
          <w:p w14:paraId="79CC25DC" w14:textId="77777777" w:rsidR="00B00095" w:rsidRDefault="00000000" w:rsidP="00FB7A07">
            <w:r>
              <w:t>Structured consultation, quotation, KINTO, T-Connect and scheduled after-sales care</w:t>
            </w:r>
          </w:p>
        </w:tc>
        <w:tc>
          <w:tcPr>
            <w:tcW w:w="2100" w:type="dxa"/>
            <w:shd w:val="clear" w:color="auto" w:fill="F2F4F7"/>
            <w:tcMar>
              <w:top w:w="90" w:type="dxa"/>
              <w:left w:w="105" w:type="dxa"/>
              <w:bottom w:w="90" w:type="dxa"/>
              <w:right w:w="105" w:type="dxa"/>
            </w:tcMar>
            <w:vAlign w:val="center"/>
          </w:tcPr>
          <w:p w14:paraId="27D57185" w14:textId="77777777" w:rsidR="00B00095" w:rsidRDefault="00000000" w:rsidP="00FB7A07">
            <w:r>
              <w:t>Online configuration, finance, test drive, delivery, service plans and complaints pathway</w:t>
            </w:r>
          </w:p>
        </w:tc>
        <w:tc>
          <w:tcPr>
            <w:tcW w:w="3326" w:type="dxa"/>
            <w:shd w:val="clear" w:color="auto" w:fill="F2F4F7"/>
            <w:tcMar>
              <w:top w:w="90" w:type="dxa"/>
              <w:left w:w="105" w:type="dxa"/>
              <w:bottom w:w="90" w:type="dxa"/>
              <w:right w:w="105" w:type="dxa"/>
            </w:tcMar>
            <w:vAlign w:val="center"/>
          </w:tcPr>
          <w:p w14:paraId="4270B3E3" w14:textId="77777777" w:rsidR="00B00095" w:rsidRDefault="00000000" w:rsidP="00FB7A07">
            <w:r>
              <w:t>UK processes should be faster and self-directed; Japan should simplify without removing reassurance</w:t>
            </w:r>
          </w:p>
        </w:tc>
      </w:tr>
      <w:tr w:rsidR="00B00095" w14:paraId="7F1F64C6" w14:textId="77777777">
        <w:trPr>
          <w:cantSplit/>
          <w:jc w:val="center"/>
        </w:trPr>
        <w:tc>
          <w:tcPr>
            <w:tcW w:w="1500" w:type="dxa"/>
            <w:tcMar>
              <w:top w:w="90" w:type="dxa"/>
              <w:left w:w="105" w:type="dxa"/>
              <w:bottom w:w="90" w:type="dxa"/>
              <w:right w:w="105" w:type="dxa"/>
            </w:tcMar>
            <w:vAlign w:val="center"/>
          </w:tcPr>
          <w:p w14:paraId="5C82C9D3" w14:textId="77777777" w:rsidR="00B00095" w:rsidRDefault="00000000" w:rsidP="00FB7A07">
            <w:r>
              <w:t>Physical evidence</w:t>
            </w:r>
          </w:p>
        </w:tc>
        <w:tc>
          <w:tcPr>
            <w:tcW w:w="2100" w:type="dxa"/>
            <w:tcMar>
              <w:top w:w="90" w:type="dxa"/>
              <w:left w:w="105" w:type="dxa"/>
              <w:bottom w:w="90" w:type="dxa"/>
              <w:right w:w="105" w:type="dxa"/>
            </w:tcMar>
            <w:vAlign w:val="center"/>
          </w:tcPr>
          <w:p w14:paraId="20858B6E" w14:textId="77777777" w:rsidR="00B00095" w:rsidRDefault="00000000" w:rsidP="00FB7A07">
            <w:r>
              <w:t>Precise showroom presentation, vehicle finish, digital interfaces, documentation and service records</w:t>
            </w:r>
          </w:p>
        </w:tc>
        <w:tc>
          <w:tcPr>
            <w:tcW w:w="2100" w:type="dxa"/>
            <w:tcMar>
              <w:top w:w="90" w:type="dxa"/>
              <w:left w:w="105" w:type="dxa"/>
              <w:bottom w:w="90" w:type="dxa"/>
              <w:right w:w="105" w:type="dxa"/>
            </w:tcMar>
            <w:vAlign w:val="center"/>
          </w:tcPr>
          <w:p w14:paraId="3E42C464" w14:textId="77777777" w:rsidR="00B00095" w:rsidRDefault="00000000" w:rsidP="00FB7A07">
            <w:r>
              <w:t>Showrooms, UK-built Corolla, online configurator, warranty record and branded charging equipment</w:t>
            </w:r>
          </w:p>
        </w:tc>
        <w:tc>
          <w:tcPr>
            <w:tcW w:w="3326" w:type="dxa"/>
            <w:tcMar>
              <w:top w:w="90" w:type="dxa"/>
              <w:left w:w="105" w:type="dxa"/>
              <w:bottom w:w="90" w:type="dxa"/>
              <w:right w:w="105" w:type="dxa"/>
            </w:tcMar>
            <w:vAlign w:val="center"/>
          </w:tcPr>
          <w:p w14:paraId="22750A78" w14:textId="77777777" w:rsidR="00B00095" w:rsidRDefault="00000000" w:rsidP="00FB7A07">
            <w:r>
              <w:t>Manufacturing provenance and verified service history convert an intangible promise into credible evidence</w:t>
            </w:r>
          </w:p>
        </w:tc>
      </w:tr>
    </w:tbl>
    <w:p w14:paraId="650A4753" w14:textId="77777777" w:rsidR="00B00095" w:rsidRPr="00FB7A07" w:rsidRDefault="00000000" w:rsidP="00FB7A07">
      <w:pPr>
        <w:rPr>
          <w:i/>
          <w:iCs/>
          <w:sz w:val="22"/>
          <w:szCs w:val="20"/>
        </w:rPr>
      </w:pPr>
      <w:r w:rsidRPr="00FB7A07">
        <w:rPr>
          <w:i/>
          <w:iCs/>
          <w:sz w:val="22"/>
          <w:szCs w:val="20"/>
        </w:rPr>
        <w:t>Source: Compiled from Toyota Motor Corporation (2026a; 2026b) and Toyota (GB) (2022; 2026a; 2026b).</w:t>
      </w:r>
    </w:p>
    <w:p w14:paraId="565F2639" w14:textId="77777777" w:rsidR="00B00095" w:rsidRDefault="00000000">
      <w:pPr>
        <w:pStyle w:val="Heading2"/>
      </w:pPr>
      <w:bookmarkStart w:id="8" w:name="_Toc234632796"/>
      <w:r>
        <w:t>4.1 Product and price</w:t>
      </w:r>
      <w:bookmarkEnd w:id="8"/>
    </w:p>
    <w:p w14:paraId="5D22B31D" w14:textId="77777777" w:rsidR="007066CC" w:rsidRPr="007066CC" w:rsidRDefault="007066CC" w:rsidP="007066CC">
      <w:r w:rsidRPr="007066CC">
        <w:t xml:space="preserve">Common product platform is a source of scale; however, there is a lot of visible adaptation. Toyota has a far richer offering in Japan as it can make use of the familiarity of its name, its dealer network and the fact that its range covers a diverse range of niche sectors of the </w:t>
      </w:r>
      <w:r w:rsidRPr="007066CC">
        <w:lastRenderedPageBreak/>
        <w:t xml:space="preserve">Japanese market. The mobility of the minivans and compact dimensions are key to coping with the needs of the small household and ageing in dense cities. Crossover, car-based variant and car numbers featuring in the UK list are showcased more. One good example of </w:t>
      </w:r>
      <w:proofErr w:type="spellStart"/>
      <w:r w:rsidRPr="007066CC">
        <w:t>standardisation</w:t>
      </w:r>
      <w:proofErr w:type="spellEnd"/>
      <w:r w:rsidRPr="007066CC">
        <w:t xml:space="preserve"> using, in this case, the hybrid technology and the reliability promise are ubiquitous, but grades, specification and offers are local, such as the Yaris. Likely beating to online </w:t>
      </w:r>
      <w:proofErr w:type="spellStart"/>
      <w:r w:rsidRPr="007066CC">
        <w:t>messageboards</w:t>
      </w:r>
      <w:proofErr w:type="spellEnd"/>
      <w:r w:rsidRPr="007066CC">
        <w:t xml:space="preserve"> with a smile of triumph, Toyota's UK Yaris is advertised as a self-charging hybrid, as a thing which has been engineered to be “highly economical”, with a potential to achieve 70.6 mpg (Toyota (GB), 2026c).</w:t>
      </w:r>
    </w:p>
    <w:p w14:paraId="173E4417" w14:textId="77777777" w:rsidR="007066CC" w:rsidRPr="007066CC" w:rsidRDefault="007066CC" w:rsidP="007066CC">
      <w:r w:rsidRPr="007066CC">
        <w:t>Prices are not mechanically converted, but are locally administered. More flexibility for dealers; prices in Japan are suggested retail prices and KINTO calls its products ‘rental services for the month' rather than simply car loans. Discounts are in the form of personal contract purchase/hire/ business leasing/campaign discounts to UK list prices. This suits the times when people can become quite preoccupied with the monthly price, but the deposit, interest and final price, mileage limits and amount repayable, should all be very transparent. Combined with temporary savings on the bZ4X, and discounted home charging, BEV adoption friction can be reduced, but repeated discounting can have a detrimental impact on BEV residual values and may instill custom inertia to delay purchase (Toyota (GB), 2026d).</w:t>
      </w:r>
    </w:p>
    <w:p w14:paraId="4AC6F70E" w14:textId="77777777" w:rsidR="007066CC" w:rsidRPr="007066CC" w:rsidRDefault="007066CC" w:rsidP="007066CC">
      <w:pPr>
        <w:pStyle w:val="Heading2"/>
      </w:pPr>
      <w:bookmarkStart w:id="9" w:name="_Toc234632797"/>
      <w:r w:rsidRPr="007066CC">
        <w:t>4.2 Place and promotion</w:t>
      </w:r>
      <w:bookmarkEnd w:id="9"/>
    </w:p>
    <w:p w14:paraId="4E009F9D" w14:textId="77777777" w:rsidR="007066CC" w:rsidRPr="007066CC" w:rsidRDefault="007066CC" w:rsidP="007066CC">
      <w:r w:rsidRPr="007066CC">
        <w:t>Both markets adopt an omnichannel strategy, with varying preferences on how big a digital channel should be. Interested customers are able to look after stocks on the Internet, and request prices and drive tests via the Internet in Japan, and then they can be assured of a continuity of follow-up services due to the presence of a rich dealer network that allows them to consult a dealer later on in detail. The UK website features online new and used car sales, financial calculation, fleet pathways and dealer contact. Low scores on the UK uncertainty avoidance index indicate a greater tendency to explore self-directedly, whereas Japan's high scores on the uncertainty avoidance indicate that expert confirmation is important. One Customer Record across channels is the strategic need. Resetting preferences or getting different prices would detract from convenience in Britain, and reassurance in Japan.</w:t>
      </w:r>
    </w:p>
    <w:p w14:paraId="08F82779" w14:textId="77777777" w:rsidR="007066CC" w:rsidRPr="007066CC" w:rsidRDefault="007066CC" w:rsidP="007066CC">
      <w:r w:rsidRPr="007066CC">
        <w:lastRenderedPageBreak/>
        <w:t xml:space="preserve">The promotion structure should not be altered, but this should maintain a consistent Toyota 'brand'. The Japanese can excel in engineering detail and safety systems, manufacturing precision and the long-term retention of value. There is a range of evidence in the form of benefits, owner stories, </w:t>
      </w:r>
      <w:proofErr w:type="spellStart"/>
      <w:r w:rsidRPr="007066CC">
        <w:t>humour</w:t>
      </w:r>
      <w:proofErr w:type="spellEnd"/>
      <w:r w:rsidRPr="007066CC">
        <w:t xml:space="preserve"> and locally produced Corolla evidence that can be used in the UK. But, creativity for lifestyle must carry a responsibility </w:t>
      </w:r>
      <w:proofErr w:type="spellStart"/>
      <w:r w:rsidRPr="007066CC">
        <w:t>aspecting</w:t>
      </w:r>
      <w:proofErr w:type="spellEnd"/>
      <w:r w:rsidRPr="007066CC">
        <w:t>. In the “Born to Roam” case, this was highlighted because the claims that the vehicle was capable, although technically correct, were nonetheless ethically wrong when it was seen in a disturbing context in natural areas. Thus, cultural adaptation is limited by who is adhering to the rules and who is calling for action, rather than by who is calling attention to it.</w:t>
      </w:r>
    </w:p>
    <w:p w14:paraId="330F13D7" w14:textId="77777777" w:rsidR="007066CC" w:rsidRPr="007066CC" w:rsidRDefault="007066CC" w:rsidP="007066CC">
      <w:pPr>
        <w:pStyle w:val="Heading2"/>
      </w:pPr>
      <w:bookmarkStart w:id="10" w:name="_Toc234632798"/>
      <w:r w:rsidRPr="007066CC">
        <w:t>4.3 People, process and physical evidence</w:t>
      </w:r>
      <w:bookmarkEnd w:id="10"/>
    </w:p>
    <w:p w14:paraId="6478F280" w14:textId="77777777" w:rsidR="007066CC" w:rsidRPr="007066CC" w:rsidRDefault="007066CC" w:rsidP="007066CC">
      <w:r w:rsidRPr="007066CC">
        <w:t xml:space="preserve">Individuals transform a man-made product to a service relationship. Traditional levels of courtesy, clarity of information and thorough handover of work in Japan fuel a sense of precision. A rate of resolution, autonomy and accessible language are more important in Britain. Toyota needs to bring product competence to a standard, bring in safety training </w:t>
      </w:r>
      <w:proofErr w:type="spellStart"/>
      <w:r w:rsidRPr="007066CC">
        <w:t>programmes</w:t>
      </w:r>
      <w:proofErr w:type="spellEnd"/>
      <w:r w:rsidRPr="007066CC">
        <w:t xml:space="preserve"> and also structure who owns the complaints but the personal approach of the individual should remain different. This difference makes it possible for the global service standards not to be scripted interactions. The greatest advantage of the warranty is activated by the UK service network and can cover up to ten years/100,000 miles, as maintaining the physical product commitment is dependent on adviser competence and their </w:t>
      </w:r>
      <w:proofErr w:type="spellStart"/>
      <w:r w:rsidRPr="007066CC">
        <w:t>behaviour</w:t>
      </w:r>
      <w:proofErr w:type="spellEnd"/>
      <w:r w:rsidRPr="007066CC">
        <w:t xml:space="preserve"> in service (Toyota (GB), 2022).</w:t>
      </w:r>
    </w:p>
    <w:p w14:paraId="0EFBF8B6" w14:textId="77777777" w:rsidR="007066CC" w:rsidRPr="007066CC" w:rsidRDefault="007066CC" w:rsidP="007066CC">
      <w:r w:rsidRPr="007066CC">
        <w:t>The same applies with the process adaptation: it makes sense on the logic of the process. Structured specification, consultation and documented assurance are useful for the Japanese, but over time may be a deterrent for the younger generation of digital customers. Quick configuration, transparent finance, reliable delivery updates and seamless shift from online research to test drive are essential to the UK. A fixed monthly charges service plan lowers the uncertainty and risk of costs, and complaints mechanisms safeguard the recovery. Toyota should focus on the effort, first contact resolution and digital to dealer conversion, and not just on sales satisfaction (Toyota (GB), 2026b).</w:t>
      </w:r>
    </w:p>
    <w:p w14:paraId="73811A48" w14:textId="77777777" w:rsidR="007066CC" w:rsidRPr="007066CC" w:rsidRDefault="007066CC" w:rsidP="007066CC">
      <w:r w:rsidRPr="007066CC">
        <w:t xml:space="preserve">Are you looking for Physical Evidence Showrooms, Vehicle Finish, Documentations, Apps, Chargers, Service histories, manufacturing provenances. Japanese presentation accentuates </w:t>
      </w:r>
      <w:r w:rsidRPr="007066CC">
        <w:lastRenderedPageBreak/>
        <w:t xml:space="preserve">the craftsmanship and risk reduction. It's not just the products manufactured here in the UK; at </w:t>
      </w:r>
      <w:proofErr w:type="spellStart"/>
      <w:r w:rsidRPr="007066CC">
        <w:t>Burnaston</w:t>
      </w:r>
      <w:proofErr w:type="spellEnd"/>
      <w:r w:rsidRPr="007066CC">
        <w:t>, brands and warranty agreements, as well as trained technicians, are all signs of quality and commitment to the local market. Toyota (GB), 2024 states that even though the cars are produced locally it should not be assumed that the car parts are all British. Toyota claims local production with five million vehicles produced in the UK, with more than £2.82 billion invested in UK production.</w:t>
      </w:r>
    </w:p>
    <w:p w14:paraId="3ADA36E4" w14:textId="77777777" w:rsidR="007066CC" w:rsidRPr="007066CC" w:rsidRDefault="007066CC" w:rsidP="007066CC">
      <w:pPr>
        <w:pStyle w:val="Heading1"/>
      </w:pPr>
      <w:bookmarkStart w:id="11" w:name="_Toc234632799"/>
      <w:r w:rsidRPr="007066CC">
        <w:t>5. Market Entry Strategy in the United Kingdom</w:t>
      </w:r>
      <w:bookmarkEnd w:id="11"/>
    </w:p>
    <w:p w14:paraId="4F3C050F" w14:textId="0C536AD6" w:rsidR="00B00095" w:rsidRDefault="007066CC" w:rsidP="007066CC">
      <w:r w:rsidRPr="007066CC">
        <w:t xml:space="preserve">Toyota’s UK development is best thought of as ‘programmed commitment'. The cars were initially imported, and a limited presence at the motor-show demonstrated the market demand, </w:t>
      </w:r>
      <w:proofErr w:type="spellStart"/>
      <w:r w:rsidRPr="007066CC">
        <w:t>minimising</w:t>
      </w:r>
      <w:proofErr w:type="spellEnd"/>
      <w:r w:rsidRPr="007066CC">
        <w:t xml:space="preserve"> capital risk. Toyota's sales knowledge and brand awareness grew, as did its control via its national sales </w:t>
      </w:r>
      <w:proofErr w:type="spellStart"/>
      <w:r w:rsidRPr="007066CC">
        <w:t>organisation</w:t>
      </w:r>
      <w:proofErr w:type="spellEnd"/>
      <w:r w:rsidRPr="007066CC">
        <w:t xml:space="preserve"> and dealerships. Exporting switched to market infrastructure, lessened market ignorance but did not take on manufacturing risk (for now)</w:t>
      </w:r>
      <w:r>
        <w:t xml:space="preserve"> (Toyota (GB), 2015).</w:t>
      </w:r>
    </w:p>
    <w:p w14:paraId="6DECEC9F" w14:textId="77777777" w:rsidR="00B00095" w:rsidRDefault="00000000">
      <w:pPr>
        <w:keepNext/>
        <w:spacing w:after="60"/>
        <w:jc w:val="center"/>
      </w:pPr>
      <w:r>
        <w:rPr>
          <w:noProof/>
        </w:rPr>
        <w:drawing>
          <wp:inline distT="0" distB="0" distL="0" distR="0" wp14:anchorId="5ECE9189" wp14:editId="35B20FF5">
            <wp:extent cx="5623560" cy="2322102"/>
            <wp:effectExtent l="0" t="0" r="0" b="0"/>
            <wp:docPr id="3" name="Picture 3" descr="Timeline of Toyota market entry and manufacturing commitment in the United Kingdom from 1965 to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k_entry_timeline.png"/>
                    <pic:cNvPicPr/>
                  </pic:nvPicPr>
                  <pic:blipFill>
                    <a:blip r:embed="rId10"/>
                    <a:stretch>
                      <a:fillRect/>
                    </a:stretch>
                  </pic:blipFill>
                  <pic:spPr>
                    <a:xfrm>
                      <a:off x="0" y="0"/>
                      <a:ext cx="5623560" cy="2322102"/>
                    </a:xfrm>
                    <a:prstGeom prst="rect">
                      <a:avLst/>
                    </a:prstGeom>
                  </pic:spPr>
                </pic:pic>
              </a:graphicData>
            </a:graphic>
          </wp:inline>
        </w:drawing>
      </w:r>
    </w:p>
    <w:p w14:paraId="1B604201" w14:textId="013EC5A1" w:rsidR="007066CC" w:rsidRPr="007066CC" w:rsidRDefault="007066CC" w:rsidP="007066CC">
      <w:pPr>
        <w:spacing w:after="0"/>
        <w:jc w:val="center"/>
        <w:rPr>
          <w:rFonts w:ascii="Arial" w:hAnsi="Arial"/>
          <w:i/>
          <w:iCs/>
          <w:sz w:val="20"/>
          <w:szCs w:val="20"/>
        </w:rPr>
      </w:pPr>
      <w:r w:rsidRPr="007066CC">
        <w:rPr>
          <w:i/>
          <w:iCs/>
          <w:sz w:val="22"/>
          <w:szCs w:val="20"/>
        </w:rPr>
        <w:t>Figure 2. Toyota’s staged market entry and commitment in the United Kingdom</w:t>
      </w:r>
    </w:p>
    <w:p w14:paraId="353E84BA" w14:textId="5A201205" w:rsidR="00B00095" w:rsidRPr="007066CC" w:rsidRDefault="00000000" w:rsidP="007066CC">
      <w:pPr>
        <w:spacing w:after="0"/>
        <w:jc w:val="center"/>
        <w:rPr>
          <w:i/>
          <w:iCs/>
          <w:sz w:val="22"/>
          <w:szCs w:val="20"/>
        </w:rPr>
      </w:pPr>
      <w:r w:rsidRPr="007066CC">
        <w:rPr>
          <w:i/>
          <w:iCs/>
          <w:sz w:val="22"/>
          <w:szCs w:val="20"/>
        </w:rPr>
        <w:t>Source: Adapted from Toyota (GB) (2015; 2024) and Toyota Motor Manufacturing UK (2026).</w:t>
      </w:r>
    </w:p>
    <w:p w14:paraId="0035D080" w14:textId="77777777" w:rsidR="007066CC" w:rsidRPr="007066CC" w:rsidRDefault="007066CC" w:rsidP="007066CC">
      <w:r w:rsidRPr="007066CC">
        <w:t xml:space="preserve">Toyota Motor Manufacturing UK's decision in 1989 to establish was a change towards high commitment foreign direct investment. Production of cars actually started in </w:t>
      </w:r>
      <w:proofErr w:type="spellStart"/>
      <w:r w:rsidRPr="007066CC">
        <w:t>Burnaston</w:t>
      </w:r>
      <w:proofErr w:type="spellEnd"/>
      <w:r w:rsidRPr="007066CC">
        <w:t xml:space="preserve"> in 1992 and the Deeside engine factory was used. Local manufacturing brought benefits in terms of quality, supply, learning and access to the European market and served as a sign of commitment to government, employees and suppliers. By 2024, </w:t>
      </w:r>
      <w:proofErr w:type="spellStart"/>
      <w:r w:rsidRPr="007066CC">
        <w:t>Burnaston</w:t>
      </w:r>
      <w:proofErr w:type="spellEnd"/>
      <w:r w:rsidRPr="007066CC">
        <w:t xml:space="preserve"> would have made 5 million cars and all of the cars made in the UK were hybrids. This evolution is in line with the entry mode theory, which suggests that the higher the level of ownership and asset </w:t>
      </w:r>
      <w:r w:rsidRPr="007066CC">
        <w:lastRenderedPageBreak/>
        <w:t>commitment, the higher the market potential, proprietary capabilities and value of control compared to flexibility (</w:t>
      </w:r>
      <w:proofErr w:type="spellStart"/>
      <w:r w:rsidRPr="007066CC">
        <w:t>Brouthers</w:t>
      </w:r>
      <w:proofErr w:type="spellEnd"/>
      <w:r w:rsidRPr="007066CC">
        <w:t>, 2013).</w:t>
      </w:r>
    </w:p>
    <w:p w14:paraId="2B8C5F8C" w14:textId="77777777" w:rsidR="007066CC" w:rsidRPr="007066CC" w:rsidRDefault="007066CC" w:rsidP="007066CC">
      <w:r w:rsidRPr="007066CC">
        <w:t xml:space="preserve">It proved to be a sound strategy but not without risk. Being a dedicated plant makes Toyota vulnerable to demand cycles, trade friction, regulatory change and technology transition. The UK manufacturing of vehicles dropped 15.5 per cent in 2025, reflecting restructuring efforts within the industry, but also Brexit's impact on frictionless access to the EU and the ZEV mandate creating a risk of a hybrid </w:t>
      </w:r>
      <w:proofErr w:type="spellStart"/>
      <w:r w:rsidRPr="007066CC">
        <w:t>centred</w:t>
      </w:r>
      <w:proofErr w:type="spellEnd"/>
      <w:r w:rsidRPr="007066CC">
        <w:t xml:space="preserve"> manufacturing base. A licensing or joint-venture arrangement would have had the effect of decreasing sunk cost while at the same time decreasing protection for the Toyota Production System and control over the quality. For the current wholly owned model, this is still viable provided that products and processes are made available to </w:t>
      </w:r>
      <w:proofErr w:type="spellStart"/>
      <w:r w:rsidRPr="007066CC">
        <w:t>Burnaston</w:t>
      </w:r>
      <w:proofErr w:type="spellEnd"/>
      <w:r w:rsidRPr="007066CC">
        <w:t xml:space="preserve"> and Deeside that are suitable for the BEV era, as otherwise there is a risk that commitment through this model may turn into technological lock-in (Society of Motor Manufacturers and Traders, 2026b).</w:t>
      </w:r>
    </w:p>
    <w:p w14:paraId="433A354F" w14:textId="77777777" w:rsidR="007066CC" w:rsidRPr="007066CC" w:rsidRDefault="007066CC" w:rsidP="007066CC">
      <w:pPr>
        <w:pStyle w:val="Heading1"/>
      </w:pPr>
      <w:bookmarkStart w:id="12" w:name="_Toc234632800"/>
      <w:r w:rsidRPr="007066CC">
        <w:t>6. Ethical Evaluation: UK “Born to Roam” Promotion</w:t>
      </w:r>
      <w:bookmarkEnd w:id="12"/>
    </w:p>
    <w:p w14:paraId="2B1BE973" w14:textId="77777777" w:rsidR="007066CC" w:rsidRPr="007066CC" w:rsidRDefault="007066CC" w:rsidP="007066CC">
      <w:r w:rsidRPr="007066CC">
        <w:t xml:space="preserve">The Advertising Standards Authority (ASA) ruled in </w:t>
      </w:r>
      <w:proofErr w:type="spellStart"/>
      <w:r w:rsidRPr="007066CC">
        <w:t>favour</w:t>
      </w:r>
      <w:proofErr w:type="spellEnd"/>
      <w:r w:rsidRPr="007066CC">
        <w:t xml:space="preserve"> of a complaint against the Toyota Hilux video and poster in November 2023. The campaign featured a series of images with a number of vehicles driving across untarmacked surfaces with a river featured in the background, along with the taglines ‘one of nature's true spectacles' and ‘Born to Roam'. Toyota contended that the display was far from reality and that those who were genuine users like farmers and forestry workers needed off-road performance. The regulator determined that those weren't represented, and the overall impression endorsed the driving without consideration of the environment. The ads were found to be in violation of CAP Code rule 1.3 and were not allowed to be re-printed as such (Advertising Standards Authority, 2023).</w:t>
      </w:r>
    </w:p>
    <w:p w14:paraId="68D79AC5" w14:textId="77777777" w:rsidR="007066CC" w:rsidRPr="007066CC" w:rsidRDefault="007066CC" w:rsidP="007066CC">
      <w:r w:rsidRPr="007066CC">
        <w:t xml:space="preserve">It was a promotion problem but it has ramifications for positioning and product as well. Toyota has decades of hybrid leadership, and demonstrates that environmental enhancement is at the heart of its mobility plans. Naturally, to use nature as a backdrop to free SUV traffic led to an incongruous responsibility/meaning relationship. The stakeholder theory does not consider legality and short-term customer satisfaction enough if communications neglect the broader impacts to communities and ecosystems. The decision </w:t>
      </w:r>
      <w:r w:rsidRPr="007066CC">
        <w:lastRenderedPageBreak/>
        <w:t>thus was not a technical limitation on demonstrating off-road performance, but a reflection of the poor stakeholder review prior to creative approval (Freeman et al., 2010).</w:t>
      </w:r>
    </w:p>
    <w:p w14:paraId="6BC1BCDD" w14:textId="73B42063" w:rsidR="00B00095" w:rsidRDefault="007066CC" w:rsidP="007066CC">
      <w:r w:rsidRPr="007066CC">
        <w:t xml:space="preserve">This 'inconsistency' has a commercial impact because of consumer </w:t>
      </w:r>
      <w:proofErr w:type="spellStart"/>
      <w:r w:rsidRPr="007066CC">
        <w:t>scepticism</w:t>
      </w:r>
      <w:proofErr w:type="spellEnd"/>
      <w:r w:rsidRPr="007066CC">
        <w:t xml:space="preserve">. Studies indicate that doubts about the motives behind CSR claims and doubts about the authenticity of the claims can dampen brand responses, especially when claims seem selective and/or inconsistent with company actions. Toyota should make a distinction between demonstrating professional ability and causing nuisance to the environment as a pastime, should clearly indicate the uses of its products and should make known the emissions or any information on the power train. An environmental message on both sides of the fence, which </w:t>
      </w:r>
      <w:proofErr w:type="spellStart"/>
      <w:r w:rsidRPr="007066CC">
        <w:t>recognises</w:t>
      </w:r>
      <w:proofErr w:type="spellEnd"/>
      <w:r w:rsidRPr="007066CC">
        <w:t xml:space="preserve"> the limitations and offers validated improvements can be more credible than </w:t>
      </w:r>
      <w:proofErr w:type="spellStart"/>
      <w:r w:rsidRPr="007066CC">
        <w:t>idealised</w:t>
      </w:r>
      <w:proofErr w:type="spellEnd"/>
      <w:r w:rsidRPr="007066CC">
        <w:t xml:space="preserve"> nature images</w:t>
      </w:r>
      <w:r>
        <w:t xml:space="preserve"> (Nguyen et al., 2023; Kim et al., 2023).</w:t>
      </w:r>
    </w:p>
    <w:p w14:paraId="02775D74" w14:textId="77777777" w:rsidR="00B00095" w:rsidRDefault="00000000">
      <w:pPr>
        <w:pStyle w:val="Heading1"/>
      </w:pPr>
      <w:bookmarkStart w:id="13" w:name="_Toc234632801"/>
      <w:r>
        <w:t>7. Recommendations</w:t>
      </w:r>
      <w:bookmarkEnd w:id="13"/>
    </w:p>
    <w:p w14:paraId="3848E5A9" w14:textId="77777777" w:rsidR="00B00095" w:rsidRDefault="00000000" w:rsidP="007066CC">
      <w:r w:rsidRPr="007066CC">
        <w:rPr>
          <w:b/>
          <w:bCs/>
        </w:rPr>
        <w:t>Table 4.</w:t>
      </w:r>
      <w:r>
        <w:t xml:space="preserve"> </w:t>
      </w:r>
      <w:proofErr w:type="spellStart"/>
      <w:r>
        <w:t>Prioritised</w:t>
      </w:r>
      <w:proofErr w:type="spellEnd"/>
      <w:r>
        <w:t xml:space="preserve"> international marketing actions</w:t>
      </w:r>
    </w:p>
    <w:tbl>
      <w:tblPr>
        <w:tblStyle w:val="TableGrid"/>
        <w:tblW w:w="9026" w:type="dxa"/>
        <w:jc w:val="center"/>
        <w:tblLayout w:type="fixed"/>
        <w:tblLook w:val="04A0" w:firstRow="1" w:lastRow="0" w:firstColumn="1" w:lastColumn="0" w:noHBand="0" w:noVBand="1"/>
      </w:tblPr>
      <w:tblGrid>
        <w:gridCol w:w="2000"/>
        <w:gridCol w:w="2100"/>
        <w:gridCol w:w="2300"/>
        <w:gridCol w:w="2626"/>
      </w:tblGrid>
      <w:tr w:rsidR="00B00095" w14:paraId="73C5B4AD" w14:textId="77777777">
        <w:trPr>
          <w:cantSplit/>
          <w:tblHeader/>
          <w:jc w:val="center"/>
        </w:trPr>
        <w:tc>
          <w:tcPr>
            <w:tcW w:w="2000" w:type="dxa"/>
            <w:shd w:val="clear" w:color="auto" w:fill="B5121B"/>
            <w:tcMar>
              <w:top w:w="90" w:type="dxa"/>
              <w:left w:w="105" w:type="dxa"/>
              <w:bottom w:w="90" w:type="dxa"/>
              <w:right w:w="105" w:type="dxa"/>
            </w:tcMar>
            <w:vAlign w:val="center"/>
          </w:tcPr>
          <w:p w14:paraId="5F9F58EA" w14:textId="77777777" w:rsidR="00B00095" w:rsidRPr="007066CC" w:rsidRDefault="00000000" w:rsidP="007066CC">
            <w:pPr>
              <w:jc w:val="center"/>
              <w:rPr>
                <w:b/>
                <w:bCs/>
                <w:color w:val="FFFFFF" w:themeColor="background1"/>
              </w:rPr>
            </w:pPr>
            <w:r w:rsidRPr="007066CC">
              <w:rPr>
                <w:b/>
                <w:bCs/>
                <w:color w:val="FFFFFF" w:themeColor="background1"/>
              </w:rPr>
              <w:t>Priority action</w:t>
            </w:r>
          </w:p>
        </w:tc>
        <w:tc>
          <w:tcPr>
            <w:tcW w:w="2100" w:type="dxa"/>
            <w:shd w:val="clear" w:color="auto" w:fill="B5121B"/>
            <w:tcMar>
              <w:top w:w="90" w:type="dxa"/>
              <w:left w:w="105" w:type="dxa"/>
              <w:bottom w:w="90" w:type="dxa"/>
              <w:right w:w="105" w:type="dxa"/>
            </w:tcMar>
            <w:vAlign w:val="center"/>
          </w:tcPr>
          <w:p w14:paraId="7F22F5A6" w14:textId="77777777" w:rsidR="00B00095" w:rsidRPr="007066CC" w:rsidRDefault="00000000" w:rsidP="007066CC">
            <w:pPr>
              <w:jc w:val="center"/>
              <w:rPr>
                <w:b/>
                <w:bCs/>
                <w:color w:val="FFFFFF" w:themeColor="background1"/>
              </w:rPr>
            </w:pPr>
            <w:r w:rsidRPr="007066CC">
              <w:rPr>
                <w:b/>
                <w:bCs/>
                <w:color w:val="FFFFFF" w:themeColor="background1"/>
              </w:rPr>
              <w:t>Japan application</w:t>
            </w:r>
          </w:p>
        </w:tc>
        <w:tc>
          <w:tcPr>
            <w:tcW w:w="2300" w:type="dxa"/>
            <w:shd w:val="clear" w:color="auto" w:fill="B5121B"/>
            <w:tcMar>
              <w:top w:w="90" w:type="dxa"/>
              <w:left w:w="105" w:type="dxa"/>
              <w:bottom w:w="90" w:type="dxa"/>
              <w:right w:w="105" w:type="dxa"/>
            </w:tcMar>
            <w:vAlign w:val="center"/>
          </w:tcPr>
          <w:p w14:paraId="7B36F00A" w14:textId="77777777" w:rsidR="00B00095" w:rsidRPr="007066CC" w:rsidRDefault="00000000" w:rsidP="007066CC">
            <w:pPr>
              <w:jc w:val="center"/>
              <w:rPr>
                <w:b/>
                <w:bCs/>
                <w:color w:val="FFFFFF" w:themeColor="background1"/>
              </w:rPr>
            </w:pPr>
            <w:r w:rsidRPr="007066CC">
              <w:rPr>
                <w:b/>
                <w:bCs/>
                <w:color w:val="FFFFFF" w:themeColor="background1"/>
              </w:rPr>
              <w:t>UK application</w:t>
            </w:r>
          </w:p>
        </w:tc>
        <w:tc>
          <w:tcPr>
            <w:tcW w:w="2626" w:type="dxa"/>
            <w:shd w:val="clear" w:color="auto" w:fill="B5121B"/>
            <w:tcMar>
              <w:top w:w="90" w:type="dxa"/>
              <w:left w:w="105" w:type="dxa"/>
              <w:bottom w:w="90" w:type="dxa"/>
              <w:right w:w="105" w:type="dxa"/>
            </w:tcMar>
            <w:vAlign w:val="center"/>
          </w:tcPr>
          <w:p w14:paraId="05A3B0E3" w14:textId="77777777" w:rsidR="00B00095" w:rsidRPr="007066CC" w:rsidRDefault="00000000" w:rsidP="007066CC">
            <w:pPr>
              <w:jc w:val="center"/>
              <w:rPr>
                <w:b/>
                <w:bCs/>
                <w:color w:val="FFFFFF" w:themeColor="background1"/>
              </w:rPr>
            </w:pPr>
            <w:r w:rsidRPr="007066CC">
              <w:rPr>
                <w:b/>
                <w:bCs/>
                <w:color w:val="FFFFFF" w:themeColor="background1"/>
              </w:rPr>
              <w:t>Measure and timing</w:t>
            </w:r>
          </w:p>
        </w:tc>
      </w:tr>
      <w:tr w:rsidR="00B00095" w14:paraId="20D65183" w14:textId="77777777">
        <w:trPr>
          <w:cantSplit/>
          <w:jc w:val="center"/>
        </w:trPr>
        <w:tc>
          <w:tcPr>
            <w:tcW w:w="2000" w:type="dxa"/>
            <w:tcMar>
              <w:top w:w="90" w:type="dxa"/>
              <w:left w:w="105" w:type="dxa"/>
              <w:bottom w:w="90" w:type="dxa"/>
              <w:right w:w="105" w:type="dxa"/>
            </w:tcMar>
            <w:vAlign w:val="center"/>
          </w:tcPr>
          <w:p w14:paraId="02B1443E" w14:textId="77777777" w:rsidR="00B00095" w:rsidRDefault="00000000" w:rsidP="007066CC">
            <w:r>
              <w:t>1. Rebalance electrification by market readiness</w:t>
            </w:r>
          </w:p>
        </w:tc>
        <w:tc>
          <w:tcPr>
            <w:tcW w:w="2100" w:type="dxa"/>
            <w:tcMar>
              <w:top w:w="90" w:type="dxa"/>
              <w:left w:w="105" w:type="dxa"/>
              <w:bottom w:w="90" w:type="dxa"/>
              <w:right w:w="105" w:type="dxa"/>
            </w:tcMar>
            <w:vAlign w:val="center"/>
          </w:tcPr>
          <w:p w14:paraId="6593A782" w14:textId="77777777" w:rsidR="00B00095" w:rsidRDefault="00000000" w:rsidP="007066CC">
            <w:r>
              <w:t>Use hybrids as a bridge while expanding BEV trials for urban, fleet and older-user needs</w:t>
            </w:r>
          </w:p>
        </w:tc>
        <w:tc>
          <w:tcPr>
            <w:tcW w:w="2300" w:type="dxa"/>
            <w:tcMar>
              <w:top w:w="90" w:type="dxa"/>
              <w:left w:w="105" w:type="dxa"/>
              <w:bottom w:w="90" w:type="dxa"/>
              <w:right w:w="105" w:type="dxa"/>
            </w:tcMar>
            <w:vAlign w:val="center"/>
          </w:tcPr>
          <w:p w14:paraId="6C8E0DC7" w14:textId="77777777" w:rsidR="00B00095" w:rsidRDefault="00000000" w:rsidP="007066CC">
            <w:r>
              <w:t>Allocate stronger launch, stock and media support to BEVs; bundle charging and transparent total-cost tools</w:t>
            </w:r>
          </w:p>
        </w:tc>
        <w:tc>
          <w:tcPr>
            <w:tcW w:w="2626" w:type="dxa"/>
            <w:tcMar>
              <w:top w:w="90" w:type="dxa"/>
              <w:left w:w="105" w:type="dxa"/>
              <w:bottom w:w="90" w:type="dxa"/>
              <w:right w:w="105" w:type="dxa"/>
            </w:tcMar>
            <w:vAlign w:val="center"/>
          </w:tcPr>
          <w:p w14:paraId="20B37D30" w14:textId="77777777" w:rsidR="00B00095" w:rsidRDefault="00000000" w:rsidP="007066CC">
            <w:r>
              <w:t>BEV test-drive conversion, order share and compliance gap reviewed quarterly through 2028</w:t>
            </w:r>
          </w:p>
        </w:tc>
      </w:tr>
      <w:tr w:rsidR="00B00095" w14:paraId="17327A26" w14:textId="77777777">
        <w:trPr>
          <w:cantSplit/>
          <w:jc w:val="center"/>
        </w:trPr>
        <w:tc>
          <w:tcPr>
            <w:tcW w:w="2000" w:type="dxa"/>
            <w:shd w:val="clear" w:color="auto" w:fill="F2F4F7"/>
            <w:tcMar>
              <w:top w:w="90" w:type="dxa"/>
              <w:left w:w="105" w:type="dxa"/>
              <w:bottom w:w="90" w:type="dxa"/>
              <w:right w:w="105" w:type="dxa"/>
            </w:tcMar>
            <w:vAlign w:val="center"/>
          </w:tcPr>
          <w:p w14:paraId="5901D579" w14:textId="77777777" w:rsidR="00B00095" w:rsidRDefault="00000000" w:rsidP="007066CC">
            <w:r>
              <w:t>2. Introduce an environmental communications gate</w:t>
            </w:r>
          </w:p>
        </w:tc>
        <w:tc>
          <w:tcPr>
            <w:tcW w:w="2100" w:type="dxa"/>
            <w:shd w:val="clear" w:color="auto" w:fill="F2F4F7"/>
            <w:tcMar>
              <w:top w:w="90" w:type="dxa"/>
              <w:left w:w="105" w:type="dxa"/>
              <w:bottom w:w="90" w:type="dxa"/>
              <w:right w:w="105" w:type="dxa"/>
            </w:tcMar>
            <w:vAlign w:val="center"/>
          </w:tcPr>
          <w:p w14:paraId="3667565A" w14:textId="77777777" w:rsidR="00B00095" w:rsidRDefault="00000000" w:rsidP="007066CC">
            <w:r>
              <w:t>Verify life-cycle and energy claims with technical and legal teams</w:t>
            </w:r>
          </w:p>
        </w:tc>
        <w:tc>
          <w:tcPr>
            <w:tcW w:w="2300" w:type="dxa"/>
            <w:shd w:val="clear" w:color="auto" w:fill="F2F4F7"/>
            <w:tcMar>
              <w:top w:w="90" w:type="dxa"/>
              <w:left w:w="105" w:type="dxa"/>
              <w:bottom w:w="90" w:type="dxa"/>
              <w:right w:w="105" w:type="dxa"/>
            </w:tcMar>
            <w:vAlign w:val="center"/>
          </w:tcPr>
          <w:p w14:paraId="35689AE7" w14:textId="77777777" w:rsidR="00B00095" w:rsidRDefault="00000000" w:rsidP="007066CC">
            <w:r>
              <w:t>Add independent review against CAP guidance and require responsible-use context for SUV imagery</w:t>
            </w:r>
          </w:p>
        </w:tc>
        <w:tc>
          <w:tcPr>
            <w:tcW w:w="2626" w:type="dxa"/>
            <w:shd w:val="clear" w:color="auto" w:fill="F2F4F7"/>
            <w:tcMar>
              <w:top w:w="90" w:type="dxa"/>
              <w:left w:w="105" w:type="dxa"/>
              <w:bottom w:w="90" w:type="dxa"/>
              <w:right w:w="105" w:type="dxa"/>
            </w:tcMar>
            <w:vAlign w:val="center"/>
          </w:tcPr>
          <w:p w14:paraId="090B7274" w14:textId="77777777" w:rsidR="00B00095" w:rsidRDefault="00000000" w:rsidP="007066CC">
            <w:r>
              <w:t>Zero upheld environmental rulings; all major campaigns documented from 2027</w:t>
            </w:r>
          </w:p>
        </w:tc>
      </w:tr>
      <w:tr w:rsidR="00B00095" w14:paraId="230F0E1C" w14:textId="77777777">
        <w:trPr>
          <w:cantSplit/>
          <w:jc w:val="center"/>
        </w:trPr>
        <w:tc>
          <w:tcPr>
            <w:tcW w:w="2000" w:type="dxa"/>
            <w:tcMar>
              <w:top w:w="90" w:type="dxa"/>
              <w:left w:w="105" w:type="dxa"/>
              <w:bottom w:w="90" w:type="dxa"/>
              <w:right w:w="105" w:type="dxa"/>
            </w:tcMar>
            <w:vAlign w:val="center"/>
          </w:tcPr>
          <w:p w14:paraId="0684CB84" w14:textId="77777777" w:rsidR="00B00095" w:rsidRDefault="00000000" w:rsidP="007066CC">
            <w:r>
              <w:lastRenderedPageBreak/>
              <w:t>3. Build one customer journey across channels</w:t>
            </w:r>
          </w:p>
        </w:tc>
        <w:tc>
          <w:tcPr>
            <w:tcW w:w="2100" w:type="dxa"/>
            <w:tcMar>
              <w:top w:w="90" w:type="dxa"/>
              <w:left w:w="105" w:type="dxa"/>
              <w:bottom w:w="90" w:type="dxa"/>
              <w:right w:w="105" w:type="dxa"/>
            </w:tcMar>
            <w:vAlign w:val="center"/>
          </w:tcPr>
          <w:p w14:paraId="2F8033E9" w14:textId="77777777" w:rsidR="00B00095" w:rsidRDefault="00000000" w:rsidP="007066CC">
            <w:r>
              <w:t>Link web quotation, dealer consultation, KINTO and T-Connect preferences</w:t>
            </w:r>
          </w:p>
        </w:tc>
        <w:tc>
          <w:tcPr>
            <w:tcW w:w="2300" w:type="dxa"/>
            <w:tcMar>
              <w:top w:w="90" w:type="dxa"/>
              <w:left w:w="105" w:type="dxa"/>
              <w:bottom w:w="90" w:type="dxa"/>
              <w:right w:w="105" w:type="dxa"/>
            </w:tcMar>
            <w:vAlign w:val="center"/>
          </w:tcPr>
          <w:p w14:paraId="64544AE2" w14:textId="77777777" w:rsidR="00B00095" w:rsidRDefault="00000000" w:rsidP="007066CC">
            <w:r>
              <w:t>Integrate configurator, finance, dealer, charging and service records with explicit consent</w:t>
            </w:r>
          </w:p>
        </w:tc>
        <w:tc>
          <w:tcPr>
            <w:tcW w:w="2626" w:type="dxa"/>
            <w:tcMar>
              <w:top w:w="90" w:type="dxa"/>
              <w:left w:w="105" w:type="dxa"/>
              <w:bottom w:w="90" w:type="dxa"/>
              <w:right w:w="105" w:type="dxa"/>
            </w:tcMar>
            <w:vAlign w:val="center"/>
          </w:tcPr>
          <w:p w14:paraId="10C9A6C2" w14:textId="77777777" w:rsidR="00B00095" w:rsidRDefault="00000000" w:rsidP="007066CC">
            <w:r>
              <w:t>Lower customer effort and abandoned configurations within 12 months</w:t>
            </w:r>
          </w:p>
        </w:tc>
      </w:tr>
      <w:tr w:rsidR="00B00095" w14:paraId="59A83B31" w14:textId="77777777">
        <w:trPr>
          <w:cantSplit/>
          <w:jc w:val="center"/>
        </w:trPr>
        <w:tc>
          <w:tcPr>
            <w:tcW w:w="2000" w:type="dxa"/>
            <w:shd w:val="clear" w:color="auto" w:fill="F2F4F7"/>
            <w:tcMar>
              <w:top w:w="90" w:type="dxa"/>
              <w:left w:w="105" w:type="dxa"/>
              <w:bottom w:w="90" w:type="dxa"/>
              <w:right w:w="105" w:type="dxa"/>
            </w:tcMar>
            <w:vAlign w:val="center"/>
          </w:tcPr>
          <w:p w14:paraId="139D1367" w14:textId="77777777" w:rsidR="00B00095" w:rsidRDefault="00000000" w:rsidP="007066CC">
            <w:r>
              <w:t xml:space="preserve">4. </w:t>
            </w:r>
            <w:proofErr w:type="spellStart"/>
            <w:r>
              <w:t>Localise</w:t>
            </w:r>
            <w:proofErr w:type="spellEnd"/>
            <w:r>
              <w:t xml:space="preserve"> evidence, not the core promise</w:t>
            </w:r>
          </w:p>
        </w:tc>
        <w:tc>
          <w:tcPr>
            <w:tcW w:w="2100" w:type="dxa"/>
            <w:shd w:val="clear" w:color="auto" w:fill="F2F4F7"/>
            <w:tcMar>
              <w:top w:w="90" w:type="dxa"/>
              <w:left w:w="105" w:type="dxa"/>
              <w:bottom w:w="90" w:type="dxa"/>
              <w:right w:w="105" w:type="dxa"/>
            </w:tcMar>
            <w:vAlign w:val="center"/>
          </w:tcPr>
          <w:p w14:paraId="0BFE17FC" w14:textId="77777777" w:rsidR="00B00095" w:rsidRDefault="00000000" w:rsidP="007066CC">
            <w:proofErr w:type="spellStart"/>
            <w:r>
              <w:t>Emphasise</w:t>
            </w:r>
            <w:proofErr w:type="spellEnd"/>
            <w:r>
              <w:t xml:space="preserve"> craftsmanship, safety detail, accessibility and durability</w:t>
            </w:r>
          </w:p>
        </w:tc>
        <w:tc>
          <w:tcPr>
            <w:tcW w:w="2300" w:type="dxa"/>
            <w:shd w:val="clear" w:color="auto" w:fill="F2F4F7"/>
            <w:tcMar>
              <w:top w:w="90" w:type="dxa"/>
              <w:left w:w="105" w:type="dxa"/>
              <w:bottom w:w="90" w:type="dxa"/>
              <w:right w:w="105" w:type="dxa"/>
            </w:tcMar>
            <w:vAlign w:val="center"/>
          </w:tcPr>
          <w:p w14:paraId="2DEACF8D" w14:textId="77777777" w:rsidR="00B00095" w:rsidRDefault="00000000" w:rsidP="007066CC">
            <w:proofErr w:type="spellStart"/>
            <w:r>
              <w:t>Emphasise</w:t>
            </w:r>
            <w:proofErr w:type="spellEnd"/>
            <w:r>
              <w:t xml:space="preserve"> individual value, local production, charging confidence and warranty assurance</w:t>
            </w:r>
          </w:p>
        </w:tc>
        <w:tc>
          <w:tcPr>
            <w:tcW w:w="2626" w:type="dxa"/>
            <w:shd w:val="clear" w:color="auto" w:fill="F2F4F7"/>
            <w:tcMar>
              <w:top w:w="90" w:type="dxa"/>
              <w:left w:w="105" w:type="dxa"/>
              <w:bottom w:w="90" w:type="dxa"/>
              <w:right w:w="105" w:type="dxa"/>
            </w:tcMar>
            <w:vAlign w:val="center"/>
          </w:tcPr>
          <w:p w14:paraId="2429261F" w14:textId="77777777" w:rsidR="00B00095" w:rsidRDefault="00000000" w:rsidP="007066CC">
            <w:r>
              <w:t>Brand-tracking gains in trust, relevance and electrification credibility by 2028</w:t>
            </w:r>
          </w:p>
        </w:tc>
      </w:tr>
    </w:tbl>
    <w:p w14:paraId="108E6C6C" w14:textId="77777777" w:rsidR="00B00095" w:rsidRPr="007066CC" w:rsidRDefault="00000000" w:rsidP="007066CC">
      <w:pPr>
        <w:rPr>
          <w:i/>
          <w:iCs/>
          <w:sz w:val="22"/>
          <w:szCs w:val="20"/>
        </w:rPr>
      </w:pPr>
      <w:r w:rsidRPr="007066CC">
        <w:rPr>
          <w:i/>
          <w:iCs/>
          <w:sz w:val="22"/>
          <w:szCs w:val="20"/>
        </w:rPr>
        <w:t>Source: Author’s recommendations based on the preceding analysis.</w:t>
      </w:r>
    </w:p>
    <w:p w14:paraId="5AAE27BA" w14:textId="77777777" w:rsidR="007066CC" w:rsidRPr="007066CC" w:rsidRDefault="007066CC" w:rsidP="007066CC">
      <w:r w:rsidRPr="007066CC">
        <w:t>Firstly, a blanket “multi-pathway” approach needs to be replaced by market-specific transition portfolios at the company level, in the case of Toyota. There is an opportunity for Japan to gain value from hybrids and to decrease the uncertainty around BEVs through trials for fleets and municipalities, and subscriptions. The BEV shift is needed at a more accelerated pace in the UK as the regulation is accelerating, whereas Toyota's traditional advantage is slowing down. Perceived risk should be lowered by bundled home charging and battery-health assurance and total-cost comparison, but be independent of price discounting that needs to be permanent.</w:t>
      </w:r>
    </w:p>
    <w:p w14:paraId="6636EFB9" w14:textId="77777777" w:rsidR="007066CC" w:rsidRPr="007066CC" w:rsidRDefault="007066CC" w:rsidP="007066CC">
      <w:r w:rsidRPr="007066CC">
        <w:t xml:space="preserve">Secondly, there is a need for a documented claim- and imaginary-check with marketing, engineering, legal and a sustainability-third-eye. The review should take into account the actual accuracy as well as the implied </w:t>
      </w:r>
      <w:proofErr w:type="spellStart"/>
      <w:r w:rsidRPr="007066CC">
        <w:t>behaviour</w:t>
      </w:r>
      <w:proofErr w:type="spellEnd"/>
      <w:r w:rsidRPr="007066CC">
        <w:t>. There is a need for pre-testing of high impact ads in the UK on social responsibility and for Japanese communications to disclose similar information with respect to energy consumption, sourcing of batteries and battery life cycle emissions. Governance/should reward not just the extent of the campaign spread, but also the avoidance of injuries to the reputation.</w:t>
      </w:r>
    </w:p>
    <w:p w14:paraId="64976E49" w14:textId="77777777" w:rsidR="007066CC" w:rsidRPr="007066CC" w:rsidRDefault="007066CC" w:rsidP="007066CC">
      <w:r w:rsidRPr="007066CC">
        <w:lastRenderedPageBreak/>
        <w:t>Thirdly, Toyota needs to link customers' data and decision making from the Web to the dealer to the finance to the charging to after sales. Explicit consent has to be received and there should be control over the flow of data across channels with the customer. It's time for the Japanese government to use more simple choices to convey expert recommendation. The UK should provide for quick self-service, but also make sure that there is human assistance for financial, charging and mobility. A data layer shared among the globe and then customized at each location with adapted interfaces allows for standardization to be offered where scale is a need, or for adaptation when experience is needed.</w:t>
      </w:r>
    </w:p>
    <w:p w14:paraId="206EDDCF" w14:textId="77777777" w:rsidR="007066CC" w:rsidRPr="007066CC" w:rsidRDefault="007066CC" w:rsidP="007066CC">
      <w:pPr>
        <w:pStyle w:val="Heading1"/>
      </w:pPr>
      <w:bookmarkStart w:id="14" w:name="_Toc234632802"/>
      <w:r w:rsidRPr="007066CC">
        <w:t>8. Conclusion</w:t>
      </w:r>
      <w:bookmarkEnd w:id="14"/>
    </w:p>
    <w:p w14:paraId="58400844" w14:textId="1B6E8112" w:rsidR="007066CC" w:rsidRPr="007066CC" w:rsidRDefault="007066CC" w:rsidP="007066CC">
      <w:r w:rsidRPr="007066CC">
        <w:t>Toyota has compared the sales of its cars in Japan with the sales in the United Kingdom: for Toyota, marketing to different countries is disciplined selective adaptation. The promise of the brand (quality, safety, reliability) can be universal, but the fit between the brand's portfolio, finance, communications, channels and/or service cues must be in the national environment and adapted to the customer segment. Demonstrating, breadth and assurance, and long-horizon relationships, continues to be a virtue in Japan. Achieve affordability, digital autonomy, credible BEV transition at faster rate, a need in the UK. Toyota's progressive UK launch had left them in firm control and local acceptance; however, the symbolism was they were inconsistent and this could break apart the status quo of environmental equity that had been established by the “Born to Roam” ruling. To be competitive, it is increasingly important to relate the transition and experience with the product and its marketing ethics to tangible evidence at the market level.</w:t>
      </w:r>
    </w:p>
    <w:p w14:paraId="0CE4A28B" w14:textId="77777777" w:rsidR="007066CC" w:rsidRDefault="007066CC">
      <w:pPr>
        <w:spacing w:after="200" w:line="276" w:lineRule="auto"/>
        <w:jc w:val="left"/>
        <w:rPr>
          <w:rFonts w:asciiTheme="majorHAnsi" w:eastAsiaTheme="majorEastAsia" w:hAnsiTheme="majorHAnsi" w:cstheme="majorBidi"/>
          <w:b/>
          <w:bCs/>
          <w:sz w:val="28"/>
          <w:szCs w:val="28"/>
        </w:rPr>
      </w:pPr>
      <w:r>
        <w:br w:type="page"/>
      </w:r>
    </w:p>
    <w:p w14:paraId="2B8A1024" w14:textId="30C83D4E" w:rsidR="007066CC" w:rsidRPr="007066CC" w:rsidRDefault="007066CC" w:rsidP="007066CC">
      <w:pPr>
        <w:pStyle w:val="Heading1"/>
      </w:pPr>
      <w:bookmarkStart w:id="15" w:name="_Toc234632803"/>
      <w:r w:rsidRPr="007066CC">
        <w:lastRenderedPageBreak/>
        <w:t>Section 2: Reflective Account (Giving an account of what you reflected on using Gibbs' Reflective Cycle)</w:t>
      </w:r>
      <w:bookmarkEnd w:id="15"/>
    </w:p>
    <w:p w14:paraId="6A99FD15" w14:textId="77777777" w:rsidR="007066CC" w:rsidRPr="007066CC" w:rsidRDefault="007066CC" w:rsidP="007066CC">
      <w:pPr>
        <w:pStyle w:val="Heading2"/>
      </w:pPr>
      <w:bookmarkStart w:id="16" w:name="_Toc234632804"/>
      <w:r w:rsidRPr="007066CC">
        <w:t>9.1 Description</w:t>
      </w:r>
      <w:bookmarkEnd w:id="16"/>
    </w:p>
    <w:p w14:paraId="308EFDD3" w14:textId="77777777" w:rsidR="007066CC" w:rsidRPr="007066CC" w:rsidRDefault="007066CC" w:rsidP="007066CC">
      <w:r w:rsidRPr="007066CC">
        <w:t xml:space="preserve">I started off with the comparison being around one home market and one mature host market. Japan and the UK provided sufficient bases for comparison but it was evident that there were differences between the two in regards to culture, regulation and electrification. I split this research into the company strategy, country environment, marketing – with the customer and ethics. I looked at academic databases for international marketing theory and </w:t>
      </w:r>
      <w:proofErr w:type="spellStart"/>
      <w:r w:rsidRPr="007066CC">
        <w:t>focussed</w:t>
      </w:r>
      <w:proofErr w:type="spellEnd"/>
      <w:r w:rsidRPr="007066CC">
        <w:t xml:space="preserve"> on the following types of evidence: Primary evidence from Toyota; statistics agencies (UK and nationally); transport departments; industry associations and the UK advertising regulator. I noted the date of each claim, and market and source for them, so as not to blindly use Japanese evidence with the UK. </w:t>
      </w:r>
      <w:proofErr w:type="gramStart"/>
      <w:r w:rsidRPr="007066CC">
        <w:t>Gibbs</w:t>
      </w:r>
      <w:proofErr w:type="gramEnd"/>
      <w:r w:rsidRPr="007066CC">
        <w:t xml:space="preserve"> cycle gave a framework of how to make the transition from 'what I did' to 'what I learned' and 'how I would do it again' (Gibbs, 1988).</w:t>
      </w:r>
    </w:p>
    <w:p w14:paraId="78AC5068" w14:textId="77777777" w:rsidR="007066CC" w:rsidRPr="007066CC" w:rsidRDefault="007066CC" w:rsidP="007066CC">
      <w:pPr>
        <w:pStyle w:val="Heading2"/>
      </w:pPr>
      <w:bookmarkStart w:id="17" w:name="_Toc234632805"/>
      <w:r w:rsidRPr="007066CC">
        <w:t>9.2 Feelings</w:t>
      </w:r>
      <w:bookmarkEnd w:id="17"/>
    </w:p>
    <w:p w14:paraId="05958DEF" w14:textId="77777777" w:rsidR="007066CC" w:rsidRPr="007066CC" w:rsidRDefault="007066CC" w:rsidP="007066CC">
      <w:r w:rsidRPr="007066CC">
        <w:t>Initially, Toyota got the benefit of the acquisition being familiar since the products and brand were known to them. That knowledge proved to be a risk. First, I believe that hybrid practices are as relevant in both markets; because Toyota has a good reputation as a “green” brand, I thought it should be easier to analyze the ethical considerations. The policy evidence called into question both of these assumptions. The definition of Japan's electrification is flexible enough to include hybrids cars whereas the UK definition puts pressure on the increase of ZEVs. The ASA ruling also revealed that it is possible for a company to have real environmental credentials, but to broadcast an irresponsible message. I decided to take into account reputation as evidence, and reject the idea of assuming that the outcome of each marketing decision was a reflection of the company's activities more generally.</w:t>
      </w:r>
    </w:p>
    <w:p w14:paraId="5572CFE2" w14:textId="77777777" w:rsidR="007066CC" w:rsidRPr="007066CC" w:rsidRDefault="007066CC" w:rsidP="007066CC">
      <w:pPr>
        <w:pStyle w:val="Heading2"/>
      </w:pPr>
      <w:bookmarkStart w:id="18" w:name="_Toc234632806"/>
      <w:r w:rsidRPr="007066CC">
        <w:t>9.3 Evaluation</w:t>
      </w:r>
      <w:bookmarkEnd w:id="18"/>
    </w:p>
    <w:p w14:paraId="309DE493" w14:textId="77777777" w:rsidR="007066CC" w:rsidRPr="007066CC" w:rsidRDefault="007066CC" w:rsidP="007066CC">
      <w:r w:rsidRPr="007066CC">
        <w:t xml:space="preserve">Source triangulation was the best aspect of the process. Company pages were helpful for product, price, channel and historical facts, but were obviously a biased presentation of </w:t>
      </w:r>
      <w:r w:rsidRPr="007066CC">
        <w:lastRenderedPageBreak/>
        <w:t xml:space="preserve">Toyota. Government and industry information gave background on the market and the ASA determination would offer an outsiders' perspective on the promotion and Toyota's </w:t>
      </w:r>
      <w:proofErr w:type="spellStart"/>
      <w:r w:rsidRPr="007066CC">
        <w:t>defence</w:t>
      </w:r>
      <w:proofErr w:type="spellEnd"/>
      <w:r w:rsidRPr="007066CC">
        <w:t>. These facts were either explained or confirmed in other publications, such as those in academic journals. Comparability had the lowest level. Japanese product pages were quite detailed, but not always in the same format as English pages and national statistics did not always employ the same dates or definitions. I didn't use false precision to determine rankings—by looking at the direction and strategic meaning and not trying to fit all indicators into a number.</w:t>
      </w:r>
    </w:p>
    <w:p w14:paraId="34569C37" w14:textId="77777777" w:rsidR="007066CC" w:rsidRPr="007066CC" w:rsidRDefault="007066CC" w:rsidP="007066CC">
      <w:pPr>
        <w:pStyle w:val="Heading2"/>
      </w:pPr>
      <w:bookmarkStart w:id="19" w:name="_Toc234632807"/>
      <w:r w:rsidRPr="007066CC">
        <w:t>9.4 Analysis</w:t>
      </w:r>
      <w:bookmarkEnd w:id="19"/>
    </w:p>
    <w:p w14:paraId="79B3C863" w14:textId="77777777" w:rsidR="007066CC" w:rsidRPr="007066CC" w:rsidRDefault="007066CC" w:rsidP="007066CC">
      <w:r w:rsidRPr="007066CC">
        <w:t xml:space="preserve">The key learning points for the analytic lesson were the following: Frameworks are useful only when there are links between them. This would not have been captured in a traditional PESTEL list since it would have been included as two policies but not their marketing impact. The political targets and the confidence of consumers' ability to pay for them was the reason for the urgency and demand risk in UK regulation. Hofstede's dimensions helped me build some expectations on the information, reassurance and autonomy but in the same time I was kept in mind by the critique of McSweeney that scores at a national level are not a replacement to segmentation. Hence, culture has been taken as one superstratum with the other variables like age, income, use case and </w:t>
      </w:r>
      <w:proofErr w:type="spellStart"/>
      <w:r w:rsidRPr="007066CC">
        <w:t>behaviour</w:t>
      </w:r>
      <w:proofErr w:type="spellEnd"/>
      <w:r w:rsidRPr="007066CC">
        <w:t xml:space="preserve"> of the market has been observed.</w:t>
      </w:r>
    </w:p>
    <w:p w14:paraId="011B7914" w14:textId="77777777" w:rsidR="007066CC" w:rsidRPr="007066CC" w:rsidRDefault="007066CC" w:rsidP="007066CC">
      <w:r w:rsidRPr="007066CC">
        <w:t xml:space="preserve">The 7Ps was also a risk for duplication of efforts. Product, price and promotion were very easily 7 descriptive inventories. I set up new questions for each element, which have been the following, to improve the analysis; what is common, what is changed, why is it different and what is the problem? This revealed a consistent trend. Toyota's </w:t>
      </w:r>
      <w:proofErr w:type="spellStart"/>
      <w:r w:rsidRPr="007066CC">
        <w:t>standardisation</w:t>
      </w:r>
      <w:proofErr w:type="spellEnd"/>
      <w:r w:rsidRPr="007066CC">
        <w:t xml:space="preserve"> of engineering and trust signals combined with engineering and choice of access and underlying message tone and service delivery. It also brought to light the contradictions as between the environmental stance of the UK and the promotion of SUVs, a kind of adventure that can be found in the UK. When evidence in favor of Toyota was presented with evidence against Toyota it became a much more convincing comparison.</w:t>
      </w:r>
    </w:p>
    <w:p w14:paraId="1600922A" w14:textId="77777777" w:rsidR="007066CC" w:rsidRPr="007066CC" w:rsidRDefault="007066CC" w:rsidP="007066CC">
      <w:pPr>
        <w:pStyle w:val="Heading2"/>
      </w:pPr>
      <w:bookmarkStart w:id="20" w:name="_Toc234632808"/>
      <w:r w:rsidRPr="007066CC">
        <w:lastRenderedPageBreak/>
        <w:t>9.5 Conclusion</w:t>
      </w:r>
      <w:bookmarkEnd w:id="20"/>
    </w:p>
    <w:p w14:paraId="2EF41AF2" w14:textId="77777777" w:rsidR="007066CC" w:rsidRPr="007066CC" w:rsidRDefault="007066CC" w:rsidP="007066CC">
      <w:r w:rsidRPr="007066CC">
        <w:t>The term critical analysis does not literally imply attacking all decisions' I was informed. The slow ramp-up into the UK market by Toyota was strategically safe as it combined aspects of learning, commitment and control and because of the later manufacture, it would not dilute the quality and establish legitimate ground. All the while, the analysis would need to take into account novel dangers arising from Brexit, regulation and technological alteration. Also, I came to see how to differentiate between absence of evidence, and evidence of absence. It was either ignorance of the process for approving campaigns or it was limited information about integration with customer data that warranted a "recommend" instead of the idea that Toyota had no controls. This subject enhanced my judgements in a more true and fair way.</w:t>
      </w:r>
    </w:p>
    <w:p w14:paraId="65BA720B" w14:textId="77777777" w:rsidR="007066CC" w:rsidRPr="007066CC" w:rsidRDefault="007066CC" w:rsidP="007066CC">
      <w:pPr>
        <w:pStyle w:val="Heading2"/>
      </w:pPr>
      <w:bookmarkStart w:id="21" w:name="_Toc234632809"/>
      <w:r w:rsidRPr="007066CC">
        <w:t>9.6 Action Plan</w:t>
      </w:r>
      <w:bookmarkEnd w:id="21"/>
    </w:p>
    <w:p w14:paraId="3CB5F410" w14:textId="77777777" w:rsidR="007066CC" w:rsidRPr="007066CC" w:rsidRDefault="007066CC" w:rsidP="007066CC">
      <w:r w:rsidRPr="007066CC">
        <w:t>When it came time to do the international marketing, for future work I would make a source protocol prior to the writing. It would set a common evidence date, regulations on definitions of technologies and market measures and give priority to the regulators and official statistics, as opposed to those appearing on promotion materials, for contested claims. I would also create a claim matrix with the country, marketing element, evidence and counter evidence and limitation. This would cause the gaps to be apparent sooner and decrease the amount of time spent re-writing descriptive material.</w:t>
      </w:r>
    </w:p>
    <w:p w14:paraId="31540A63" w14:textId="5781B1BC" w:rsidR="00B00095" w:rsidRDefault="007066CC" w:rsidP="007066CC">
      <w:r w:rsidRPr="007066CC">
        <w:t>If it was possible to access and have ethics approval, I would include primary consumer evidence. Comparatively brief interviews with customers and/or dealers of Toyota in either country could be used to validate that the cultural interpretations are consistent with the decision-making process. Also, using a small content analysis of recent campaigns might look for a change in the environments used and the substantiation of claims after the ASA ruling. Finally, I would explicitly lay out criteria of measure for what can and cannot be recommended at the outset, so that strategic recommendations are based on the evidence, and not tacked on at the end. The changes would have the effect of rendering the research more efficient and less assumption based and more valuable to managerial decision makers.</w:t>
      </w:r>
    </w:p>
    <w:p w14:paraId="001F490B" w14:textId="77777777" w:rsidR="00B00095" w:rsidRDefault="00000000">
      <w:pPr>
        <w:pStyle w:val="Heading1"/>
        <w:pageBreakBefore/>
      </w:pPr>
      <w:bookmarkStart w:id="22" w:name="_Toc234632810"/>
      <w:r>
        <w:lastRenderedPageBreak/>
        <w:t>References</w:t>
      </w:r>
      <w:bookmarkEnd w:id="22"/>
    </w:p>
    <w:p w14:paraId="44F5BC6A" w14:textId="77777777" w:rsidR="007066CC" w:rsidRPr="007066CC" w:rsidRDefault="007066CC" w:rsidP="007066CC">
      <w:r w:rsidRPr="007066CC">
        <w:t xml:space="preserve">Advertising Standards Authority (2023) ‘Toyota (GB) plc’, 22 November. Available at: </w:t>
      </w:r>
      <w:hyperlink r:id="rId11" w:history="1">
        <w:r w:rsidRPr="007066CC">
          <w:rPr>
            <w:rStyle w:val="Hyperlink"/>
          </w:rPr>
          <w:t>https://www.asa.org.uk/rulings/toyota--</w:t>
        </w:r>
        <w:proofErr w:type="spellStart"/>
        <w:r w:rsidRPr="007066CC">
          <w:rPr>
            <w:rStyle w:val="Hyperlink"/>
          </w:rPr>
          <w:t>gb</w:t>
        </w:r>
        <w:proofErr w:type="spellEnd"/>
        <w:r w:rsidRPr="007066CC">
          <w:rPr>
            <w:rStyle w:val="Hyperlink"/>
          </w:rPr>
          <w:t>--plc-a23-1191673-toyota--</w:t>
        </w:r>
        <w:proofErr w:type="spellStart"/>
        <w:r w:rsidRPr="007066CC">
          <w:rPr>
            <w:rStyle w:val="Hyperlink"/>
          </w:rPr>
          <w:t>gb</w:t>
        </w:r>
        <w:proofErr w:type="spellEnd"/>
        <w:r w:rsidRPr="007066CC">
          <w:rPr>
            <w:rStyle w:val="Hyperlink"/>
          </w:rPr>
          <w:t>--plc.html</w:t>
        </w:r>
      </w:hyperlink>
      <w:r w:rsidRPr="007066CC">
        <w:t xml:space="preserve"> (Accessed: 10 July 2026).</w:t>
      </w:r>
    </w:p>
    <w:p w14:paraId="224A10AA" w14:textId="77777777" w:rsidR="007066CC" w:rsidRPr="007066CC" w:rsidRDefault="007066CC" w:rsidP="007066CC">
      <w:r w:rsidRPr="007066CC">
        <w:t xml:space="preserve">Agency for Natural Resources and Energy (2024) ‘Subsidies upgraded for the purchase of clean energy vehicles toward the realization of GX in the automobile sector’, 24 June. Available at: </w:t>
      </w:r>
      <w:hyperlink r:id="rId12" w:history="1">
        <w:r w:rsidRPr="007066CC">
          <w:rPr>
            <w:rStyle w:val="Hyperlink"/>
          </w:rPr>
          <w:t>https://www.enecho.meti.go.jp/en/category/special/article/detail_199.html</w:t>
        </w:r>
      </w:hyperlink>
      <w:r w:rsidRPr="007066CC">
        <w:t xml:space="preserve"> (Accessed: 10 July 2026).</w:t>
      </w:r>
    </w:p>
    <w:p w14:paraId="0E6E21A7" w14:textId="77777777" w:rsidR="007066CC" w:rsidRPr="007066CC" w:rsidRDefault="007066CC" w:rsidP="007066CC">
      <w:proofErr w:type="spellStart"/>
      <w:r w:rsidRPr="007066CC">
        <w:t>Brouthers</w:t>
      </w:r>
      <w:proofErr w:type="spellEnd"/>
      <w:r w:rsidRPr="007066CC">
        <w:t xml:space="preserve">, K.D. (2013) ‘A retrospective on: institutional, cultural and transaction cost influences on entry mode choice and performance’, </w:t>
      </w:r>
      <w:r w:rsidRPr="007066CC">
        <w:rPr>
          <w:i/>
          <w:iCs/>
        </w:rPr>
        <w:t>Journal of International Business Studies</w:t>
      </w:r>
      <w:r w:rsidRPr="007066CC">
        <w:t xml:space="preserve">, 44(1), pp. 14–22. Available at: </w:t>
      </w:r>
      <w:hyperlink r:id="rId13" w:history="1">
        <w:r w:rsidRPr="007066CC">
          <w:rPr>
            <w:rStyle w:val="Hyperlink"/>
          </w:rPr>
          <w:t>https://doi.org/10.1057/jibs.2012.23</w:t>
        </w:r>
      </w:hyperlink>
      <w:r w:rsidRPr="007066CC">
        <w:t>.</w:t>
      </w:r>
    </w:p>
    <w:p w14:paraId="320DB99E" w14:textId="77777777" w:rsidR="007066CC" w:rsidRPr="007066CC" w:rsidRDefault="007066CC" w:rsidP="007066CC">
      <w:r w:rsidRPr="007066CC">
        <w:t xml:space="preserve">de </w:t>
      </w:r>
      <w:proofErr w:type="spellStart"/>
      <w:r w:rsidRPr="007066CC">
        <w:t>Mooij</w:t>
      </w:r>
      <w:proofErr w:type="spellEnd"/>
      <w:r w:rsidRPr="007066CC">
        <w:t xml:space="preserve">, M. and Hofstede, G. (2011) ‘Cross-cultural consumer behavior: a review of research findings’, </w:t>
      </w:r>
      <w:r w:rsidRPr="007066CC">
        <w:rPr>
          <w:i/>
          <w:iCs/>
        </w:rPr>
        <w:t>Journal of International Consumer Marketing</w:t>
      </w:r>
      <w:r w:rsidRPr="007066CC">
        <w:t xml:space="preserve">, 23(3–4), pp. 181–192. Available at: </w:t>
      </w:r>
      <w:hyperlink r:id="rId14" w:history="1">
        <w:r w:rsidRPr="007066CC">
          <w:rPr>
            <w:rStyle w:val="Hyperlink"/>
          </w:rPr>
          <w:t>https://doi.org/10.1080/08961530.2011.578057</w:t>
        </w:r>
      </w:hyperlink>
      <w:r w:rsidRPr="007066CC">
        <w:t>.</w:t>
      </w:r>
    </w:p>
    <w:p w14:paraId="5396B3D8" w14:textId="77777777" w:rsidR="007066CC" w:rsidRPr="007066CC" w:rsidRDefault="007066CC" w:rsidP="007066CC">
      <w:r w:rsidRPr="007066CC">
        <w:t xml:space="preserve">Department for Transport (2025) ‘Phasing out sales of new petrol and diesel cars from 2030 and supporting the ZEV transition: summary of responses and joint government response’, 7 April. Available at: </w:t>
      </w:r>
      <w:hyperlink r:id="rId15" w:history="1">
        <w:r w:rsidRPr="007066CC">
          <w:rPr>
            <w:rStyle w:val="Hyperlink"/>
          </w:rPr>
          <w:t>https://www.gov.uk/government/consultations/phasing-out-sales-of-new-petrol-and-diesel-cars-from-2030-and-supporting-the-zev-transition/outcome/phasing-out-sales-of-new-petrol-and-diesel-cars-from-2030-and-supporting-the-zev-transition-summary-of-responses-and-joint-government-response</w:t>
        </w:r>
      </w:hyperlink>
      <w:r w:rsidRPr="007066CC">
        <w:t xml:space="preserve"> (Accessed: 10 July 2026).</w:t>
      </w:r>
    </w:p>
    <w:p w14:paraId="577E5051" w14:textId="77777777" w:rsidR="007066CC" w:rsidRPr="007066CC" w:rsidRDefault="007066CC" w:rsidP="007066CC">
      <w:r w:rsidRPr="007066CC">
        <w:t xml:space="preserve">Freeman, R.E., Harrison, J.S., Wicks, A.C., Parmar, B.L. and de Colle, S. (2010) </w:t>
      </w:r>
      <w:r w:rsidRPr="007066CC">
        <w:rPr>
          <w:i/>
          <w:iCs/>
        </w:rPr>
        <w:t>Stakeholder theory: The state of the art</w:t>
      </w:r>
      <w:r w:rsidRPr="007066CC">
        <w:t>. Cambridge: Cambridge University Press.</w:t>
      </w:r>
    </w:p>
    <w:p w14:paraId="23DC0E04" w14:textId="77777777" w:rsidR="007066CC" w:rsidRPr="007066CC" w:rsidRDefault="007066CC" w:rsidP="007066CC">
      <w:r w:rsidRPr="007066CC">
        <w:t xml:space="preserve">Gibbs, G. (1988) </w:t>
      </w:r>
      <w:r w:rsidRPr="007066CC">
        <w:rPr>
          <w:i/>
          <w:iCs/>
        </w:rPr>
        <w:t>Learning by doing: A guide to teaching and learning methods</w:t>
      </w:r>
      <w:r w:rsidRPr="007066CC">
        <w:t>. Oxford: Oxford Polytechnic.</w:t>
      </w:r>
    </w:p>
    <w:p w14:paraId="4C127A15" w14:textId="77777777" w:rsidR="007066CC" w:rsidRPr="007066CC" w:rsidRDefault="007066CC" w:rsidP="007066CC">
      <w:r w:rsidRPr="007066CC">
        <w:t xml:space="preserve">Japan Automobile Manufacturers Association (2025) </w:t>
      </w:r>
      <w:r w:rsidRPr="007066CC">
        <w:rPr>
          <w:i/>
          <w:iCs/>
        </w:rPr>
        <w:t>The motor industry of Japan 2025</w:t>
      </w:r>
      <w:r w:rsidRPr="007066CC">
        <w:t xml:space="preserve">. Tokyo: JAMA. Available at: </w:t>
      </w:r>
      <w:hyperlink r:id="rId16" w:history="1">
        <w:r w:rsidRPr="007066CC">
          <w:rPr>
            <w:rStyle w:val="Hyperlink"/>
          </w:rPr>
          <w:t>https://www.jama.or.jp/english/reports/docs/MIoJ2025_e.pdf</w:t>
        </w:r>
      </w:hyperlink>
      <w:r w:rsidRPr="007066CC">
        <w:t xml:space="preserve"> (Accessed: 10 July 2026).</w:t>
      </w:r>
    </w:p>
    <w:p w14:paraId="7BE24E2B" w14:textId="77777777" w:rsidR="007066CC" w:rsidRPr="007066CC" w:rsidRDefault="007066CC" w:rsidP="007066CC">
      <w:r w:rsidRPr="007066CC">
        <w:lastRenderedPageBreak/>
        <w:t xml:space="preserve">Kim, E., Kwon, E., Hong, S., Shoenberger, H. and Stafford, M.R. (2023) ‘Mollifying green skepticism: effective strategies for inspiring green participation in the hospitality industry’, </w:t>
      </w:r>
      <w:r w:rsidRPr="007066CC">
        <w:rPr>
          <w:i/>
          <w:iCs/>
        </w:rPr>
        <w:t>Frontiers in Psychology</w:t>
      </w:r>
      <w:r w:rsidRPr="007066CC">
        <w:t xml:space="preserve">, 14, 1176863. Available at: </w:t>
      </w:r>
      <w:hyperlink r:id="rId17" w:history="1">
        <w:r w:rsidRPr="007066CC">
          <w:rPr>
            <w:rStyle w:val="Hyperlink"/>
          </w:rPr>
          <w:t>https://doi.org/10.3389/fpsyg.2023.1176863</w:t>
        </w:r>
      </w:hyperlink>
      <w:r w:rsidRPr="007066CC">
        <w:t>.</w:t>
      </w:r>
    </w:p>
    <w:p w14:paraId="33DDBFF5" w14:textId="77777777" w:rsidR="007066CC" w:rsidRPr="007066CC" w:rsidRDefault="007066CC" w:rsidP="007066CC">
      <w:r w:rsidRPr="007066CC">
        <w:t xml:space="preserve">McSweeney, B. (2002) ‘Hofstede’s model of national cultural differences and their consequences: a triumph of faith, a failure of analysis’, </w:t>
      </w:r>
      <w:r w:rsidRPr="007066CC">
        <w:rPr>
          <w:i/>
          <w:iCs/>
        </w:rPr>
        <w:t>Human Relations</w:t>
      </w:r>
      <w:r w:rsidRPr="007066CC">
        <w:t xml:space="preserve">, 55(1), pp. 89–118. Available at: </w:t>
      </w:r>
      <w:hyperlink r:id="rId18" w:history="1">
        <w:r w:rsidRPr="007066CC">
          <w:rPr>
            <w:rStyle w:val="Hyperlink"/>
          </w:rPr>
          <w:t>https://doi.org/10.1177/0018726702551004</w:t>
        </w:r>
      </w:hyperlink>
      <w:r w:rsidRPr="007066CC">
        <w:t>.</w:t>
      </w:r>
    </w:p>
    <w:p w14:paraId="5D19E90D" w14:textId="77777777" w:rsidR="007066CC" w:rsidRPr="007066CC" w:rsidRDefault="007066CC" w:rsidP="007066CC">
      <w:r w:rsidRPr="007066CC">
        <w:t xml:space="preserve">Nguyen, N., </w:t>
      </w:r>
      <w:proofErr w:type="spellStart"/>
      <w:r w:rsidRPr="007066CC">
        <w:t>Priporas</w:t>
      </w:r>
      <w:proofErr w:type="spellEnd"/>
      <w:r w:rsidRPr="007066CC">
        <w:t xml:space="preserve">, C.-V., McPherson, M. and </w:t>
      </w:r>
      <w:proofErr w:type="spellStart"/>
      <w:r w:rsidRPr="007066CC">
        <w:t>Manyiwa</w:t>
      </w:r>
      <w:proofErr w:type="spellEnd"/>
      <w:r w:rsidRPr="007066CC">
        <w:t xml:space="preserve">, S. (2023) ‘CSR-related consumer </w:t>
      </w:r>
      <w:proofErr w:type="spellStart"/>
      <w:r w:rsidRPr="007066CC">
        <w:t>scepticism</w:t>
      </w:r>
      <w:proofErr w:type="spellEnd"/>
      <w:r w:rsidRPr="007066CC">
        <w:t xml:space="preserve">: a review of the literature and future research directions’, </w:t>
      </w:r>
      <w:r w:rsidRPr="007066CC">
        <w:rPr>
          <w:i/>
          <w:iCs/>
        </w:rPr>
        <w:t>Journal of Business Research</w:t>
      </w:r>
      <w:r w:rsidRPr="007066CC">
        <w:t xml:space="preserve">, 169, 114294. Available at: </w:t>
      </w:r>
      <w:hyperlink r:id="rId19" w:history="1">
        <w:r w:rsidRPr="007066CC">
          <w:rPr>
            <w:rStyle w:val="Hyperlink"/>
          </w:rPr>
          <w:t>https://doi.org/10.1016/j.jbusres.2023.114294</w:t>
        </w:r>
      </w:hyperlink>
      <w:r w:rsidRPr="007066CC">
        <w:t>.</w:t>
      </w:r>
    </w:p>
    <w:p w14:paraId="460E89C3" w14:textId="77777777" w:rsidR="007066CC" w:rsidRPr="007066CC" w:rsidRDefault="007066CC" w:rsidP="007066CC">
      <w:r w:rsidRPr="007066CC">
        <w:t xml:space="preserve">Office for National Statistics (2025) </w:t>
      </w:r>
      <w:r w:rsidRPr="007066CC">
        <w:rPr>
          <w:i/>
          <w:iCs/>
        </w:rPr>
        <w:t>GDP quarterly national accounts, UK: July to September 2025</w:t>
      </w:r>
      <w:r w:rsidRPr="007066CC">
        <w:t xml:space="preserve">. Available at: </w:t>
      </w:r>
      <w:hyperlink r:id="rId20" w:history="1">
        <w:r w:rsidRPr="007066CC">
          <w:rPr>
            <w:rStyle w:val="Hyperlink"/>
          </w:rPr>
          <w:t>https://www.ons.gov.uk/economy/grossdomesticproductgdp/bulletins/quarterlynationalaccounts/julytoseptember2025</w:t>
        </w:r>
      </w:hyperlink>
      <w:r w:rsidRPr="007066CC">
        <w:t xml:space="preserve"> (Accessed: 10 July 2026).</w:t>
      </w:r>
    </w:p>
    <w:p w14:paraId="36C7E937" w14:textId="77777777" w:rsidR="007066CC" w:rsidRPr="007066CC" w:rsidRDefault="007066CC" w:rsidP="007066CC">
      <w:r w:rsidRPr="007066CC">
        <w:t xml:space="preserve">Poulis, K. (2024) ‘Standardization and adaptation as a </w:t>
      </w:r>
      <w:proofErr w:type="spellStart"/>
      <w:r w:rsidRPr="007066CC">
        <w:t>coconstituted</w:t>
      </w:r>
      <w:proofErr w:type="spellEnd"/>
      <w:r w:rsidRPr="007066CC">
        <w:t xml:space="preserve"> process: the pursuit of relational fit in international markets’, </w:t>
      </w:r>
      <w:r w:rsidRPr="007066CC">
        <w:rPr>
          <w:i/>
          <w:iCs/>
        </w:rPr>
        <w:t>Journal of International Marketing</w:t>
      </w:r>
      <w:r w:rsidRPr="007066CC">
        <w:t xml:space="preserve">, 32(2), pp. 40–57. Available at: </w:t>
      </w:r>
      <w:hyperlink r:id="rId21" w:history="1">
        <w:r w:rsidRPr="007066CC">
          <w:rPr>
            <w:rStyle w:val="Hyperlink"/>
          </w:rPr>
          <w:t>https://doi.org/10.1177/1069031X231212414</w:t>
        </w:r>
      </w:hyperlink>
      <w:r w:rsidRPr="007066CC">
        <w:t>.</w:t>
      </w:r>
    </w:p>
    <w:p w14:paraId="2E4AA19F" w14:textId="77777777" w:rsidR="007066CC" w:rsidRPr="007066CC" w:rsidRDefault="007066CC" w:rsidP="007066CC">
      <w:r w:rsidRPr="007066CC">
        <w:t xml:space="preserve">Schmid, S. and </w:t>
      </w:r>
      <w:proofErr w:type="spellStart"/>
      <w:r w:rsidRPr="007066CC">
        <w:t>Kotulla</w:t>
      </w:r>
      <w:proofErr w:type="spellEnd"/>
      <w:r w:rsidRPr="007066CC">
        <w:t xml:space="preserve">, T. (2011) ‘50 years of research on international standardization and adaptation: from a systematic literature analysis to a theoretical framework’, </w:t>
      </w:r>
      <w:r w:rsidRPr="007066CC">
        <w:rPr>
          <w:i/>
          <w:iCs/>
        </w:rPr>
        <w:t>International Business Review</w:t>
      </w:r>
      <w:r w:rsidRPr="007066CC">
        <w:t xml:space="preserve">, 20(5), pp. 491–507. Available at: </w:t>
      </w:r>
      <w:hyperlink r:id="rId22" w:history="1">
        <w:r w:rsidRPr="007066CC">
          <w:rPr>
            <w:rStyle w:val="Hyperlink"/>
          </w:rPr>
          <w:t>https://doi.org/10.1016/j.ibusrev.2010.09.003</w:t>
        </w:r>
      </w:hyperlink>
      <w:r w:rsidRPr="007066CC">
        <w:t>.</w:t>
      </w:r>
    </w:p>
    <w:p w14:paraId="002724E9" w14:textId="77777777" w:rsidR="007066CC" w:rsidRPr="007066CC" w:rsidRDefault="007066CC" w:rsidP="007066CC">
      <w:r w:rsidRPr="007066CC">
        <w:t xml:space="preserve">Society of Motor Manufacturers and Traders (2026a) ‘UK new car market breaches two million as almost one in four buyers go electric’, 6 January. Available at: </w:t>
      </w:r>
      <w:hyperlink r:id="rId23" w:history="1">
        <w:r w:rsidRPr="007066CC">
          <w:rPr>
            <w:rStyle w:val="Hyperlink"/>
          </w:rPr>
          <w:t>https://www.smmt.co.uk/uk-new-car-market-breaches-two-million-as-almost-one-in-four-buyers-go-electric/</w:t>
        </w:r>
      </w:hyperlink>
      <w:r w:rsidRPr="007066CC">
        <w:t xml:space="preserve"> (Accessed: 10 July 2026).</w:t>
      </w:r>
    </w:p>
    <w:p w14:paraId="78BFB171" w14:textId="77777777" w:rsidR="007066CC" w:rsidRPr="007066CC" w:rsidRDefault="007066CC" w:rsidP="007066CC">
      <w:r w:rsidRPr="007066CC">
        <w:t xml:space="preserve">Society of Motor Manufacturers and Traders (2026b) ‘Tough year for auto but new models and industrial strategy can deliver growth’, 29 January. Available at: </w:t>
      </w:r>
      <w:hyperlink r:id="rId24" w:history="1">
        <w:r w:rsidRPr="007066CC">
          <w:rPr>
            <w:rStyle w:val="Hyperlink"/>
          </w:rPr>
          <w:t>https://www.smmt.co.uk/tough-year-for-auto-but-new-models-and-industrial-strategy-can-deliver-growth/</w:t>
        </w:r>
      </w:hyperlink>
      <w:r w:rsidRPr="007066CC">
        <w:t xml:space="preserve"> (Accessed: 10 July 2026).</w:t>
      </w:r>
    </w:p>
    <w:p w14:paraId="6D074219" w14:textId="77777777" w:rsidR="007066CC" w:rsidRPr="007066CC" w:rsidRDefault="007066CC" w:rsidP="007066CC">
      <w:r w:rsidRPr="007066CC">
        <w:lastRenderedPageBreak/>
        <w:t xml:space="preserve">Statistics Bureau of Japan (2025) </w:t>
      </w:r>
      <w:r w:rsidRPr="007066CC">
        <w:rPr>
          <w:i/>
          <w:iCs/>
        </w:rPr>
        <w:t>Statistical handbook of Japan 2025</w:t>
      </w:r>
      <w:r w:rsidRPr="007066CC">
        <w:t xml:space="preserve">. Tokyo: Ministry of Internal Affairs and Communications. Available at: </w:t>
      </w:r>
      <w:hyperlink r:id="rId25" w:history="1">
        <w:r w:rsidRPr="007066CC">
          <w:rPr>
            <w:rStyle w:val="Hyperlink"/>
          </w:rPr>
          <w:t>https://www.stat.go.jp/english/data/handbook/pdf/2025all.pdf</w:t>
        </w:r>
      </w:hyperlink>
      <w:r w:rsidRPr="007066CC">
        <w:t xml:space="preserve"> (Accessed: 10 July 2026).</w:t>
      </w:r>
    </w:p>
    <w:p w14:paraId="4A7F9FA9" w14:textId="77777777" w:rsidR="007066CC" w:rsidRPr="007066CC" w:rsidRDefault="007066CC" w:rsidP="007066CC">
      <w:r w:rsidRPr="007066CC">
        <w:t xml:space="preserve">The Culture Factor Group (2026) </w:t>
      </w:r>
      <w:r w:rsidRPr="007066CC">
        <w:rPr>
          <w:i/>
          <w:iCs/>
        </w:rPr>
        <w:t>Country comparison tool</w:t>
      </w:r>
      <w:r w:rsidRPr="007066CC">
        <w:t xml:space="preserve">. Available at: </w:t>
      </w:r>
      <w:hyperlink r:id="rId26" w:history="1">
        <w:r w:rsidRPr="007066CC">
          <w:rPr>
            <w:rStyle w:val="Hyperlink"/>
          </w:rPr>
          <w:t>https://www.theculturefactor.com/country-comparison-tool</w:t>
        </w:r>
      </w:hyperlink>
      <w:r w:rsidRPr="007066CC">
        <w:t xml:space="preserve"> (Accessed: 10 July 2026).</w:t>
      </w:r>
    </w:p>
    <w:p w14:paraId="1D1CE380" w14:textId="77777777" w:rsidR="007066CC" w:rsidRPr="007066CC" w:rsidRDefault="007066CC" w:rsidP="007066CC">
      <w:r w:rsidRPr="007066CC">
        <w:t xml:space="preserve">Toyota (GB) (2015) ‘Toyota celebrates 50 years in the UK’, 23 July. Available at: </w:t>
      </w:r>
      <w:hyperlink r:id="rId27" w:history="1">
        <w:r w:rsidRPr="007066CC">
          <w:rPr>
            <w:rStyle w:val="Hyperlink"/>
          </w:rPr>
          <w:t>https://media.toyota.co.uk/toyota-celebrates-50-years-in-the-uk/</w:t>
        </w:r>
      </w:hyperlink>
      <w:r w:rsidRPr="007066CC">
        <w:t xml:space="preserve"> (Accessed: 10 July 2026).</w:t>
      </w:r>
    </w:p>
    <w:p w14:paraId="78505573" w14:textId="77777777" w:rsidR="007066CC" w:rsidRPr="007066CC" w:rsidRDefault="007066CC" w:rsidP="007066CC">
      <w:r w:rsidRPr="007066CC">
        <w:t xml:space="preserve">Toyota (GB) (2022) ‘Toyota warranty: how </w:t>
      </w:r>
      <w:proofErr w:type="gramStart"/>
      <w:r w:rsidRPr="007066CC">
        <w:t>it</w:t>
      </w:r>
      <w:proofErr w:type="gramEnd"/>
      <w:r w:rsidRPr="007066CC">
        <w:t xml:space="preserve"> works’, 12 July, updated 15 November 2024. Available at: </w:t>
      </w:r>
      <w:hyperlink r:id="rId28" w:history="1">
        <w:r w:rsidRPr="007066CC">
          <w:rPr>
            <w:rStyle w:val="Hyperlink"/>
          </w:rPr>
          <w:t>https://mag.toyota.co.uk/toyota-warranty-how-it-works/</w:t>
        </w:r>
      </w:hyperlink>
      <w:r w:rsidRPr="007066CC">
        <w:t xml:space="preserve"> (Accessed: 10 July 2026).</w:t>
      </w:r>
    </w:p>
    <w:p w14:paraId="3CEB2692" w14:textId="77777777" w:rsidR="007066CC" w:rsidRPr="007066CC" w:rsidRDefault="007066CC" w:rsidP="007066CC">
      <w:r w:rsidRPr="007066CC">
        <w:t xml:space="preserve">Toyota (GB) (2024) ‘Corolla makes history as Toyota’s five millionth UK-built car’, 24 October. Available at: </w:t>
      </w:r>
      <w:hyperlink r:id="rId29" w:history="1">
        <w:r w:rsidRPr="007066CC">
          <w:rPr>
            <w:rStyle w:val="Hyperlink"/>
          </w:rPr>
          <w:t>https://media.toyota.co.uk/corolla-makes-history-as-toyotas-five-millionth-uk-built-car/</w:t>
        </w:r>
      </w:hyperlink>
      <w:r w:rsidRPr="007066CC">
        <w:t xml:space="preserve"> (Accessed: 10 July 2026).</w:t>
      </w:r>
    </w:p>
    <w:p w14:paraId="24338A61" w14:textId="77777777" w:rsidR="007066CC" w:rsidRPr="007066CC" w:rsidRDefault="007066CC" w:rsidP="007066CC">
      <w:r w:rsidRPr="007066CC">
        <w:t xml:space="preserve">Toyota (GB) (2026a) </w:t>
      </w:r>
      <w:r w:rsidRPr="007066CC">
        <w:rPr>
          <w:i/>
          <w:iCs/>
        </w:rPr>
        <w:t>New cars and vans: view the range</w:t>
      </w:r>
      <w:r w:rsidRPr="007066CC">
        <w:t xml:space="preserve">. Available at: </w:t>
      </w:r>
      <w:hyperlink r:id="rId30" w:history="1">
        <w:r w:rsidRPr="007066CC">
          <w:rPr>
            <w:rStyle w:val="Hyperlink"/>
          </w:rPr>
          <w:t>https://www.toyota.co.uk/new-cars</w:t>
        </w:r>
      </w:hyperlink>
      <w:r w:rsidRPr="007066CC">
        <w:t xml:space="preserve"> (Accessed: 10 July 2026).</w:t>
      </w:r>
    </w:p>
    <w:p w14:paraId="68506ED2" w14:textId="77777777" w:rsidR="007066CC" w:rsidRPr="007066CC" w:rsidRDefault="007066CC" w:rsidP="007066CC">
      <w:r w:rsidRPr="007066CC">
        <w:t xml:space="preserve">Toyota (GB) (2026b) </w:t>
      </w:r>
      <w:r w:rsidRPr="007066CC">
        <w:rPr>
          <w:i/>
          <w:iCs/>
        </w:rPr>
        <w:t>Toyota service, MOT and repairs</w:t>
      </w:r>
      <w:r w:rsidRPr="007066CC">
        <w:t xml:space="preserve">. Available at: </w:t>
      </w:r>
      <w:hyperlink r:id="rId31" w:history="1">
        <w:r w:rsidRPr="007066CC">
          <w:rPr>
            <w:rStyle w:val="Hyperlink"/>
          </w:rPr>
          <w:t>https://www.toyota.co.uk/owners/servicing-and-aftercare/service-mot-maintenance</w:t>
        </w:r>
      </w:hyperlink>
      <w:r w:rsidRPr="007066CC">
        <w:t xml:space="preserve"> (Accessed: 10 July 2026).</w:t>
      </w:r>
    </w:p>
    <w:p w14:paraId="70B86858" w14:textId="77777777" w:rsidR="007066CC" w:rsidRPr="007066CC" w:rsidRDefault="007066CC" w:rsidP="007066CC">
      <w:r w:rsidRPr="007066CC">
        <w:t xml:space="preserve">Toyota (GB) (2026c) </w:t>
      </w:r>
      <w:r w:rsidRPr="007066CC">
        <w:rPr>
          <w:i/>
          <w:iCs/>
        </w:rPr>
        <w:t>Toyota Yaris Hybrid: efficient small car</w:t>
      </w:r>
      <w:r w:rsidRPr="007066CC">
        <w:t xml:space="preserve">. Available at: </w:t>
      </w:r>
      <w:hyperlink r:id="rId32" w:history="1">
        <w:r w:rsidRPr="007066CC">
          <w:rPr>
            <w:rStyle w:val="Hyperlink"/>
          </w:rPr>
          <w:t>https://www.toyota.co.uk/new-cars/yaris</w:t>
        </w:r>
      </w:hyperlink>
      <w:r w:rsidRPr="007066CC">
        <w:t xml:space="preserve"> (Accessed: 10 July 2026).</w:t>
      </w:r>
    </w:p>
    <w:p w14:paraId="6D87F40C" w14:textId="77777777" w:rsidR="007066CC" w:rsidRPr="007066CC" w:rsidRDefault="007066CC" w:rsidP="007066CC">
      <w:r w:rsidRPr="007066CC">
        <w:t xml:space="preserve">Toyota (GB) (2026d) </w:t>
      </w:r>
      <w:r w:rsidRPr="007066CC">
        <w:rPr>
          <w:i/>
          <w:iCs/>
        </w:rPr>
        <w:t>Toyota bZ4X: the all-electric SUV</w:t>
      </w:r>
      <w:r w:rsidRPr="007066CC">
        <w:t xml:space="preserve">. Available at: </w:t>
      </w:r>
      <w:hyperlink r:id="rId33" w:history="1">
        <w:r w:rsidRPr="007066CC">
          <w:rPr>
            <w:rStyle w:val="Hyperlink"/>
          </w:rPr>
          <w:t>https://www.toyota.co.uk/new-cars/bz4x</w:t>
        </w:r>
      </w:hyperlink>
      <w:r w:rsidRPr="007066CC">
        <w:t xml:space="preserve"> (Accessed: 10 July 2026).</w:t>
      </w:r>
    </w:p>
    <w:p w14:paraId="13AA68C6" w14:textId="77777777" w:rsidR="007066CC" w:rsidRPr="007066CC" w:rsidRDefault="007066CC" w:rsidP="007066CC">
      <w:r w:rsidRPr="007066CC">
        <w:t xml:space="preserve">Toyota Motor Corporation (2025) </w:t>
      </w:r>
      <w:r w:rsidRPr="007066CC">
        <w:rPr>
          <w:i/>
          <w:iCs/>
        </w:rPr>
        <w:t>Integrated report 2025</w:t>
      </w:r>
      <w:r w:rsidRPr="007066CC">
        <w:t xml:space="preserve">. Toyota City: Toyota Motor Corporation. Available at: </w:t>
      </w:r>
      <w:hyperlink r:id="rId34" w:history="1">
        <w:r w:rsidRPr="007066CC">
          <w:rPr>
            <w:rStyle w:val="Hyperlink"/>
          </w:rPr>
          <w:t>https://global.toyota/pages/global_toyota/ir/library/annual/2025_001_integrated_en.pdf</w:t>
        </w:r>
      </w:hyperlink>
      <w:r w:rsidRPr="007066CC">
        <w:t xml:space="preserve"> (Accessed: 10 July 2026).</w:t>
      </w:r>
    </w:p>
    <w:p w14:paraId="0B822383" w14:textId="77777777" w:rsidR="007066CC" w:rsidRPr="007066CC" w:rsidRDefault="007066CC" w:rsidP="007066CC">
      <w:r w:rsidRPr="007066CC">
        <w:t xml:space="preserve">Toyota Motor Corporation (2026a) </w:t>
      </w:r>
      <w:r w:rsidRPr="007066CC">
        <w:rPr>
          <w:i/>
          <w:iCs/>
        </w:rPr>
        <w:t>Toyota lineup</w:t>
      </w:r>
      <w:r w:rsidRPr="007066CC">
        <w:t xml:space="preserve">. Available at: </w:t>
      </w:r>
      <w:hyperlink r:id="rId35" w:history="1">
        <w:r w:rsidRPr="007066CC">
          <w:rPr>
            <w:rStyle w:val="Hyperlink"/>
          </w:rPr>
          <w:t>https://toyota.jp/carlineup/index.html</w:t>
        </w:r>
      </w:hyperlink>
      <w:r w:rsidRPr="007066CC">
        <w:t xml:space="preserve"> (Accessed: 10 July 2026).</w:t>
      </w:r>
    </w:p>
    <w:p w14:paraId="1A99192E" w14:textId="77777777" w:rsidR="007066CC" w:rsidRPr="007066CC" w:rsidRDefault="007066CC" w:rsidP="007066CC">
      <w:r w:rsidRPr="007066CC">
        <w:lastRenderedPageBreak/>
        <w:t xml:space="preserve">Toyota Motor Corporation (2026b) </w:t>
      </w:r>
      <w:r w:rsidRPr="007066CC">
        <w:rPr>
          <w:i/>
          <w:iCs/>
        </w:rPr>
        <w:t>T-Connect plan details</w:t>
      </w:r>
      <w:r w:rsidRPr="007066CC">
        <w:t xml:space="preserve">. Available at: </w:t>
      </w:r>
      <w:hyperlink r:id="rId36" w:history="1">
        <w:r w:rsidRPr="007066CC">
          <w:rPr>
            <w:rStyle w:val="Hyperlink"/>
          </w:rPr>
          <w:t>https://toyota.jp/tconnectservice/charge/index.html</w:t>
        </w:r>
      </w:hyperlink>
      <w:r w:rsidRPr="007066CC">
        <w:t xml:space="preserve"> (Accessed: 10 July 2026).</w:t>
      </w:r>
    </w:p>
    <w:p w14:paraId="7E67C336" w14:textId="77777777" w:rsidR="007066CC" w:rsidRPr="007066CC" w:rsidRDefault="007066CC" w:rsidP="007066CC">
      <w:r w:rsidRPr="007066CC">
        <w:t xml:space="preserve">Toyota Motor Manufacturing UK (2026) </w:t>
      </w:r>
      <w:r w:rsidRPr="007066CC">
        <w:rPr>
          <w:i/>
          <w:iCs/>
        </w:rPr>
        <w:t>Toyota Motor Manufacturing (UK) Ltd</w:t>
      </w:r>
      <w:r w:rsidRPr="007066CC">
        <w:t xml:space="preserve">. Available at: </w:t>
      </w:r>
      <w:hyperlink r:id="rId37" w:history="1">
        <w:r w:rsidRPr="007066CC">
          <w:rPr>
            <w:rStyle w:val="Hyperlink"/>
          </w:rPr>
          <w:t>https://www.toyotauk.com/</w:t>
        </w:r>
      </w:hyperlink>
      <w:r w:rsidRPr="007066CC">
        <w:t xml:space="preserve"> (Accessed: 10 July 2026).</w:t>
      </w:r>
    </w:p>
    <w:p w14:paraId="0C479267" w14:textId="77777777" w:rsidR="007066CC" w:rsidRPr="007066CC" w:rsidRDefault="007066CC" w:rsidP="007066CC"/>
    <w:sectPr w:rsidR="007066CC" w:rsidRPr="007066CC" w:rsidSect="00034616">
      <w:headerReference w:type="default" r:id="rId38"/>
      <w:footerReference w:type="default" r:id="rId39"/>
      <w:pgSz w:w="11906" w:h="16838"/>
      <w:pgMar w:top="1440" w:right="1440" w:bottom="1440" w:left="1440"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7F0F1" w14:textId="77777777" w:rsidR="00DD0C27" w:rsidRDefault="00DD0C27">
      <w:pPr>
        <w:spacing w:after="0" w:line="240" w:lineRule="auto"/>
      </w:pPr>
      <w:r>
        <w:separator/>
      </w:r>
    </w:p>
  </w:endnote>
  <w:endnote w:type="continuationSeparator" w:id="0">
    <w:p w14:paraId="0E5C5F7C" w14:textId="77777777" w:rsidR="00DD0C27" w:rsidRDefault="00DD0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DA2AC" w14:textId="77777777" w:rsidR="00B00095" w:rsidRDefault="00000000">
    <w:pPr>
      <w:pStyle w:val="Footer"/>
      <w:jc w:val="right"/>
    </w:pPr>
    <w:r>
      <w:rPr>
        <w:rFonts w:ascii="Arial" w:hAnsi="Arial"/>
        <w:color w:val="5B6573"/>
        <w:sz w:val="19"/>
      </w:rPr>
      <w:t xml:space="preserve">Toyota: Japan and United Kingdom   |   </w:t>
    </w:r>
    <w:r>
      <w:rPr>
        <w:color w:val="5B6573"/>
        <w:sz w:val="20"/>
      </w:rPr>
      <w:fldChar w:fldCharType="begin"/>
    </w:r>
    <w:r>
      <w:rPr>
        <w:rFonts w:ascii="Arial" w:hAnsi="Arial"/>
        <w:color w:val="5B6573"/>
        <w:sz w:val="20"/>
      </w:rPr>
      <w:instrText xml:space="preserve"> PAGE </w:instrText>
    </w:r>
    <w:r>
      <w:rPr>
        <w:color w:val="5B6573"/>
        <w:sz w:val="20"/>
      </w:rPr>
      <w:fldChar w:fldCharType="separate"/>
    </w:r>
    <w:r w:rsidR="00FB7A07">
      <w:rPr>
        <w:noProof/>
        <w:color w:val="5B6573"/>
        <w:sz w:val="20"/>
      </w:rPr>
      <w:t>1</w:t>
    </w:r>
    <w:r>
      <w:rPr>
        <w:color w:val="5B6573"/>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F1502" w14:textId="77777777" w:rsidR="00DD0C27" w:rsidRDefault="00DD0C27">
      <w:pPr>
        <w:spacing w:after="0" w:line="240" w:lineRule="auto"/>
      </w:pPr>
      <w:r>
        <w:separator/>
      </w:r>
    </w:p>
  </w:footnote>
  <w:footnote w:type="continuationSeparator" w:id="0">
    <w:p w14:paraId="6EC6940A" w14:textId="77777777" w:rsidR="00DD0C27" w:rsidRDefault="00DD0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1EF22" w14:textId="2BDDA8DE" w:rsidR="00B00095" w:rsidRDefault="00000000">
    <w:pPr>
      <w:pStyle w:val="Header"/>
      <w:pBdr>
        <w:bottom w:val="single" w:sz="6" w:space="4" w:color="D0D5DD"/>
      </w:pBdr>
      <w:spacing w:after="40"/>
      <w:jc w:val="left"/>
    </w:pPr>
    <w:r>
      <w:rPr>
        <w:rFonts w:ascii="Arial" w:hAnsi="Arial"/>
        <w:b/>
        <w:color w:val="5B6573"/>
        <w:sz w:val="19"/>
      </w:rPr>
      <w:t>LCMB</w:t>
    </w:r>
    <w:r w:rsidR="00FB7A07">
      <w:rPr>
        <w:rFonts w:ascii="Arial" w:hAnsi="Arial"/>
        <w:b/>
        <w:color w:val="5B6573"/>
        <w:sz w:val="19"/>
      </w:rPr>
      <w:t>7026 | INTERNATIONAL</w:t>
    </w:r>
    <w:r>
      <w:rPr>
        <w:rFonts w:ascii="Arial" w:hAnsi="Arial"/>
        <w:b/>
        <w:color w:val="5B6573"/>
        <w:sz w:val="19"/>
      </w:rPr>
      <w:t xml:space="preserve"> MARKETING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7509680">
    <w:abstractNumId w:val="8"/>
  </w:num>
  <w:num w:numId="2" w16cid:durableId="1974941523">
    <w:abstractNumId w:val="6"/>
  </w:num>
  <w:num w:numId="3" w16cid:durableId="471868487">
    <w:abstractNumId w:val="5"/>
  </w:num>
  <w:num w:numId="4" w16cid:durableId="1802577046">
    <w:abstractNumId w:val="4"/>
  </w:num>
  <w:num w:numId="5" w16cid:durableId="426119883">
    <w:abstractNumId w:val="7"/>
  </w:num>
  <w:num w:numId="6" w16cid:durableId="1408112313">
    <w:abstractNumId w:val="3"/>
  </w:num>
  <w:num w:numId="7" w16cid:durableId="1953392181">
    <w:abstractNumId w:val="2"/>
  </w:num>
  <w:num w:numId="8" w16cid:durableId="1583832646">
    <w:abstractNumId w:val="1"/>
  </w:num>
  <w:num w:numId="9" w16cid:durableId="112407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24EE"/>
    <w:rsid w:val="0015074B"/>
    <w:rsid w:val="0029639D"/>
    <w:rsid w:val="00305F2F"/>
    <w:rsid w:val="00326F90"/>
    <w:rsid w:val="005A1B5A"/>
    <w:rsid w:val="006D038C"/>
    <w:rsid w:val="007066CC"/>
    <w:rsid w:val="00AA1D8D"/>
    <w:rsid w:val="00B00095"/>
    <w:rsid w:val="00B47730"/>
    <w:rsid w:val="00CB0664"/>
    <w:rsid w:val="00D20266"/>
    <w:rsid w:val="00D504D3"/>
    <w:rsid w:val="00DC69ED"/>
    <w:rsid w:val="00DD0C27"/>
    <w:rsid w:val="00FB7A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DA000B"/>
  <w14:defaultImageDpi w14:val="300"/>
  <w15:docId w15:val="{3B9A64E9-7D26-4475-8AE3-6E9F2D76D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A07"/>
    <w:pPr>
      <w:spacing w:after="140" w:line="360" w:lineRule="auto"/>
      <w:jc w:val="both"/>
    </w:pPr>
    <w:rPr>
      <w:rFonts w:ascii="Calibri" w:eastAsia="Arial" w:hAnsi="Calibri"/>
      <w:color w:val="24292F"/>
      <w:sz w:val="24"/>
    </w:rPr>
  </w:style>
  <w:style w:type="paragraph" w:styleId="Heading1">
    <w:name w:val="heading 1"/>
    <w:basedOn w:val="Normal"/>
    <w:next w:val="Normal"/>
    <w:link w:val="Heading1Char"/>
    <w:uiPriority w:val="9"/>
    <w:qFormat/>
    <w:rsid w:val="00FB7A07"/>
    <w:pPr>
      <w:keepNext/>
      <w:keepLines/>
      <w:spacing w:before="28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B7A07"/>
    <w:pPr>
      <w:keepNext/>
      <w:keepLines/>
      <w:spacing w:before="220" w:after="100"/>
      <w:outlineLvl w:val="1"/>
    </w:pPr>
    <w:rPr>
      <w:rFonts w:asciiTheme="majorHAnsi" w:eastAsiaTheme="majorEastAsia" w:hAnsiTheme="majorHAnsi" w:cstheme="majorBidi"/>
      <w:b/>
      <w:bCs/>
      <w:color w:val="B5121B"/>
      <w:szCs w:val="26"/>
    </w:rPr>
  </w:style>
  <w:style w:type="paragraph" w:styleId="Heading3">
    <w:name w:val="heading 3"/>
    <w:basedOn w:val="Normal"/>
    <w:next w:val="Normal"/>
    <w:link w:val="Heading3Char"/>
    <w:uiPriority w:val="9"/>
    <w:unhideWhenUsed/>
    <w:qFormat/>
    <w:rsid w:val="00FC693F"/>
    <w:pPr>
      <w:keepNext/>
      <w:keepLines/>
      <w:spacing w:before="180" w:after="80" w:line="276"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B7A07"/>
    <w:rPr>
      <w:rFonts w:asciiTheme="majorHAnsi" w:eastAsiaTheme="majorEastAsia" w:hAnsiTheme="majorHAnsi" w:cstheme="majorBidi"/>
      <w:b/>
      <w:bCs/>
      <w:color w:val="24292F"/>
      <w:sz w:val="28"/>
      <w:szCs w:val="28"/>
    </w:rPr>
  </w:style>
  <w:style w:type="character" w:customStyle="1" w:styleId="Heading2Char">
    <w:name w:val="Heading 2 Char"/>
    <w:basedOn w:val="DefaultParagraphFont"/>
    <w:link w:val="Heading2"/>
    <w:uiPriority w:val="9"/>
    <w:rsid w:val="00FB7A07"/>
    <w:rPr>
      <w:rFonts w:asciiTheme="majorHAnsi" w:eastAsiaTheme="majorEastAsia" w:hAnsiTheme="majorHAnsi" w:cstheme="majorBidi"/>
      <w:b/>
      <w:bCs/>
      <w:color w:val="B5121B"/>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40" w:line="240" w:lineRule="auto"/>
      <w:contextualSpacing/>
      <w:jc w:val="center"/>
    </w:pPr>
    <w:rPr>
      <w:rFonts w:asciiTheme="majorHAnsi" w:eastAsiaTheme="majorEastAsia" w:hAnsiTheme="majorHAnsi" w:cstheme="majorBidi"/>
      <w:b/>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keepNext/>
      <w:spacing w:before="140" w:after="80" w:line="276" w:lineRule="auto"/>
    </w:pPr>
    <w:rPr>
      <w:rFonts w:ascii="Arial" w:hAnsi="Arial"/>
      <w:b/>
      <w:bCs/>
      <w:sz w:val="2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1">
    <w:name w:val="TOC 11"/>
    <w:pPr>
      <w:spacing w:after="60" w:line="240" w:lineRule="auto"/>
    </w:pPr>
    <w:rPr>
      <w:rFonts w:ascii="Arial" w:hAnsi="Arial"/>
      <w:color w:val="24292F"/>
    </w:rPr>
  </w:style>
  <w:style w:type="paragraph" w:customStyle="1" w:styleId="TOC21">
    <w:name w:val="TOC 21"/>
    <w:pPr>
      <w:spacing w:after="60" w:line="240" w:lineRule="auto"/>
      <w:ind w:left="346"/>
    </w:pPr>
    <w:rPr>
      <w:rFonts w:ascii="Arial" w:hAnsi="Arial"/>
      <w:color w:val="24292F"/>
    </w:rPr>
  </w:style>
  <w:style w:type="paragraph" w:customStyle="1" w:styleId="TOC31">
    <w:name w:val="TOC 31"/>
    <w:pPr>
      <w:spacing w:after="60" w:line="240" w:lineRule="auto"/>
      <w:ind w:left="691"/>
    </w:pPr>
    <w:rPr>
      <w:rFonts w:ascii="Arial" w:hAnsi="Arial"/>
      <w:color w:val="24292F"/>
    </w:rPr>
  </w:style>
  <w:style w:type="paragraph" w:styleId="TOC1">
    <w:name w:val="toc 1"/>
    <w:basedOn w:val="Normal"/>
    <w:next w:val="Normal"/>
    <w:autoRedefine/>
    <w:uiPriority w:val="39"/>
    <w:unhideWhenUsed/>
    <w:rsid w:val="00FB7A07"/>
    <w:pPr>
      <w:spacing w:after="100"/>
    </w:pPr>
  </w:style>
  <w:style w:type="paragraph" w:styleId="TOC2">
    <w:name w:val="toc 2"/>
    <w:basedOn w:val="Normal"/>
    <w:next w:val="Normal"/>
    <w:autoRedefine/>
    <w:uiPriority w:val="39"/>
    <w:unhideWhenUsed/>
    <w:rsid w:val="00FB7A07"/>
    <w:pPr>
      <w:spacing w:after="100"/>
      <w:ind w:left="240"/>
    </w:pPr>
  </w:style>
  <w:style w:type="character" w:styleId="Hyperlink">
    <w:name w:val="Hyperlink"/>
    <w:basedOn w:val="DefaultParagraphFont"/>
    <w:uiPriority w:val="99"/>
    <w:unhideWhenUsed/>
    <w:rsid w:val="00FB7A07"/>
    <w:rPr>
      <w:color w:val="0000FF" w:themeColor="hyperlink"/>
      <w:u w:val="single"/>
    </w:rPr>
  </w:style>
  <w:style w:type="character" w:styleId="UnresolvedMention">
    <w:name w:val="Unresolved Mention"/>
    <w:basedOn w:val="DefaultParagraphFont"/>
    <w:uiPriority w:val="99"/>
    <w:semiHidden/>
    <w:unhideWhenUsed/>
    <w:rsid w:val="007066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jibs.2012.23" TargetMode="External"/><Relationship Id="rId18" Type="http://schemas.openxmlformats.org/officeDocument/2006/relationships/hyperlink" Target="https://doi.org/10.1177/0018726702551004" TargetMode="External"/><Relationship Id="rId26" Type="http://schemas.openxmlformats.org/officeDocument/2006/relationships/hyperlink" Target="https://www.theculturefactor.com/country-comparison-tool" TargetMode="External"/><Relationship Id="rId39" Type="http://schemas.openxmlformats.org/officeDocument/2006/relationships/footer" Target="footer1.xml"/><Relationship Id="rId21" Type="http://schemas.openxmlformats.org/officeDocument/2006/relationships/hyperlink" Target="https://doi.org/10.1177/1069031X231212414" TargetMode="External"/><Relationship Id="rId34" Type="http://schemas.openxmlformats.org/officeDocument/2006/relationships/hyperlink" Target="https://global.toyota/pages/global_toyota/ir/library/annual/2025_001_integrated_en.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jama.or.jp/english/reports/docs/MIoJ2025_e.pdf" TargetMode="External"/><Relationship Id="rId20" Type="http://schemas.openxmlformats.org/officeDocument/2006/relationships/hyperlink" Target="https://www.ons.gov.uk/economy/grossdomesticproductgdp/bulletins/quarterlynationalaccounts/julytoseptember2025" TargetMode="External"/><Relationship Id="rId29" Type="http://schemas.openxmlformats.org/officeDocument/2006/relationships/hyperlink" Target="https://media.toyota.co.uk/corolla-makes-history-as-toyotas-five-millionth-uk-built-ca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a.org.uk/rulings/toyota--gb--plc-a23-1191673-toyota--gb--plc.html" TargetMode="External"/><Relationship Id="rId24" Type="http://schemas.openxmlformats.org/officeDocument/2006/relationships/hyperlink" Target="https://www.smmt.co.uk/tough-year-for-auto-but-new-models-and-industrial-strategy-can-deliver-growth/" TargetMode="External"/><Relationship Id="rId32" Type="http://schemas.openxmlformats.org/officeDocument/2006/relationships/hyperlink" Target="https://www.toyota.co.uk/new-cars/yaris" TargetMode="External"/><Relationship Id="rId37" Type="http://schemas.openxmlformats.org/officeDocument/2006/relationships/hyperlink" Target="https://www.toyotauk.co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consultations/phasing-out-sales-of-new-petrol-and-diesel-cars-from-2030-and-supporting-the-zev-transition/outcome/phasing-out-sales-of-new-petrol-and-diesel-cars-from-2030-and-supporting-the-zev-transition-summary-of-responses-and-joint-government-response" TargetMode="External"/><Relationship Id="rId23" Type="http://schemas.openxmlformats.org/officeDocument/2006/relationships/hyperlink" Target="https://www.smmt.co.uk/uk-new-car-market-breaches-two-million-as-almost-one-in-four-buyers-go-electric/" TargetMode="External"/><Relationship Id="rId28" Type="http://schemas.openxmlformats.org/officeDocument/2006/relationships/hyperlink" Target="https://mag.toyota.co.uk/toyota-warranty-how-it-works/" TargetMode="External"/><Relationship Id="rId36" Type="http://schemas.openxmlformats.org/officeDocument/2006/relationships/hyperlink" Target="https://toyota.jp/tconnectservice/charge/index.html" TargetMode="External"/><Relationship Id="rId10" Type="http://schemas.openxmlformats.org/officeDocument/2006/relationships/image" Target="media/image3.png"/><Relationship Id="rId19" Type="http://schemas.openxmlformats.org/officeDocument/2006/relationships/hyperlink" Target="https://doi.org/10.1016/j.jbusres.2023.114294" TargetMode="External"/><Relationship Id="rId31" Type="http://schemas.openxmlformats.org/officeDocument/2006/relationships/hyperlink" Target="https://www.toyota.co.uk/owners/servicing-and-aftercare/service-mot-maintena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8961530.2011.578057" TargetMode="External"/><Relationship Id="rId22" Type="http://schemas.openxmlformats.org/officeDocument/2006/relationships/hyperlink" Target="https://doi.org/10.1016/j.ibusrev.2010.09.003" TargetMode="External"/><Relationship Id="rId27" Type="http://schemas.openxmlformats.org/officeDocument/2006/relationships/hyperlink" Target="https://media.toyota.co.uk/toyota-celebrates-50-years-in-the-uk/" TargetMode="External"/><Relationship Id="rId30" Type="http://schemas.openxmlformats.org/officeDocument/2006/relationships/hyperlink" Target="https://www.toyota.co.uk/new-cars" TargetMode="External"/><Relationship Id="rId35" Type="http://schemas.openxmlformats.org/officeDocument/2006/relationships/hyperlink" Target="https://toyota.jp/carlineup/index.html"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enecho.meti.go.jp/en/category/special/article/detail_199.html" TargetMode="External"/><Relationship Id="rId17" Type="http://schemas.openxmlformats.org/officeDocument/2006/relationships/hyperlink" Target="https://doi.org/10.3389/fpsyg.2023.1176863" TargetMode="External"/><Relationship Id="rId25" Type="http://schemas.openxmlformats.org/officeDocument/2006/relationships/hyperlink" Target="https://www.stat.go.jp/english/data/handbook/pdf/2025all.pdf" TargetMode="External"/><Relationship Id="rId33" Type="http://schemas.openxmlformats.org/officeDocument/2006/relationships/hyperlink" Target="https://www.toyota.co.uk/new-cars/bz4x"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7491</Words>
  <Characters>42702</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International Market Entry Strategy and Marketing Mix: Toyota in Japan and the United Kingdom</vt:lpstr>
    </vt:vector>
  </TitlesOfParts>
  <Manager/>
  <Company/>
  <LinksUpToDate>false</LinksUpToDate>
  <CharactersWithSpaces>50093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Market Entry Strategy and Marketing Mix: Toyota in Japan and the United Kingdom</dc:title>
  <dc:subject>LCMB7026 International Marketing: Principles and Practices</dc:subject>
  <dc:creator>HP</dc:creator>
  <cp:keywords>Toyota, Japan, United Kingdom, international marketing, market entry, 7Ps</cp:keywords>
  <dc:description/>
  <cp:lastModifiedBy>HP</cp:lastModifiedBy>
  <cp:revision>2</cp:revision>
  <dcterms:created xsi:type="dcterms:W3CDTF">2026-07-22T22:55:00Z</dcterms:created>
  <dcterms:modified xsi:type="dcterms:W3CDTF">2026-07-22T22:55:00Z</dcterms:modified>
  <cp:category/>
</cp:coreProperties>
</file>