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B5D101B" w14:textId="77777777" w:rsidR="006B7170" w:rsidRPr="006B7170" w:rsidRDefault="006B7170" w:rsidP="006B7170">
      <w:pPr>
        <w:pStyle w:val="NoSpacing"/>
        <w:spacing w:line="276" w:lineRule="auto"/>
        <w:jc w:val="center"/>
        <w:rPr>
          <w:rFonts w:ascii="Times New Roman" w:hAnsi="Times New Roman" w:cs="Times New Roman"/>
          <w:noProof/>
          <w:u w:val="single"/>
        </w:rPr>
      </w:pPr>
      <w:r w:rsidRPr="006B7170">
        <w:rPr>
          <w:rFonts w:ascii="Times New Roman" w:hAnsi="Times New Roman" w:cs="Times New Roman"/>
          <w:noProof/>
          <w:u w:val="single"/>
        </w:rPr>
        <w:t>Chapter V of The Art and Craft to Know Well to Die by William Caxton</w:t>
      </w:r>
    </w:p>
    <w:p w14:paraId="0C3F83AD" w14:textId="77777777" w:rsidR="006B7170" w:rsidRPr="006B7170" w:rsidRDefault="006B7170" w:rsidP="006B7170">
      <w:pPr>
        <w:pStyle w:val="NoSpacing"/>
        <w:spacing w:line="276" w:lineRule="auto"/>
        <w:jc w:val="both"/>
        <w:rPr>
          <w:rFonts w:ascii="Times New Roman" w:hAnsi="Times New Roman" w:cs="Times New Roman"/>
          <w:noProof/>
          <w:u w:val="single"/>
        </w:rPr>
      </w:pPr>
      <w:r w:rsidRPr="006B7170">
        <w:rPr>
          <w:rFonts w:ascii="Times New Roman" w:hAnsi="Times New Roman" w:cs="Times New Roman"/>
          <w:noProof/>
          <w:u w:val="single"/>
        </w:rPr>
        <w:t>Item if the sick man have long space of time, and that he be not oppressed of hasty death, the assistants ought to read before him histories and devout orisons, which before he delighted and took pleasure in; and men ought to remember him of God’s commandments, to the end that he think the more profoundly if he could find anything in himself that he hath against the said commandments commised and trespassed. And if he be so sick that he hath lost the usage of speech, and hath his knowledge whole and entire, he ought to answer to these things by some sign outward, or by whole consenting of heart, for that sufficeth to his salvation.</w:t>
      </w:r>
    </w:p>
    <w:p w14:paraId="7BAB293C" w14:textId="77777777" w:rsidR="006B7170" w:rsidRPr="006B7170" w:rsidRDefault="006B7170" w:rsidP="006B7170">
      <w:pPr>
        <w:pStyle w:val="NoSpacing"/>
        <w:spacing w:line="276" w:lineRule="auto"/>
        <w:jc w:val="both"/>
        <w:rPr>
          <w:rFonts w:ascii="Times New Roman" w:hAnsi="Times New Roman" w:cs="Times New Roman"/>
          <w:noProof/>
          <w:u w:val="single"/>
        </w:rPr>
      </w:pPr>
      <w:r w:rsidRPr="006B7170">
        <w:rPr>
          <w:rFonts w:ascii="Times New Roman" w:hAnsi="Times New Roman" w:cs="Times New Roman"/>
          <w:noProof/>
          <w:u w:val="single"/>
        </w:rPr>
        <w:t>Always ought [it] to be taken heed that the interrogations be made before or that the sick man lose the usage of speech; and if the answers of the sick person appear not sound nor sufficient to his salvation, let there be put thereto remedy—by necessary information—by the best manner that may be.</w:t>
      </w:r>
    </w:p>
    <w:p w14:paraId="7059D523" w14:textId="77777777" w:rsidR="006B7170" w:rsidRPr="006B7170" w:rsidRDefault="006B7170" w:rsidP="006B7170">
      <w:pPr>
        <w:pStyle w:val="NoSpacing"/>
        <w:spacing w:line="276" w:lineRule="auto"/>
        <w:jc w:val="both"/>
        <w:rPr>
          <w:rFonts w:ascii="Times New Roman" w:hAnsi="Times New Roman" w:cs="Times New Roman"/>
          <w:noProof/>
          <w:u w:val="single"/>
        </w:rPr>
      </w:pPr>
      <w:r w:rsidRPr="006B7170">
        <w:rPr>
          <w:rFonts w:ascii="Times New Roman" w:hAnsi="Times New Roman" w:cs="Times New Roman"/>
          <w:noProof/>
          <w:u w:val="single"/>
        </w:rPr>
        <w:t>And also [it] ought to be showed to the sick person the great peril that might fall and come to him, notwithstanding though he thereby should be afeared. For better it is that by fear and wholesome dread he have compunciton and be saved, than by blandishing dissolution, or by noyous comfort, he be damned. In truth this thing is much strange and over periolous, and contrary to the faith and Christian religion, but it is a thing diabolical, that to a Christian man, being in the article of death, for to hide from him the perol of the death of his soul, and that by human dread men dare not trouble him…</w:t>
      </w:r>
    </w:p>
    <w:p w14:paraId="415280BF" w14:textId="77777777" w:rsidR="006B7170" w:rsidRPr="006B7170" w:rsidRDefault="006B7170" w:rsidP="006B7170">
      <w:pPr>
        <w:pStyle w:val="NoSpacing"/>
        <w:spacing w:line="276" w:lineRule="auto"/>
        <w:jc w:val="both"/>
        <w:rPr>
          <w:rFonts w:ascii="Times New Roman" w:hAnsi="Times New Roman" w:cs="Times New Roman"/>
          <w:noProof/>
          <w:u w:val="single"/>
        </w:rPr>
      </w:pPr>
      <w:r w:rsidRPr="006B7170">
        <w:rPr>
          <w:rFonts w:ascii="Times New Roman" w:hAnsi="Times New Roman" w:cs="Times New Roman"/>
          <w:noProof/>
          <w:u w:val="single"/>
        </w:rPr>
        <w:t>Item [there] ought to be presented to the sick person the image of the crucifix, which always should be among the sick people, and also the image of our Blessed Lady, and of other saints which the sick man hath most loved and honoured in his life. Also (there) ought to be about them holy water, and oft cast upon them and about them to the end that the devils be put a-back from them. And if because shortness of time all these things aforsaid may not be done, yet they ought at least to purpose to them the orisons and prayers which [are] addressed unto our Lord Jesu Christ. And there ought never to be brought to their remembrance the carnal friends, nor wife, nor children, nor riches, nor other good tempral, but only as much as the spiritual health of the sick person demanded and requireth.</w:t>
      </w:r>
    </w:p>
    <w:p w14:paraId="152201EC" w14:textId="77777777" w:rsidR="006B7170" w:rsidRPr="006B7170" w:rsidRDefault="006B7170" w:rsidP="006B7170">
      <w:pPr>
        <w:pStyle w:val="NoSpacing"/>
        <w:spacing w:line="276" w:lineRule="auto"/>
        <w:jc w:val="both"/>
        <w:rPr>
          <w:rFonts w:ascii="Times New Roman" w:hAnsi="Times New Roman" w:cs="Times New Roman"/>
          <w:noProof/>
          <w:u w:val="single"/>
        </w:rPr>
      </w:pPr>
      <w:r w:rsidRPr="006B7170">
        <w:rPr>
          <w:rFonts w:ascii="Times New Roman" w:hAnsi="Times New Roman" w:cs="Times New Roman"/>
          <w:noProof/>
          <w:u w:val="single"/>
        </w:rPr>
        <w:t>Whomsomever then will learn to die let him come and learn all the things foresaid before, or he have need in the article of necessity. For in truth in grievous infirmity the devotion of the person goeth away and passeth; and as much more as the sickness approacheth or increaseth, so much more the devotion fleeth from him. If thou wilt not then err nor be deceived, and that thou wilt be sure, do instantly all that thou mayst good, whiles that thou art whole and sound, and that thou hast the usage of reason and [art] well disposed, and that thou mayst be lord of all thy feats.</w:t>
      </w:r>
    </w:p>
    <w:p w14:paraId="54B068BD" w14:textId="77777777" w:rsidR="006B7170" w:rsidRPr="006B7170" w:rsidRDefault="006B7170" w:rsidP="006B7170">
      <w:pPr>
        <w:pStyle w:val="NoSpacing"/>
        <w:jc w:val="center"/>
        <w:rPr>
          <w:rFonts w:ascii="Times New Roman" w:hAnsi="Times New Roman" w:cs="Times New Roman"/>
          <w:sz w:val="24"/>
          <w:u w:val="single"/>
        </w:rPr>
      </w:pPr>
    </w:p>
    <w:p w14:paraId="133AA718" w14:textId="77777777" w:rsidR="000228B8" w:rsidRDefault="000228B8" w:rsidP="000228B8">
      <w:pPr>
        <w:jc w:val="both"/>
        <w:rPr>
          <w:rFonts w:ascii="Times New Roman" w:hAnsi="Times New Roman" w:cs="Times New Roman"/>
          <w:sz w:val="24"/>
        </w:rPr>
      </w:pPr>
    </w:p>
    <w:p w14:paraId="7F1689E6" w14:textId="77777777" w:rsidR="00363563" w:rsidRDefault="00363563" w:rsidP="00363563">
      <w:pPr>
        <w:jc w:val="both"/>
        <w:rPr>
          <w:rFonts w:ascii="Times New Roman" w:hAnsi="Times New Roman" w:cs="Times New Roman"/>
          <w:sz w:val="24"/>
        </w:rPr>
      </w:pPr>
      <w:r w:rsidRPr="000228B8">
        <w:rPr>
          <w:rFonts w:ascii="Times New Roman" w:hAnsi="Times New Roman" w:cs="Times New Roman"/>
          <w:sz w:val="24"/>
        </w:rPr>
        <w:t xml:space="preserve">This extract comes from chapter five of William Caxton’s text </w:t>
      </w:r>
      <w:r w:rsidRPr="000228B8">
        <w:rPr>
          <w:rFonts w:ascii="Times New Roman" w:hAnsi="Times New Roman" w:cs="Times New Roman"/>
          <w:i/>
          <w:sz w:val="24"/>
        </w:rPr>
        <w:t xml:space="preserve">The Art and Craft to Know Well to Die. </w:t>
      </w:r>
      <w:r w:rsidRPr="000228B8">
        <w:rPr>
          <w:rFonts w:ascii="Times New Roman" w:hAnsi="Times New Roman" w:cs="Times New Roman"/>
          <w:sz w:val="24"/>
        </w:rPr>
        <w:t>Caxton rose to fame in 1475/76 when he became not only the first printer in England but also the first person to print in the English language.</w:t>
      </w:r>
      <w:r w:rsidRPr="000228B8">
        <w:rPr>
          <w:rStyle w:val="FootnoteReference"/>
          <w:rFonts w:ascii="Times New Roman" w:hAnsi="Times New Roman" w:cs="Times New Roman"/>
          <w:sz w:val="24"/>
        </w:rPr>
        <w:footnoteReference w:id="1"/>
      </w:r>
      <w:r w:rsidRPr="000228B8">
        <w:rPr>
          <w:rFonts w:ascii="Times New Roman" w:hAnsi="Times New Roman" w:cs="Times New Roman"/>
          <w:sz w:val="24"/>
        </w:rPr>
        <w:t xml:space="preserve"> While Caxton is most famous for his translation of Chaucer’s </w:t>
      </w:r>
      <w:r w:rsidRPr="000228B8">
        <w:rPr>
          <w:rFonts w:ascii="Times New Roman" w:hAnsi="Times New Roman" w:cs="Times New Roman"/>
          <w:i/>
          <w:sz w:val="24"/>
        </w:rPr>
        <w:t>Canterbury Tales</w:t>
      </w:r>
      <w:r w:rsidRPr="000228B8">
        <w:rPr>
          <w:rFonts w:ascii="Times New Roman" w:hAnsi="Times New Roman" w:cs="Times New Roman"/>
          <w:sz w:val="24"/>
        </w:rPr>
        <w:t>, he translated a number of othe</w:t>
      </w:r>
      <w:r>
        <w:rPr>
          <w:rFonts w:ascii="Times New Roman" w:hAnsi="Times New Roman" w:cs="Times New Roman"/>
          <w:sz w:val="24"/>
        </w:rPr>
        <w:t>r texts, most of which h</w:t>
      </w:r>
      <w:r w:rsidRPr="000228B8">
        <w:rPr>
          <w:rFonts w:ascii="Times New Roman" w:hAnsi="Times New Roman" w:cs="Times New Roman"/>
          <w:sz w:val="24"/>
        </w:rPr>
        <w:t>ave a religious element to them.</w:t>
      </w:r>
      <w:r w:rsidRPr="000228B8">
        <w:rPr>
          <w:rStyle w:val="FootnoteReference"/>
          <w:rFonts w:ascii="Times New Roman" w:hAnsi="Times New Roman" w:cs="Times New Roman"/>
          <w:sz w:val="24"/>
        </w:rPr>
        <w:footnoteReference w:id="2"/>
      </w:r>
    </w:p>
    <w:p w14:paraId="1EB52A8D" w14:textId="77777777" w:rsidR="00363563" w:rsidRPr="000228B8" w:rsidRDefault="00363563" w:rsidP="00363563">
      <w:pPr>
        <w:jc w:val="both"/>
        <w:rPr>
          <w:rFonts w:ascii="Times New Roman" w:hAnsi="Times New Roman" w:cs="Times New Roman"/>
          <w:sz w:val="24"/>
        </w:rPr>
      </w:pPr>
      <w:r w:rsidRPr="000228B8">
        <w:rPr>
          <w:rFonts w:ascii="Times New Roman" w:hAnsi="Times New Roman" w:cs="Times New Roman"/>
          <w:sz w:val="24"/>
        </w:rPr>
        <w:lastRenderedPageBreak/>
        <w:t xml:space="preserve">The whole text is a translation of the </w:t>
      </w:r>
      <w:r>
        <w:rPr>
          <w:rFonts w:ascii="Times New Roman" w:hAnsi="Times New Roman" w:cs="Times New Roman"/>
          <w:sz w:val="24"/>
        </w:rPr>
        <w:t xml:space="preserve">shorter version of the </w:t>
      </w:r>
      <w:r w:rsidRPr="000228B8">
        <w:rPr>
          <w:rFonts w:ascii="Times New Roman" w:hAnsi="Times New Roman" w:cs="Times New Roman"/>
          <w:i/>
          <w:sz w:val="24"/>
        </w:rPr>
        <w:t>Ars</w:t>
      </w:r>
      <w:r>
        <w:rPr>
          <w:rFonts w:ascii="Times New Roman" w:hAnsi="Times New Roman" w:cs="Times New Roman"/>
          <w:i/>
          <w:sz w:val="24"/>
        </w:rPr>
        <w:t xml:space="preserve"> m</w:t>
      </w:r>
      <w:r w:rsidRPr="000228B8">
        <w:rPr>
          <w:rFonts w:ascii="Times New Roman" w:hAnsi="Times New Roman" w:cs="Times New Roman"/>
          <w:i/>
          <w:sz w:val="24"/>
        </w:rPr>
        <w:t xml:space="preserve">oriendi, </w:t>
      </w:r>
      <w:r w:rsidRPr="000228B8">
        <w:rPr>
          <w:rFonts w:ascii="Times New Roman" w:hAnsi="Times New Roman" w:cs="Times New Roman"/>
          <w:sz w:val="24"/>
        </w:rPr>
        <w:t>the Latin tract giving instructions</w:t>
      </w:r>
      <w:r>
        <w:rPr>
          <w:rFonts w:ascii="Times New Roman" w:hAnsi="Times New Roman" w:cs="Times New Roman"/>
          <w:sz w:val="24"/>
        </w:rPr>
        <w:t xml:space="preserve"> to priests, on how to </w:t>
      </w:r>
      <w:r w:rsidRPr="000228B8">
        <w:rPr>
          <w:rFonts w:ascii="Times New Roman" w:hAnsi="Times New Roman" w:cs="Times New Roman"/>
          <w:sz w:val="24"/>
        </w:rPr>
        <w:t>go about the process of dying.</w:t>
      </w:r>
      <w:r w:rsidRPr="000228B8">
        <w:rPr>
          <w:rStyle w:val="FootnoteReference"/>
          <w:rFonts w:ascii="Times New Roman" w:hAnsi="Times New Roman" w:cs="Times New Roman"/>
          <w:sz w:val="24"/>
        </w:rPr>
        <w:footnoteReference w:id="3"/>
      </w:r>
      <w:r w:rsidRPr="000228B8">
        <w:rPr>
          <w:rFonts w:ascii="Times New Roman" w:hAnsi="Times New Roman" w:cs="Times New Roman"/>
          <w:sz w:val="24"/>
        </w:rPr>
        <w:t xml:space="preserve"> The original tract was most likely written by a Dominican friar and was a commission from the Council of Constance.</w:t>
      </w:r>
      <w:r>
        <w:rPr>
          <w:rStyle w:val="FootnoteReference"/>
          <w:rFonts w:ascii="Times New Roman" w:hAnsi="Times New Roman" w:cs="Times New Roman"/>
          <w:sz w:val="24"/>
        </w:rPr>
        <w:footnoteReference w:id="4"/>
      </w:r>
      <w:r w:rsidRPr="000228B8">
        <w:rPr>
          <w:rFonts w:ascii="Times New Roman" w:hAnsi="Times New Roman" w:cs="Times New Roman"/>
          <w:sz w:val="24"/>
        </w:rPr>
        <w:t xml:space="preserve"> The Council itself was brought about in order to not only attempt to reunite the Catholic Church following the </w:t>
      </w:r>
      <w:r>
        <w:rPr>
          <w:rFonts w:ascii="Times New Roman" w:hAnsi="Times New Roman" w:cs="Times New Roman"/>
          <w:sz w:val="24"/>
        </w:rPr>
        <w:t>schism</w:t>
      </w:r>
      <w:r w:rsidRPr="000228B8">
        <w:rPr>
          <w:rFonts w:ascii="Times New Roman" w:hAnsi="Times New Roman" w:cs="Times New Roman"/>
          <w:sz w:val="24"/>
        </w:rPr>
        <w:t xml:space="preserve"> of the Thirteenth </w:t>
      </w:r>
      <w:r>
        <w:rPr>
          <w:rFonts w:ascii="Times New Roman" w:hAnsi="Times New Roman" w:cs="Times New Roman"/>
          <w:sz w:val="24"/>
        </w:rPr>
        <w:t>C</w:t>
      </w:r>
      <w:r w:rsidRPr="000228B8">
        <w:rPr>
          <w:rFonts w:ascii="Times New Roman" w:hAnsi="Times New Roman" w:cs="Times New Roman"/>
          <w:sz w:val="24"/>
        </w:rPr>
        <w:t>entury but also to examine the works of heretical writers such as John W</w:t>
      </w:r>
      <w:r>
        <w:rPr>
          <w:rFonts w:ascii="Times New Roman" w:hAnsi="Times New Roman" w:cs="Times New Roman"/>
          <w:sz w:val="24"/>
        </w:rPr>
        <w:t>ycliffe</w:t>
      </w:r>
      <w:r w:rsidRPr="000228B8">
        <w:rPr>
          <w:rFonts w:ascii="Times New Roman" w:hAnsi="Times New Roman" w:cs="Times New Roman"/>
          <w:sz w:val="24"/>
        </w:rPr>
        <w:t>.</w:t>
      </w:r>
      <w:r w:rsidRPr="000228B8">
        <w:rPr>
          <w:rStyle w:val="FootnoteReference"/>
          <w:rFonts w:ascii="Times New Roman" w:hAnsi="Times New Roman" w:cs="Times New Roman"/>
          <w:sz w:val="24"/>
        </w:rPr>
        <w:footnoteReference w:id="5"/>
      </w:r>
      <w:r w:rsidRPr="000228B8">
        <w:rPr>
          <w:rFonts w:ascii="Times New Roman" w:hAnsi="Times New Roman" w:cs="Times New Roman"/>
          <w:sz w:val="24"/>
        </w:rPr>
        <w:t xml:space="preserve"> </w:t>
      </w:r>
      <w:r>
        <w:rPr>
          <w:rFonts w:ascii="Times New Roman" w:hAnsi="Times New Roman" w:cs="Times New Roman"/>
          <w:sz w:val="24"/>
        </w:rPr>
        <w:t>On top of this, the Fifteenth Century outbreak of the plague caused the death all members of society, including priests who were expected to carry out the last rites of a dying person.</w:t>
      </w:r>
      <w:r>
        <w:rPr>
          <w:rStyle w:val="FootnoteReference"/>
          <w:rFonts w:ascii="Times New Roman" w:hAnsi="Times New Roman" w:cs="Times New Roman"/>
          <w:sz w:val="24"/>
        </w:rPr>
        <w:footnoteReference w:id="6"/>
      </w:r>
      <w:r>
        <w:rPr>
          <w:rFonts w:ascii="Times New Roman" w:hAnsi="Times New Roman" w:cs="Times New Roman"/>
          <w:sz w:val="24"/>
        </w:rPr>
        <w:t xml:space="preserve"> Thus the</w:t>
      </w:r>
      <w:r w:rsidRPr="000228B8">
        <w:rPr>
          <w:rFonts w:ascii="Times New Roman" w:hAnsi="Times New Roman" w:cs="Times New Roman"/>
          <w:sz w:val="24"/>
        </w:rPr>
        <w:t xml:space="preserve"> </w:t>
      </w:r>
      <w:r>
        <w:rPr>
          <w:rFonts w:ascii="Times New Roman" w:hAnsi="Times New Roman" w:cs="Times New Roman"/>
          <w:i/>
          <w:sz w:val="24"/>
        </w:rPr>
        <w:t>Ars m</w:t>
      </w:r>
      <w:r w:rsidRPr="000228B8">
        <w:rPr>
          <w:rFonts w:ascii="Times New Roman" w:hAnsi="Times New Roman" w:cs="Times New Roman"/>
          <w:i/>
          <w:sz w:val="24"/>
        </w:rPr>
        <w:t>oriendi</w:t>
      </w:r>
      <w:r w:rsidRPr="000228B8">
        <w:rPr>
          <w:rFonts w:ascii="Times New Roman" w:hAnsi="Times New Roman" w:cs="Times New Roman"/>
          <w:sz w:val="24"/>
        </w:rPr>
        <w:t xml:space="preserve"> was</w:t>
      </w:r>
      <w:r>
        <w:rPr>
          <w:rFonts w:ascii="Times New Roman" w:hAnsi="Times New Roman" w:cs="Times New Roman"/>
          <w:sz w:val="24"/>
        </w:rPr>
        <w:t xml:space="preserve">, likely, </w:t>
      </w:r>
      <w:r w:rsidRPr="000228B8">
        <w:rPr>
          <w:rFonts w:ascii="Times New Roman" w:hAnsi="Times New Roman" w:cs="Times New Roman"/>
          <w:sz w:val="24"/>
        </w:rPr>
        <w:t>o</w:t>
      </w:r>
      <w:r>
        <w:rPr>
          <w:rFonts w:ascii="Times New Roman" w:hAnsi="Times New Roman" w:cs="Times New Roman"/>
          <w:sz w:val="24"/>
        </w:rPr>
        <w:t xml:space="preserve">riginally commissioned not only to help reunite the Catholic Church and counteract rising Protestant ideas but also as a way to give members of society the tools necessary to ensure they would gain salvation without the presence of a priest. </w:t>
      </w:r>
    </w:p>
    <w:p w14:paraId="272E2F94" w14:textId="77777777" w:rsidR="00363563" w:rsidRPr="000228B8" w:rsidRDefault="00363563" w:rsidP="00363563">
      <w:pPr>
        <w:jc w:val="both"/>
        <w:rPr>
          <w:rFonts w:ascii="Times New Roman" w:hAnsi="Times New Roman" w:cs="Times New Roman"/>
          <w:sz w:val="24"/>
        </w:rPr>
      </w:pPr>
      <w:r w:rsidRPr="000228B8">
        <w:rPr>
          <w:rFonts w:ascii="Times New Roman" w:hAnsi="Times New Roman" w:cs="Times New Roman"/>
          <w:sz w:val="24"/>
        </w:rPr>
        <w:t>Caxton</w:t>
      </w:r>
      <w:r>
        <w:rPr>
          <w:rFonts w:ascii="Times New Roman" w:hAnsi="Times New Roman" w:cs="Times New Roman"/>
          <w:sz w:val="24"/>
        </w:rPr>
        <w:t>, would therefore, probably, have been given permission by the Church</w:t>
      </w:r>
      <w:r w:rsidRPr="000228B8">
        <w:rPr>
          <w:rFonts w:ascii="Times New Roman" w:hAnsi="Times New Roman" w:cs="Times New Roman"/>
          <w:sz w:val="24"/>
        </w:rPr>
        <w:t xml:space="preserve"> to translate and publish this</w:t>
      </w:r>
      <w:r>
        <w:rPr>
          <w:rFonts w:ascii="Times New Roman" w:hAnsi="Times New Roman" w:cs="Times New Roman"/>
          <w:sz w:val="24"/>
        </w:rPr>
        <w:t xml:space="preserve"> </w:t>
      </w:r>
      <w:r w:rsidRPr="000228B8">
        <w:rPr>
          <w:rFonts w:ascii="Times New Roman" w:hAnsi="Times New Roman" w:cs="Times New Roman"/>
          <w:sz w:val="24"/>
        </w:rPr>
        <w:t>text into</w:t>
      </w:r>
      <w:r>
        <w:rPr>
          <w:rFonts w:ascii="Times New Roman" w:hAnsi="Times New Roman" w:cs="Times New Roman"/>
          <w:sz w:val="24"/>
        </w:rPr>
        <w:t xml:space="preserve"> vernacular</w:t>
      </w:r>
      <w:r w:rsidRPr="000228B8">
        <w:rPr>
          <w:rFonts w:ascii="Times New Roman" w:hAnsi="Times New Roman" w:cs="Times New Roman"/>
          <w:sz w:val="24"/>
        </w:rPr>
        <w:t xml:space="preserve"> English </w:t>
      </w:r>
      <w:r>
        <w:rPr>
          <w:rFonts w:ascii="Times New Roman" w:hAnsi="Times New Roman" w:cs="Times New Roman"/>
          <w:sz w:val="24"/>
        </w:rPr>
        <w:t>around</w:t>
      </w:r>
      <w:r w:rsidRPr="000228B8">
        <w:rPr>
          <w:rFonts w:ascii="Times New Roman" w:hAnsi="Times New Roman" w:cs="Times New Roman"/>
          <w:sz w:val="24"/>
        </w:rPr>
        <w:t xml:space="preserve"> 1490, </w:t>
      </w:r>
      <w:r>
        <w:rPr>
          <w:rFonts w:ascii="Times New Roman" w:hAnsi="Times New Roman" w:cs="Times New Roman"/>
          <w:sz w:val="24"/>
        </w:rPr>
        <w:t>in order to ensure that a many people as possible had access to it. A number of translations were also produced in French, German, Dutch, Italian, Spanish and Catalonian, showing that the Church wanted the message to reach as many people as possible.</w:t>
      </w:r>
      <w:r>
        <w:rPr>
          <w:rStyle w:val="FootnoteReference"/>
          <w:rFonts w:ascii="Times New Roman" w:hAnsi="Times New Roman" w:cs="Times New Roman"/>
          <w:sz w:val="24"/>
        </w:rPr>
        <w:footnoteReference w:id="7"/>
      </w:r>
      <w:r>
        <w:rPr>
          <w:rFonts w:ascii="Times New Roman" w:hAnsi="Times New Roman" w:cs="Times New Roman"/>
          <w:sz w:val="24"/>
        </w:rPr>
        <w:t xml:space="preserve"> On top of this</w:t>
      </w:r>
      <w:r w:rsidRPr="000228B8">
        <w:rPr>
          <w:rFonts w:ascii="Times New Roman" w:hAnsi="Times New Roman" w:cs="Times New Roman"/>
          <w:sz w:val="24"/>
        </w:rPr>
        <w:t xml:space="preserve">, the English </w:t>
      </w:r>
      <w:r>
        <w:rPr>
          <w:rFonts w:ascii="Times New Roman" w:hAnsi="Times New Roman" w:cs="Times New Roman"/>
          <w:sz w:val="24"/>
        </w:rPr>
        <w:t xml:space="preserve">Catholic </w:t>
      </w:r>
      <w:r w:rsidRPr="000228B8">
        <w:rPr>
          <w:rFonts w:ascii="Times New Roman" w:hAnsi="Times New Roman" w:cs="Times New Roman"/>
          <w:sz w:val="24"/>
        </w:rPr>
        <w:t>Church was also in danger from unorthodox groups, such as the Lollards who were pushing the anti-Papacy reformist views of John Wycliffe, who had been writing the previous century.</w:t>
      </w:r>
      <w:r w:rsidRPr="000228B8">
        <w:rPr>
          <w:rStyle w:val="FootnoteReference"/>
          <w:rFonts w:ascii="Times New Roman" w:hAnsi="Times New Roman" w:cs="Times New Roman"/>
          <w:sz w:val="24"/>
        </w:rPr>
        <w:footnoteReference w:id="8"/>
      </w:r>
      <w:r w:rsidRPr="000228B8">
        <w:rPr>
          <w:rFonts w:ascii="Times New Roman" w:hAnsi="Times New Roman" w:cs="Times New Roman"/>
          <w:sz w:val="24"/>
        </w:rPr>
        <w:t xml:space="preserve"> Caxton, may therefore, have</w:t>
      </w:r>
      <w:r>
        <w:rPr>
          <w:rFonts w:ascii="Times New Roman" w:hAnsi="Times New Roman" w:cs="Times New Roman"/>
          <w:sz w:val="24"/>
        </w:rPr>
        <w:t xml:space="preserve"> also been asked to publish</w:t>
      </w:r>
      <w:r w:rsidRPr="000228B8">
        <w:rPr>
          <w:rFonts w:ascii="Times New Roman" w:hAnsi="Times New Roman" w:cs="Times New Roman"/>
          <w:sz w:val="24"/>
        </w:rPr>
        <w:t xml:space="preserve"> his work as a direct response to the beliefs of the Lollards. </w:t>
      </w:r>
    </w:p>
    <w:p w14:paraId="31E3F7C4" w14:textId="77777777" w:rsidR="00363563" w:rsidRPr="000228B8" w:rsidRDefault="00363563" w:rsidP="00363563">
      <w:pPr>
        <w:jc w:val="both"/>
        <w:rPr>
          <w:rFonts w:ascii="Times New Roman" w:hAnsi="Times New Roman" w:cs="Times New Roman"/>
          <w:sz w:val="24"/>
        </w:rPr>
      </w:pPr>
      <w:r>
        <w:rPr>
          <w:rFonts w:ascii="Times New Roman" w:hAnsi="Times New Roman" w:cs="Times New Roman"/>
          <w:sz w:val="24"/>
        </w:rPr>
        <w:t xml:space="preserve">In </w:t>
      </w:r>
      <w:r w:rsidRPr="000228B8">
        <w:rPr>
          <w:rFonts w:ascii="Times New Roman" w:hAnsi="Times New Roman" w:cs="Times New Roman"/>
          <w:sz w:val="24"/>
        </w:rPr>
        <w:t>chapter</w:t>
      </w:r>
      <w:r>
        <w:rPr>
          <w:rFonts w:ascii="Times New Roman" w:hAnsi="Times New Roman" w:cs="Times New Roman"/>
          <w:sz w:val="24"/>
        </w:rPr>
        <w:t xml:space="preserve"> five,</w:t>
      </w:r>
      <w:r w:rsidRPr="000228B8">
        <w:rPr>
          <w:rFonts w:ascii="Times New Roman" w:hAnsi="Times New Roman" w:cs="Times New Roman"/>
          <w:sz w:val="24"/>
        </w:rPr>
        <w:t xml:space="preserve"> Caxton addresses the issue of people choosing to seek </w:t>
      </w:r>
      <w:r>
        <w:rPr>
          <w:rFonts w:ascii="Times New Roman" w:hAnsi="Times New Roman" w:cs="Times New Roman"/>
          <w:sz w:val="24"/>
        </w:rPr>
        <w:t>medicine and doctors rather than prayer;</w:t>
      </w:r>
      <w:r w:rsidRPr="000228B8">
        <w:rPr>
          <w:rFonts w:ascii="Times New Roman" w:hAnsi="Times New Roman" w:cs="Times New Roman"/>
          <w:sz w:val="24"/>
        </w:rPr>
        <w:t xml:space="preserve"> that is those close to death attempting to elongate their lives through medicine rather than making their peace with God and achieving salvation.</w:t>
      </w:r>
      <w:r w:rsidRPr="000228B8">
        <w:rPr>
          <w:rStyle w:val="FootnoteReference"/>
          <w:rFonts w:ascii="Times New Roman" w:hAnsi="Times New Roman" w:cs="Times New Roman"/>
          <w:sz w:val="24"/>
        </w:rPr>
        <w:footnoteReference w:id="9"/>
      </w:r>
      <w:r w:rsidRPr="000228B8">
        <w:rPr>
          <w:rFonts w:ascii="Times New Roman" w:hAnsi="Times New Roman" w:cs="Times New Roman"/>
          <w:sz w:val="24"/>
        </w:rPr>
        <w:t xml:space="preserve"> This discussion on what one should do upon their deathbed is a clear criticism of the developing scientific ideas </w:t>
      </w:r>
      <w:r w:rsidRPr="000228B8">
        <w:rPr>
          <w:rFonts w:ascii="Times New Roman" w:hAnsi="Times New Roman" w:cs="Times New Roman"/>
          <w:sz w:val="24"/>
        </w:rPr>
        <w:lastRenderedPageBreak/>
        <w:t>around medicine and the body at the time of Caxton’s translation, as well as a concern to the original Latin author. In the extract itself, Caxton states that ‘as the sickness approacheth or increaseth, so much more the devotion fleeth from him’, in other words stating that as the person becomes closer to death the</w:t>
      </w:r>
      <w:r>
        <w:rPr>
          <w:rFonts w:ascii="Times New Roman" w:hAnsi="Times New Roman" w:cs="Times New Roman"/>
          <w:sz w:val="24"/>
        </w:rPr>
        <w:t>y become more worried about extending their life than devotion to God</w:t>
      </w:r>
      <w:r w:rsidRPr="000228B8">
        <w:rPr>
          <w:rFonts w:ascii="Times New Roman" w:hAnsi="Times New Roman" w:cs="Times New Roman"/>
          <w:sz w:val="24"/>
        </w:rPr>
        <w:t>.</w:t>
      </w:r>
      <w:r w:rsidRPr="000228B8">
        <w:rPr>
          <w:rStyle w:val="FootnoteReference"/>
          <w:rFonts w:ascii="Times New Roman" w:hAnsi="Times New Roman" w:cs="Times New Roman"/>
          <w:sz w:val="24"/>
        </w:rPr>
        <w:footnoteReference w:id="10"/>
      </w:r>
      <w:r w:rsidRPr="000228B8">
        <w:rPr>
          <w:rFonts w:ascii="Times New Roman" w:hAnsi="Times New Roman" w:cs="Times New Roman"/>
          <w:sz w:val="24"/>
        </w:rPr>
        <w:t xml:space="preserve"> This encapsulates the meaning of the extract </w:t>
      </w:r>
      <w:r>
        <w:rPr>
          <w:rFonts w:ascii="Times New Roman" w:hAnsi="Times New Roman" w:cs="Times New Roman"/>
          <w:sz w:val="24"/>
        </w:rPr>
        <w:t>and chapter itself; one should be more focused on confirming one’s salvation than on trying to extend life at the point of one’s final judgement</w:t>
      </w:r>
      <w:r w:rsidRPr="000228B8">
        <w:rPr>
          <w:rFonts w:ascii="Times New Roman" w:hAnsi="Times New Roman" w:cs="Times New Roman"/>
          <w:sz w:val="24"/>
        </w:rPr>
        <w:t xml:space="preserve">. </w:t>
      </w:r>
    </w:p>
    <w:p w14:paraId="11A4DA1F" w14:textId="77777777" w:rsidR="00363563" w:rsidRPr="000228B8" w:rsidRDefault="00363563" w:rsidP="00363563">
      <w:pPr>
        <w:jc w:val="both"/>
        <w:rPr>
          <w:rFonts w:ascii="Times New Roman" w:hAnsi="Times New Roman" w:cs="Times New Roman"/>
          <w:sz w:val="24"/>
        </w:rPr>
      </w:pPr>
      <w:r w:rsidRPr="000228B8">
        <w:rPr>
          <w:rFonts w:ascii="Times New Roman" w:hAnsi="Times New Roman" w:cs="Times New Roman"/>
          <w:sz w:val="24"/>
        </w:rPr>
        <w:t>Furthermore, the only items Caxton states are needed on the death bed are those of the ‘image of the crucifix, ‘the image of our Blessed Lady’, and ‘holy water’.</w:t>
      </w:r>
      <w:r w:rsidRPr="000228B8">
        <w:rPr>
          <w:rStyle w:val="FootnoteReference"/>
          <w:rFonts w:ascii="Times New Roman" w:hAnsi="Times New Roman" w:cs="Times New Roman"/>
          <w:sz w:val="24"/>
        </w:rPr>
        <w:footnoteReference w:id="11"/>
      </w:r>
      <w:r w:rsidRPr="000228B8">
        <w:rPr>
          <w:rFonts w:ascii="Times New Roman" w:hAnsi="Times New Roman" w:cs="Times New Roman"/>
          <w:sz w:val="24"/>
        </w:rPr>
        <w:t xml:space="preserve"> All three of these items were of extreme importance to the Catholic faith, there as not only a symbol of their devotion to God but </w:t>
      </w:r>
      <w:r>
        <w:rPr>
          <w:rFonts w:ascii="Times New Roman" w:hAnsi="Times New Roman" w:cs="Times New Roman"/>
          <w:sz w:val="24"/>
        </w:rPr>
        <w:t>also to ensure</w:t>
      </w:r>
      <w:r w:rsidRPr="000228B8">
        <w:rPr>
          <w:rFonts w:ascii="Times New Roman" w:hAnsi="Times New Roman" w:cs="Times New Roman"/>
          <w:sz w:val="24"/>
        </w:rPr>
        <w:t xml:space="preserve"> the ‘devils be put-a-back’.</w:t>
      </w:r>
      <w:r w:rsidRPr="000228B8">
        <w:rPr>
          <w:rStyle w:val="FootnoteReference"/>
          <w:rFonts w:ascii="Times New Roman" w:hAnsi="Times New Roman" w:cs="Times New Roman"/>
          <w:sz w:val="24"/>
        </w:rPr>
        <w:footnoteReference w:id="12"/>
      </w:r>
      <w:r w:rsidRPr="000228B8">
        <w:rPr>
          <w:rFonts w:ascii="Times New Roman" w:hAnsi="Times New Roman" w:cs="Times New Roman"/>
          <w:sz w:val="24"/>
        </w:rPr>
        <w:t xml:space="preserve"> Caxton argues</w:t>
      </w:r>
      <w:r>
        <w:rPr>
          <w:rFonts w:ascii="Times New Roman" w:hAnsi="Times New Roman" w:cs="Times New Roman"/>
          <w:sz w:val="24"/>
        </w:rPr>
        <w:t xml:space="preserve"> </w:t>
      </w:r>
      <w:r w:rsidRPr="000228B8">
        <w:rPr>
          <w:rFonts w:ascii="Times New Roman" w:hAnsi="Times New Roman" w:cs="Times New Roman"/>
          <w:sz w:val="24"/>
        </w:rPr>
        <w:t>that it is these items, used while repenting their sins</w:t>
      </w:r>
      <w:r>
        <w:rPr>
          <w:rFonts w:ascii="Times New Roman" w:hAnsi="Times New Roman" w:cs="Times New Roman"/>
          <w:sz w:val="24"/>
        </w:rPr>
        <w:t>, which</w:t>
      </w:r>
      <w:r w:rsidRPr="000228B8">
        <w:rPr>
          <w:rFonts w:ascii="Times New Roman" w:hAnsi="Times New Roman" w:cs="Times New Roman"/>
          <w:sz w:val="24"/>
        </w:rPr>
        <w:t xml:space="preserve"> would </w:t>
      </w:r>
      <w:r>
        <w:rPr>
          <w:rFonts w:ascii="Times New Roman" w:hAnsi="Times New Roman" w:cs="Times New Roman"/>
          <w:sz w:val="24"/>
        </w:rPr>
        <w:t>ensure</w:t>
      </w:r>
      <w:r w:rsidRPr="000228B8">
        <w:rPr>
          <w:rFonts w:ascii="Times New Roman" w:hAnsi="Times New Roman" w:cs="Times New Roman"/>
          <w:sz w:val="24"/>
        </w:rPr>
        <w:t xml:space="preserve"> the dying would be received into heaven. He seems to argue that the sick person should not remember their family or riches more th</w:t>
      </w:r>
      <w:r>
        <w:rPr>
          <w:rFonts w:ascii="Times New Roman" w:hAnsi="Times New Roman" w:cs="Times New Roman"/>
          <w:sz w:val="24"/>
        </w:rPr>
        <w:t xml:space="preserve">an was necessary, </w:t>
      </w:r>
      <w:r w:rsidRPr="000228B8">
        <w:rPr>
          <w:rFonts w:ascii="Times New Roman" w:hAnsi="Times New Roman" w:cs="Times New Roman"/>
          <w:sz w:val="24"/>
        </w:rPr>
        <w:t xml:space="preserve">in order to ensure that the person was primarily focused on their devotion in their last moments.  </w:t>
      </w:r>
    </w:p>
    <w:p w14:paraId="7C508869" w14:textId="77777777" w:rsidR="00363563" w:rsidRPr="000228B8" w:rsidRDefault="00363563" w:rsidP="00363563">
      <w:pPr>
        <w:jc w:val="both"/>
        <w:rPr>
          <w:rFonts w:ascii="Times New Roman" w:hAnsi="Times New Roman" w:cs="Times New Roman"/>
          <w:sz w:val="24"/>
        </w:rPr>
      </w:pPr>
      <w:r w:rsidRPr="000228B8">
        <w:rPr>
          <w:rFonts w:ascii="Times New Roman" w:hAnsi="Times New Roman" w:cs="Times New Roman"/>
          <w:sz w:val="24"/>
        </w:rPr>
        <w:t>If we were to compare the description in the extract to that of the i</w:t>
      </w:r>
      <w:r>
        <w:rPr>
          <w:rFonts w:ascii="Times New Roman" w:hAnsi="Times New Roman" w:cs="Times New Roman"/>
          <w:sz w:val="24"/>
        </w:rPr>
        <w:t>mage of The Good Death</w:t>
      </w:r>
      <w:r w:rsidRPr="000228B8">
        <w:rPr>
          <w:rFonts w:ascii="Times New Roman" w:hAnsi="Times New Roman" w:cs="Times New Roman"/>
          <w:sz w:val="24"/>
        </w:rPr>
        <w:t>, c.145</w:t>
      </w:r>
      <w:r>
        <w:rPr>
          <w:rFonts w:ascii="Times New Roman" w:hAnsi="Times New Roman" w:cs="Times New Roman"/>
          <w:sz w:val="24"/>
        </w:rPr>
        <w:t xml:space="preserve">0 (appendix one), </w:t>
      </w:r>
      <w:r w:rsidRPr="000228B8">
        <w:rPr>
          <w:rFonts w:ascii="Times New Roman" w:hAnsi="Times New Roman" w:cs="Times New Roman"/>
          <w:sz w:val="24"/>
        </w:rPr>
        <w:t>we can see the elements Caxton describes being put into play.</w:t>
      </w:r>
      <w:r w:rsidRPr="000228B8">
        <w:rPr>
          <w:rStyle w:val="FootnoteReference"/>
          <w:rFonts w:ascii="Times New Roman" w:hAnsi="Times New Roman" w:cs="Times New Roman"/>
          <w:sz w:val="24"/>
        </w:rPr>
        <w:footnoteReference w:id="13"/>
      </w:r>
      <w:r w:rsidRPr="000228B8">
        <w:rPr>
          <w:rFonts w:ascii="Times New Roman" w:hAnsi="Times New Roman" w:cs="Times New Roman"/>
          <w:sz w:val="24"/>
        </w:rPr>
        <w:t xml:space="preserve"> For example there is a clear image of the crucifix in the top right of the image, along with a number of </w:t>
      </w:r>
      <w:r>
        <w:rPr>
          <w:rFonts w:ascii="Times New Roman" w:hAnsi="Times New Roman" w:cs="Times New Roman"/>
          <w:sz w:val="24"/>
        </w:rPr>
        <w:t>saints</w:t>
      </w:r>
      <w:r w:rsidRPr="000228B8">
        <w:rPr>
          <w:rFonts w:ascii="Times New Roman" w:hAnsi="Times New Roman" w:cs="Times New Roman"/>
          <w:sz w:val="24"/>
        </w:rPr>
        <w:t xml:space="preserve"> praying to the crucifix, characterised b</w:t>
      </w:r>
      <w:r>
        <w:rPr>
          <w:rFonts w:ascii="Times New Roman" w:hAnsi="Times New Roman" w:cs="Times New Roman"/>
          <w:sz w:val="24"/>
        </w:rPr>
        <w:t>y the traditional illuminated halos</w:t>
      </w:r>
      <w:r w:rsidRPr="000228B8">
        <w:rPr>
          <w:rFonts w:ascii="Times New Roman" w:hAnsi="Times New Roman" w:cs="Times New Roman"/>
          <w:sz w:val="24"/>
        </w:rPr>
        <w:t xml:space="preserve">. Furthermore, the dying man himself appears to be holding a </w:t>
      </w:r>
      <w:r>
        <w:rPr>
          <w:rFonts w:ascii="Times New Roman" w:hAnsi="Times New Roman" w:cs="Times New Roman"/>
          <w:sz w:val="24"/>
        </w:rPr>
        <w:t>taper</w:t>
      </w:r>
      <w:r w:rsidRPr="000228B8">
        <w:rPr>
          <w:rFonts w:ascii="Times New Roman" w:hAnsi="Times New Roman" w:cs="Times New Roman"/>
          <w:sz w:val="24"/>
        </w:rPr>
        <w:t>, wh</w:t>
      </w:r>
      <w:r>
        <w:rPr>
          <w:rFonts w:ascii="Times New Roman" w:hAnsi="Times New Roman" w:cs="Times New Roman"/>
          <w:sz w:val="24"/>
        </w:rPr>
        <w:t xml:space="preserve">ile supported by </w:t>
      </w:r>
      <w:r w:rsidRPr="000228B8">
        <w:rPr>
          <w:rFonts w:ascii="Times New Roman" w:hAnsi="Times New Roman" w:cs="Times New Roman"/>
          <w:sz w:val="24"/>
        </w:rPr>
        <w:t>who</w:t>
      </w:r>
      <w:r>
        <w:rPr>
          <w:rFonts w:ascii="Times New Roman" w:hAnsi="Times New Roman" w:cs="Times New Roman"/>
          <w:sz w:val="24"/>
        </w:rPr>
        <w:t xml:space="preserve"> is likely to be a monk rather than a priest given the presence of a taper, which was used when a priest could not be present to issue the last rites</w:t>
      </w:r>
      <w:r w:rsidRPr="000228B8">
        <w:rPr>
          <w:rFonts w:ascii="Times New Roman" w:hAnsi="Times New Roman" w:cs="Times New Roman"/>
          <w:sz w:val="24"/>
        </w:rPr>
        <w:t>.</w:t>
      </w:r>
      <w:r>
        <w:rPr>
          <w:rStyle w:val="FootnoteReference"/>
          <w:rFonts w:ascii="Times New Roman" w:hAnsi="Times New Roman" w:cs="Times New Roman"/>
          <w:sz w:val="24"/>
        </w:rPr>
        <w:footnoteReference w:id="14"/>
      </w:r>
      <w:r w:rsidRPr="000228B8">
        <w:rPr>
          <w:rFonts w:ascii="Times New Roman" w:hAnsi="Times New Roman" w:cs="Times New Roman"/>
          <w:sz w:val="24"/>
        </w:rPr>
        <w:t xml:space="preserve"> On top of these obvious links to Caxton’s description, the image also shows the soul of the dead man being received by angels in the top left of the image while devil like creatures are attempting to coax him to hell with them in the bottom right. </w:t>
      </w:r>
      <w:r>
        <w:rPr>
          <w:rFonts w:ascii="Times New Roman" w:hAnsi="Times New Roman" w:cs="Times New Roman"/>
          <w:sz w:val="24"/>
        </w:rPr>
        <w:t>Therefore,</w:t>
      </w:r>
      <w:r w:rsidRPr="000228B8">
        <w:rPr>
          <w:rFonts w:ascii="Times New Roman" w:hAnsi="Times New Roman" w:cs="Times New Roman"/>
          <w:sz w:val="24"/>
        </w:rPr>
        <w:t xml:space="preserve"> if one were to follow Caxton’s description he would be sure of a successful salvation </w:t>
      </w:r>
      <w:r>
        <w:rPr>
          <w:rFonts w:ascii="Times New Roman" w:hAnsi="Times New Roman" w:cs="Times New Roman"/>
          <w:sz w:val="24"/>
        </w:rPr>
        <w:t xml:space="preserve">and enter </w:t>
      </w:r>
      <w:r w:rsidRPr="000228B8">
        <w:rPr>
          <w:rFonts w:ascii="Times New Roman" w:hAnsi="Times New Roman" w:cs="Times New Roman"/>
          <w:sz w:val="24"/>
        </w:rPr>
        <w:t xml:space="preserve">into heaven. </w:t>
      </w:r>
    </w:p>
    <w:p w14:paraId="388E2A58" w14:textId="77777777" w:rsidR="00363563" w:rsidRPr="000228B8" w:rsidRDefault="00363563" w:rsidP="00363563">
      <w:pPr>
        <w:jc w:val="both"/>
        <w:rPr>
          <w:rFonts w:ascii="Times New Roman" w:hAnsi="Times New Roman" w:cs="Times New Roman"/>
          <w:sz w:val="24"/>
        </w:rPr>
      </w:pPr>
      <w:r w:rsidRPr="000228B8">
        <w:rPr>
          <w:rFonts w:ascii="Times New Roman" w:hAnsi="Times New Roman" w:cs="Times New Roman"/>
          <w:sz w:val="24"/>
        </w:rPr>
        <w:t>In order to consider the way one dies in the wider corpus of the 15</w:t>
      </w:r>
      <w:r w:rsidRPr="000228B8">
        <w:rPr>
          <w:rFonts w:ascii="Times New Roman" w:hAnsi="Times New Roman" w:cs="Times New Roman"/>
          <w:sz w:val="24"/>
          <w:vertAlign w:val="superscript"/>
        </w:rPr>
        <w:t>th</w:t>
      </w:r>
      <w:r w:rsidRPr="000228B8">
        <w:rPr>
          <w:rFonts w:ascii="Times New Roman" w:hAnsi="Times New Roman" w:cs="Times New Roman"/>
          <w:sz w:val="24"/>
        </w:rPr>
        <w:t xml:space="preserve"> Century society, it is necessary to further examine the beliefs </w:t>
      </w:r>
      <w:r>
        <w:rPr>
          <w:rFonts w:ascii="Times New Roman" w:hAnsi="Times New Roman" w:cs="Times New Roman"/>
          <w:sz w:val="24"/>
        </w:rPr>
        <w:t xml:space="preserve">and practices </w:t>
      </w:r>
      <w:r w:rsidRPr="000228B8">
        <w:rPr>
          <w:rFonts w:ascii="Times New Roman" w:hAnsi="Times New Roman" w:cs="Times New Roman"/>
          <w:sz w:val="24"/>
        </w:rPr>
        <w:t xml:space="preserve">of those at the time. The will of Cecily, </w:t>
      </w:r>
      <w:r w:rsidRPr="000228B8">
        <w:rPr>
          <w:rFonts w:ascii="Times New Roman" w:hAnsi="Times New Roman" w:cs="Times New Roman"/>
          <w:sz w:val="24"/>
        </w:rPr>
        <w:lastRenderedPageBreak/>
        <w:t>Duchess of York, dated 1495, shows that while the ideal was for the dying to be completely devoted to God upon their deathbed, this was not always practicable as, especially to those of the noble classes, the issue of estates an</w:t>
      </w:r>
      <w:r>
        <w:rPr>
          <w:rFonts w:ascii="Times New Roman" w:hAnsi="Times New Roman" w:cs="Times New Roman"/>
          <w:sz w:val="24"/>
        </w:rPr>
        <w:t xml:space="preserve">d riches was only settled on the </w:t>
      </w:r>
      <w:r w:rsidRPr="000228B8">
        <w:rPr>
          <w:rFonts w:ascii="Times New Roman" w:hAnsi="Times New Roman" w:cs="Times New Roman"/>
          <w:sz w:val="24"/>
        </w:rPr>
        <w:t>deathbed. Although, the will of Cecily clearly states that her will is written ‘in the name of allmyghty god’, i</w:t>
      </w:r>
      <w:r>
        <w:rPr>
          <w:rFonts w:ascii="Times New Roman" w:hAnsi="Times New Roman" w:cs="Times New Roman"/>
          <w:sz w:val="24"/>
        </w:rPr>
        <w:t>t is clear that this is only following the convention of the time a</w:t>
      </w:r>
      <w:r w:rsidRPr="000228B8">
        <w:rPr>
          <w:rFonts w:ascii="Times New Roman" w:hAnsi="Times New Roman" w:cs="Times New Roman"/>
          <w:sz w:val="24"/>
        </w:rPr>
        <w:t>s</w:t>
      </w:r>
      <w:r>
        <w:rPr>
          <w:rFonts w:ascii="Times New Roman" w:hAnsi="Times New Roman" w:cs="Times New Roman"/>
          <w:sz w:val="24"/>
        </w:rPr>
        <w:t xml:space="preserve"> there is little</w:t>
      </w:r>
      <w:r w:rsidRPr="000228B8">
        <w:rPr>
          <w:rFonts w:ascii="Times New Roman" w:hAnsi="Times New Roman" w:cs="Times New Roman"/>
          <w:sz w:val="24"/>
        </w:rPr>
        <w:t xml:space="preserve"> evidence of any confession</w:t>
      </w:r>
      <w:r>
        <w:rPr>
          <w:rFonts w:ascii="Times New Roman" w:hAnsi="Times New Roman" w:cs="Times New Roman"/>
          <w:sz w:val="24"/>
        </w:rPr>
        <w:t>,</w:t>
      </w:r>
      <w:r w:rsidRPr="000228B8">
        <w:rPr>
          <w:rFonts w:ascii="Times New Roman" w:hAnsi="Times New Roman" w:cs="Times New Roman"/>
          <w:sz w:val="24"/>
        </w:rPr>
        <w:t xml:space="preserve"> </w:t>
      </w:r>
      <w:r>
        <w:rPr>
          <w:rFonts w:ascii="Times New Roman" w:hAnsi="Times New Roman" w:cs="Times New Roman"/>
          <w:sz w:val="24"/>
        </w:rPr>
        <w:t xml:space="preserve">or monies left for prayers to be said </w:t>
      </w:r>
      <w:r w:rsidRPr="000228B8">
        <w:rPr>
          <w:rFonts w:ascii="Times New Roman" w:hAnsi="Times New Roman" w:cs="Times New Roman"/>
          <w:sz w:val="24"/>
        </w:rPr>
        <w:t>in order to ensure her salvation.</w:t>
      </w:r>
      <w:r w:rsidRPr="000228B8">
        <w:rPr>
          <w:rStyle w:val="FootnoteReference"/>
          <w:rFonts w:ascii="Times New Roman" w:hAnsi="Times New Roman" w:cs="Times New Roman"/>
          <w:sz w:val="24"/>
        </w:rPr>
        <w:footnoteReference w:id="15"/>
      </w:r>
      <w:r w:rsidRPr="000228B8">
        <w:rPr>
          <w:rFonts w:ascii="Times New Roman" w:hAnsi="Times New Roman" w:cs="Times New Roman"/>
          <w:sz w:val="24"/>
        </w:rPr>
        <w:t xml:space="preserve"> This lack of written devotion shows that while Caxton was writing instructions as to deathbed behaviour, these were clearly only ideals to be disregarded in the case of more pressing matters, such as one’s will</w:t>
      </w:r>
      <w:r>
        <w:rPr>
          <w:rFonts w:ascii="Times New Roman" w:hAnsi="Times New Roman" w:cs="Times New Roman"/>
          <w:sz w:val="24"/>
        </w:rPr>
        <w:t>; or as in the case of sudden death, such as on the battlefield, a lack of time to perform the rituals laid out</w:t>
      </w:r>
      <w:r w:rsidRPr="000228B8">
        <w:rPr>
          <w:rFonts w:ascii="Times New Roman" w:hAnsi="Times New Roman" w:cs="Times New Roman"/>
          <w:sz w:val="24"/>
        </w:rPr>
        <w:t xml:space="preserve">. </w:t>
      </w:r>
    </w:p>
    <w:p w14:paraId="40FB31BC" w14:textId="77777777" w:rsidR="00363563" w:rsidRPr="000228B8" w:rsidRDefault="00363563" w:rsidP="00363563">
      <w:pPr>
        <w:jc w:val="both"/>
        <w:rPr>
          <w:rFonts w:ascii="Times New Roman" w:hAnsi="Times New Roman" w:cs="Times New Roman"/>
          <w:sz w:val="24"/>
        </w:rPr>
      </w:pPr>
      <w:r w:rsidRPr="000228B8">
        <w:rPr>
          <w:rFonts w:ascii="Times New Roman" w:hAnsi="Times New Roman" w:cs="Times New Roman"/>
          <w:sz w:val="24"/>
        </w:rPr>
        <w:t xml:space="preserve">From considering this extract it is clear there is a need for certain activities to take place when one is on </w:t>
      </w:r>
      <w:r>
        <w:rPr>
          <w:rFonts w:ascii="Times New Roman" w:hAnsi="Times New Roman" w:cs="Times New Roman"/>
          <w:sz w:val="24"/>
        </w:rPr>
        <w:t xml:space="preserve">one’s </w:t>
      </w:r>
      <w:r w:rsidRPr="000228B8">
        <w:rPr>
          <w:rFonts w:ascii="Times New Roman" w:hAnsi="Times New Roman" w:cs="Times New Roman"/>
          <w:sz w:val="24"/>
        </w:rPr>
        <w:t xml:space="preserve">deathbed. While, the ideals set down by Caxton may not always have been adhered to, it is clear that they were of the most extreme importance to those of the Catholic faith during the late fifteenth century. To the religious, God would provide salvation on the deathbed provided they confessed their sins. </w:t>
      </w:r>
    </w:p>
    <w:p w14:paraId="7FAFC2DF" w14:textId="77777777" w:rsidR="00363563" w:rsidRPr="000228B8" w:rsidRDefault="00363563" w:rsidP="00363563">
      <w:pPr>
        <w:jc w:val="both"/>
        <w:rPr>
          <w:rFonts w:ascii="Times New Roman" w:hAnsi="Times New Roman" w:cs="Times New Roman"/>
          <w:sz w:val="24"/>
        </w:rPr>
      </w:pPr>
    </w:p>
    <w:p w14:paraId="14D3F374" w14:textId="77777777" w:rsidR="00363563" w:rsidRDefault="00363563" w:rsidP="00363563">
      <w:pPr>
        <w:jc w:val="both"/>
        <w:rPr>
          <w:rFonts w:ascii="Times New Roman" w:hAnsi="Times New Roman" w:cs="Times New Roman"/>
          <w:sz w:val="24"/>
        </w:rPr>
      </w:pPr>
    </w:p>
    <w:p w14:paraId="695F684E" w14:textId="77777777" w:rsidR="002E1BB7" w:rsidRDefault="002E1BB7" w:rsidP="000228B8">
      <w:pPr>
        <w:jc w:val="both"/>
        <w:rPr>
          <w:rFonts w:ascii="Times New Roman" w:hAnsi="Times New Roman" w:cs="Times New Roman"/>
          <w:sz w:val="24"/>
        </w:rPr>
      </w:pPr>
    </w:p>
    <w:p w14:paraId="4C290F3F" w14:textId="77777777" w:rsidR="000228B8" w:rsidRDefault="000228B8" w:rsidP="000228B8">
      <w:pPr>
        <w:jc w:val="both"/>
        <w:rPr>
          <w:rFonts w:ascii="Times New Roman" w:hAnsi="Times New Roman" w:cs="Times New Roman"/>
          <w:sz w:val="24"/>
        </w:rPr>
      </w:pPr>
    </w:p>
    <w:p w14:paraId="09C884DD" w14:textId="77777777" w:rsidR="00363563" w:rsidRDefault="00363563" w:rsidP="000228B8">
      <w:pPr>
        <w:jc w:val="both"/>
        <w:rPr>
          <w:rFonts w:ascii="Times New Roman" w:hAnsi="Times New Roman" w:cs="Times New Roman"/>
          <w:sz w:val="24"/>
        </w:rPr>
      </w:pPr>
    </w:p>
    <w:p w14:paraId="6C9DBF51" w14:textId="77777777" w:rsidR="00363563" w:rsidRDefault="00363563" w:rsidP="000228B8">
      <w:pPr>
        <w:jc w:val="both"/>
        <w:rPr>
          <w:rFonts w:ascii="Times New Roman" w:hAnsi="Times New Roman" w:cs="Times New Roman"/>
          <w:sz w:val="24"/>
        </w:rPr>
      </w:pPr>
    </w:p>
    <w:p w14:paraId="7AC166A1" w14:textId="77777777" w:rsidR="00363563" w:rsidRDefault="00363563" w:rsidP="000228B8">
      <w:pPr>
        <w:jc w:val="both"/>
        <w:rPr>
          <w:rFonts w:ascii="Times New Roman" w:hAnsi="Times New Roman" w:cs="Times New Roman"/>
          <w:sz w:val="24"/>
        </w:rPr>
      </w:pPr>
    </w:p>
    <w:p w14:paraId="688B3761" w14:textId="77777777" w:rsidR="00363563" w:rsidRDefault="00363563" w:rsidP="000228B8">
      <w:pPr>
        <w:jc w:val="both"/>
        <w:rPr>
          <w:rFonts w:ascii="Times New Roman" w:hAnsi="Times New Roman" w:cs="Times New Roman"/>
          <w:sz w:val="24"/>
        </w:rPr>
      </w:pPr>
    </w:p>
    <w:p w14:paraId="3FD87F0C" w14:textId="77777777" w:rsidR="00363563" w:rsidRDefault="00363563" w:rsidP="000228B8">
      <w:pPr>
        <w:jc w:val="both"/>
        <w:rPr>
          <w:rFonts w:ascii="Times New Roman" w:hAnsi="Times New Roman" w:cs="Times New Roman"/>
          <w:sz w:val="24"/>
        </w:rPr>
      </w:pPr>
      <w:bookmarkStart w:id="0" w:name="_GoBack"/>
      <w:bookmarkEnd w:id="0"/>
    </w:p>
    <w:p w14:paraId="5E3AC152" w14:textId="77777777" w:rsidR="000228B8" w:rsidRDefault="000228B8" w:rsidP="000228B8">
      <w:pPr>
        <w:jc w:val="both"/>
        <w:rPr>
          <w:rFonts w:ascii="Times New Roman" w:hAnsi="Times New Roman" w:cs="Times New Roman"/>
          <w:sz w:val="24"/>
        </w:rPr>
      </w:pPr>
    </w:p>
    <w:p w14:paraId="22CF5DAD" w14:textId="77777777" w:rsidR="00454A61" w:rsidRDefault="00454A61" w:rsidP="000228B8">
      <w:pPr>
        <w:jc w:val="both"/>
        <w:rPr>
          <w:rFonts w:ascii="Times New Roman" w:hAnsi="Times New Roman" w:cs="Times New Roman"/>
          <w:sz w:val="24"/>
        </w:rPr>
      </w:pPr>
    </w:p>
    <w:p w14:paraId="74741F02" w14:textId="77777777" w:rsidR="006B7170" w:rsidRDefault="006B7170" w:rsidP="000228B8">
      <w:pPr>
        <w:jc w:val="both"/>
        <w:rPr>
          <w:rFonts w:ascii="Times New Roman" w:hAnsi="Times New Roman" w:cs="Times New Roman"/>
          <w:b/>
          <w:sz w:val="24"/>
          <w:u w:val="single"/>
        </w:rPr>
      </w:pPr>
      <w:r>
        <w:rPr>
          <w:rFonts w:ascii="Times New Roman" w:hAnsi="Times New Roman" w:cs="Times New Roman"/>
          <w:b/>
          <w:sz w:val="24"/>
          <w:u w:val="single"/>
        </w:rPr>
        <w:lastRenderedPageBreak/>
        <w:t xml:space="preserve">Appendices </w:t>
      </w:r>
    </w:p>
    <w:p w14:paraId="25D68D15" w14:textId="77777777" w:rsidR="006B7170" w:rsidRDefault="006B7170" w:rsidP="000228B8">
      <w:pPr>
        <w:jc w:val="both"/>
        <w:rPr>
          <w:rFonts w:ascii="Times New Roman" w:hAnsi="Times New Roman" w:cs="Times New Roman"/>
          <w:sz w:val="24"/>
        </w:rPr>
      </w:pPr>
      <w:r>
        <w:rPr>
          <w:rFonts w:ascii="Times New Roman" w:hAnsi="Times New Roman" w:cs="Times New Roman"/>
          <w:sz w:val="24"/>
        </w:rPr>
        <w:t xml:space="preserve">Appendix one – The Good Death, c. 1450. </w:t>
      </w:r>
    </w:p>
    <w:p w14:paraId="32EF3420" w14:textId="77777777" w:rsidR="006B7170" w:rsidRDefault="006B7170" w:rsidP="000228B8">
      <w:pPr>
        <w:jc w:val="both"/>
        <w:rPr>
          <w:rFonts w:ascii="Times New Roman" w:hAnsi="Times New Roman" w:cs="Times New Roman"/>
          <w:sz w:val="24"/>
        </w:rPr>
      </w:pPr>
      <w:r>
        <w:rPr>
          <w:rFonts w:ascii="Times New Roman" w:hAnsi="Times New Roman" w:cs="Times New Roman"/>
          <w:i/>
          <w:sz w:val="24"/>
        </w:rPr>
        <w:t xml:space="preserve">The Book of the Craft of Dying and Other Early English Tracts Concerning Death, </w:t>
      </w:r>
      <w:r>
        <w:rPr>
          <w:rFonts w:ascii="Times New Roman" w:hAnsi="Times New Roman" w:cs="Times New Roman"/>
          <w:sz w:val="24"/>
        </w:rPr>
        <w:t xml:space="preserve">ed. Cooper, F. </w:t>
      </w:r>
      <w:r>
        <w:rPr>
          <w:rFonts w:ascii="Times New Roman" w:hAnsi="Times New Roman" w:cs="Times New Roman"/>
          <w:i/>
          <w:sz w:val="24"/>
        </w:rPr>
        <w:t xml:space="preserve"> </w:t>
      </w:r>
      <w:r>
        <w:rPr>
          <w:rFonts w:ascii="Times New Roman" w:hAnsi="Times New Roman" w:cs="Times New Roman"/>
          <w:sz w:val="24"/>
        </w:rPr>
        <w:t xml:space="preserve">(London: Longmans Green and Co, 1917) p. i. </w:t>
      </w:r>
    </w:p>
    <w:p w14:paraId="1DAF6CC5" w14:textId="77777777" w:rsidR="006B7170" w:rsidRPr="006B7170" w:rsidRDefault="006B7170" w:rsidP="000228B8">
      <w:pPr>
        <w:jc w:val="both"/>
        <w:rPr>
          <w:rFonts w:ascii="Times New Roman" w:hAnsi="Times New Roman" w:cs="Times New Roman"/>
          <w:sz w:val="24"/>
        </w:rPr>
      </w:pPr>
      <w:r w:rsidRPr="00EF7DBC">
        <w:rPr>
          <w:rFonts w:asciiTheme="minorHAnsi" w:hAnsiTheme="minorHAnsi"/>
          <w:noProof/>
          <w:lang w:eastAsia="en-GB"/>
        </w:rPr>
        <w:drawing>
          <wp:inline distT="0" distB="0" distL="0" distR="0" wp14:anchorId="7B3FEB15" wp14:editId="5E2A7698">
            <wp:extent cx="4816668" cy="6369050"/>
            <wp:effectExtent l="0" t="0" r="317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817809" cy="6370559"/>
                    </a:xfrm>
                    <a:prstGeom prst="rect">
                      <a:avLst/>
                    </a:prstGeom>
                    <a:noFill/>
                    <a:ln>
                      <a:noFill/>
                    </a:ln>
                  </pic:spPr>
                </pic:pic>
              </a:graphicData>
            </a:graphic>
          </wp:inline>
        </w:drawing>
      </w:r>
    </w:p>
    <w:p w14:paraId="30EFE344" w14:textId="77777777" w:rsidR="00E22C0E" w:rsidRDefault="00E22C0E" w:rsidP="000228B8">
      <w:pPr>
        <w:jc w:val="both"/>
        <w:rPr>
          <w:rFonts w:ascii="Times New Roman" w:hAnsi="Times New Roman" w:cs="Times New Roman"/>
          <w:sz w:val="24"/>
        </w:rPr>
      </w:pPr>
    </w:p>
    <w:p w14:paraId="2EEAA932" w14:textId="77777777" w:rsidR="00454A61" w:rsidRDefault="00454A61" w:rsidP="000228B8">
      <w:pPr>
        <w:jc w:val="both"/>
        <w:rPr>
          <w:rFonts w:ascii="Times New Roman" w:hAnsi="Times New Roman" w:cs="Times New Roman"/>
          <w:sz w:val="24"/>
        </w:rPr>
      </w:pPr>
    </w:p>
    <w:p w14:paraId="7B69BEF3" w14:textId="77777777" w:rsidR="00454A61" w:rsidRDefault="00454A61" w:rsidP="000228B8">
      <w:pPr>
        <w:jc w:val="both"/>
        <w:rPr>
          <w:rFonts w:ascii="Times New Roman" w:hAnsi="Times New Roman" w:cs="Times New Roman"/>
          <w:sz w:val="24"/>
        </w:rPr>
      </w:pPr>
    </w:p>
    <w:p w14:paraId="734256EF" w14:textId="77777777" w:rsidR="000E116C" w:rsidRPr="000228B8" w:rsidRDefault="000E116C" w:rsidP="000228B8">
      <w:pPr>
        <w:jc w:val="both"/>
        <w:rPr>
          <w:rFonts w:ascii="Times New Roman" w:hAnsi="Times New Roman" w:cs="Times New Roman"/>
          <w:b/>
          <w:sz w:val="24"/>
          <w:u w:val="single"/>
        </w:rPr>
      </w:pPr>
      <w:r w:rsidRPr="000228B8">
        <w:rPr>
          <w:rFonts w:ascii="Times New Roman" w:hAnsi="Times New Roman" w:cs="Times New Roman"/>
          <w:b/>
          <w:sz w:val="24"/>
          <w:u w:val="single"/>
        </w:rPr>
        <w:lastRenderedPageBreak/>
        <w:t>Bibliography</w:t>
      </w:r>
    </w:p>
    <w:p w14:paraId="530E09DB" w14:textId="77777777" w:rsidR="000C4FE0" w:rsidRPr="000C4FE0" w:rsidRDefault="000C4FE0" w:rsidP="000228B8">
      <w:pPr>
        <w:jc w:val="both"/>
        <w:rPr>
          <w:rFonts w:ascii="Times New Roman" w:hAnsi="Times New Roman" w:cs="Times New Roman"/>
          <w:color w:val="0563C1" w:themeColor="hyperlink"/>
          <w:sz w:val="24"/>
          <w:u w:val="single"/>
        </w:rPr>
      </w:pPr>
      <w:r>
        <w:rPr>
          <w:rFonts w:ascii="Times New Roman" w:hAnsi="Times New Roman" w:cs="Times New Roman"/>
          <w:sz w:val="24"/>
        </w:rPr>
        <w:t xml:space="preserve">British Library ‘William Caxton and the Canterbury Tales’, </w:t>
      </w:r>
      <w:r>
        <w:rPr>
          <w:rFonts w:ascii="Times New Roman" w:hAnsi="Times New Roman" w:cs="Times New Roman"/>
          <w:i/>
          <w:sz w:val="24"/>
        </w:rPr>
        <w:t xml:space="preserve">British Library </w:t>
      </w:r>
      <w:r>
        <w:rPr>
          <w:rFonts w:ascii="Times New Roman" w:hAnsi="Times New Roman" w:cs="Times New Roman"/>
          <w:sz w:val="24"/>
        </w:rPr>
        <w:t xml:space="preserve">(London: British Library, 2017), Available at </w:t>
      </w:r>
      <w:hyperlink r:id="rId9" w:history="1">
        <w:r w:rsidR="000E116C" w:rsidRPr="000228B8">
          <w:rPr>
            <w:rStyle w:val="Hyperlink"/>
            <w:rFonts w:ascii="Times New Roman" w:hAnsi="Times New Roman" w:cs="Times New Roman"/>
            <w:sz w:val="24"/>
          </w:rPr>
          <w:t>https://www.bl.uk/collection-items/william-caxton-and-canterbury-tales</w:t>
        </w:r>
      </w:hyperlink>
      <w:r>
        <w:rPr>
          <w:rStyle w:val="Hyperlink"/>
          <w:rFonts w:ascii="Times New Roman" w:hAnsi="Times New Roman" w:cs="Times New Roman"/>
          <w:sz w:val="24"/>
        </w:rPr>
        <w:t xml:space="preserve"> </w:t>
      </w:r>
      <w:r w:rsidRPr="000228B8">
        <w:rPr>
          <w:rFonts w:ascii="Times New Roman" w:hAnsi="Times New Roman" w:cs="Times New Roman"/>
          <w:sz w:val="24"/>
        </w:rPr>
        <w:t>[accessed on 09/10/2017].</w:t>
      </w:r>
    </w:p>
    <w:p w14:paraId="5C9CFA49" w14:textId="77777777" w:rsidR="00D76C10" w:rsidRDefault="00D76C10" w:rsidP="000228B8">
      <w:pPr>
        <w:jc w:val="both"/>
        <w:rPr>
          <w:rFonts w:ascii="Times New Roman" w:hAnsi="Times New Roman" w:cs="Times New Roman"/>
          <w:sz w:val="24"/>
        </w:rPr>
      </w:pPr>
      <w:r>
        <w:rPr>
          <w:rFonts w:ascii="Times New Roman" w:hAnsi="Times New Roman" w:cs="Times New Roman"/>
          <w:sz w:val="24"/>
        </w:rPr>
        <w:t xml:space="preserve">Cavendish, R., ‘John Wycliffe condemned as a heretic’, </w:t>
      </w:r>
      <w:r>
        <w:rPr>
          <w:rFonts w:ascii="Times New Roman" w:hAnsi="Times New Roman" w:cs="Times New Roman"/>
          <w:i/>
          <w:sz w:val="24"/>
        </w:rPr>
        <w:t xml:space="preserve">History Today, </w:t>
      </w:r>
      <w:r>
        <w:rPr>
          <w:rFonts w:ascii="Times New Roman" w:hAnsi="Times New Roman" w:cs="Times New Roman"/>
          <w:sz w:val="24"/>
        </w:rPr>
        <w:t xml:space="preserve">Volume 65, Issue 5, May 2015 (London: History Today, 2015). Available at  </w:t>
      </w:r>
      <w:hyperlink r:id="rId10" w:history="1">
        <w:r w:rsidR="000E116C" w:rsidRPr="000228B8">
          <w:rPr>
            <w:rStyle w:val="Hyperlink"/>
            <w:rFonts w:ascii="Times New Roman" w:hAnsi="Times New Roman" w:cs="Times New Roman"/>
            <w:sz w:val="24"/>
          </w:rPr>
          <w:t>http://www.historytoday.com/richard-cavendish/john-wycliffe-condemned-heretic</w:t>
        </w:r>
      </w:hyperlink>
      <w:r w:rsidR="000E116C" w:rsidRPr="000228B8">
        <w:rPr>
          <w:rFonts w:ascii="Times New Roman" w:hAnsi="Times New Roman" w:cs="Times New Roman"/>
          <w:sz w:val="24"/>
        </w:rPr>
        <w:t xml:space="preserve"> </w:t>
      </w:r>
      <w:r>
        <w:rPr>
          <w:rFonts w:ascii="Times New Roman" w:hAnsi="Times New Roman" w:cs="Times New Roman"/>
          <w:sz w:val="24"/>
        </w:rPr>
        <w:t>[accessed on 09/10/2017].</w:t>
      </w:r>
    </w:p>
    <w:p w14:paraId="4FCDAAC0" w14:textId="47FF8721" w:rsidR="00E22C0E" w:rsidRPr="00E22C0E" w:rsidRDefault="00E22C0E" w:rsidP="000228B8">
      <w:pPr>
        <w:jc w:val="both"/>
        <w:rPr>
          <w:rFonts w:ascii="Times New Roman" w:hAnsi="Times New Roman" w:cs="Times New Roman"/>
          <w:sz w:val="28"/>
        </w:rPr>
      </w:pPr>
      <w:r w:rsidRPr="00E22C0E">
        <w:rPr>
          <w:rFonts w:ascii="Times New Roman" w:hAnsi="Times New Roman" w:cs="Times New Roman"/>
          <w:sz w:val="24"/>
        </w:rPr>
        <w:t xml:space="preserve">Duclow, </w:t>
      </w:r>
      <w:r>
        <w:rPr>
          <w:rFonts w:ascii="Times New Roman" w:hAnsi="Times New Roman" w:cs="Times New Roman"/>
          <w:sz w:val="24"/>
        </w:rPr>
        <w:t xml:space="preserve">D., </w:t>
      </w:r>
      <w:r w:rsidRPr="00E22C0E">
        <w:rPr>
          <w:rFonts w:ascii="Times New Roman" w:hAnsi="Times New Roman" w:cs="Times New Roman"/>
          <w:sz w:val="24"/>
        </w:rPr>
        <w:t xml:space="preserve">‘Dying Well: The Ars moriendi and the Dormition of the Virgin’, </w:t>
      </w:r>
      <w:r w:rsidRPr="00E22C0E">
        <w:rPr>
          <w:rFonts w:ascii="Times New Roman" w:hAnsi="Times New Roman" w:cs="Times New Roman"/>
          <w:i/>
          <w:sz w:val="24"/>
        </w:rPr>
        <w:t xml:space="preserve">Death and Dying in the Middle Ages, </w:t>
      </w:r>
      <w:r w:rsidRPr="00E22C0E">
        <w:rPr>
          <w:rFonts w:ascii="Times New Roman" w:hAnsi="Times New Roman" w:cs="Times New Roman"/>
          <w:sz w:val="24"/>
        </w:rPr>
        <w:t>eds., DuBruck, E. and B., Gusick (New York: Peter Lang, 1999) p.p. 379-429.</w:t>
      </w:r>
    </w:p>
    <w:p w14:paraId="5EEBFC4C" w14:textId="74CA2302" w:rsidR="009F138E" w:rsidRPr="009F138E" w:rsidRDefault="009F138E" w:rsidP="000228B8">
      <w:pPr>
        <w:jc w:val="both"/>
        <w:rPr>
          <w:rFonts w:ascii="Times New Roman" w:hAnsi="Times New Roman" w:cs="Times New Roman"/>
          <w:sz w:val="28"/>
        </w:rPr>
      </w:pPr>
      <w:r>
        <w:rPr>
          <w:rFonts w:ascii="Times New Roman" w:hAnsi="Times New Roman" w:cs="Times New Roman"/>
          <w:sz w:val="24"/>
        </w:rPr>
        <w:t>Dugdale, L.,</w:t>
      </w:r>
      <w:r w:rsidRPr="009F138E">
        <w:rPr>
          <w:rFonts w:ascii="Times New Roman" w:hAnsi="Times New Roman" w:cs="Times New Roman"/>
          <w:sz w:val="24"/>
        </w:rPr>
        <w:t xml:space="preserve"> ‘The Art of Dying Well’, </w:t>
      </w:r>
      <w:r w:rsidRPr="009F138E">
        <w:rPr>
          <w:rFonts w:ascii="Times New Roman" w:hAnsi="Times New Roman" w:cs="Times New Roman"/>
          <w:i/>
          <w:sz w:val="24"/>
        </w:rPr>
        <w:t xml:space="preserve">The Hastings Center Report, </w:t>
      </w:r>
      <w:r w:rsidRPr="009F138E">
        <w:rPr>
          <w:rFonts w:ascii="Times New Roman" w:hAnsi="Times New Roman" w:cs="Times New Roman"/>
          <w:sz w:val="24"/>
        </w:rPr>
        <w:t>Vol. 40, Number 6 (November-December, 2010) (New York: The Hastings Center, 2010) pp. 22-24</w:t>
      </w:r>
      <w:r>
        <w:rPr>
          <w:rFonts w:ascii="Times New Roman" w:hAnsi="Times New Roman" w:cs="Times New Roman"/>
          <w:sz w:val="24"/>
        </w:rPr>
        <w:t>.</w:t>
      </w:r>
    </w:p>
    <w:p w14:paraId="0D3AB9A9" w14:textId="77777777" w:rsidR="00611696" w:rsidRPr="000228B8" w:rsidRDefault="00611696" w:rsidP="000228B8">
      <w:pPr>
        <w:jc w:val="both"/>
        <w:rPr>
          <w:rFonts w:ascii="Times New Roman" w:hAnsi="Times New Roman" w:cs="Times New Roman"/>
          <w:sz w:val="24"/>
        </w:rPr>
      </w:pPr>
      <w:r>
        <w:rPr>
          <w:rFonts w:ascii="Times New Roman" w:hAnsi="Times New Roman" w:cs="Times New Roman"/>
          <w:i/>
          <w:sz w:val="24"/>
        </w:rPr>
        <w:t xml:space="preserve">The Book of the Craft of Dying and Other Early English Tracts Concerning Death, </w:t>
      </w:r>
      <w:r>
        <w:rPr>
          <w:rFonts w:ascii="Times New Roman" w:hAnsi="Times New Roman" w:cs="Times New Roman"/>
          <w:sz w:val="24"/>
        </w:rPr>
        <w:t xml:space="preserve">ed. Cooper, F. </w:t>
      </w:r>
      <w:r>
        <w:rPr>
          <w:rFonts w:ascii="Times New Roman" w:hAnsi="Times New Roman" w:cs="Times New Roman"/>
          <w:i/>
          <w:sz w:val="24"/>
        </w:rPr>
        <w:t xml:space="preserve"> </w:t>
      </w:r>
      <w:r>
        <w:rPr>
          <w:rFonts w:ascii="Times New Roman" w:hAnsi="Times New Roman" w:cs="Times New Roman"/>
          <w:sz w:val="24"/>
        </w:rPr>
        <w:t xml:space="preserve">(London: Longmans Green and Co, 1917). </w:t>
      </w:r>
    </w:p>
    <w:p w14:paraId="20F13488" w14:textId="77777777" w:rsidR="000E116C" w:rsidRDefault="000E116C" w:rsidP="000228B8">
      <w:pPr>
        <w:jc w:val="both"/>
        <w:rPr>
          <w:rFonts w:ascii="Times New Roman" w:hAnsi="Times New Roman" w:cs="Times New Roman"/>
          <w:sz w:val="24"/>
        </w:rPr>
      </w:pPr>
      <w:r w:rsidRPr="000228B8">
        <w:rPr>
          <w:rFonts w:ascii="Times New Roman" w:hAnsi="Times New Roman" w:cs="Times New Roman"/>
          <w:sz w:val="24"/>
        </w:rPr>
        <w:t xml:space="preserve">Thomas, S., ‘Ars moriendi – The Art of Dying’, </w:t>
      </w:r>
      <w:r w:rsidRPr="000228B8">
        <w:rPr>
          <w:rFonts w:ascii="Times New Roman" w:hAnsi="Times New Roman" w:cs="Times New Roman"/>
          <w:i/>
          <w:sz w:val="24"/>
        </w:rPr>
        <w:t>Polonsky Foundation Digitization Project</w:t>
      </w:r>
      <w:r w:rsidR="000228B8" w:rsidRPr="000228B8">
        <w:rPr>
          <w:rFonts w:ascii="Times New Roman" w:hAnsi="Times New Roman" w:cs="Times New Roman"/>
          <w:sz w:val="24"/>
        </w:rPr>
        <w:t xml:space="preserve"> (Oxford: Bodleian Library and Biblioteca Apostolica Vaicana, 2013)</w:t>
      </w:r>
      <w:r w:rsidRPr="000228B8">
        <w:rPr>
          <w:rFonts w:ascii="Times New Roman" w:hAnsi="Times New Roman" w:cs="Times New Roman"/>
          <w:sz w:val="24"/>
        </w:rPr>
        <w:t xml:space="preserve">, </w:t>
      </w:r>
      <w:r w:rsidR="000228B8" w:rsidRPr="000228B8">
        <w:rPr>
          <w:rFonts w:ascii="Times New Roman" w:hAnsi="Times New Roman" w:cs="Times New Roman"/>
          <w:sz w:val="24"/>
        </w:rPr>
        <w:t xml:space="preserve">Available at </w:t>
      </w:r>
      <w:hyperlink r:id="rId11" w:history="1">
        <w:r w:rsidRPr="000228B8">
          <w:rPr>
            <w:rStyle w:val="Hyperlink"/>
            <w:rFonts w:ascii="Times New Roman" w:hAnsi="Times New Roman" w:cs="Times New Roman"/>
            <w:sz w:val="24"/>
          </w:rPr>
          <w:t>http://bav.bodleian.ox.ac.uk/news/ars-moriendi-the-art-of-dying</w:t>
        </w:r>
      </w:hyperlink>
      <w:r w:rsidRPr="000228B8">
        <w:rPr>
          <w:rFonts w:ascii="Times New Roman" w:hAnsi="Times New Roman" w:cs="Times New Roman"/>
          <w:sz w:val="24"/>
        </w:rPr>
        <w:t xml:space="preserve"> </w:t>
      </w:r>
      <w:r w:rsidR="000228B8" w:rsidRPr="000228B8">
        <w:rPr>
          <w:rFonts w:ascii="Times New Roman" w:hAnsi="Times New Roman" w:cs="Times New Roman"/>
          <w:sz w:val="24"/>
        </w:rPr>
        <w:t xml:space="preserve">[accessed on 09/10/2017]. </w:t>
      </w:r>
    </w:p>
    <w:p w14:paraId="59B07105" w14:textId="459A34AE" w:rsidR="00C97221" w:rsidRPr="00C97221" w:rsidRDefault="00C97221" w:rsidP="000228B8">
      <w:pPr>
        <w:jc w:val="both"/>
        <w:rPr>
          <w:rFonts w:ascii="Times New Roman" w:hAnsi="Times New Roman" w:cs="Times New Roman"/>
          <w:sz w:val="28"/>
        </w:rPr>
      </w:pPr>
      <w:r w:rsidRPr="00C97221">
        <w:rPr>
          <w:rFonts w:ascii="Times New Roman" w:hAnsi="Times New Roman" w:cs="Times New Roman"/>
          <w:sz w:val="24"/>
        </w:rPr>
        <w:t xml:space="preserve">Wieck, </w:t>
      </w:r>
      <w:r>
        <w:rPr>
          <w:rFonts w:ascii="Times New Roman" w:hAnsi="Times New Roman" w:cs="Times New Roman"/>
          <w:sz w:val="24"/>
        </w:rPr>
        <w:t xml:space="preserve">R., </w:t>
      </w:r>
      <w:r w:rsidRPr="00C97221">
        <w:rPr>
          <w:rFonts w:ascii="Times New Roman" w:hAnsi="Times New Roman" w:cs="Times New Roman"/>
          <w:sz w:val="24"/>
        </w:rPr>
        <w:t xml:space="preserve">‘The Death Desired: Books of Hours and the Medieval Funeral’, </w:t>
      </w:r>
      <w:r w:rsidRPr="00C97221">
        <w:rPr>
          <w:rFonts w:ascii="Times New Roman" w:hAnsi="Times New Roman" w:cs="Times New Roman"/>
          <w:i/>
          <w:sz w:val="24"/>
        </w:rPr>
        <w:t xml:space="preserve">Death and Dying in the Middle Ages, </w:t>
      </w:r>
      <w:r w:rsidRPr="00C97221">
        <w:rPr>
          <w:rFonts w:ascii="Times New Roman" w:hAnsi="Times New Roman" w:cs="Times New Roman"/>
          <w:sz w:val="24"/>
        </w:rPr>
        <w:t>eds., DuBruck, E. and B., Gusick (New York: Peter Lang, 1999) p.p.431-476.</w:t>
      </w:r>
    </w:p>
    <w:p w14:paraId="6078F85B" w14:textId="77777777" w:rsidR="00524A94" w:rsidRPr="00524A94" w:rsidRDefault="00524A94" w:rsidP="000228B8">
      <w:pPr>
        <w:jc w:val="both"/>
        <w:rPr>
          <w:rFonts w:ascii="Times New Roman" w:hAnsi="Times New Roman" w:cs="Times New Roman"/>
          <w:sz w:val="28"/>
        </w:rPr>
      </w:pPr>
      <w:r w:rsidRPr="00524A94">
        <w:rPr>
          <w:rFonts w:ascii="Times New Roman" w:hAnsi="Times New Roman" w:cs="Times New Roman"/>
          <w:i/>
          <w:sz w:val="24"/>
        </w:rPr>
        <w:t xml:space="preserve">Wills from Doctors’ Commons. A selection from the wills of eminent persons proved in the Prerogative Court of Canterbury, 1495-1695, </w:t>
      </w:r>
      <w:r w:rsidRPr="00524A94">
        <w:rPr>
          <w:rFonts w:ascii="Times New Roman" w:hAnsi="Times New Roman" w:cs="Times New Roman"/>
          <w:sz w:val="24"/>
        </w:rPr>
        <w:t>eds. Nichols, J. and J., Bruce (Westminster: The Camden Society, 1863)</w:t>
      </w:r>
      <w:r w:rsidRPr="00524A94">
        <w:rPr>
          <w:rFonts w:ascii="Times New Roman" w:hAnsi="Times New Roman" w:cs="Times New Roman"/>
          <w:i/>
          <w:sz w:val="24"/>
        </w:rPr>
        <w:t xml:space="preserve"> </w:t>
      </w:r>
      <w:r w:rsidRPr="00524A94">
        <w:rPr>
          <w:rFonts w:ascii="Times New Roman" w:hAnsi="Times New Roman" w:cs="Times New Roman"/>
          <w:sz w:val="24"/>
        </w:rPr>
        <w:t xml:space="preserve">p.1.  </w:t>
      </w:r>
    </w:p>
    <w:p w14:paraId="1BDCA8AE" w14:textId="77777777" w:rsidR="000E116C" w:rsidRPr="000228B8" w:rsidRDefault="000E116C" w:rsidP="000228B8">
      <w:pPr>
        <w:jc w:val="both"/>
        <w:rPr>
          <w:rFonts w:ascii="Times New Roman" w:hAnsi="Times New Roman" w:cs="Times New Roman"/>
          <w:b/>
          <w:sz w:val="24"/>
          <w:u w:val="single"/>
        </w:rPr>
      </w:pPr>
    </w:p>
    <w:sectPr w:rsidR="000E116C" w:rsidRPr="000228B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15D57CB" w14:textId="77777777" w:rsidR="008C75DE" w:rsidRDefault="008C75DE" w:rsidP="00024392">
      <w:pPr>
        <w:spacing w:after="0" w:line="240" w:lineRule="auto"/>
      </w:pPr>
      <w:r>
        <w:separator/>
      </w:r>
    </w:p>
  </w:endnote>
  <w:endnote w:type="continuationSeparator" w:id="0">
    <w:p w14:paraId="1C471907" w14:textId="77777777" w:rsidR="008C75DE" w:rsidRDefault="008C75DE" w:rsidP="000243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omic Sans MS">
    <w:panose1 w:val="030F0702030302020204"/>
    <w:charset w:val="00"/>
    <w:family w:val="script"/>
    <w:pitch w:val="variable"/>
    <w:sig w:usb0="00000287" w:usb1="00000013" w:usb2="00000000" w:usb3="00000000" w:csb0="0000009F"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50BFDE7" w14:textId="77777777" w:rsidR="008C75DE" w:rsidRDefault="008C75DE" w:rsidP="00024392">
      <w:pPr>
        <w:spacing w:after="0" w:line="240" w:lineRule="auto"/>
      </w:pPr>
      <w:r>
        <w:separator/>
      </w:r>
    </w:p>
  </w:footnote>
  <w:footnote w:type="continuationSeparator" w:id="0">
    <w:p w14:paraId="256AFC05" w14:textId="77777777" w:rsidR="008C75DE" w:rsidRDefault="008C75DE" w:rsidP="00024392">
      <w:pPr>
        <w:spacing w:after="0" w:line="240" w:lineRule="auto"/>
      </w:pPr>
      <w:r>
        <w:continuationSeparator/>
      </w:r>
    </w:p>
  </w:footnote>
  <w:footnote w:id="1">
    <w:p w14:paraId="222F6828" w14:textId="77777777" w:rsidR="00363563" w:rsidRPr="008509E6" w:rsidRDefault="00363563" w:rsidP="00363563">
      <w:pPr>
        <w:pStyle w:val="NoSpacing"/>
        <w:rPr>
          <w:color w:val="0563C1" w:themeColor="hyperlink"/>
          <w:u w:val="single"/>
        </w:rPr>
      </w:pPr>
      <w:r w:rsidRPr="000228B8">
        <w:rPr>
          <w:rStyle w:val="FootnoteReference"/>
          <w:rFonts w:ascii="Times New Roman" w:hAnsi="Times New Roman" w:cs="Times New Roman"/>
        </w:rPr>
        <w:footnoteRef/>
      </w:r>
      <w:r w:rsidRPr="000228B8">
        <w:t xml:space="preserve"> </w:t>
      </w:r>
      <w:r w:rsidRPr="008509E6">
        <w:rPr>
          <w:rFonts w:ascii="Times New Roman" w:hAnsi="Times New Roman" w:cs="Times New Roman"/>
        </w:rPr>
        <w:t xml:space="preserve">British Library ‘William Caxton and the Canterbury Tales’, </w:t>
      </w:r>
      <w:r w:rsidRPr="008509E6">
        <w:rPr>
          <w:rFonts w:ascii="Times New Roman" w:hAnsi="Times New Roman" w:cs="Times New Roman"/>
          <w:i/>
        </w:rPr>
        <w:t xml:space="preserve">British Library </w:t>
      </w:r>
      <w:r w:rsidRPr="008509E6">
        <w:rPr>
          <w:rFonts w:ascii="Times New Roman" w:hAnsi="Times New Roman" w:cs="Times New Roman"/>
        </w:rPr>
        <w:t xml:space="preserve">(London: British Library, 2017), Available at </w:t>
      </w:r>
      <w:hyperlink r:id="rId1" w:history="1">
        <w:r w:rsidRPr="008509E6">
          <w:rPr>
            <w:rStyle w:val="Hyperlink"/>
            <w:rFonts w:ascii="Times New Roman" w:hAnsi="Times New Roman" w:cs="Times New Roman"/>
          </w:rPr>
          <w:t>https://www.bl.uk/collection-items/william-caxton-and-canterbury-tales</w:t>
        </w:r>
      </w:hyperlink>
      <w:r w:rsidRPr="008509E6">
        <w:rPr>
          <w:rStyle w:val="Hyperlink"/>
          <w:rFonts w:ascii="Times New Roman" w:hAnsi="Times New Roman" w:cs="Times New Roman"/>
        </w:rPr>
        <w:t xml:space="preserve"> </w:t>
      </w:r>
      <w:r w:rsidRPr="008509E6">
        <w:rPr>
          <w:rFonts w:ascii="Times New Roman" w:hAnsi="Times New Roman" w:cs="Times New Roman"/>
        </w:rPr>
        <w:t>[accessed on 09/10/2017].</w:t>
      </w:r>
    </w:p>
  </w:footnote>
  <w:footnote w:id="2">
    <w:p w14:paraId="0FBB9728" w14:textId="77777777" w:rsidR="00363563" w:rsidRPr="000228B8" w:rsidRDefault="00363563" w:rsidP="00363563">
      <w:pPr>
        <w:pStyle w:val="FootnoteText"/>
        <w:rPr>
          <w:rFonts w:ascii="Times New Roman" w:hAnsi="Times New Roman" w:cs="Times New Roman"/>
          <w:sz w:val="22"/>
          <w:szCs w:val="22"/>
        </w:rPr>
      </w:pPr>
      <w:r w:rsidRPr="000228B8">
        <w:rPr>
          <w:rStyle w:val="FootnoteReference"/>
          <w:rFonts w:ascii="Times New Roman" w:hAnsi="Times New Roman" w:cs="Times New Roman"/>
          <w:sz w:val="22"/>
          <w:szCs w:val="22"/>
        </w:rPr>
        <w:footnoteRef/>
      </w:r>
      <w:r w:rsidRPr="000228B8">
        <w:rPr>
          <w:rFonts w:ascii="Times New Roman" w:hAnsi="Times New Roman" w:cs="Times New Roman"/>
          <w:sz w:val="22"/>
          <w:szCs w:val="22"/>
        </w:rPr>
        <w:t xml:space="preserve"> </w:t>
      </w:r>
      <w:r>
        <w:rPr>
          <w:rFonts w:ascii="Times New Roman" w:hAnsi="Times New Roman" w:cs="Times New Roman"/>
          <w:i/>
          <w:sz w:val="22"/>
          <w:szCs w:val="22"/>
        </w:rPr>
        <w:t>Ibid.</w:t>
      </w:r>
    </w:p>
  </w:footnote>
  <w:footnote w:id="3">
    <w:p w14:paraId="2AA29E18" w14:textId="77777777" w:rsidR="00363563" w:rsidRPr="000228B8" w:rsidRDefault="00363563" w:rsidP="00363563">
      <w:pPr>
        <w:pStyle w:val="NoSpacing"/>
        <w:rPr>
          <w:rFonts w:ascii="Times New Roman" w:hAnsi="Times New Roman" w:cs="Times New Roman"/>
        </w:rPr>
      </w:pPr>
      <w:r w:rsidRPr="000228B8">
        <w:rPr>
          <w:rStyle w:val="FootnoteReference"/>
          <w:rFonts w:ascii="Times New Roman" w:hAnsi="Times New Roman" w:cs="Times New Roman"/>
        </w:rPr>
        <w:footnoteRef/>
      </w:r>
      <w:r w:rsidRPr="000228B8">
        <w:rPr>
          <w:rFonts w:ascii="Times New Roman" w:hAnsi="Times New Roman" w:cs="Times New Roman"/>
        </w:rPr>
        <w:t xml:space="preserve"> S., Thomas, ‘Ars moriendi – The Art of Dying’, </w:t>
      </w:r>
      <w:r w:rsidRPr="000228B8">
        <w:rPr>
          <w:rFonts w:ascii="Times New Roman" w:hAnsi="Times New Roman" w:cs="Times New Roman"/>
          <w:i/>
        </w:rPr>
        <w:t>Polonsky Foundation Digitization Project</w:t>
      </w:r>
      <w:r w:rsidRPr="000228B8">
        <w:rPr>
          <w:rFonts w:ascii="Times New Roman" w:hAnsi="Times New Roman" w:cs="Times New Roman"/>
        </w:rPr>
        <w:t xml:space="preserve"> (Oxford: Bodleian Library and Biblioteca Apostolica Vaicana, 2013), Available at </w:t>
      </w:r>
      <w:hyperlink r:id="rId2" w:history="1">
        <w:r w:rsidRPr="000228B8">
          <w:rPr>
            <w:rStyle w:val="Hyperlink"/>
            <w:rFonts w:ascii="Times New Roman" w:hAnsi="Times New Roman" w:cs="Times New Roman"/>
          </w:rPr>
          <w:t>http://bav.bodleian.ox.ac.uk/news/ars-moriendi-the-art-of-dying</w:t>
        </w:r>
      </w:hyperlink>
      <w:r w:rsidRPr="000228B8">
        <w:rPr>
          <w:rFonts w:ascii="Times New Roman" w:hAnsi="Times New Roman" w:cs="Times New Roman"/>
        </w:rPr>
        <w:t xml:space="preserve"> [accessed on 09/10/2017]. </w:t>
      </w:r>
    </w:p>
  </w:footnote>
  <w:footnote w:id="4">
    <w:p w14:paraId="3B97B9EA" w14:textId="77777777" w:rsidR="00363563" w:rsidRPr="00730ACF" w:rsidRDefault="00363563" w:rsidP="00363563">
      <w:pPr>
        <w:pStyle w:val="FootnoteText"/>
      </w:pPr>
      <w:r>
        <w:rPr>
          <w:rStyle w:val="FootnoteReference"/>
        </w:rPr>
        <w:footnoteRef/>
      </w:r>
      <w:r>
        <w:t xml:space="preserve"> </w:t>
      </w:r>
      <w:r w:rsidRPr="00730ACF">
        <w:rPr>
          <w:rFonts w:ascii="Times New Roman" w:hAnsi="Times New Roman" w:cs="Times New Roman"/>
          <w:i/>
          <w:sz w:val="22"/>
        </w:rPr>
        <w:t>Ibid</w:t>
      </w:r>
      <w:r w:rsidRPr="00730ACF">
        <w:rPr>
          <w:rFonts w:ascii="Times New Roman" w:hAnsi="Times New Roman" w:cs="Times New Roman"/>
          <w:sz w:val="22"/>
        </w:rPr>
        <w:t>.</w:t>
      </w:r>
    </w:p>
  </w:footnote>
  <w:footnote w:id="5">
    <w:p w14:paraId="46C40C84" w14:textId="77777777" w:rsidR="00363563" w:rsidRPr="00D76C10" w:rsidRDefault="00363563" w:rsidP="00363563">
      <w:pPr>
        <w:pStyle w:val="NoSpacing"/>
        <w:rPr>
          <w:rFonts w:ascii="Times New Roman" w:hAnsi="Times New Roman" w:cs="Times New Roman"/>
        </w:rPr>
      </w:pPr>
      <w:r w:rsidRPr="000228B8">
        <w:rPr>
          <w:rStyle w:val="FootnoteReference"/>
          <w:rFonts w:ascii="Times New Roman" w:hAnsi="Times New Roman" w:cs="Times New Roman"/>
        </w:rPr>
        <w:footnoteRef/>
      </w:r>
      <w:r w:rsidRPr="000228B8">
        <w:t xml:space="preserve"> </w:t>
      </w:r>
      <w:r w:rsidRPr="00D76C10">
        <w:rPr>
          <w:rFonts w:ascii="Times New Roman" w:hAnsi="Times New Roman" w:cs="Times New Roman"/>
        </w:rPr>
        <w:t xml:space="preserve">R., Cavendish, ‘John Wycliffe condemned as a heretic’, </w:t>
      </w:r>
      <w:r w:rsidRPr="00D76C10">
        <w:rPr>
          <w:rFonts w:ascii="Times New Roman" w:hAnsi="Times New Roman" w:cs="Times New Roman"/>
          <w:i/>
        </w:rPr>
        <w:t xml:space="preserve">History Today, </w:t>
      </w:r>
      <w:r w:rsidRPr="00D76C10">
        <w:rPr>
          <w:rFonts w:ascii="Times New Roman" w:hAnsi="Times New Roman" w:cs="Times New Roman"/>
        </w:rPr>
        <w:t xml:space="preserve">Volume 65, Issue 5, May 2015 (London: History Today, 2015). Available at  </w:t>
      </w:r>
      <w:hyperlink r:id="rId3" w:history="1">
        <w:r w:rsidRPr="00D76C10">
          <w:rPr>
            <w:rStyle w:val="Hyperlink"/>
            <w:rFonts w:ascii="Times New Roman" w:hAnsi="Times New Roman" w:cs="Times New Roman"/>
          </w:rPr>
          <w:t>http://www.historytoday.com/richard-cavendish/john-wycliffe-condemned-heretic</w:t>
        </w:r>
      </w:hyperlink>
      <w:r w:rsidRPr="00D76C10">
        <w:rPr>
          <w:rFonts w:ascii="Times New Roman" w:hAnsi="Times New Roman" w:cs="Times New Roman"/>
        </w:rPr>
        <w:t xml:space="preserve"> [accessed on 09/10/2017].</w:t>
      </w:r>
    </w:p>
  </w:footnote>
  <w:footnote w:id="6">
    <w:p w14:paraId="6A20FADE" w14:textId="77777777" w:rsidR="00363563" w:rsidRPr="009F138E" w:rsidRDefault="00363563" w:rsidP="00363563">
      <w:pPr>
        <w:pStyle w:val="FootnoteText"/>
        <w:rPr>
          <w:rFonts w:ascii="Times New Roman" w:hAnsi="Times New Roman" w:cs="Times New Roman"/>
          <w:sz w:val="22"/>
        </w:rPr>
      </w:pPr>
      <w:r w:rsidRPr="009F138E">
        <w:rPr>
          <w:rStyle w:val="FootnoteReference"/>
          <w:rFonts w:ascii="Times New Roman" w:hAnsi="Times New Roman" w:cs="Times New Roman"/>
          <w:sz w:val="22"/>
        </w:rPr>
        <w:footnoteRef/>
      </w:r>
      <w:r w:rsidRPr="009F138E">
        <w:rPr>
          <w:rFonts w:ascii="Times New Roman" w:hAnsi="Times New Roman" w:cs="Times New Roman"/>
          <w:sz w:val="22"/>
        </w:rPr>
        <w:t xml:space="preserve"> </w:t>
      </w:r>
      <w:r>
        <w:rPr>
          <w:rFonts w:ascii="Times New Roman" w:hAnsi="Times New Roman" w:cs="Times New Roman"/>
          <w:sz w:val="22"/>
        </w:rPr>
        <w:t>L., Dugdale, ‘</w:t>
      </w:r>
      <w:r w:rsidRPr="009F138E">
        <w:rPr>
          <w:rFonts w:ascii="Times New Roman" w:hAnsi="Times New Roman" w:cs="Times New Roman"/>
          <w:sz w:val="22"/>
        </w:rPr>
        <w:t>The Art of Dying Well</w:t>
      </w:r>
      <w:r>
        <w:rPr>
          <w:rFonts w:ascii="Times New Roman" w:hAnsi="Times New Roman" w:cs="Times New Roman"/>
          <w:sz w:val="22"/>
        </w:rPr>
        <w:t xml:space="preserve">’, </w:t>
      </w:r>
      <w:r>
        <w:rPr>
          <w:rFonts w:ascii="Times New Roman" w:hAnsi="Times New Roman" w:cs="Times New Roman"/>
          <w:i/>
          <w:sz w:val="22"/>
        </w:rPr>
        <w:t xml:space="preserve">The Hastings Center Report, </w:t>
      </w:r>
      <w:r>
        <w:rPr>
          <w:rFonts w:ascii="Times New Roman" w:hAnsi="Times New Roman" w:cs="Times New Roman"/>
          <w:sz w:val="22"/>
        </w:rPr>
        <w:t>Vol. 40, Number 6 (November-December, 2010) (New York: The Hastings Center, 2010) pp. 22-24,</w:t>
      </w:r>
      <w:r w:rsidRPr="009F138E">
        <w:rPr>
          <w:rFonts w:ascii="Times New Roman" w:hAnsi="Times New Roman" w:cs="Times New Roman"/>
          <w:sz w:val="22"/>
        </w:rPr>
        <w:t xml:space="preserve"> </w:t>
      </w:r>
      <w:r>
        <w:rPr>
          <w:rFonts w:ascii="Times New Roman" w:hAnsi="Times New Roman" w:cs="Times New Roman"/>
          <w:sz w:val="22"/>
        </w:rPr>
        <w:t>p</w:t>
      </w:r>
      <w:r w:rsidRPr="009F138E">
        <w:rPr>
          <w:rFonts w:ascii="Times New Roman" w:hAnsi="Times New Roman" w:cs="Times New Roman"/>
          <w:sz w:val="22"/>
        </w:rPr>
        <w:t>.</w:t>
      </w:r>
      <w:r>
        <w:rPr>
          <w:rFonts w:ascii="Times New Roman" w:hAnsi="Times New Roman" w:cs="Times New Roman"/>
          <w:sz w:val="22"/>
        </w:rPr>
        <w:t xml:space="preserve"> 23.</w:t>
      </w:r>
    </w:p>
  </w:footnote>
  <w:footnote w:id="7">
    <w:p w14:paraId="0E450B77" w14:textId="77777777" w:rsidR="00363563" w:rsidRPr="009F138E" w:rsidRDefault="00363563" w:rsidP="00363563">
      <w:pPr>
        <w:pStyle w:val="FootnoteText"/>
        <w:rPr>
          <w:rFonts w:ascii="Times New Roman" w:hAnsi="Times New Roman" w:cs="Times New Roman"/>
          <w:sz w:val="22"/>
        </w:rPr>
      </w:pPr>
      <w:r w:rsidRPr="009F138E">
        <w:rPr>
          <w:rStyle w:val="FootnoteReference"/>
          <w:rFonts w:ascii="Times New Roman" w:hAnsi="Times New Roman" w:cs="Times New Roman"/>
          <w:sz w:val="22"/>
        </w:rPr>
        <w:footnoteRef/>
      </w:r>
      <w:r w:rsidRPr="009F138E">
        <w:rPr>
          <w:rFonts w:ascii="Times New Roman" w:hAnsi="Times New Roman" w:cs="Times New Roman"/>
          <w:sz w:val="22"/>
        </w:rPr>
        <w:t xml:space="preserve"> </w:t>
      </w:r>
      <w:r>
        <w:rPr>
          <w:rFonts w:ascii="Times New Roman" w:hAnsi="Times New Roman" w:cs="Times New Roman"/>
          <w:sz w:val="22"/>
        </w:rPr>
        <w:t xml:space="preserve">D., Duclow, ‘Dying Well: The Ars moriendi and the Dormition of the Virgin’, </w:t>
      </w:r>
      <w:r>
        <w:rPr>
          <w:rFonts w:ascii="Times New Roman" w:hAnsi="Times New Roman" w:cs="Times New Roman"/>
          <w:i/>
          <w:sz w:val="22"/>
        </w:rPr>
        <w:t xml:space="preserve">Death and Dying in the Middle Ages, </w:t>
      </w:r>
      <w:r>
        <w:rPr>
          <w:rFonts w:ascii="Times New Roman" w:hAnsi="Times New Roman" w:cs="Times New Roman"/>
          <w:sz w:val="22"/>
        </w:rPr>
        <w:t>eds., DuBruck, E. and B., Gusick (New York: Peter Lang, 1999) p.p. 379-429, p. 380.</w:t>
      </w:r>
    </w:p>
  </w:footnote>
  <w:footnote w:id="8">
    <w:p w14:paraId="09D58E87" w14:textId="77777777" w:rsidR="00363563" w:rsidRPr="00D76C10" w:rsidRDefault="00363563" w:rsidP="00363563">
      <w:pPr>
        <w:pStyle w:val="NoSpacing"/>
        <w:rPr>
          <w:rFonts w:ascii="Times New Roman" w:hAnsi="Times New Roman" w:cs="Times New Roman"/>
        </w:rPr>
      </w:pPr>
      <w:r w:rsidRPr="000228B8">
        <w:rPr>
          <w:rStyle w:val="FootnoteReference"/>
          <w:rFonts w:ascii="Times New Roman" w:hAnsi="Times New Roman" w:cs="Times New Roman"/>
        </w:rPr>
        <w:footnoteRef/>
      </w:r>
      <w:r w:rsidRPr="000228B8">
        <w:rPr>
          <w:rFonts w:ascii="Times New Roman" w:hAnsi="Times New Roman" w:cs="Times New Roman"/>
        </w:rPr>
        <w:t xml:space="preserve"> </w:t>
      </w:r>
      <w:r w:rsidRPr="00D76C10">
        <w:rPr>
          <w:rFonts w:ascii="Times New Roman" w:hAnsi="Times New Roman" w:cs="Times New Roman"/>
        </w:rPr>
        <w:t>Cavendish, ‘John Wycliffe condemned as a heretic</w:t>
      </w:r>
      <w:r>
        <w:rPr>
          <w:rFonts w:ascii="Times New Roman" w:hAnsi="Times New Roman" w:cs="Times New Roman"/>
        </w:rPr>
        <w:t>’.</w:t>
      </w:r>
    </w:p>
  </w:footnote>
  <w:footnote w:id="9">
    <w:p w14:paraId="60C990A8" w14:textId="77777777" w:rsidR="00363563" w:rsidRPr="00611696" w:rsidRDefault="00363563" w:rsidP="00363563">
      <w:pPr>
        <w:pStyle w:val="FootnoteText"/>
        <w:rPr>
          <w:rFonts w:ascii="Times New Roman" w:hAnsi="Times New Roman" w:cs="Times New Roman"/>
          <w:sz w:val="22"/>
          <w:szCs w:val="22"/>
        </w:rPr>
      </w:pPr>
      <w:r w:rsidRPr="00611696">
        <w:rPr>
          <w:rStyle w:val="FootnoteReference"/>
          <w:rFonts w:ascii="Times New Roman" w:hAnsi="Times New Roman" w:cs="Times New Roman"/>
          <w:sz w:val="22"/>
          <w:szCs w:val="22"/>
        </w:rPr>
        <w:footnoteRef/>
      </w:r>
      <w:r w:rsidRPr="00611696">
        <w:rPr>
          <w:rFonts w:ascii="Times New Roman" w:hAnsi="Times New Roman" w:cs="Times New Roman"/>
          <w:sz w:val="22"/>
          <w:szCs w:val="22"/>
        </w:rPr>
        <w:t xml:space="preserve"> </w:t>
      </w:r>
      <w:r w:rsidRPr="00611696">
        <w:rPr>
          <w:rFonts w:ascii="Times New Roman" w:hAnsi="Times New Roman" w:cs="Times New Roman"/>
          <w:i/>
          <w:sz w:val="22"/>
          <w:szCs w:val="22"/>
        </w:rPr>
        <w:t>The Book of the Craft of Dying and Other Early English Tracts Concerning Death</w:t>
      </w:r>
      <w:r>
        <w:rPr>
          <w:rFonts w:ascii="Times New Roman" w:hAnsi="Times New Roman" w:cs="Times New Roman"/>
          <w:i/>
          <w:sz w:val="22"/>
          <w:szCs w:val="22"/>
        </w:rPr>
        <w:t>,</w:t>
      </w:r>
      <w:r>
        <w:rPr>
          <w:rFonts w:ascii="Times New Roman" w:hAnsi="Times New Roman" w:cs="Times New Roman"/>
          <w:sz w:val="22"/>
          <w:szCs w:val="22"/>
        </w:rPr>
        <w:t xml:space="preserve"> p. 74</w:t>
      </w:r>
      <w:r w:rsidRPr="00611696">
        <w:rPr>
          <w:rFonts w:ascii="Times New Roman" w:hAnsi="Times New Roman" w:cs="Times New Roman"/>
          <w:sz w:val="22"/>
          <w:szCs w:val="22"/>
        </w:rPr>
        <w:t>.</w:t>
      </w:r>
    </w:p>
  </w:footnote>
  <w:footnote w:id="10">
    <w:p w14:paraId="2FBF5F0A" w14:textId="77777777" w:rsidR="00363563" w:rsidRPr="00611696" w:rsidRDefault="00363563" w:rsidP="00363563">
      <w:pPr>
        <w:pStyle w:val="FootnoteText"/>
        <w:rPr>
          <w:rFonts w:ascii="Times New Roman" w:hAnsi="Times New Roman" w:cs="Times New Roman"/>
          <w:sz w:val="22"/>
          <w:szCs w:val="22"/>
        </w:rPr>
      </w:pPr>
      <w:r w:rsidRPr="00611696">
        <w:rPr>
          <w:rStyle w:val="FootnoteReference"/>
          <w:rFonts w:ascii="Times New Roman" w:hAnsi="Times New Roman" w:cs="Times New Roman"/>
          <w:sz w:val="22"/>
          <w:szCs w:val="22"/>
        </w:rPr>
        <w:footnoteRef/>
      </w:r>
      <w:r w:rsidRPr="00611696">
        <w:rPr>
          <w:rFonts w:ascii="Times New Roman" w:hAnsi="Times New Roman" w:cs="Times New Roman"/>
          <w:sz w:val="22"/>
          <w:szCs w:val="22"/>
        </w:rPr>
        <w:t xml:space="preserve"> </w:t>
      </w:r>
      <w:r w:rsidRPr="00611696">
        <w:rPr>
          <w:rFonts w:ascii="Times New Roman" w:hAnsi="Times New Roman" w:cs="Times New Roman"/>
          <w:i/>
          <w:sz w:val="22"/>
          <w:szCs w:val="22"/>
        </w:rPr>
        <w:t>The Book of the Craft of Dying and Other Early English Tracts Concerning Death</w:t>
      </w:r>
      <w:r>
        <w:rPr>
          <w:rFonts w:ascii="Times New Roman" w:hAnsi="Times New Roman" w:cs="Times New Roman"/>
          <w:i/>
          <w:sz w:val="22"/>
          <w:szCs w:val="22"/>
        </w:rPr>
        <w:t xml:space="preserve">, </w:t>
      </w:r>
      <w:r>
        <w:rPr>
          <w:rFonts w:ascii="Times New Roman" w:hAnsi="Times New Roman" w:cs="Times New Roman"/>
          <w:sz w:val="22"/>
          <w:szCs w:val="22"/>
        </w:rPr>
        <w:t>p. 78.</w:t>
      </w:r>
      <w:r>
        <w:rPr>
          <w:rFonts w:ascii="Times New Roman" w:hAnsi="Times New Roman" w:cs="Times New Roman"/>
          <w:i/>
          <w:sz w:val="22"/>
          <w:szCs w:val="22"/>
        </w:rPr>
        <w:t xml:space="preserve"> </w:t>
      </w:r>
    </w:p>
  </w:footnote>
  <w:footnote w:id="11">
    <w:p w14:paraId="5BADCC96" w14:textId="77777777" w:rsidR="00363563" w:rsidRPr="00642C21" w:rsidRDefault="00363563" w:rsidP="00363563">
      <w:pPr>
        <w:pStyle w:val="FootnoteText"/>
        <w:rPr>
          <w:rFonts w:ascii="Times New Roman" w:hAnsi="Times New Roman" w:cs="Times New Roman"/>
          <w:sz w:val="22"/>
        </w:rPr>
      </w:pPr>
      <w:r w:rsidRPr="000228B8">
        <w:rPr>
          <w:rStyle w:val="FootnoteReference"/>
          <w:rFonts w:ascii="Times New Roman" w:hAnsi="Times New Roman" w:cs="Times New Roman"/>
          <w:sz w:val="22"/>
        </w:rPr>
        <w:footnoteRef/>
      </w:r>
      <w:r w:rsidRPr="000228B8">
        <w:rPr>
          <w:rFonts w:ascii="Times New Roman" w:hAnsi="Times New Roman" w:cs="Times New Roman"/>
          <w:sz w:val="22"/>
        </w:rPr>
        <w:t xml:space="preserve"> </w:t>
      </w:r>
      <w:r w:rsidRPr="00611696">
        <w:rPr>
          <w:rFonts w:ascii="Times New Roman" w:hAnsi="Times New Roman" w:cs="Times New Roman"/>
          <w:i/>
          <w:sz w:val="22"/>
          <w:szCs w:val="22"/>
        </w:rPr>
        <w:t>The Book of the Craft of Dying and Other Early English Tracts Concerning Death</w:t>
      </w:r>
      <w:r>
        <w:rPr>
          <w:rFonts w:ascii="Times New Roman" w:hAnsi="Times New Roman" w:cs="Times New Roman"/>
          <w:i/>
          <w:sz w:val="22"/>
          <w:szCs w:val="22"/>
        </w:rPr>
        <w:t xml:space="preserve">, </w:t>
      </w:r>
      <w:r>
        <w:rPr>
          <w:rFonts w:ascii="Times New Roman" w:hAnsi="Times New Roman" w:cs="Times New Roman"/>
          <w:sz w:val="22"/>
          <w:szCs w:val="22"/>
        </w:rPr>
        <w:t>pp. 77-78.</w:t>
      </w:r>
    </w:p>
  </w:footnote>
  <w:footnote w:id="12">
    <w:p w14:paraId="358E7B0C" w14:textId="77777777" w:rsidR="00363563" w:rsidRPr="00642C21" w:rsidRDefault="00363563" w:rsidP="00363563">
      <w:pPr>
        <w:pStyle w:val="FootnoteText"/>
      </w:pPr>
      <w:r w:rsidRPr="000228B8">
        <w:rPr>
          <w:rStyle w:val="FootnoteReference"/>
          <w:rFonts w:ascii="Times New Roman" w:hAnsi="Times New Roman" w:cs="Times New Roman"/>
          <w:sz w:val="22"/>
        </w:rPr>
        <w:footnoteRef/>
      </w:r>
      <w:r w:rsidRPr="000228B8">
        <w:rPr>
          <w:rFonts w:ascii="Times New Roman" w:hAnsi="Times New Roman" w:cs="Times New Roman"/>
          <w:sz w:val="22"/>
        </w:rPr>
        <w:t xml:space="preserve"> </w:t>
      </w:r>
      <w:r>
        <w:rPr>
          <w:rFonts w:ascii="Times New Roman" w:hAnsi="Times New Roman" w:cs="Times New Roman"/>
          <w:i/>
          <w:sz w:val="22"/>
          <w:szCs w:val="22"/>
        </w:rPr>
        <w:t xml:space="preserve">Ibid, </w:t>
      </w:r>
      <w:r>
        <w:rPr>
          <w:rFonts w:ascii="Times New Roman" w:hAnsi="Times New Roman" w:cs="Times New Roman"/>
          <w:sz w:val="22"/>
          <w:szCs w:val="22"/>
        </w:rPr>
        <w:t>p. 78.</w:t>
      </w:r>
    </w:p>
  </w:footnote>
  <w:footnote w:id="13">
    <w:p w14:paraId="36134C0F" w14:textId="77777777" w:rsidR="00363563" w:rsidRPr="006B7170" w:rsidRDefault="00363563" w:rsidP="00363563">
      <w:pPr>
        <w:pStyle w:val="FootnoteText"/>
        <w:rPr>
          <w:rFonts w:ascii="Times New Roman" w:hAnsi="Times New Roman" w:cs="Times New Roman"/>
        </w:rPr>
      </w:pPr>
      <w:r w:rsidRPr="000228B8">
        <w:rPr>
          <w:rStyle w:val="FootnoteReference"/>
          <w:rFonts w:ascii="Times New Roman" w:hAnsi="Times New Roman" w:cs="Times New Roman"/>
          <w:sz w:val="22"/>
        </w:rPr>
        <w:footnoteRef/>
      </w:r>
      <w:r w:rsidRPr="000228B8">
        <w:rPr>
          <w:rFonts w:ascii="Times New Roman" w:hAnsi="Times New Roman" w:cs="Times New Roman"/>
          <w:sz w:val="22"/>
        </w:rPr>
        <w:t xml:space="preserve"> </w:t>
      </w:r>
      <w:r>
        <w:rPr>
          <w:rFonts w:ascii="Times New Roman" w:hAnsi="Times New Roman" w:cs="Times New Roman"/>
          <w:i/>
          <w:sz w:val="22"/>
          <w:szCs w:val="22"/>
        </w:rPr>
        <w:t>Ibid</w:t>
      </w:r>
      <w:r w:rsidRPr="00642C21">
        <w:rPr>
          <w:rFonts w:ascii="Times New Roman" w:hAnsi="Times New Roman" w:cs="Times New Roman"/>
          <w:sz w:val="22"/>
          <w:szCs w:val="22"/>
        </w:rPr>
        <w:t>, p. i.</w:t>
      </w:r>
      <w:r>
        <w:rPr>
          <w:rFonts w:ascii="Times New Roman" w:hAnsi="Times New Roman" w:cs="Times New Roman"/>
          <w:i/>
          <w:sz w:val="22"/>
          <w:szCs w:val="22"/>
        </w:rPr>
        <w:t xml:space="preserve"> </w:t>
      </w:r>
      <w:r>
        <w:rPr>
          <w:rFonts w:ascii="Times New Roman" w:hAnsi="Times New Roman" w:cs="Times New Roman"/>
          <w:sz w:val="22"/>
          <w:szCs w:val="22"/>
        </w:rPr>
        <w:t xml:space="preserve">See also Appendix One </w:t>
      </w:r>
    </w:p>
  </w:footnote>
  <w:footnote w:id="14">
    <w:p w14:paraId="1D59A6FB" w14:textId="77777777" w:rsidR="00363563" w:rsidRPr="00E22C0E" w:rsidRDefault="00363563" w:rsidP="00363563">
      <w:pPr>
        <w:pStyle w:val="FootnoteText"/>
        <w:rPr>
          <w:rFonts w:ascii="Times New Roman" w:hAnsi="Times New Roman" w:cs="Times New Roman"/>
        </w:rPr>
      </w:pPr>
      <w:r w:rsidRPr="00E22C0E">
        <w:rPr>
          <w:rStyle w:val="FootnoteReference"/>
          <w:rFonts w:ascii="Times New Roman" w:hAnsi="Times New Roman" w:cs="Times New Roman"/>
          <w:sz w:val="22"/>
        </w:rPr>
        <w:footnoteRef/>
      </w:r>
      <w:r w:rsidRPr="00E22C0E">
        <w:rPr>
          <w:rFonts w:ascii="Times New Roman" w:hAnsi="Times New Roman" w:cs="Times New Roman"/>
          <w:sz w:val="22"/>
        </w:rPr>
        <w:t xml:space="preserve"> </w:t>
      </w:r>
      <w:r>
        <w:rPr>
          <w:rFonts w:ascii="Times New Roman" w:hAnsi="Times New Roman" w:cs="Times New Roman"/>
          <w:sz w:val="22"/>
        </w:rPr>
        <w:t xml:space="preserve">R., Wieck, ‘The Death Desired: Books of Hours and the Medieval Funeral’, </w:t>
      </w:r>
      <w:r>
        <w:rPr>
          <w:rFonts w:ascii="Times New Roman" w:hAnsi="Times New Roman" w:cs="Times New Roman"/>
          <w:i/>
          <w:sz w:val="22"/>
        </w:rPr>
        <w:t xml:space="preserve">Death and Dying in the Middle Ages, </w:t>
      </w:r>
      <w:r>
        <w:rPr>
          <w:rFonts w:ascii="Times New Roman" w:hAnsi="Times New Roman" w:cs="Times New Roman"/>
          <w:sz w:val="22"/>
        </w:rPr>
        <w:t>eds., DuBruck, E. and B., Gusick (New York: Peter Lang, 1999) p.p.431-476, p.435.</w:t>
      </w:r>
    </w:p>
  </w:footnote>
  <w:footnote w:id="15">
    <w:p w14:paraId="1367A242" w14:textId="77777777" w:rsidR="00363563" w:rsidRPr="000228B8" w:rsidRDefault="00363563" w:rsidP="00363563">
      <w:pPr>
        <w:pStyle w:val="FootnoteText"/>
        <w:rPr>
          <w:rFonts w:ascii="Times New Roman" w:hAnsi="Times New Roman" w:cs="Times New Roman"/>
        </w:rPr>
      </w:pPr>
      <w:r w:rsidRPr="000228B8">
        <w:rPr>
          <w:rStyle w:val="FootnoteReference"/>
          <w:rFonts w:ascii="Times New Roman" w:hAnsi="Times New Roman" w:cs="Times New Roman"/>
          <w:sz w:val="22"/>
        </w:rPr>
        <w:footnoteRef/>
      </w:r>
      <w:r w:rsidRPr="000228B8">
        <w:rPr>
          <w:rFonts w:ascii="Times New Roman" w:hAnsi="Times New Roman" w:cs="Times New Roman"/>
          <w:sz w:val="22"/>
        </w:rPr>
        <w:t xml:space="preserve"> </w:t>
      </w:r>
      <w:r>
        <w:rPr>
          <w:rFonts w:ascii="Times New Roman" w:hAnsi="Times New Roman" w:cs="Times New Roman"/>
          <w:i/>
          <w:sz w:val="22"/>
        </w:rPr>
        <w:t xml:space="preserve">Wills from Doctors’ Commons. A selection from the wills of eminent persons proved in the Prerogative Court of Canterbury, 1495-1695, </w:t>
      </w:r>
      <w:r>
        <w:rPr>
          <w:rFonts w:ascii="Times New Roman" w:hAnsi="Times New Roman" w:cs="Times New Roman"/>
          <w:sz w:val="22"/>
        </w:rPr>
        <w:t>eds. Nichols, J. and J., Bruce (Westminster: The Camden Society, 1863)</w:t>
      </w:r>
      <w:r>
        <w:rPr>
          <w:rFonts w:ascii="Times New Roman" w:hAnsi="Times New Roman" w:cs="Times New Roman"/>
          <w:i/>
          <w:sz w:val="22"/>
        </w:rPr>
        <w:t xml:space="preserve"> </w:t>
      </w:r>
      <w:r>
        <w:rPr>
          <w:rFonts w:ascii="Times New Roman" w:hAnsi="Times New Roman" w:cs="Times New Roman"/>
          <w:sz w:val="22"/>
        </w:rPr>
        <w:t xml:space="preserve">p.1.  </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55CD5F27"/>
    <w:multiLevelType w:val="hybridMultilevel"/>
    <w:tmpl w:val="6A3052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24392"/>
    <w:rsid w:val="00005C6C"/>
    <w:rsid w:val="000228B8"/>
    <w:rsid w:val="00024392"/>
    <w:rsid w:val="000337D4"/>
    <w:rsid w:val="000C4FE0"/>
    <w:rsid w:val="000E116C"/>
    <w:rsid w:val="000E4F51"/>
    <w:rsid w:val="001321A4"/>
    <w:rsid w:val="001439C0"/>
    <w:rsid w:val="00146987"/>
    <w:rsid w:val="00152EDB"/>
    <w:rsid w:val="00155966"/>
    <w:rsid w:val="001B4025"/>
    <w:rsid w:val="001C233B"/>
    <w:rsid w:val="00206D58"/>
    <w:rsid w:val="002420FD"/>
    <w:rsid w:val="00285502"/>
    <w:rsid w:val="002926EA"/>
    <w:rsid w:val="002B40C9"/>
    <w:rsid w:val="002B7C8D"/>
    <w:rsid w:val="002C0B29"/>
    <w:rsid w:val="002D6F49"/>
    <w:rsid w:val="002E1BB7"/>
    <w:rsid w:val="002F2F95"/>
    <w:rsid w:val="00363563"/>
    <w:rsid w:val="003F19AE"/>
    <w:rsid w:val="003F70FB"/>
    <w:rsid w:val="004013B8"/>
    <w:rsid w:val="00430BA3"/>
    <w:rsid w:val="00454A61"/>
    <w:rsid w:val="004C3BE6"/>
    <w:rsid w:val="004D1467"/>
    <w:rsid w:val="004D6FAA"/>
    <w:rsid w:val="004E600A"/>
    <w:rsid w:val="004F59DE"/>
    <w:rsid w:val="00503D5B"/>
    <w:rsid w:val="00522403"/>
    <w:rsid w:val="00524A94"/>
    <w:rsid w:val="0056425C"/>
    <w:rsid w:val="005664D5"/>
    <w:rsid w:val="00576406"/>
    <w:rsid w:val="005B57CF"/>
    <w:rsid w:val="005D1321"/>
    <w:rsid w:val="005F1272"/>
    <w:rsid w:val="00600325"/>
    <w:rsid w:val="00611696"/>
    <w:rsid w:val="006353F4"/>
    <w:rsid w:val="00642C21"/>
    <w:rsid w:val="00664C8A"/>
    <w:rsid w:val="00684AAF"/>
    <w:rsid w:val="006B7170"/>
    <w:rsid w:val="006E719E"/>
    <w:rsid w:val="00710078"/>
    <w:rsid w:val="00730ACF"/>
    <w:rsid w:val="008509E6"/>
    <w:rsid w:val="00897942"/>
    <w:rsid w:val="008C75DE"/>
    <w:rsid w:val="008E156D"/>
    <w:rsid w:val="008E6F13"/>
    <w:rsid w:val="009047E9"/>
    <w:rsid w:val="00905592"/>
    <w:rsid w:val="00905EEB"/>
    <w:rsid w:val="00947E0E"/>
    <w:rsid w:val="0097168B"/>
    <w:rsid w:val="00995A4A"/>
    <w:rsid w:val="009A40C5"/>
    <w:rsid w:val="009B5755"/>
    <w:rsid w:val="009E5FA4"/>
    <w:rsid w:val="009F138E"/>
    <w:rsid w:val="00A106BA"/>
    <w:rsid w:val="00A25F8A"/>
    <w:rsid w:val="00AC7C25"/>
    <w:rsid w:val="00AF3AE0"/>
    <w:rsid w:val="00B12985"/>
    <w:rsid w:val="00B27B42"/>
    <w:rsid w:val="00B90582"/>
    <w:rsid w:val="00C42EBA"/>
    <w:rsid w:val="00C55ED0"/>
    <w:rsid w:val="00C765C8"/>
    <w:rsid w:val="00C8553B"/>
    <w:rsid w:val="00C97221"/>
    <w:rsid w:val="00CB66D5"/>
    <w:rsid w:val="00D172C9"/>
    <w:rsid w:val="00D34243"/>
    <w:rsid w:val="00D46367"/>
    <w:rsid w:val="00D712F5"/>
    <w:rsid w:val="00D76358"/>
    <w:rsid w:val="00D76C10"/>
    <w:rsid w:val="00DB2C21"/>
    <w:rsid w:val="00E22C0E"/>
    <w:rsid w:val="00E24B49"/>
    <w:rsid w:val="00E522F8"/>
    <w:rsid w:val="00E537BE"/>
    <w:rsid w:val="00ED2ADC"/>
    <w:rsid w:val="00EE5454"/>
    <w:rsid w:val="00EF7AE5"/>
    <w:rsid w:val="00F52D39"/>
    <w:rsid w:val="00F554CD"/>
    <w:rsid w:val="00F67E4E"/>
    <w:rsid w:val="00F90250"/>
    <w:rsid w:val="00FB2E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2597894"/>
  <w15:docId w15:val="{A660E70C-681A-4029-A5B3-47B026EEF1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omic Sans MS" w:eastAsiaTheme="minorHAnsi" w:hAnsi="Comic Sans MS"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524A9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24392"/>
    <w:pPr>
      <w:ind w:left="720"/>
      <w:contextualSpacing/>
    </w:pPr>
  </w:style>
  <w:style w:type="paragraph" w:styleId="FootnoteText">
    <w:name w:val="footnote text"/>
    <w:basedOn w:val="Normal"/>
    <w:link w:val="FootnoteTextChar"/>
    <w:uiPriority w:val="99"/>
    <w:semiHidden/>
    <w:unhideWhenUsed/>
    <w:rsid w:val="0002439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24392"/>
    <w:rPr>
      <w:sz w:val="20"/>
      <w:szCs w:val="20"/>
    </w:rPr>
  </w:style>
  <w:style w:type="character" w:styleId="FootnoteReference">
    <w:name w:val="footnote reference"/>
    <w:basedOn w:val="DefaultParagraphFont"/>
    <w:uiPriority w:val="99"/>
    <w:semiHidden/>
    <w:unhideWhenUsed/>
    <w:rsid w:val="00024392"/>
    <w:rPr>
      <w:vertAlign w:val="superscript"/>
    </w:rPr>
  </w:style>
  <w:style w:type="character" w:styleId="Hyperlink">
    <w:name w:val="Hyperlink"/>
    <w:basedOn w:val="DefaultParagraphFont"/>
    <w:uiPriority w:val="99"/>
    <w:unhideWhenUsed/>
    <w:rsid w:val="00024392"/>
    <w:rPr>
      <w:color w:val="0563C1" w:themeColor="hyperlink"/>
      <w:u w:val="single"/>
    </w:rPr>
  </w:style>
  <w:style w:type="character" w:styleId="FollowedHyperlink">
    <w:name w:val="FollowedHyperlink"/>
    <w:basedOn w:val="DefaultParagraphFont"/>
    <w:uiPriority w:val="99"/>
    <w:semiHidden/>
    <w:unhideWhenUsed/>
    <w:rsid w:val="003F19AE"/>
    <w:rPr>
      <w:color w:val="954F72" w:themeColor="followedHyperlink"/>
      <w:u w:val="single"/>
    </w:rPr>
  </w:style>
  <w:style w:type="paragraph" w:styleId="NoSpacing">
    <w:name w:val="No Spacing"/>
    <w:uiPriority w:val="1"/>
    <w:qFormat/>
    <w:rsid w:val="000228B8"/>
    <w:pPr>
      <w:spacing w:after="0" w:line="240" w:lineRule="auto"/>
    </w:pPr>
  </w:style>
  <w:style w:type="character" w:customStyle="1" w:styleId="Heading1Char">
    <w:name w:val="Heading 1 Char"/>
    <w:basedOn w:val="DefaultParagraphFont"/>
    <w:link w:val="Heading1"/>
    <w:uiPriority w:val="9"/>
    <w:rsid w:val="00524A94"/>
    <w:rPr>
      <w:rFonts w:ascii="Times New Roman" w:eastAsia="Times New Roman" w:hAnsi="Times New Roman" w:cs="Times New Roman"/>
      <w:b/>
      <w:bCs/>
      <w:kern w:val="36"/>
      <w:sz w:val="48"/>
      <w:szCs w:val="48"/>
      <w:lang w:eastAsia="en-GB"/>
    </w:rPr>
  </w:style>
  <w:style w:type="character" w:styleId="CommentReference">
    <w:name w:val="annotation reference"/>
    <w:basedOn w:val="DefaultParagraphFont"/>
    <w:uiPriority w:val="99"/>
    <w:semiHidden/>
    <w:unhideWhenUsed/>
    <w:rsid w:val="00FB2E25"/>
    <w:rPr>
      <w:sz w:val="16"/>
      <w:szCs w:val="16"/>
    </w:rPr>
  </w:style>
  <w:style w:type="paragraph" w:styleId="CommentText">
    <w:name w:val="annotation text"/>
    <w:basedOn w:val="Normal"/>
    <w:link w:val="CommentTextChar"/>
    <w:uiPriority w:val="99"/>
    <w:semiHidden/>
    <w:unhideWhenUsed/>
    <w:rsid w:val="00FB2E25"/>
    <w:pPr>
      <w:spacing w:line="240" w:lineRule="auto"/>
    </w:pPr>
    <w:rPr>
      <w:sz w:val="20"/>
      <w:szCs w:val="20"/>
    </w:rPr>
  </w:style>
  <w:style w:type="character" w:customStyle="1" w:styleId="CommentTextChar">
    <w:name w:val="Comment Text Char"/>
    <w:basedOn w:val="DefaultParagraphFont"/>
    <w:link w:val="CommentText"/>
    <w:uiPriority w:val="99"/>
    <w:semiHidden/>
    <w:rsid w:val="00FB2E25"/>
    <w:rPr>
      <w:sz w:val="20"/>
      <w:szCs w:val="20"/>
    </w:rPr>
  </w:style>
  <w:style w:type="paragraph" w:styleId="CommentSubject">
    <w:name w:val="annotation subject"/>
    <w:basedOn w:val="CommentText"/>
    <w:next w:val="CommentText"/>
    <w:link w:val="CommentSubjectChar"/>
    <w:uiPriority w:val="99"/>
    <w:semiHidden/>
    <w:unhideWhenUsed/>
    <w:rsid w:val="00FB2E25"/>
    <w:rPr>
      <w:b/>
      <w:bCs/>
    </w:rPr>
  </w:style>
  <w:style w:type="character" w:customStyle="1" w:styleId="CommentSubjectChar">
    <w:name w:val="Comment Subject Char"/>
    <w:basedOn w:val="CommentTextChar"/>
    <w:link w:val="CommentSubject"/>
    <w:uiPriority w:val="99"/>
    <w:semiHidden/>
    <w:rsid w:val="00FB2E25"/>
    <w:rPr>
      <w:b/>
      <w:bCs/>
      <w:sz w:val="20"/>
      <w:szCs w:val="20"/>
    </w:rPr>
  </w:style>
  <w:style w:type="paragraph" w:styleId="BalloonText">
    <w:name w:val="Balloon Text"/>
    <w:basedOn w:val="Normal"/>
    <w:link w:val="BalloonTextChar"/>
    <w:uiPriority w:val="99"/>
    <w:semiHidden/>
    <w:unhideWhenUsed/>
    <w:rsid w:val="00FB2E2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B2E25"/>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83826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bav.bodleian.ox.ac.uk/news/ars-moriendi-the-art-of-dying" TargetMode="External"/><Relationship Id="rId5" Type="http://schemas.openxmlformats.org/officeDocument/2006/relationships/webSettings" Target="webSettings.xml"/><Relationship Id="rId10" Type="http://schemas.openxmlformats.org/officeDocument/2006/relationships/hyperlink" Target="http://www.historytoday.com/richard-cavendish/john-wycliffe-condemned-heretic" TargetMode="External"/><Relationship Id="rId4" Type="http://schemas.openxmlformats.org/officeDocument/2006/relationships/settings" Target="settings.xml"/><Relationship Id="rId9" Type="http://schemas.openxmlformats.org/officeDocument/2006/relationships/hyperlink" Target="https://www.bl.uk/collection-items/william-caxton-and-canterbury-tales"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www.historytoday.com/richard-cavendish/john-wycliffe-condemned-heretic" TargetMode="External"/><Relationship Id="rId2" Type="http://schemas.openxmlformats.org/officeDocument/2006/relationships/hyperlink" Target="http://bav.bodleian.ox.ac.uk/news/ars-moriendi-the-art-of-dying" TargetMode="External"/><Relationship Id="rId1" Type="http://schemas.openxmlformats.org/officeDocument/2006/relationships/hyperlink" Target="https://www.bl.uk/collection-items/william-caxton-and-canterbury-ta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74CED3B-D1F1-47D8-9E3D-51B0C60F9C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6</Pages>
  <Words>1993</Words>
  <Characters>9311</Characters>
  <Application>Microsoft Office Word</Application>
  <DocSecurity>0</DocSecurity>
  <Lines>155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11269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Dalby</dc:creator>
  <cp:keywords/>
  <dc:description/>
  <cp:lastModifiedBy>Charlotte Dalby</cp:lastModifiedBy>
  <cp:revision>3</cp:revision>
  <dcterms:created xsi:type="dcterms:W3CDTF">2017-10-15T15:23:00Z</dcterms:created>
  <dcterms:modified xsi:type="dcterms:W3CDTF">2017-10-15T15:23:00Z</dcterms:modified>
</cp:coreProperties>
</file>