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115" w:rsidRDefault="002066FF" w:rsidP="002066FF">
      <w:pPr>
        <w:spacing w:before="100" w:beforeAutospacing="1" w:after="100" w:afterAutospacing="1"/>
        <w:ind w:left="720"/>
        <w:jc w:val="center"/>
        <w:rPr>
          <w:rFonts w:ascii="Calibri" w:eastAsia="Times New Roman" w:hAnsi="Calibri" w:cs="Times New Roman"/>
          <w:b/>
          <w:color w:val="000000" w:themeColor="text1"/>
          <w:sz w:val="28"/>
          <w:szCs w:val="28"/>
          <w:u w:val="single"/>
          <w:lang w:eastAsia="en-GB"/>
        </w:rPr>
      </w:pPr>
      <w:r>
        <w:rPr>
          <w:rFonts w:ascii="Calibri" w:eastAsia="Times New Roman" w:hAnsi="Calibri" w:cs="Times New Roman"/>
          <w:b/>
          <w:color w:val="000000" w:themeColor="text1"/>
          <w:sz w:val="28"/>
          <w:szCs w:val="28"/>
          <w:u w:val="single"/>
          <w:lang w:eastAsia="en-GB"/>
        </w:rPr>
        <w:t>A Critical Assessment of the Argument P</w:t>
      </w:r>
      <w:r w:rsidR="00636115">
        <w:rPr>
          <w:rFonts w:ascii="Calibri" w:eastAsia="Times New Roman" w:hAnsi="Calibri" w:cs="Times New Roman"/>
          <w:b/>
          <w:color w:val="000000" w:themeColor="text1"/>
          <w:sz w:val="28"/>
          <w:szCs w:val="28"/>
          <w:u w:val="single"/>
          <w:lang w:eastAsia="en-GB"/>
        </w:rPr>
        <w:t>resented</w:t>
      </w:r>
    </w:p>
    <w:p w:rsidR="002066FF" w:rsidRDefault="00636115" w:rsidP="00636115">
      <w:pPr>
        <w:spacing w:before="100" w:beforeAutospacing="1" w:after="100" w:afterAutospacing="1"/>
        <w:ind w:left="720"/>
        <w:jc w:val="center"/>
        <w:rPr>
          <w:rFonts w:ascii="Calibri" w:eastAsia="Times New Roman" w:hAnsi="Calibri" w:cs="Times New Roman"/>
          <w:b/>
          <w:color w:val="000000" w:themeColor="text1"/>
          <w:sz w:val="28"/>
          <w:szCs w:val="28"/>
          <w:u w:val="single"/>
          <w:lang w:eastAsia="en-GB"/>
        </w:rPr>
      </w:pPr>
      <w:r>
        <w:rPr>
          <w:rFonts w:ascii="Calibri" w:eastAsia="Times New Roman" w:hAnsi="Calibri" w:cs="Times New Roman"/>
          <w:b/>
          <w:color w:val="000000" w:themeColor="text1"/>
          <w:sz w:val="28"/>
          <w:szCs w:val="28"/>
          <w:u w:val="single"/>
          <w:lang w:eastAsia="en-GB"/>
        </w:rPr>
        <w:t>B</w:t>
      </w:r>
      <w:r w:rsidR="002066FF">
        <w:rPr>
          <w:rFonts w:ascii="Calibri" w:eastAsia="Times New Roman" w:hAnsi="Calibri" w:cs="Times New Roman"/>
          <w:b/>
          <w:color w:val="000000" w:themeColor="text1"/>
          <w:sz w:val="28"/>
          <w:szCs w:val="28"/>
          <w:u w:val="single"/>
          <w:lang w:eastAsia="en-GB"/>
        </w:rPr>
        <w:t>y</w:t>
      </w:r>
      <w:r>
        <w:rPr>
          <w:rFonts w:ascii="Calibri" w:eastAsia="Times New Roman" w:hAnsi="Calibri" w:cs="Times New Roman"/>
          <w:b/>
          <w:color w:val="000000" w:themeColor="text1"/>
          <w:sz w:val="28"/>
          <w:szCs w:val="28"/>
          <w:u w:val="single"/>
          <w:lang w:eastAsia="en-GB"/>
        </w:rPr>
        <w:t xml:space="preserve"> </w:t>
      </w:r>
      <w:r w:rsidR="002D2D94">
        <w:rPr>
          <w:rFonts w:ascii="Calibri" w:eastAsia="Times New Roman" w:hAnsi="Calibri" w:cs="Times New Roman"/>
          <w:b/>
          <w:color w:val="000000" w:themeColor="text1"/>
          <w:sz w:val="28"/>
          <w:szCs w:val="28"/>
          <w:u w:val="single"/>
          <w:lang w:eastAsia="en-GB"/>
        </w:rPr>
        <w:t>Judith Jarvis Thom</w:t>
      </w:r>
      <w:r w:rsidR="002066FF">
        <w:rPr>
          <w:rFonts w:ascii="Calibri" w:eastAsia="Times New Roman" w:hAnsi="Calibri" w:cs="Times New Roman"/>
          <w:b/>
          <w:color w:val="000000" w:themeColor="text1"/>
          <w:sz w:val="28"/>
          <w:szCs w:val="28"/>
          <w:u w:val="single"/>
          <w:lang w:eastAsia="en-GB"/>
        </w:rPr>
        <w:t>son in her Paper:</w:t>
      </w:r>
    </w:p>
    <w:p w:rsidR="002066FF" w:rsidRDefault="002066FF" w:rsidP="002066FF">
      <w:pPr>
        <w:spacing w:before="100" w:beforeAutospacing="1" w:after="100" w:afterAutospacing="1"/>
        <w:ind w:left="720"/>
        <w:jc w:val="center"/>
        <w:rPr>
          <w:rFonts w:ascii="Calibri" w:eastAsia="Times New Roman" w:hAnsi="Calibri" w:cs="Times New Roman"/>
          <w:b/>
          <w:color w:val="000000" w:themeColor="text1"/>
          <w:sz w:val="28"/>
          <w:szCs w:val="28"/>
          <w:u w:val="single"/>
          <w:lang w:eastAsia="en-GB"/>
        </w:rPr>
      </w:pPr>
      <w:r>
        <w:rPr>
          <w:rFonts w:ascii="Calibri" w:eastAsia="Times New Roman" w:hAnsi="Calibri" w:cs="Times New Roman"/>
          <w:b/>
          <w:color w:val="000000" w:themeColor="text1"/>
          <w:sz w:val="28"/>
          <w:szCs w:val="28"/>
          <w:u w:val="single"/>
          <w:lang w:eastAsia="en-GB"/>
        </w:rPr>
        <w:t>‘</w:t>
      </w:r>
      <w:r w:rsidRPr="002066FF">
        <w:rPr>
          <w:rFonts w:ascii="Calibri" w:eastAsia="Times New Roman" w:hAnsi="Calibri" w:cs="Times New Roman"/>
          <w:b/>
          <w:i/>
          <w:color w:val="000000" w:themeColor="text1"/>
          <w:sz w:val="28"/>
          <w:szCs w:val="28"/>
          <w:u w:val="single"/>
          <w:lang w:eastAsia="en-GB"/>
        </w:rPr>
        <w:t>A Defence of Abortion’</w:t>
      </w:r>
    </w:p>
    <w:p w:rsidR="002066FF" w:rsidRDefault="002066FF" w:rsidP="002066FF">
      <w:pPr>
        <w:spacing w:before="100" w:beforeAutospacing="1" w:after="100" w:afterAutospacing="1"/>
        <w:ind w:left="720"/>
        <w:jc w:val="center"/>
        <w:rPr>
          <w:rFonts w:ascii="Calibri" w:eastAsia="Times New Roman" w:hAnsi="Calibri" w:cs="Times New Roman"/>
          <w:b/>
          <w:color w:val="000000" w:themeColor="text1"/>
          <w:sz w:val="28"/>
          <w:szCs w:val="28"/>
          <w:u w:val="single"/>
          <w:lang w:eastAsia="en-GB"/>
        </w:rPr>
      </w:pPr>
    </w:p>
    <w:p w:rsidR="00CF6676" w:rsidRDefault="00D02453" w:rsidP="00CF6676">
      <w:pPr>
        <w:pStyle w:val="NormalWeb"/>
        <w:rPr>
          <w:rFonts w:ascii="Calibri" w:hAnsi="Calibri"/>
          <w:color w:val="333333"/>
        </w:rPr>
      </w:pPr>
      <w:r>
        <w:rPr>
          <w:rFonts w:ascii="Calibri" w:hAnsi="Calibri"/>
          <w:color w:val="333333"/>
        </w:rPr>
        <w:t>Thomson</w:t>
      </w:r>
      <w:r w:rsidR="00573BAA">
        <w:rPr>
          <w:rFonts w:ascii="Calibri" w:hAnsi="Calibri"/>
          <w:color w:val="333333"/>
        </w:rPr>
        <w:t>’s</w:t>
      </w:r>
      <w:r>
        <w:rPr>
          <w:rFonts w:ascii="Calibri" w:hAnsi="Calibri"/>
          <w:color w:val="333333"/>
        </w:rPr>
        <w:t xml:space="preserve"> pro-abortion argument was published in 1971, whereby she uses a thought experiment in order to discern what rights a human fetus</w:t>
      </w:r>
      <w:r>
        <w:rPr>
          <w:rStyle w:val="FootnoteReference"/>
          <w:rFonts w:ascii="Calibri" w:hAnsi="Calibri"/>
          <w:color w:val="333333"/>
        </w:rPr>
        <w:footnoteReference w:id="1"/>
      </w:r>
      <w:r w:rsidR="004D7807">
        <w:rPr>
          <w:rFonts w:ascii="Calibri" w:hAnsi="Calibri"/>
          <w:color w:val="333333"/>
        </w:rPr>
        <w:t xml:space="preserve"> has</w:t>
      </w:r>
      <w:r>
        <w:rPr>
          <w:rFonts w:ascii="Calibri" w:hAnsi="Calibri"/>
          <w:color w:val="333333"/>
        </w:rPr>
        <w:t xml:space="preserve"> or should have, and whether its right to life is greater than that of the mother’s right to preserving her bodily integrity.  She personally rejects the </w:t>
      </w:r>
      <w:r w:rsidR="00B722D0">
        <w:rPr>
          <w:rFonts w:ascii="Calibri" w:hAnsi="Calibri"/>
          <w:color w:val="333333"/>
        </w:rPr>
        <w:t>extreme Conservativist</w:t>
      </w:r>
      <w:r>
        <w:rPr>
          <w:rFonts w:ascii="Calibri" w:hAnsi="Calibri"/>
          <w:color w:val="333333"/>
        </w:rPr>
        <w:t xml:space="preserve"> view </w:t>
      </w:r>
      <w:r w:rsidR="00B722D0">
        <w:rPr>
          <w:rFonts w:ascii="Calibri" w:hAnsi="Calibri"/>
          <w:color w:val="333333"/>
        </w:rPr>
        <w:t>(which resides on the premise that “the fetus is a human being, a person, from the moment of conception”</w:t>
      </w:r>
      <w:r w:rsidR="00B722D0">
        <w:rPr>
          <w:rStyle w:val="FootnoteReference"/>
          <w:rFonts w:ascii="Calibri" w:hAnsi="Calibri"/>
          <w:color w:val="333333"/>
        </w:rPr>
        <w:footnoteReference w:id="2"/>
      </w:r>
      <w:r w:rsidR="00B722D0">
        <w:rPr>
          <w:rFonts w:ascii="Calibri" w:hAnsi="Calibri"/>
          <w:color w:val="333333"/>
        </w:rPr>
        <w:t xml:space="preserve">), by stating </w:t>
      </w:r>
      <w:r w:rsidR="00CF6676">
        <w:rPr>
          <w:rFonts w:ascii="Calibri" w:hAnsi="Calibri"/>
          <w:color w:val="333333"/>
        </w:rPr>
        <w:t>“I think the premise is false, that the fetus is not a person from the moment of conception”</w:t>
      </w:r>
      <w:r w:rsidR="00F70A87">
        <w:rPr>
          <w:rStyle w:val="FootnoteReference"/>
          <w:rFonts w:ascii="Calibri" w:hAnsi="Calibri"/>
          <w:color w:val="333333"/>
        </w:rPr>
        <w:footnoteReference w:id="3"/>
      </w:r>
      <w:r w:rsidR="00CF6676">
        <w:rPr>
          <w:rFonts w:ascii="Calibri" w:hAnsi="Calibri"/>
          <w:color w:val="333333"/>
        </w:rPr>
        <w:t xml:space="preserve">, yet for the sake of the argument she allows the premise in </w:t>
      </w:r>
      <w:r w:rsidR="00573BAA">
        <w:rPr>
          <w:rFonts w:ascii="Calibri" w:hAnsi="Calibri"/>
          <w:color w:val="333333"/>
        </w:rPr>
        <w:t>order to explore the idea</w:t>
      </w:r>
      <w:r w:rsidR="00CF6676">
        <w:rPr>
          <w:rFonts w:ascii="Calibri" w:hAnsi="Calibri"/>
          <w:color w:val="333333"/>
        </w:rPr>
        <w:t>.</w:t>
      </w:r>
      <w:r w:rsidR="00957FBF">
        <w:rPr>
          <w:rFonts w:ascii="Calibri" w:hAnsi="Calibri"/>
          <w:color w:val="333333"/>
        </w:rPr>
        <w:t xml:space="preserve">  This seems as though it may unfortunately taint her objective capability to </w:t>
      </w:r>
      <w:r w:rsidR="00145CFD">
        <w:rPr>
          <w:rFonts w:ascii="Calibri" w:hAnsi="Calibri"/>
          <w:color w:val="333333"/>
        </w:rPr>
        <w:t>navigate</w:t>
      </w:r>
      <w:r w:rsidR="00957FBF">
        <w:rPr>
          <w:rFonts w:ascii="Calibri" w:hAnsi="Calibri"/>
          <w:color w:val="333333"/>
        </w:rPr>
        <w:t xml:space="preserve"> the </w:t>
      </w:r>
      <w:r w:rsidR="00BF494D">
        <w:rPr>
          <w:rFonts w:ascii="Calibri" w:hAnsi="Calibri"/>
          <w:color w:val="333333"/>
        </w:rPr>
        <w:t xml:space="preserve">issue properly, and I </w:t>
      </w:r>
      <w:r w:rsidR="00145CFD">
        <w:rPr>
          <w:rFonts w:ascii="Calibri" w:hAnsi="Calibri"/>
          <w:color w:val="333333"/>
        </w:rPr>
        <w:t>believe</w:t>
      </w:r>
      <w:r w:rsidR="00957FBF">
        <w:rPr>
          <w:rFonts w:ascii="Calibri" w:hAnsi="Calibri"/>
          <w:color w:val="333333"/>
        </w:rPr>
        <w:t xml:space="preserve"> her personal opinion biasedly influences her argumentative standpoint.  </w:t>
      </w:r>
      <w:r w:rsidR="00145CFD">
        <w:rPr>
          <w:rFonts w:ascii="Calibri" w:hAnsi="Calibri"/>
          <w:color w:val="333333"/>
        </w:rPr>
        <w:t>Her</w:t>
      </w:r>
      <w:r w:rsidR="00957FBF">
        <w:rPr>
          <w:rFonts w:ascii="Calibri" w:hAnsi="Calibri"/>
          <w:color w:val="333333"/>
        </w:rPr>
        <w:t xml:space="preserve"> paper raises more que</w:t>
      </w:r>
      <w:r w:rsidR="00145CFD">
        <w:rPr>
          <w:rFonts w:ascii="Calibri" w:hAnsi="Calibri"/>
          <w:color w:val="333333"/>
        </w:rPr>
        <w:t>stions than it answers, and</w:t>
      </w:r>
      <w:r w:rsidR="00957FBF">
        <w:rPr>
          <w:rFonts w:ascii="Calibri" w:hAnsi="Calibri"/>
          <w:color w:val="333333"/>
        </w:rPr>
        <w:t xml:space="preserve"> it concludes in a rather weak fashion and is philosophically unhelpful at the very least, if not completely wrong.</w:t>
      </w:r>
      <w:r w:rsidR="00F70A87">
        <w:rPr>
          <w:rFonts w:ascii="Calibri" w:hAnsi="Calibri"/>
          <w:color w:val="333333"/>
        </w:rPr>
        <w:t xml:space="preserve">  Her argument also draws parallels between contextually diff</w:t>
      </w:r>
      <w:r w:rsidR="00BF494D">
        <w:rPr>
          <w:rFonts w:ascii="Calibri" w:hAnsi="Calibri"/>
          <w:color w:val="333333"/>
        </w:rPr>
        <w:t xml:space="preserve">erent scenarios, both of which require different considerations and </w:t>
      </w:r>
      <w:r w:rsidR="00F70A87">
        <w:rPr>
          <w:rFonts w:ascii="Calibri" w:hAnsi="Calibri"/>
          <w:color w:val="333333"/>
        </w:rPr>
        <w:t>can be analysed separately, making it an unfairly drawn comparison.</w:t>
      </w:r>
    </w:p>
    <w:p w:rsidR="006E78B2" w:rsidRDefault="00957FBF" w:rsidP="009C7E2E">
      <w:pPr>
        <w:pStyle w:val="NormalWeb"/>
        <w:rPr>
          <w:rFonts w:ascii="Calibri" w:hAnsi="Calibri"/>
          <w:color w:val="333333"/>
        </w:rPr>
      </w:pPr>
      <w:r>
        <w:rPr>
          <w:rFonts w:ascii="Calibri" w:hAnsi="Calibri"/>
          <w:color w:val="333333"/>
        </w:rPr>
        <w:tab/>
        <w:t xml:space="preserve">The terms </w:t>
      </w:r>
      <w:r>
        <w:rPr>
          <w:rFonts w:ascii="Calibri" w:hAnsi="Calibri"/>
          <w:i/>
          <w:color w:val="333333"/>
        </w:rPr>
        <w:t xml:space="preserve">human being </w:t>
      </w:r>
      <w:r>
        <w:rPr>
          <w:rFonts w:ascii="Calibri" w:hAnsi="Calibri"/>
          <w:color w:val="333333"/>
        </w:rPr>
        <w:t xml:space="preserve">and </w:t>
      </w:r>
      <w:r>
        <w:rPr>
          <w:rFonts w:ascii="Calibri" w:hAnsi="Calibri"/>
          <w:i/>
          <w:color w:val="333333"/>
        </w:rPr>
        <w:t>person</w:t>
      </w:r>
      <w:r>
        <w:rPr>
          <w:rFonts w:ascii="Calibri" w:hAnsi="Calibri"/>
          <w:color w:val="333333"/>
        </w:rPr>
        <w:t xml:space="preserve"> are used synonymously and interchangeably in Thomson’s </w:t>
      </w:r>
      <w:r w:rsidR="00145CFD">
        <w:rPr>
          <w:rFonts w:ascii="Calibri" w:hAnsi="Calibri"/>
          <w:color w:val="333333"/>
        </w:rPr>
        <w:t xml:space="preserve">writing, which in itself </w:t>
      </w:r>
      <w:r>
        <w:rPr>
          <w:rFonts w:ascii="Calibri" w:hAnsi="Calibri"/>
          <w:color w:val="333333"/>
        </w:rPr>
        <w:t>is a separate issue.  It raises questions with regards to personal identity that are something of a philosophical conundrum in their own right, such as ‘What gives a human being the characteristics of personhood?’.  The two terms are philosophically distinct</w:t>
      </w:r>
      <w:r w:rsidR="009C7E2E">
        <w:rPr>
          <w:rFonts w:ascii="Calibri" w:hAnsi="Calibri"/>
          <w:color w:val="333333"/>
        </w:rPr>
        <w:t>, and the distinction may require some clarification by Thomson before using them interchangeably.  If</w:t>
      </w:r>
      <w:r w:rsidR="00145CFD">
        <w:rPr>
          <w:rFonts w:ascii="Calibri" w:hAnsi="Calibri"/>
          <w:color w:val="333333"/>
        </w:rPr>
        <w:t>, without this clarification</w:t>
      </w:r>
      <w:r w:rsidR="009C7E2E">
        <w:rPr>
          <w:rFonts w:ascii="Calibri" w:hAnsi="Calibri"/>
          <w:color w:val="333333"/>
        </w:rPr>
        <w:t xml:space="preserve"> and by using them in this manner she simply means to denote the fact that in her view they </w:t>
      </w:r>
      <w:r w:rsidR="009C7E2E" w:rsidRPr="009C7E2E">
        <w:rPr>
          <w:rFonts w:ascii="Calibri" w:hAnsi="Calibri"/>
          <w:i/>
          <w:color w:val="333333"/>
        </w:rPr>
        <w:t>are</w:t>
      </w:r>
      <w:r w:rsidR="009C7E2E">
        <w:rPr>
          <w:rFonts w:ascii="Calibri" w:hAnsi="Calibri"/>
          <w:color w:val="333333"/>
        </w:rPr>
        <w:t xml:space="preserve"> synonymous terms, her argument could be scrutinised on this basis alone.  </w:t>
      </w:r>
      <w:r w:rsidR="001A6DD6" w:rsidRPr="001A6DD6">
        <w:rPr>
          <w:rFonts w:ascii="Calibri" w:hAnsi="Calibri"/>
          <w:color w:val="333333"/>
        </w:rPr>
        <w:t>“</w:t>
      </w:r>
      <w:r w:rsidR="009C7E2E">
        <w:rPr>
          <w:rFonts w:ascii="Calibri" w:hAnsi="Calibri"/>
          <w:color w:val="333333"/>
        </w:rPr>
        <w:t>…t</w:t>
      </w:r>
      <w:r w:rsidR="001A6DD6" w:rsidRPr="001A6DD6">
        <w:rPr>
          <w:rFonts w:ascii="Calibri" w:hAnsi="Calibri"/>
          <w:color w:val="333333"/>
        </w:rPr>
        <w:t>he new recombinant DNA technologies indisputably prove that the unborn child is a whole human being fr</w:t>
      </w:r>
      <w:r w:rsidR="009C7E2E">
        <w:rPr>
          <w:rFonts w:ascii="Calibri" w:hAnsi="Calibri"/>
          <w:color w:val="333333"/>
        </w:rPr>
        <w:t>om the moment of fertilization…</w:t>
      </w:r>
      <w:r w:rsidR="001A6DD6" w:rsidRPr="001A6DD6">
        <w:rPr>
          <w:rFonts w:ascii="Calibri" w:hAnsi="Calibri"/>
          <w:color w:val="333333"/>
        </w:rPr>
        <w:t>and that the unborn child is a separate human patient under the care of modern medicine.”</w:t>
      </w:r>
      <w:r w:rsidR="001A6DD6">
        <w:rPr>
          <w:rStyle w:val="FootnoteReference"/>
          <w:rFonts w:ascii="Calibri" w:hAnsi="Calibri"/>
          <w:color w:val="333333"/>
        </w:rPr>
        <w:footnoteReference w:id="4"/>
      </w:r>
      <w:r w:rsidR="009C7E2E">
        <w:rPr>
          <w:rFonts w:ascii="Calibri" w:hAnsi="Calibri"/>
          <w:color w:val="333333"/>
        </w:rPr>
        <w:t xml:space="preserve">  This extract from a scientific article was published over three decades later than Thomson’s paper, which admittedly puts her</w:t>
      </w:r>
      <w:r w:rsidR="00F70A87">
        <w:rPr>
          <w:rFonts w:ascii="Calibri" w:hAnsi="Calibri"/>
          <w:color w:val="333333"/>
        </w:rPr>
        <w:t xml:space="preserve"> argument</w:t>
      </w:r>
      <w:r w:rsidR="009C7E2E">
        <w:rPr>
          <w:rFonts w:ascii="Calibri" w:hAnsi="Calibri"/>
          <w:color w:val="333333"/>
        </w:rPr>
        <w:t xml:space="preserve"> at a</w:t>
      </w:r>
      <w:r w:rsidR="00F70A87">
        <w:rPr>
          <w:rFonts w:ascii="Calibri" w:hAnsi="Calibri"/>
          <w:color w:val="333333"/>
        </w:rPr>
        <w:t>n automatic</w:t>
      </w:r>
      <w:r w:rsidR="009C7E2E">
        <w:rPr>
          <w:rFonts w:ascii="Calibri" w:hAnsi="Calibri"/>
          <w:color w:val="333333"/>
        </w:rPr>
        <w:t xml:space="preserve"> </w:t>
      </w:r>
      <w:r w:rsidR="009C7E2E">
        <w:rPr>
          <w:rFonts w:ascii="Calibri" w:hAnsi="Calibri"/>
          <w:color w:val="333333"/>
        </w:rPr>
        <w:lastRenderedPageBreak/>
        <w:t>disadvantage with regards to more recent evidence on these matters.  If a human being is a person according to Thomson, and the human being exists from the moment of conception according to scientific research, then so does a person exist from the moment of conception.</w:t>
      </w:r>
      <w:r w:rsidR="00F70A87">
        <w:rPr>
          <w:rFonts w:ascii="Calibri" w:hAnsi="Calibri"/>
          <w:color w:val="333333"/>
        </w:rPr>
        <w:t xml:space="preserve">  The distinction between the terms is important </w:t>
      </w:r>
      <w:r w:rsidR="00C7093E">
        <w:rPr>
          <w:rFonts w:ascii="Calibri" w:hAnsi="Calibri"/>
          <w:color w:val="333333"/>
        </w:rPr>
        <w:t>as</w:t>
      </w:r>
      <w:r w:rsidR="00F70A87">
        <w:rPr>
          <w:rFonts w:ascii="Calibri" w:hAnsi="Calibri"/>
          <w:color w:val="333333"/>
        </w:rPr>
        <w:t xml:space="preserve"> we may be more inclined to attribute moral status, or even the right to life to a </w:t>
      </w:r>
      <w:r w:rsidR="00F70A87" w:rsidRPr="00E44D44">
        <w:rPr>
          <w:rFonts w:ascii="Calibri" w:hAnsi="Calibri"/>
          <w:i/>
          <w:color w:val="333333"/>
        </w:rPr>
        <w:t>person</w:t>
      </w:r>
      <w:r w:rsidR="00F70A87">
        <w:rPr>
          <w:rFonts w:ascii="Calibri" w:hAnsi="Calibri"/>
          <w:color w:val="333333"/>
        </w:rPr>
        <w:t xml:space="preserve">, as the term seems to envelop the characteristics of being alive (such as </w:t>
      </w:r>
      <w:r w:rsidR="00E44D44">
        <w:rPr>
          <w:rFonts w:ascii="Calibri" w:hAnsi="Calibri"/>
          <w:color w:val="333333"/>
        </w:rPr>
        <w:t xml:space="preserve">being </w:t>
      </w:r>
      <w:r w:rsidR="00F70A87">
        <w:rPr>
          <w:rFonts w:ascii="Calibri" w:hAnsi="Calibri"/>
          <w:color w:val="333333"/>
        </w:rPr>
        <w:t xml:space="preserve">conscious, autonomous, and able to </w:t>
      </w:r>
      <w:r w:rsidR="00D23744">
        <w:rPr>
          <w:rFonts w:ascii="Calibri" w:hAnsi="Calibri"/>
          <w:color w:val="333333"/>
        </w:rPr>
        <w:t>feel emotion)</w:t>
      </w:r>
      <w:r w:rsidR="00E44D44">
        <w:rPr>
          <w:rFonts w:ascii="Calibri" w:hAnsi="Calibri"/>
          <w:color w:val="333333"/>
        </w:rPr>
        <w:t>,</w:t>
      </w:r>
      <w:r w:rsidR="00F70A87">
        <w:rPr>
          <w:rFonts w:ascii="Calibri" w:hAnsi="Calibri"/>
          <w:color w:val="333333"/>
        </w:rPr>
        <w:t xml:space="preserve"> rather than</w:t>
      </w:r>
      <w:r w:rsidR="00BF494D">
        <w:rPr>
          <w:rFonts w:ascii="Calibri" w:hAnsi="Calibri"/>
          <w:color w:val="333333"/>
        </w:rPr>
        <w:t xml:space="preserve"> </w:t>
      </w:r>
      <w:r w:rsidR="00E44D44">
        <w:rPr>
          <w:rFonts w:ascii="Calibri" w:hAnsi="Calibri"/>
          <w:color w:val="333333"/>
        </w:rPr>
        <w:t>a</w:t>
      </w:r>
      <w:r w:rsidR="00F70A87">
        <w:rPr>
          <w:rFonts w:ascii="Calibri" w:hAnsi="Calibri"/>
          <w:color w:val="333333"/>
        </w:rPr>
        <w:t xml:space="preserve"> purely biological denotation which may only serve to remove us from a sympathetic position in relation to the argument.</w:t>
      </w:r>
      <w:r w:rsidR="00D23744">
        <w:rPr>
          <w:rFonts w:ascii="Calibri" w:hAnsi="Calibri"/>
          <w:color w:val="333333"/>
        </w:rPr>
        <w:t xml:space="preserve">  Despite this, she does allow the premise that the fetus is a person fro</w:t>
      </w:r>
      <w:r w:rsidR="006E78B2">
        <w:rPr>
          <w:rFonts w:ascii="Calibri" w:hAnsi="Calibri"/>
          <w:color w:val="333333"/>
        </w:rPr>
        <w:t>m the moment of conception.</w:t>
      </w:r>
    </w:p>
    <w:p w:rsidR="00C060ED" w:rsidRDefault="006E78B2" w:rsidP="00C060ED">
      <w:pPr>
        <w:pStyle w:val="NormalWeb"/>
        <w:ind w:firstLine="720"/>
        <w:rPr>
          <w:rFonts w:ascii="Calibri" w:hAnsi="Calibri"/>
          <w:color w:val="333333"/>
        </w:rPr>
      </w:pPr>
      <w:r>
        <w:rPr>
          <w:rFonts w:ascii="Calibri" w:hAnsi="Calibri"/>
          <w:color w:val="333333"/>
        </w:rPr>
        <w:t xml:space="preserve">She </w:t>
      </w:r>
      <w:r w:rsidR="00D23744">
        <w:rPr>
          <w:rFonts w:ascii="Calibri" w:hAnsi="Calibri"/>
          <w:color w:val="333333"/>
        </w:rPr>
        <w:t xml:space="preserve">begins her argument </w:t>
      </w:r>
      <w:r w:rsidR="00E44D44">
        <w:rPr>
          <w:rFonts w:ascii="Calibri" w:hAnsi="Calibri"/>
          <w:color w:val="333333"/>
        </w:rPr>
        <w:t xml:space="preserve">by </w:t>
      </w:r>
      <w:r w:rsidR="00420A9A">
        <w:rPr>
          <w:rFonts w:ascii="Calibri" w:hAnsi="Calibri"/>
          <w:color w:val="333333"/>
        </w:rPr>
        <w:t>outlining</w:t>
      </w:r>
      <w:r w:rsidR="00D23744">
        <w:rPr>
          <w:rFonts w:ascii="Calibri" w:hAnsi="Calibri"/>
          <w:color w:val="333333"/>
        </w:rPr>
        <w:t xml:space="preserve"> </w:t>
      </w:r>
      <w:r w:rsidR="00E44D44">
        <w:rPr>
          <w:rFonts w:ascii="Calibri" w:hAnsi="Calibri"/>
          <w:color w:val="333333"/>
        </w:rPr>
        <w:t xml:space="preserve">the </w:t>
      </w:r>
      <w:r w:rsidR="00D23744">
        <w:rPr>
          <w:rFonts w:ascii="Calibri" w:hAnsi="Calibri"/>
          <w:color w:val="333333"/>
        </w:rPr>
        <w:t>conservative position, that if t</w:t>
      </w:r>
      <w:r>
        <w:rPr>
          <w:rFonts w:ascii="Calibri" w:hAnsi="Calibri"/>
          <w:color w:val="333333"/>
        </w:rPr>
        <w:t xml:space="preserve">he fetus </w:t>
      </w:r>
      <w:r w:rsidR="00BF494D">
        <w:rPr>
          <w:rFonts w:ascii="Calibri" w:hAnsi="Calibri"/>
          <w:color w:val="333333"/>
        </w:rPr>
        <w:t>in this case is a person</w:t>
      </w:r>
      <w:r w:rsidR="00D23744">
        <w:rPr>
          <w:rFonts w:ascii="Calibri" w:hAnsi="Calibri"/>
          <w:color w:val="333333"/>
        </w:rPr>
        <w:t xml:space="preserve">, and that every person has a right to life which outweighs the mother’s right to her own body, then the killing of a fetus is wrong and abortions cannot take place.  This to me seems </w:t>
      </w:r>
      <w:r>
        <w:rPr>
          <w:rFonts w:ascii="Calibri" w:hAnsi="Calibri"/>
          <w:color w:val="333333"/>
        </w:rPr>
        <w:t xml:space="preserve">a </w:t>
      </w:r>
      <w:r w:rsidR="00D23744">
        <w:rPr>
          <w:rFonts w:ascii="Calibri" w:hAnsi="Calibri"/>
          <w:color w:val="333333"/>
        </w:rPr>
        <w:t>fair</w:t>
      </w:r>
      <w:r>
        <w:rPr>
          <w:rFonts w:ascii="Calibri" w:hAnsi="Calibri"/>
          <w:color w:val="333333"/>
        </w:rPr>
        <w:t xml:space="preserve"> argument in itself</w:t>
      </w:r>
      <w:r w:rsidR="00D23744">
        <w:rPr>
          <w:rFonts w:ascii="Calibri" w:hAnsi="Calibri"/>
          <w:color w:val="333333"/>
        </w:rPr>
        <w:t xml:space="preserve">, </w:t>
      </w:r>
      <w:r>
        <w:rPr>
          <w:rFonts w:ascii="Calibri" w:hAnsi="Calibri"/>
          <w:color w:val="333333"/>
        </w:rPr>
        <w:t>but</w:t>
      </w:r>
      <w:r w:rsidR="00D23744">
        <w:rPr>
          <w:rFonts w:ascii="Calibri" w:hAnsi="Calibri"/>
          <w:color w:val="333333"/>
        </w:rPr>
        <w:t xml:space="preserve"> she continues to argue against this view having previously stated </w:t>
      </w:r>
      <w:r w:rsidR="00C7093E">
        <w:rPr>
          <w:rFonts w:ascii="Calibri" w:hAnsi="Calibri"/>
          <w:color w:val="333333"/>
        </w:rPr>
        <w:t>her own opinion</w:t>
      </w:r>
      <w:r w:rsidR="00D23744">
        <w:rPr>
          <w:rFonts w:ascii="Calibri" w:hAnsi="Calibri"/>
          <w:color w:val="333333"/>
        </w:rPr>
        <w:t xml:space="preserve"> that “a newly fertilised ovum, a newly implanted clump of cells, is no more a person than an acorn is an oak tree”</w:t>
      </w:r>
      <w:r w:rsidR="00D23744">
        <w:rPr>
          <w:rStyle w:val="FootnoteReference"/>
          <w:rFonts w:ascii="Calibri" w:hAnsi="Calibri"/>
          <w:color w:val="333333"/>
        </w:rPr>
        <w:footnoteReference w:id="5"/>
      </w:r>
      <w:r w:rsidR="00D23744">
        <w:rPr>
          <w:rFonts w:ascii="Calibri" w:hAnsi="Calibri"/>
          <w:color w:val="333333"/>
        </w:rPr>
        <w:t>.</w:t>
      </w:r>
      <w:r w:rsidR="00C7093E">
        <w:rPr>
          <w:rFonts w:ascii="Calibri" w:hAnsi="Calibri"/>
          <w:color w:val="333333"/>
        </w:rPr>
        <w:t xml:space="preserve">  Drawing an analogy between a fetus and an acorn</w:t>
      </w:r>
      <w:r>
        <w:rPr>
          <w:rFonts w:ascii="Calibri" w:hAnsi="Calibri"/>
          <w:color w:val="333333"/>
        </w:rPr>
        <w:t xml:space="preserve"> is highly unfair </w:t>
      </w:r>
      <w:r w:rsidR="00145CFD">
        <w:rPr>
          <w:rFonts w:ascii="Calibri" w:hAnsi="Calibri"/>
          <w:color w:val="333333"/>
        </w:rPr>
        <w:t>as</w:t>
      </w:r>
      <w:r w:rsidR="00C7093E">
        <w:rPr>
          <w:rFonts w:ascii="Calibri" w:hAnsi="Calibri"/>
          <w:color w:val="333333"/>
        </w:rPr>
        <w:t xml:space="preserve"> if we </w:t>
      </w:r>
      <w:r w:rsidR="00145CFD">
        <w:rPr>
          <w:rFonts w:ascii="Calibri" w:hAnsi="Calibri"/>
          <w:color w:val="333333"/>
        </w:rPr>
        <w:t xml:space="preserve">are able to </w:t>
      </w:r>
      <w:r w:rsidR="00C7093E">
        <w:rPr>
          <w:rFonts w:ascii="Calibri" w:hAnsi="Calibri"/>
          <w:color w:val="333333"/>
        </w:rPr>
        <w:t xml:space="preserve">recognise that both fetuses and acorns develop from something of a primitive stage of existence to that of a </w:t>
      </w:r>
      <w:r w:rsidR="00E44D44">
        <w:rPr>
          <w:rFonts w:ascii="Calibri" w:hAnsi="Calibri"/>
          <w:color w:val="333333"/>
        </w:rPr>
        <w:t>more complex stage, the potentiality of a fetus’s development has a far greater claim to moral significance than that of an oak tree</w:t>
      </w:r>
      <w:r>
        <w:rPr>
          <w:rFonts w:ascii="Calibri" w:hAnsi="Calibri"/>
          <w:color w:val="333333"/>
        </w:rPr>
        <w:t xml:space="preserve"> if we are not to assess their existences merely on grounds of utility</w:t>
      </w:r>
      <w:r w:rsidR="00420A9A">
        <w:rPr>
          <w:rStyle w:val="FootnoteReference"/>
          <w:rFonts w:ascii="Calibri" w:hAnsi="Calibri"/>
          <w:color w:val="333333"/>
        </w:rPr>
        <w:footnoteReference w:id="6"/>
      </w:r>
      <w:r w:rsidR="00E44D44">
        <w:rPr>
          <w:rFonts w:ascii="Calibri" w:hAnsi="Calibri"/>
          <w:color w:val="333333"/>
        </w:rPr>
        <w:t>.</w:t>
      </w:r>
      <w:r>
        <w:rPr>
          <w:rFonts w:ascii="Calibri" w:hAnsi="Calibri"/>
          <w:color w:val="333333"/>
        </w:rPr>
        <w:t xml:space="preserve">  We do not typically assign moral status to trees, and if and when we do it is in quite a different manner to assigning moral status to a human being.  I don’</w:t>
      </w:r>
      <w:r w:rsidR="00BF494D">
        <w:rPr>
          <w:rFonts w:ascii="Calibri" w:hAnsi="Calibri"/>
          <w:color w:val="333333"/>
        </w:rPr>
        <w:t>t think it is</w:t>
      </w:r>
      <w:r w:rsidR="00154E6E">
        <w:rPr>
          <w:rFonts w:ascii="Calibri" w:hAnsi="Calibri"/>
          <w:color w:val="333333"/>
        </w:rPr>
        <w:t xml:space="preserve"> unfair</w:t>
      </w:r>
      <w:r w:rsidR="00BF494D">
        <w:rPr>
          <w:rFonts w:ascii="Calibri" w:hAnsi="Calibri"/>
          <w:color w:val="333333"/>
        </w:rPr>
        <w:t xml:space="preserve"> to assume</w:t>
      </w:r>
      <w:r>
        <w:rPr>
          <w:rFonts w:ascii="Calibri" w:hAnsi="Calibri"/>
          <w:color w:val="333333"/>
        </w:rPr>
        <w:t xml:space="preserve"> that </w:t>
      </w:r>
      <w:r w:rsidR="00154E6E">
        <w:rPr>
          <w:rFonts w:ascii="Calibri" w:hAnsi="Calibri"/>
          <w:color w:val="333333"/>
        </w:rPr>
        <w:t>if</w:t>
      </w:r>
      <w:r>
        <w:rPr>
          <w:rFonts w:ascii="Calibri" w:hAnsi="Calibri"/>
          <w:color w:val="333333"/>
        </w:rPr>
        <w:t xml:space="preserve"> the life of a person and the life of an oak</w:t>
      </w:r>
      <w:r w:rsidR="00154E6E">
        <w:rPr>
          <w:rFonts w:ascii="Calibri" w:hAnsi="Calibri"/>
          <w:color w:val="333333"/>
        </w:rPr>
        <w:t xml:space="preserve"> tree</w:t>
      </w:r>
      <w:r>
        <w:rPr>
          <w:rFonts w:ascii="Calibri" w:hAnsi="Calibri"/>
          <w:color w:val="333333"/>
        </w:rPr>
        <w:t xml:space="preserve"> </w:t>
      </w:r>
      <w:r w:rsidR="00154E6E">
        <w:rPr>
          <w:rFonts w:ascii="Calibri" w:hAnsi="Calibri"/>
          <w:color w:val="333333"/>
        </w:rPr>
        <w:t>were simultaneously</w:t>
      </w:r>
      <w:r>
        <w:rPr>
          <w:rFonts w:ascii="Calibri" w:hAnsi="Calibri"/>
          <w:color w:val="333333"/>
        </w:rPr>
        <w:t xml:space="preserve"> threatened</w:t>
      </w:r>
      <w:r w:rsidR="00154E6E">
        <w:rPr>
          <w:rFonts w:ascii="Calibri" w:hAnsi="Calibri"/>
          <w:color w:val="333333"/>
        </w:rPr>
        <w:t>, that most people would choose to preserve human life over that of a tree.</w:t>
      </w:r>
      <w:r>
        <w:rPr>
          <w:rFonts w:ascii="Calibri" w:hAnsi="Calibri"/>
          <w:color w:val="333333"/>
        </w:rPr>
        <w:t xml:space="preserve"> </w:t>
      </w:r>
      <w:r w:rsidR="00154E6E">
        <w:rPr>
          <w:rFonts w:ascii="Calibri" w:hAnsi="Calibri"/>
          <w:color w:val="333333"/>
        </w:rPr>
        <w:t xml:space="preserve"> </w:t>
      </w:r>
      <w:r>
        <w:rPr>
          <w:rFonts w:ascii="Calibri" w:hAnsi="Calibri"/>
          <w:color w:val="333333"/>
        </w:rPr>
        <w:t>I fully acknowledge that she claims to allow the conservative argument’s premise - that a fe</w:t>
      </w:r>
      <w:r w:rsidR="00BF494D">
        <w:rPr>
          <w:rFonts w:ascii="Calibri" w:hAnsi="Calibri"/>
          <w:color w:val="333333"/>
        </w:rPr>
        <w:t>tus is a person from conception -</w:t>
      </w:r>
      <w:r>
        <w:rPr>
          <w:rFonts w:ascii="Calibri" w:hAnsi="Calibri"/>
          <w:color w:val="333333"/>
        </w:rPr>
        <w:t xml:space="preserve"> but I cannot help </w:t>
      </w:r>
      <w:r w:rsidR="00145CFD">
        <w:rPr>
          <w:rFonts w:ascii="Calibri" w:hAnsi="Calibri"/>
          <w:color w:val="333333"/>
        </w:rPr>
        <w:t xml:space="preserve">but </w:t>
      </w:r>
      <w:r w:rsidR="00420A9A">
        <w:rPr>
          <w:rFonts w:ascii="Calibri" w:hAnsi="Calibri"/>
          <w:color w:val="333333"/>
        </w:rPr>
        <w:t>wonder if</w:t>
      </w:r>
      <w:r>
        <w:rPr>
          <w:rFonts w:ascii="Calibri" w:hAnsi="Calibri"/>
          <w:color w:val="333333"/>
        </w:rPr>
        <w:t xml:space="preserve"> her personally incoherent analogy may interfere with her objective perspective on the matter</w:t>
      </w:r>
      <w:r w:rsidR="00420A9A">
        <w:rPr>
          <w:rFonts w:ascii="Calibri" w:hAnsi="Calibri"/>
          <w:color w:val="333333"/>
        </w:rPr>
        <w:t>, as she develops a thought experiment which is not analogous with being pregnant.  She asks the reader to imagine being kidnapped against their will and waking up with their body connected to that of a famous</w:t>
      </w:r>
      <w:r w:rsidR="00C060ED">
        <w:rPr>
          <w:rFonts w:ascii="Calibri" w:hAnsi="Calibri"/>
          <w:color w:val="333333"/>
        </w:rPr>
        <w:t xml:space="preserve"> male</w:t>
      </w:r>
      <w:r w:rsidR="00420A9A">
        <w:rPr>
          <w:rFonts w:ascii="Calibri" w:hAnsi="Calibri"/>
          <w:color w:val="333333"/>
        </w:rPr>
        <w:t xml:space="preserve"> violinist’s</w:t>
      </w:r>
      <w:r w:rsidR="00C060ED">
        <w:rPr>
          <w:rFonts w:ascii="Calibri" w:hAnsi="Calibri"/>
          <w:color w:val="333333"/>
        </w:rPr>
        <w:t xml:space="preserve"> (due to intervention by the Society of Music Lovers that discerned that the reader is the only suitable candidate for the violinist due to biological compatibility)</w:t>
      </w:r>
      <w:r w:rsidR="00420A9A">
        <w:rPr>
          <w:rFonts w:ascii="Calibri" w:hAnsi="Calibri"/>
          <w:color w:val="333333"/>
        </w:rPr>
        <w:t xml:space="preserve">, who requires the use of their organs in order to avoid certain death.  The reader is granted the option to </w:t>
      </w:r>
      <w:r w:rsidR="00C060ED">
        <w:rPr>
          <w:rFonts w:ascii="Calibri" w:hAnsi="Calibri"/>
          <w:color w:val="333333"/>
        </w:rPr>
        <w:t xml:space="preserve">physically </w:t>
      </w:r>
      <w:r w:rsidR="00420A9A">
        <w:rPr>
          <w:rFonts w:ascii="Calibri" w:hAnsi="Calibri"/>
          <w:color w:val="333333"/>
        </w:rPr>
        <w:t>disconnect themselves from the violinist which will certainly mean his life will end, and so is the thought experiment.</w:t>
      </w:r>
      <w:r w:rsidR="00154E6E">
        <w:rPr>
          <w:rFonts w:ascii="Calibri" w:hAnsi="Calibri"/>
          <w:color w:val="333333"/>
        </w:rPr>
        <w:t xml:space="preserve">  I do not believe this to be a fair analogy as the circumstances of that in the thought experiment are quite different from those surrounding pregnancy.</w:t>
      </w:r>
    </w:p>
    <w:p w:rsidR="00C060ED" w:rsidRDefault="00C060ED" w:rsidP="00C060ED">
      <w:pPr>
        <w:pStyle w:val="NormalWeb"/>
        <w:ind w:firstLine="720"/>
        <w:rPr>
          <w:rFonts w:ascii="Calibri" w:hAnsi="Calibri"/>
          <w:color w:val="333333"/>
        </w:rPr>
      </w:pPr>
      <w:r>
        <w:rPr>
          <w:rFonts w:ascii="Calibri" w:hAnsi="Calibri"/>
          <w:color w:val="333333"/>
        </w:rPr>
        <w:t xml:space="preserve">This </w:t>
      </w:r>
      <w:r w:rsidR="00145CFD">
        <w:rPr>
          <w:rFonts w:ascii="Calibri" w:hAnsi="Calibri"/>
          <w:color w:val="333333"/>
        </w:rPr>
        <w:t>scenario</w:t>
      </w:r>
      <w:r>
        <w:rPr>
          <w:rFonts w:ascii="Calibri" w:hAnsi="Calibri"/>
          <w:color w:val="333333"/>
        </w:rPr>
        <w:t xml:space="preserve"> </w:t>
      </w:r>
      <w:r w:rsidR="00145CFD">
        <w:rPr>
          <w:rFonts w:ascii="Calibri" w:hAnsi="Calibri"/>
          <w:color w:val="333333"/>
        </w:rPr>
        <w:t>treats</w:t>
      </w:r>
      <w:r>
        <w:rPr>
          <w:rFonts w:ascii="Calibri" w:hAnsi="Calibri"/>
          <w:color w:val="333333"/>
        </w:rPr>
        <w:t xml:space="preserve"> the moral issue at hand as though </w:t>
      </w:r>
      <w:r w:rsidR="00A21766">
        <w:rPr>
          <w:rFonts w:ascii="Calibri" w:hAnsi="Calibri"/>
          <w:color w:val="333333"/>
        </w:rPr>
        <w:t>the mother’s obligation</w:t>
      </w:r>
      <w:r>
        <w:rPr>
          <w:rFonts w:ascii="Calibri" w:hAnsi="Calibri"/>
          <w:color w:val="333333"/>
        </w:rPr>
        <w:t xml:space="preserve"> </w:t>
      </w:r>
      <w:r w:rsidR="00A21766">
        <w:rPr>
          <w:rFonts w:ascii="Calibri" w:hAnsi="Calibri"/>
          <w:color w:val="333333"/>
        </w:rPr>
        <w:t>to her unborn child needs to be rea</w:t>
      </w:r>
      <w:r w:rsidR="00BF494D">
        <w:rPr>
          <w:rFonts w:ascii="Calibri" w:hAnsi="Calibri"/>
          <w:color w:val="333333"/>
        </w:rPr>
        <w:t>lised and allowed by the mother</w:t>
      </w:r>
      <w:r w:rsidR="00A21766">
        <w:rPr>
          <w:rFonts w:ascii="Calibri" w:hAnsi="Calibri"/>
          <w:color w:val="333333"/>
        </w:rPr>
        <w:t xml:space="preserve"> in order for it to have any moral force.  This goes against internalist views that would claim that the moral motivation, and subsequently moral obligation in this situation, would reside within the judgement that </w:t>
      </w:r>
      <w:r w:rsidR="00A21766">
        <w:rPr>
          <w:rFonts w:ascii="Calibri" w:hAnsi="Calibri"/>
          <w:color w:val="333333"/>
        </w:rPr>
        <w:lastRenderedPageBreak/>
        <w:t xml:space="preserve">killing a person is wrong.  From an internalist’s position, acknowledging the truth-aptness of this judgement would be enough to compel a person to avoid abortion.  Surely if a fetus is a person, and ending a person’s life prematurely is wrong and immoral, then ending a fetus’s life prematurely is wrong and immoral.  An obligation has moral force beyond any voluntary consent </w:t>
      </w:r>
      <w:r w:rsidR="005C69E5">
        <w:rPr>
          <w:rFonts w:ascii="Calibri" w:hAnsi="Calibri"/>
          <w:color w:val="333333"/>
        </w:rPr>
        <w:t>of the person or persons involved.</w:t>
      </w:r>
    </w:p>
    <w:p w:rsidR="005C69E5" w:rsidRDefault="005C69E5" w:rsidP="00C060ED">
      <w:pPr>
        <w:pStyle w:val="NormalWeb"/>
        <w:ind w:firstLine="720"/>
        <w:rPr>
          <w:rFonts w:ascii="Calibri" w:hAnsi="Calibri"/>
          <w:color w:val="333333"/>
        </w:rPr>
      </w:pPr>
      <w:r>
        <w:rPr>
          <w:rFonts w:ascii="Calibri" w:hAnsi="Calibri"/>
          <w:color w:val="333333"/>
        </w:rPr>
        <w:t>No current form of contraception is guaranteed to prevent pregnancy, therefore if two people engage in a consensual sexual act, both parties must recognise that they are committing themselves to a potential moral obligation towards another person and the sustenance of another human life if the act results in a pregnancy.  Pregnancy is implied by</w:t>
      </w:r>
      <w:r w:rsidR="00E30071">
        <w:rPr>
          <w:rFonts w:ascii="Calibri" w:hAnsi="Calibri"/>
          <w:color w:val="333333"/>
        </w:rPr>
        <w:t xml:space="preserve"> engaging in sexual intercourse</w:t>
      </w:r>
      <w:r>
        <w:rPr>
          <w:rFonts w:ascii="Calibri" w:hAnsi="Calibri"/>
          <w:color w:val="333333"/>
        </w:rPr>
        <w:t xml:space="preserve"> and should therefore be recognised as a tacitly agreed upon </w:t>
      </w:r>
      <w:r w:rsidR="00BF494D">
        <w:rPr>
          <w:rFonts w:ascii="Calibri" w:hAnsi="Calibri"/>
          <w:color w:val="333333"/>
        </w:rPr>
        <w:t xml:space="preserve">possible </w:t>
      </w:r>
      <w:r>
        <w:rPr>
          <w:rFonts w:ascii="Calibri" w:hAnsi="Calibri"/>
          <w:color w:val="333333"/>
        </w:rPr>
        <w:t>outcome by both parties.  (</w:t>
      </w:r>
      <w:r w:rsidR="00145CFD">
        <w:rPr>
          <w:rFonts w:ascii="Calibri" w:hAnsi="Calibri"/>
          <w:color w:val="333333"/>
        </w:rPr>
        <w:t>Despite s</w:t>
      </w:r>
      <w:r>
        <w:rPr>
          <w:rFonts w:ascii="Calibri" w:hAnsi="Calibri"/>
          <w:color w:val="333333"/>
        </w:rPr>
        <w:t>exual intercourse</w:t>
      </w:r>
      <w:r w:rsidR="00145CFD">
        <w:rPr>
          <w:rFonts w:ascii="Calibri" w:hAnsi="Calibri"/>
          <w:color w:val="333333"/>
        </w:rPr>
        <w:t>, fertilisation, and pregnancy being temporally distinct events, sexual intercopurse</w:t>
      </w:r>
      <w:r>
        <w:rPr>
          <w:rFonts w:ascii="Calibri" w:hAnsi="Calibri"/>
          <w:color w:val="333333"/>
        </w:rPr>
        <w:t xml:space="preserve"> and pregnancy are causally related, therefore one could argue that the moral obligation towards raising a child is already built into the sexual act.)</w:t>
      </w:r>
      <w:r w:rsidR="00B329AB">
        <w:rPr>
          <w:rFonts w:ascii="Calibri" w:hAnsi="Calibri"/>
          <w:color w:val="333333"/>
        </w:rPr>
        <w:t xml:space="preserve"> This being the case, Thomson’</w:t>
      </w:r>
      <w:r w:rsidR="00145CFD">
        <w:rPr>
          <w:rFonts w:ascii="Calibri" w:hAnsi="Calibri"/>
          <w:color w:val="333333"/>
        </w:rPr>
        <w:t>s thought experiment fails</w:t>
      </w:r>
      <w:r w:rsidR="00B329AB">
        <w:rPr>
          <w:rFonts w:ascii="Calibri" w:hAnsi="Calibri"/>
          <w:color w:val="333333"/>
        </w:rPr>
        <w:t xml:space="preserve"> on the grounds that it does not accurately reflect the reality of such circumstances.  Her analogy is better suited to cases of pregnancy by rape whereby the expectant mother has not once consented to the use of her body for the initial sexual act, and neither, in turn, for the gestational period of a baby’s development.  This leaves the thought experiment capable of applying to a very narrow number of </w:t>
      </w:r>
      <w:r w:rsidR="00BF494D">
        <w:rPr>
          <w:rFonts w:ascii="Calibri" w:hAnsi="Calibri"/>
          <w:color w:val="333333"/>
        </w:rPr>
        <w:t>instances</w:t>
      </w:r>
      <w:r w:rsidR="00B329AB">
        <w:rPr>
          <w:rFonts w:ascii="Calibri" w:hAnsi="Calibri"/>
          <w:color w:val="333333"/>
        </w:rPr>
        <w:t xml:space="preserve"> of abortion and should maybe be aimed more directly at such cases.</w:t>
      </w:r>
    </w:p>
    <w:p w:rsidR="00E30071" w:rsidRDefault="00E30071" w:rsidP="00C060ED">
      <w:pPr>
        <w:pStyle w:val="NormalWeb"/>
        <w:ind w:firstLine="720"/>
        <w:rPr>
          <w:rFonts w:ascii="Calibri" w:hAnsi="Calibri"/>
          <w:color w:val="333333"/>
        </w:rPr>
      </w:pPr>
      <w:r>
        <w:rPr>
          <w:rFonts w:ascii="Calibri" w:hAnsi="Calibri"/>
          <w:color w:val="333333"/>
        </w:rPr>
        <w:t>Thomson unfairly denotes a particular social status to the other person in question in her thought experiment, which could draw out biased conclusions from her readers.  The fact that she uses a famous violinist in her argument clouds the real issue at hand, which is to appoint a right to life for a fetus</w:t>
      </w:r>
      <w:r w:rsidR="008B5DCF">
        <w:rPr>
          <w:rFonts w:ascii="Calibri" w:hAnsi="Calibri"/>
          <w:color w:val="333333"/>
        </w:rPr>
        <w:t xml:space="preserve">, and to weigh it against the Mother’s right </w:t>
      </w:r>
      <w:r w:rsidR="00492468">
        <w:rPr>
          <w:rFonts w:ascii="Calibri" w:hAnsi="Calibri"/>
          <w:color w:val="333333"/>
        </w:rPr>
        <w:t xml:space="preserve">to </w:t>
      </w:r>
      <w:r w:rsidR="008B5DCF">
        <w:rPr>
          <w:rFonts w:ascii="Calibri" w:hAnsi="Calibri"/>
          <w:color w:val="333333"/>
        </w:rPr>
        <w:t>her own body</w:t>
      </w:r>
      <w:r>
        <w:rPr>
          <w:rFonts w:ascii="Calibri" w:hAnsi="Calibri"/>
          <w:color w:val="333333"/>
        </w:rPr>
        <w:t>.  In its mere potentiality, the fetus could grow up to be something of a drain on society, never working or paying taxes</w:t>
      </w:r>
      <w:r w:rsidR="00A072CF">
        <w:rPr>
          <w:rFonts w:ascii="Calibri" w:hAnsi="Calibri"/>
          <w:color w:val="333333"/>
        </w:rPr>
        <w:t xml:space="preserve">, or being criminally active.  On the other hand, it may become an extremely wealthy philanthropist and help developing countries with educational and economic strategies which some people would value over that of the existence of a famous violinist (but this again would be with something of a utilitarian consideration).  We cannot compare the violinist’s social position to that of </w:t>
      </w:r>
      <w:r w:rsidR="00145CFD">
        <w:rPr>
          <w:rFonts w:ascii="Calibri" w:hAnsi="Calibri"/>
          <w:color w:val="333333"/>
        </w:rPr>
        <w:t xml:space="preserve">the </w:t>
      </w:r>
      <w:r w:rsidR="00A072CF">
        <w:rPr>
          <w:rFonts w:ascii="Calibri" w:hAnsi="Calibri"/>
          <w:color w:val="333333"/>
        </w:rPr>
        <w:t>mere potentiality</w:t>
      </w:r>
      <w:r w:rsidR="00145CFD">
        <w:rPr>
          <w:rFonts w:ascii="Calibri" w:hAnsi="Calibri"/>
          <w:color w:val="333333"/>
        </w:rPr>
        <w:t xml:space="preserve"> of the fetus</w:t>
      </w:r>
      <w:r w:rsidR="00A072CF">
        <w:rPr>
          <w:rFonts w:ascii="Calibri" w:hAnsi="Calibri"/>
          <w:color w:val="333333"/>
        </w:rPr>
        <w:t xml:space="preserve">, therefore it is wise to reduce their distinct existences to only those of human lives and nothing more, with no further social connotations.  This considered, and due to the fact that the fetus is a human being or person from the very moment of conception, </w:t>
      </w:r>
      <w:r w:rsidR="005E27F5">
        <w:rPr>
          <w:rFonts w:ascii="Calibri" w:hAnsi="Calibri"/>
          <w:color w:val="333333"/>
        </w:rPr>
        <w:t>both fetus and famous violinist</w:t>
      </w:r>
      <w:r w:rsidR="00A072CF">
        <w:rPr>
          <w:rFonts w:ascii="Calibri" w:hAnsi="Calibri"/>
          <w:color w:val="333333"/>
        </w:rPr>
        <w:t xml:space="preserve"> are of equal value and moral consideration.</w:t>
      </w:r>
    </w:p>
    <w:p w:rsidR="00492468" w:rsidRDefault="00492468" w:rsidP="00C060ED">
      <w:pPr>
        <w:pStyle w:val="NormalWeb"/>
        <w:ind w:firstLine="720"/>
        <w:rPr>
          <w:rFonts w:ascii="Calibri" w:hAnsi="Calibri"/>
          <w:color w:val="333333"/>
        </w:rPr>
      </w:pPr>
      <w:r>
        <w:rPr>
          <w:rFonts w:ascii="Calibri" w:hAnsi="Calibri"/>
          <w:color w:val="333333"/>
        </w:rPr>
        <w:t>When weighing a woman’s right to her body against a fetus’s right to life, the violini</w:t>
      </w:r>
      <w:r w:rsidR="002403C6">
        <w:rPr>
          <w:rFonts w:ascii="Calibri" w:hAnsi="Calibri"/>
          <w:color w:val="333333"/>
        </w:rPr>
        <w:t xml:space="preserve">st analogy </w:t>
      </w:r>
      <w:r w:rsidR="00145CFD">
        <w:rPr>
          <w:rFonts w:ascii="Calibri" w:hAnsi="Calibri"/>
          <w:color w:val="333333"/>
        </w:rPr>
        <w:t xml:space="preserve">again </w:t>
      </w:r>
      <w:r>
        <w:rPr>
          <w:rFonts w:ascii="Calibri" w:hAnsi="Calibri"/>
          <w:color w:val="333333"/>
        </w:rPr>
        <w:t xml:space="preserve">fails to represent the situation for a pregnant woman accurately.  There is an enormous distinction between </w:t>
      </w:r>
      <w:r w:rsidR="00573BAA">
        <w:rPr>
          <w:rFonts w:ascii="Calibri" w:hAnsi="Calibri"/>
          <w:color w:val="333333"/>
        </w:rPr>
        <w:t xml:space="preserve">withdrawing yourself from a situation resulting in the loss of a human life, and </w:t>
      </w:r>
      <w:r w:rsidR="002403C6">
        <w:rPr>
          <w:rFonts w:ascii="Calibri" w:hAnsi="Calibri"/>
          <w:color w:val="333333"/>
        </w:rPr>
        <w:t xml:space="preserve">directly </w:t>
      </w:r>
      <w:r w:rsidR="00573BAA">
        <w:rPr>
          <w:rFonts w:ascii="Calibri" w:hAnsi="Calibri"/>
          <w:color w:val="333333"/>
        </w:rPr>
        <w:t xml:space="preserve">ending a human life.  Although consequentially both actions precede the same outcome, there is a significant moral difference between killing, and letting die.  If </w:t>
      </w:r>
      <w:r w:rsidR="00163106">
        <w:rPr>
          <w:rFonts w:ascii="Calibri" w:hAnsi="Calibri"/>
          <w:color w:val="333333"/>
        </w:rPr>
        <w:t xml:space="preserve">a </w:t>
      </w:r>
      <w:r w:rsidR="00573BAA">
        <w:rPr>
          <w:rFonts w:ascii="Calibri" w:hAnsi="Calibri"/>
          <w:color w:val="333333"/>
        </w:rPr>
        <w:t xml:space="preserve">pregnancy were the result of consensual sex, the fact that </w:t>
      </w:r>
      <w:r w:rsidR="00163106">
        <w:rPr>
          <w:rFonts w:ascii="Calibri" w:hAnsi="Calibri"/>
          <w:color w:val="333333"/>
        </w:rPr>
        <w:t>the obligation towards a fetus is built in to the sexual act</w:t>
      </w:r>
      <w:r w:rsidR="008F02EA">
        <w:rPr>
          <w:rFonts w:ascii="Calibri" w:hAnsi="Calibri"/>
          <w:color w:val="333333"/>
        </w:rPr>
        <w:t xml:space="preserve"> means that the woman has already given</w:t>
      </w:r>
      <w:r w:rsidR="00163106">
        <w:rPr>
          <w:rFonts w:ascii="Calibri" w:hAnsi="Calibri"/>
          <w:color w:val="333333"/>
        </w:rPr>
        <w:t xml:space="preserve"> the fetus a right to her body </w:t>
      </w:r>
      <w:r w:rsidR="008F02EA">
        <w:rPr>
          <w:rFonts w:ascii="Calibri" w:hAnsi="Calibri"/>
          <w:color w:val="333333"/>
        </w:rPr>
        <w:t>for the duration of the pregnancy simply due to the possibility of it.</w:t>
      </w:r>
      <w:r w:rsidR="00583C95">
        <w:rPr>
          <w:rFonts w:ascii="Calibri" w:hAnsi="Calibri"/>
          <w:color w:val="333333"/>
        </w:rPr>
        <w:t xml:space="preserve">  Admittedly</w:t>
      </w:r>
      <w:r w:rsidR="001146F6">
        <w:rPr>
          <w:rFonts w:ascii="Calibri" w:hAnsi="Calibri"/>
          <w:color w:val="333333"/>
        </w:rPr>
        <w:t>, one person’s right to life does not typically outweigh another’s, and this is the main point that Thomson is trying to make.</w:t>
      </w:r>
      <w:r w:rsidR="001B0D8C">
        <w:rPr>
          <w:rFonts w:ascii="Calibri" w:hAnsi="Calibri"/>
          <w:color w:val="333333"/>
        </w:rPr>
        <w:t xml:space="preserve">  However, despite her thorough exploration of </w:t>
      </w:r>
      <w:r w:rsidR="001B0D8C">
        <w:rPr>
          <w:rFonts w:ascii="Calibri" w:hAnsi="Calibri"/>
          <w:color w:val="333333"/>
        </w:rPr>
        <w:lastRenderedPageBreak/>
        <w:t>arguments surrounding the right to life, her analogies reduce the bond between mother an</w:t>
      </w:r>
      <w:r w:rsidR="004C3255">
        <w:rPr>
          <w:rFonts w:ascii="Calibri" w:hAnsi="Calibri"/>
          <w:color w:val="333333"/>
        </w:rPr>
        <w:t xml:space="preserve">d child to that of a brutally </w:t>
      </w:r>
      <w:r w:rsidR="001B0D8C">
        <w:rPr>
          <w:rFonts w:ascii="Calibri" w:hAnsi="Calibri"/>
          <w:color w:val="333333"/>
        </w:rPr>
        <w:t xml:space="preserve">disconnected </w:t>
      </w:r>
      <w:r w:rsidR="004C3255">
        <w:rPr>
          <w:rFonts w:ascii="Calibri" w:hAnsi="Calibri"/>
          <w:color w:val="333333"/>
        </w:rPr>
        <w:t xml:space="preserve">and ambiguous relationship.  She </w:t>
      </w:r>
      <w:r w:rsidR="009C3400">
        <w:rPr>
          <w:rFonts w:ascii="Calibri" w:hAnsi="Calibri"/>
          <w:color w:val="333333"/>
        </w:rPr>
        <w:t xml:space="preserve">also </w:t>
      </w:r>
      <w:r w:rsidR="004C3255">
        <w:rPr>
          <w:rFonts w:ascii="Calibri" w:hAnsi="Calibri"/>
          <w:color w:val="333333"/>
        </w:rPr>
        <w:t>stretches the time frame for the right of the use of a mother’s body beyond reasonable limits in order to convey her argument</w:t>
      </w:r>
      <w:r w:rsidR="00F20A0F">
        <w:rPr>
          <w:rFonts w:ascii="Calibri" w:hAnsi="Calibri"/>
          <w:color w:val="333333"/>
        </w:rPr>
        <w:t>,</w:t>
      </w:r>
      <w:r w:rsidR="004C3255">
        <w:rPr>
          <w:rFonts w:ascii="Calibri" w:hAnsi="Calibri"/>
          <w:color w:val="333333"/>
        </w:rPr>
        <w:t xml:space="preserve"> to that of a</w:t>
      </w:r>
      <w:r w:rsidR="006729F5">
        <w:rPr>
          <w:rFonts w:ascii="Calibri" w:hAnsi="Calibri"/>
          <w:color w:val="333333"/>
        </w:rPr>
        <w:t>n i</w:t>
      </w:r>
      <w:r w:rsidR="009C3400">
        <w:rPr>
          <w:rFonts w:ascii="Calibri" w:hAnsi="Calibri"/>
          <w:color w:val="333333"/>
        </w:rPr>
        <w:t>ndefinite pregnancy.  This is again</w:t>
      </w:r>
      <w:r w:rsidR="006729F5">
        <w:rPr>
          <w:rFonts w:ascii="Calibri" w:hAnsi="Calibri"/>
          <w:color w:val="333333"/>
        </w:rPr>
        <w:t xml:space="preserve"> unreasonable, as it is not even remotely possible that such a pregnancy would occur, and if that were the case it would need to be argued under those considerations only.  Despite the fact that parents may have an indefinite obligation to their children eve</w:t>
      </w:r>
      <w:r w:rsidR="00145CFD">
        <w:rPr>
          <w:rFonts w:ascii="Calibri" w:hAnsi="Calibri"/>
          <w:color w:val="333333"/>
        </w:rPr>
        <w:t>n after birth, it is</w:t>
      </w:r>
      <w:r w:rsidR="006729F5">
        <w:rPr>
          <w:rFonts w:ascii="Calibri" w:hAnsi="Calibri"/>
          <w:color w:val="333333"/>
        </w:rPr>
        <w:t xml:space="preserve"> not a fair argument due to the fact that the specific right to use of the mother’s body does not necessarily extend beyond birth – it is simply the nine month pregnancy in question.</w:t>
      </w:r>
      <w:r w:rsidR="001D6421">
        <w:rPr>
          <w:rFonts w:ascii="Calibri" w:hAnsi="Calibri"/>
          <w:color w:val="333333"/>
        </w:rPr>
        <w:t xml:space="preserve">  Thomson also does not bother to mention the fact that pregnancy and the emotional attachments extend to the father of the baby – she considers the entire process only from the mother’s point of view, as though if she decided to abort the pregnancy that it would only be in light of how she felt about preserving her bodily integrity, and nothing to do with the fact that men simply cannot conceive and would need to rely on the abandonment of a woman’s bodily integrity (if that is indeed how one interprets one of the most beautiful and natural elements of our existence) in order to ever become a father.</w:t>
      </w:r>
      <w:bookmarkStart w:id="0" w:name="_GoBack"/>
      <w:bookmarkEnd w:id="0"/>
    </w:p>
    <w:p w:rsidR="009C3400" w:rsidRDefault="00F20A0F" w:rsidP="00C060ED">
      <w:pPr>
        <w:pStyle w:val="NormalWeb"/>
        <w:ind w:firstLine="720"/>
        <w:rPr>
          <w:rFonts w:ascii="Calibri" w:hAnsi="Calibri"/>
          <w:color w:val="333333"/>
        </w:rPr>
      </w:pPr>
      <w:r>
        <w:rPr>
          <w:rFonts w:ascii="Calibri" w:hAnsi="Calibri"/>
          <w:color w:val="333333"/>
        </w:rPr>
        <w:t>Thomson concludes her argument by stating “we have only been pretending throughout that the fetus is a human being from the moment of conception.  A very early abortion is surely not the killing of a person, and so is not dealt with by anything I have said here”</w:t>
      </w:r>
      <w:r>
        <w:rPr>
          <w:rStyle w:val="FootnoteReference"/>
          <w:rFonts w:ascii="Calibri" w:hAnsi="Calibri"/>
          <w:color w:val="333333"/>
        </w:rPr>
        <w:footnoteReference w:id="7"/>
      </w:r>
      <w:r w:rsidR="00707503">
        <w:rPr>
          <w:rFonts w:ascii="Calibri" w:hAnsi="Calibri"/>
          <w:color w:val="333333"/>
        </w:rPr>
        <w:t xml:space="preserve">.  As previously stated, the fetus </w:t>
      </w:r>
      <w:r w:rsidR="00707503">
        <w:rPr>
          <w:rFonts w:ascii="Calibri" w:hAnsi="Calibri"/>
          <w:i/>
          <w:color w:val="333333"/>
        </w:rPr>
        <w:t>is</w:t>
      </w:r>
      <w:r w:rsidR="00707503">
        <w:rPr>
          <w:rFonts w:ascii="Calibri" w:hAnsi="Calibri"/>
          <w:color w:val="333333"/>
        </w:rPr>
        <w:t xml:space="preserve"> a human being from the moment of conception, and s</w:t>
      </w:r>
      <w:r w:rsidR="009C3400">
        <w:rPr>
          <w:rFonts w:ascii="Calibri" w:hAnsi="Calibri"/>
          <w:color w:val="333333"/>
        </w:rPr>
        <w:t>o her conclusion is incorrect.  Her liberal view is quite concerning, as if she is unable to denote a particular point during the baby’s development where it is all of a sudden</w:t>
      </w:r>
      <w:r w:rsidR="00EE340F">
        <w:rPr>
          <w:rFonts w:ascii="Calibri" w:hAnsi="Calibri"/>
          <w:color w:val="333333"/>
        </w:rPr>
        <w:t xml:space="preserve"> a person, </w:t>
      </w:r>
      <w:r w:rsidR="009C3400">
        <w:rPr>
          <w:rFonts w:ascii="Calibri" w:hAnsi="Calibri"/>
          <w:color w:val="333333"/>
        </w:rPr>
        <w:t xml:space="preserve">and </w:t>
      </w:r>
      <w:r w:rsidR="00EE340F">
        <w:rPr>
          <w:rFonts w:ascii="Calibri" w:hAnsi="Calibri"/>
          <w:color w:val="333333"/>
        </w:rPr>
        <w:t xml:space="preserve">that </w:t>
      </w:r>
      <w:r w:rsidR="009C3400">
        <w:rPr>
          <w:rFonts w:ascii="Calibri" w:hAnsi="Calibri"/>
          <w:color w:val="333333"/>
        </w:rPr>
        <w:t>prior to this point in time it was not</w:t>
      </w:r>
      <w:r w:rsidR="00EE340F">
        <w:rPr>
          <w:rFonts w:ascii="Calibri" w:hAnsi="Calibri"/>
          <w:color w:val="333333"/>
        </w:rPr>
        <w:t xml:space="preserve"> a person</w:t>
      </w:r>
      <w:r w:rsidR="009C3400">
        <w:rPr>
          <w:rFonts w:ascii="Calibri" w:hAnsi="Calibri"/>
          <w:color w:val="333333"/>
        </w:rPr>
        <w:t xml:space="preserve">, it is unclear as to whether </w:t>
      </w:r>
      <w:r w:rsidR="00EE340F">
        <w:rPr>
          <w:rFonts w:ascii="Calibri" w:hAnsi="Calibri"/>
          <w:color w:val="333333"/>
        </w:rPr>
        <w:t>this is then more synonymous with a case of murder.  Pro-abortionists may argue that the fetus does not look like a human in its early developmental stages and that it is this lack of human similarity that divorces it from moral status, yet I would argue that even in the very earliest of its days, a fetus look exactly the way a human being should at that point in time.  We readily accept that our bodies change and that we look different throughout our entire lives, yet we can somehow fail to recognise a fetus as being a human person.</w:t>
      </w:r>
    </w:p>
    <w:p w:rsidR="00FA76F5" w:rsidRDefault="00707503" w:rsidP="00EE340F">
      <w:pPr>
        <w:pStyle w:val="NormalWeb"/>
        <w:ind w:firstLine="720"/>
        <w:rPr>
          <w:rFonts w:ascii="Calibri" w:hAnsi="Calibri"/>
          <w:color w:val="333333"/>
        </w:rPr>
      </w:pPr>
      <w:r>
        <w:rPr>
          <w:rFonts w:ascii="Calibri" w:hAnsi="Calibri"/>
          <w:color w:val="333333"/>
        </w:rPr>
        <w:t>Despite a thorough</w:t>
      </w:r>
      <w:r w:rsidR="000F2717">
        <w:rPr>
          <w:rFonts w:ascii="Calibri" w:hAnsi="Calibri"/>
          <w:color w:val="333333"/>
        </w:rPr>
        <w:t xml:space="preserve"> exploration of the right of another to use one’s body to sustain their life, it does not properly encapsulate the situation of an expectant mother.  Her argument is definitely more suited to cases of pregnancy by rape whereby the mother has not tacitly consented to the use of her body for sex or the gestation of a baby, yet under typical circumstances of consensual sex, it needs to be recognised that the fetus </w:t>
      </w:r>
      <w:r w:rsidR="000F2717">
        <w:rPr>
          <w:rFonts w:ascii="Calibri" w:hAnsi="Calibri"/>
          <w:i/>
          <w:color w:val="333333"/>
        </w:rPr>
        <w:t>does</w:t>
      </w:r>
      <w:r w:rsidR="000F2717">
        <w:rPr>
          <w:rFonts w:ascii="Calibri" w:hAnsi="Calibri"/>
          <w:color w:val="333333"/>
        </w:rPr>
        <w:t xml:space="preserve"> have a right to life, equal of that to the mother’s right to life.  Should the mother’</w:t>
      </w:r>
      <w:r w:rsidR="009C3400">
        <w:rPr>
          <w:rFonts w:ascii="Calibri" w:hAnsi="Calibri"/>
          <w:color w:val="333333"/>
        </w:rPr>
        <w:t>s life be jeopardised</w:t>
      </w:r>
      <w:r w:rsidR="000F2717">
        <w:rPr>
          <w:rFonts w:ascii="Calibri" w:hAnsi="Calibri"/>
          <w:color w:val="333333"/>
        </w:rPr>
        <w:t xml:space="preserve"> by the pregnancy, that may just have to be accepted as another possibility built into the initial sexual act, as is the possibility of pregnancy.</w:t>
      </w:r>
    </w:p>
    <w:p w:rsidR="00FA76F5" w:rsidRDefault="00FA76F5">
      <w:pPr>
        <w:rPr>
          <w:rFonts w:ascii="Calibri" w:eastAsia="Times New Roman" w:hAnsi="Calibri" w:cs="Times New Roman"/>
          <w:color w:val="333333"/>
          <w:lang w:eastAsia="en-GB"/>
        </w:rPr>
      </w:pPr>
      <w:r>
        <w:rPr>
          <w:rFonts w:ascii="Calibri" w:hAnsi="Calibri"/>
          <w:color w:val="333333"/>
        </w:rPr>
        <w:br w:type="page"/>
      </w:r>
    </w:p>
    <w:p w:rsidR="00FA76F5" w:rsidRDefault="00FA76F5" w:rsidP="00FA76F5">
      <w:pPr>
        <w:pStyle w:val="NormalWeb"/>
        <w:rPr>
          <w:rFonts w:ascii="Calibri" w:hAnsi="Calibri"/>
          <w:b/>
          <w:color w:val="333333"/>
          <w:sz w:val="28"/>
          <w:szCs w:val="28"/>
          <w:u w:val="single"/>
        </w:rPr>
      </w:pPr>
      <w:r w:rsidRPr="00FA76F5">
        <w:rPr>
          <w:rFonts w:ascii="Calibri" w:hAnsi="Calibri"/>
          <w:b/>
          <w:color w:val="333333"/>
          <w:sz w:val="28"/>
          <w:szCs w:val="28"/>
          <w:u w:val="single"/>
        </w:rPr>
        <w:lastRenderedPageBreak/>
        <w:t>Bibliography</w:t>
      </w:r>
    </w:p>
    <w:p w:rsidR="00FA76F5" w:rsidRPr="00FA76F5" w:rsidRDefault="00FA76F5" w:rsidP="00FA76F5">
      <w:pPr>
        <w:pStyle w:val="NormalWeb"/>
        <w:rPr>
          <w:rFonts w:ascii="Calibri" w:hAnsi="Calibri"/>
          <w:b/>
          <w:color w:val="333333"/>
          <w:u w:val="single"/>
        </w:rPr>
      </w:pPr>
      <w:r w:rsidRPr="00FA76F5">
        <w:rPr>
          <w:rFonts w:ascii="Calibri" w:hAnsi="Calibri" w:cs="Arial"/>
          <w:color w:val="000000" w:themeColor="text1"/>
          <w:shd w:val="clear" w:color="auto" w:fill="FFFFFF"/>
        </w:rPr>
        <w:t>Motluk, A. (2006). Abortion: Science, politics and morality collide. </w:t>
      </w:r>
      <w:r w:rsidRPr="00FA76F5">
        <w:rPr>
          <w:rFonts w:ascii="Calibri" w:hAnsi="Calibri" w:cs="Arial"/>
          <w:i/>
          <w:iCs/>
          <w:color w:val="000000" w:themeColor="text1"/>
        </w:rPr>
        <w:t>New Scientist</w:t>
      </w:r>
      <w:r w:rsidRPr="00FA76F5">
        <w:rPr>
          <w:rFonts w:ascii="Calibri" w:hAnsi="Calibri" w:cs="Arial"/>
          <w:color w:val="000000" w:themeColor="text1"/>
          <w:shd w:val="clear" w:color="auto" w:fill="FFFFFF"/>
        </w:rPr>
        <w:t>, [online] (2543). Available at: https://www.newscientist.com/article/dn8865-abortion-science-politics-and-morality-collide/ [Accessed 24 Mar. 2018].</w:t>
      </w:r>
    </w:p>
    <w:p w:rsidR="00FA76F5" w:rsidRDefault="00FA76F5" w:rsidP="00FA76F5">
      <w:pPr>
        <w:pStyle w:val="NormalWeb"/>
        <w:rPr>
          <w:rFonts w:ascii="Calibri" w:hAnsi="Calibri"/>
        </w:rPr>
      </w:pPr>
      <w:r w:rsidRPr="00FA76F5">
        <w:rPr>
          <w:rFonts w:ascii="Calibri" w:hAnsi="Calibri"/>
        </w:rPr>
        <w:t>Thomson, Judith Jarvis. “A Defense of Abortion.” </w:t>
      </w:r>
      <w:r w:rsidRPr="00FA76F5">
        <w:rPr>
          <w:rFonts w:ascii="Calibri" w:hAnsi="Calibri"/>
          <w:i/>
          <w:iCs/>
        </w:rPr>
        <w:t>Philosophy &amp; Public Affairs</w:t>
      </w:r>
      <w:r w:rsidRPr="00FA76F5">
        <w:rPr>
          <w:rFonts w:ascii="Calibri" w:hAnsi="Calibri"/>
        </w:rPr>
        <w:t>, vol. 1, no. 1, 1971, pp. 47-66. </w:t>
      </w:r>
      <w:r w:rsidRPr="00FA76F5">
        <w:rPr>
          <w:rFonts w:ascii="Calibri" w:hAnsi="Calibri"/>
          <w:i/>
          <w:iCs/>
        </w:rPr>
        <w:t>JSTOR</w:t>
      </w:r>
      <w:r w:rsidRPr="00FA76F5">
        <w:rPr>
          <w:rFonts w:ascii="Calibri" w:hAnsi="Calibri"/>
        </w:rPr>
        <w:t xml:space="preserve">, JSTOR, </w:t>
      </w:r>
      <w:r>
        <w:rPr>
          <w:rFonts w:ascii="Calibri" w:hAnsi="Calibri"/>
        </w:rPr>
        <w:t>www.jstor.org/stable/2265091</w:t>
      </w:r>
      <w:r w:rsidRPr="00FA76F5">
        <w:rPr>
          <w:rFonts w:ascii="Calibri" w:hAnsi="Calibri"/>
        </w:rPr>
        <w:t>.</w:t>
      </w:r>
    </w:p>
    <w:sectPr w:rsidR="00FA76F5" w:rsidSect="0099467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10D" w:rsidRDefault="00B4710D" w:rsidP="001A6DD6">
      <w:r>
        <w:separator/>
      </w:r>
    </w:p>
  </w:endnote>
  <w:endnote w:type="continuationSeparator" w:id="0">
    <w:p w:rsidR="00B4710D" w:rsidRDefault="00B4710D" w:rsidP="001A6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10D" w:rsidRDefault="00B4710D" w:rsidP="001A6DD6">
      <w:r>
        <w:separator/>
      </w:r>
    </w:p>
  </w:footnote>
  <w:footnote w:type="continuationSeparator" w:id="0">
    <w:p w:rsidR="00B4710D" w:rsidRDefault="00B4710D" w:rsidP="001A6DD6">
      <w:r>
        <w:continuationSeparator/>
      </w:r>
    </w:p>
  </w:footnote>
  <w:footnote w:id="1">
    <w:p w:rsidR="00D02453" w:rsidRDefault="00D02453" w:rsidP="00B722D0">
      <w:pPr>
        <w:rPr>
          <w:rFonts w:ascii="Calibri" w:eastAsia="Times New Roman" w:hAnsi="Calibri" w:cs="Arial"/>
          <w:color w:val="000000" w:themeColor="text1"/>
          <w:sz w:val="20"/>
          <w:szCs w:val="20"/>
          <w:shd w:val="clear" w:color="auto" w:fill="FFFFFF"/>
          <w:lang w:eastAsia="en-GB"/>
        </w:rPr>
      </w:pPr>
      <w:r>
        <w:rPr>
          <w:rStyle w:val="FootnoteReference"/>
        </w:rPr>
        <w:footnoteRef/>
      </w:r>
      <w:r w:rsidR="00A15AB5">
        <w:t xml:space="preserve"> </w:t>
      </w:r>
      <w:r w:rsidR="00B722D0">
        <w:t>“</w:t>
      </w:r>
      <w:r w:rsidR="00A15AB5" w:rsidRPr="00A15AB5">
        <w:rPr>
          <w:rFonts w:ascii="Calibri" w:eastAsia="Times New Roman" w:hAnsi="Calibri" w:cs="Times New Roman"/>
          <w:color w:val="000000"/>
          <w:sz w:val="20"/>
          <w:szCs w:val="20"/>
          <w:shd w:val="clear" w:color="auto" w:fill="FFFFFF"/>
          <w:lang w:eastAsia="en-GB"/>
        </w:rPr>
        <w:t>In technical usage fetus is now the standard spelling throughout the English-speaking world, but foetus is still found in British English outside technical contexts</w:t>
      </w:r>
      <w:r w:rsidR="00B722D0">
        <w:rPr>
          <w:rFonts w:ascii="Calibri" w:eastAsia="Times New Roman" w:hAnsi="Calibri" w:cs="Times New Roman"/>
          <w:color w:val="000000"/>
          <w:sz w:val="20"/>
          <w:szCs w:val="20"/>
          <w:shd w:val="clear" w:color="auto" w:fill="FFFFFF"/>
          <w:lang w:eastAsia="en-GB"/>
        </w:rPr>
        <w:t xml:space="preserve">,” </w:t>
      </w:r>
      <w:r w:rsidR="00B722D0" w:rsidRPr="00B722D0">
        <w:rPr>
          <w:rFonts w:ascii="Calibri" w:eastAsia="Times New Roman" w:hAnsi="Calibri" w:cs="Arial"/>
          <w:color w:val="000000" w:themeColor="text1"/>
          <w:sz w:val="20"/>
          <w:szCs w:val="20"/>
          <w:shd w:val="clear" w:color="auto" w:fill="FFFFFF"/>
          <w:lang w:eastAsia="en-GB"/>
        </w:rPr>
        <w:t>(Oxford Dictionaries | English, 2018)</w:t>
      </w:r>
      <w:r w:rsidR="00B722D0">
        <w:rPr>
          <w:rFonts w:ascii="Calibri" w:eastAsia="Times New Roman" w:hAnsi="Calibri" w:cs="Arial"/>
          <w:color w:val="000000" w:themeColor="text1"/>
          <w:sz w:val="20"/>
          <w:szCs w:val="20"/>
          <w:shd w:val="clear" w:color="auto" w:fill="FFFFFF"/>
          <w:lang w:eastAsia="en-GB"/>
        </w:rPr>
        <w:t>.  For the purpose of this essay, I will use the technically recog</w:t>
      </w:r>
      <w:r w:rsidR="002D2D94">
        <w:rPr>
          <w:rFonts w:ascii="Calibri" w:eastAsia="Times New Roman" w:hAnsi="Calibri" w:cs="Arial"/>
          <w:color w:val="000000" w:themeColor="text1"/>
          <w:sz w:val="20"/>
          <w:szCs w:val="20"/>
          <w:shd w:val="clear" w:color="auto" w:fill="FFFFFF"/>
          <w:lang w:eastAsia="en-GB"/>
        </w:rPr>
        <w:t xml:space="preserve">nised spelling of the word </w:t>
      </w:r>
      <w:r w:rsidR="00B722D0">
        <w:rPr>
          <w:rFonts w:ascii="Calibri" w:eastAsia="Times New Roman" w:hAnsi="Calibri" w:cs="Arial"/>
          <w:color w:val="000000" w:themeColor="text1"/>
          <w:sz w:val="20"/>
          <w:szCs w:val="20"/>
          <w:shd w:val="clear" w:color="auto" w:fill="FFFFFF"/>
          <w:lang w:eastAsia="en-GB"/>
        </w:rPr>
        <w:t>as it this spelling that was used in Thomson’s original paper.</w:t>
      </w:r>
    </w:p>
    <w:p w:rsidR="00B722D0" w:rsidRPr="00B722D0" w:rsidRDefault="00B722D0" w:rsidP="00B722D0">
      <w:pPr>
        <w:rPr>
          <w:rFonts w:ascii="Times New Roman" w:eastAsia="Times New Roman" w:hAnsi="Times New Roman" w:cs="Times New Roman"/>
          <w:lang w:eastAsia="en-GB"/>
        </w:rPr>
      </w:pPr>
    </w:p>
  </w:footnote>
  <w:footnote w:id="2">
    <w:p w:rsidR="002D2D94" w:rsidRPr="002D2D94" w:rsidRDefault="00B722D0" w:rsidP="002D2D94">
      <w:pPr>
        <w:pStyle w:val="FootnoteText"/>
      </w:pPr>
      <w:r>
        <w:rPr>
          <w:rStyle w:val="FootnoteReference"/>
        </w:rPr>
        <w:footnoteRef/>
      </w:r>
      <w:r>
        <w:t xml:space="preserve"> </w:t>
      </w:r>
      <w:r w:rsidR="002D2D94" w:rsidRPr="002D2D94">
        <w:t>Thomson, Judith Jarvis. “A Defense of Abortion.” </w:t>
      </w:r>
      <w:r w:rsidR="002D2D94" w:rsidRPr="002D2D94">
        <w:rPr>
          <w:i/>
          <w:iCs/>
        </w:rPr>
        <w:t>Philosophy &amp; Public Affairs</w:t>
      </w:r>
      <w:r w:rsidR="00F70A87">
        <w:t>, vol. 1, no. 1, 1971, p. 47</w:t>
      </w:r>
      <w:r w:rsidR="002D2D94" w:rsidRPr="002D2D94">
        <w:t>. </w:t>
      </w:r>
      <w:r w:rsidR="002D2D94" w:rsidRPr="002D2D94">
        <w:rPr>
          <w:i/>
          <w:iCs/>
        </w:rPr>
        <w:t>JSTOR</w:t>
      </w:r>
      <w:r w:rsidR="002D2D94" w:rsidRPr="002D2D94">
        <w:t>, JSTOR, www.jstor.org/stable/2265091.</w:t>
      </w:r>
    </w:p>
    <w:p w:rsidR="00B722D0" w:rsidRDefault="00B722D0">
      <w:pPr>
        <w:pStyle w:val="FootnoteText"/>
      </w:pPr>
    </w:p>
  </w:footnote>
  <w:footnote w:id="3">
    <w:p w:rsidR="00F70A87" w:rsidRDefault="00F70A87">
      <w:pPr>
        <w:pStyle w:val="FootnoteText"/>
      </w:pPr>
      <w:r>
        <w:rPr>
          <w:rStyle w:val="FootnoteReference"/>
        </w:rPr>
        <w:footnoteRef/>
      </w:r>
      <w:r>
        <w:t xml:space="preserve"> Ibid., p48.</w:t>
      </w:r>
    </w:p>
    <w:p w:rsidR="00F70A87" w:rsidRDefault="00F70A87">
      <w:pPr>
        <w:pStyle w:val="FootnoteText"/>
      </w:pPr>
    </w:p>
  </w:footnote>
  <w:footnote w:id="4">
    <w:p w:rsidR="001A6DD6" w:rsidRPr="001A6DD6" w:rsidRDefault="001A6DD6" w:rsidP="001A6DD6">
      <w:pPr>
        <w:rPr>
          <w:rFonts w:ascii="Times New Roman" w:eastAsia="Times New Roman" w:hAnsi="Times New Roman" w:cs="Times New Roman"/>
          <w:lang w:eastAsia="en-GB"/>
        </w:rPr>
      </w:pPr>
      <w:r>
        <w:rPr>
          <w:rStyle w:val="FootnoteReference"/>
        </w:rPr>
        <w:footnoteRef/>
      </w:r>
      <w:r>
        <w:t xml:space="preserve"> </w:t>
      </w:r>
      <w:r w:rsidRPr="00A15AB5">
        <w:rPr>
          <w:rFonts w:ascii="Calibri" w:eastAsia="Times New Roman" w:hAnsi="Calibri" w:cs="Arial"/>
          <w:color w:val="000000" w:themeColor="text1"/>
          <w:sz w:val="20"/>
          <w:szCs w:val="20"/>
          <w:shd w:val="clear" w:color="auto" w:fill="FFFFFF"/>
          <w:lang w:eastAsia="en-GB"/>
        </w:rPr>
        <w:t>Motluk, A. (2006). Abortion: Science, politics and morality collide. </w:t>
      </w:r>
      <w:r w:rsidRPr="00A15AB5">
        <w:rPr>
          <w:rFonts w:ascii="Calibri" w:eastAsia="Times New Roman" w:hAnsi="Calibri" w:cs="Arial"/>
          <w:i/>
          <w:iCs/>
          <w:color w:val="000000" w:themeColor="text1"/>
          <w:sz w:val="20"/>
          <w:szCs w:val="20"/>
          <w:lang w:eastAsia="en-GB"/>
        </w:rPr>
        <w:t>New Scientist</w:t>
      </w:r>
      <w:r w:rsidRPr="00A15AB5">
        <w:rPr>
          <w:rFonts w:ascii="Calibri" w:eastAsia="Times New Roman" w:hAnsi="Calibri" w:cs="Arial"/>
          <w:color w:val="000000" w:themeColor="text1"/>
          <w:sz w:val="20"/>
          <w:szCs w:val="20"/>
          <w:shd w:val="clear" w:color="auto" w:fill="FFFFFF"/>
          <w:lang w:eastAsia="en-GB"/>
        </w:rPr>
        <w:t>, [online] (2543). Available at: https://www.newscientist.com/article/dn8865-abortion-science-politics-and-morality-collide/ [Accessed 24 Mar. 2018].</w:t>
      </w:r>
    </w:p>
    <w:p w:rsidR="001A6DD6" w:rsidRDefault="001A6DD6">
      <w:pPr>
        <w:pStyle w:val="FootnoteText"/>
      </w:pPr>
    </w:p>
  </w:footnote>
  <w:footnote w:id="5">
    <w:p w:rsidR="00D23744" w:rsidRDefault="00D23744">
      <w:pPr>
        <w:pStyle w:val="FootnoteText"/>
      </w:pPr>
      <w:r>
        <w:rPr>
          <w:rStyle w:val="FootnoteReference"/>
        </w:rPr>
        <w:footnoteRef/>
      </w:r>
      <w:r>
        <w:t xml:space="preserve"> </w:t>
      </w:r>
      <w:r w:rsidRPr="002D2D94">
        <w:t>Thomson, Judith Jarvis. “A Defense of Abortion.” </w:t>
      </w:r>
      <w:r w:rsidRPr="002D2D94">
        <w:rPr>
          <w:i/>
          <w:iCs/>
        </w:rPr>
        <w:t>Philosophy &amp; Public Affairs</w:t>
      </w:r>
      <w:r>
        <w:t>, vol. 1, no. 1, 1971, p. 47</w:t>
      </w:r>
      <w:r w:rsidRPr="002D2D94">
        <w:t>. </w:t>
      </w:r>
      <w:r w:rsidRPr="002D2D94">
        <w:rPr>
          <w:i/>
          <w:iCs/>
        </w:rPr>
        <w:t>JSTOR</w:t>
      </w:r>
      <w:r w:rsidRPr="002D2D94">
        <w:t xml:space="preserve">, JSTOR, </w:t>
      </w:r>
      <w:r w:rsidR="00420A9A">
        <w:t>www.jstor.org/stable/2265091</w:t>
      </w:r>
      <w:r w:rsidRPr="002D2D94">
        <w:t>.</w:t>
      </w:r>
    </w:p>
    <w:p w:rsidR="00420A9A" w:rsidRDefault="00420A9A">
      <w:pPr>
        <w:pStyle w:val="FootnoteText"/>
      </w:pPr>
    </w:p>
  </w:footnote>
  <w:footnote w:id="6">
    <w:p w:rsidR="00420A9A" w:rsidRDefault="00420A9A">
      <w:pPr>
        <w:pStyle w:val="FootnoteText"/>
      </w:pPr>
      <w:r>
        <w:rPr>
          <w:rStyle w:val="FootnoteReference"/>
        </w:rPr>
        <w:footnoteRef/>
      </w:r>
      <w:r>
        <w:t xml:space="preserve"> By this, I mean to exclude such considerations as: if the child were born severely disabled and unable to contribute greatly to society, whether the oak tree’s ecological significance would place a higher importance or utilitarian value on it, rather than the life of a severely disabled person.</w:t>
      </w:r>
    </w:p>
  </w:footnote>
  <w:footnote w:id="7">
    <w:p w:rsidR="00F20A0F" w:rsidRDefault="00F20A0F">
      <w:pPr>
        <w:pStyle w:val="FootnoteText"/>
      </w:pPr>
      <w:r>
        <w:rPr>
          <w:rStyle w:val="FootnoteReference"/>
        </w:rPr>
        <w:footnoteRef/>
      </w:r>
      <w:r>
        <w:t xml:space="preserve"> </w:t>
      </w:r>
      <w:r w:rsidRPr="002D2D94">
        <w:t>Thomson, Judith Jarvis. “A Defense of Abortion.” </w:t>
      </w:r>
      <w:r w:rsidRPr="002D2D94">
        <w:rPr>
          <w:i/>
          <w:iCs/>
        </w:rPr>
        <w:t>Philosophy &amp; Public Affairs</w:t>
      </w:r>
      <w:r>
        <w:t>, vol. 1, no. 1, 1971, p. 66</w:t>
      </w:r>
      <w:r w:rsidRPr="002D2D94">
        <w:t>. </w:t>
      </w:r>
      <w:r w:rsidRPr="002D2D94">
        <w:rPr>
          <w:i/>
          <w:iCs/>
        </w:rPr>
        <w:t>JSTOR</w:t>
      </w:r>
      <w:r w:rsidRPr="002D2D94">
        <w:t xml:space="preserve">, JSTOR, </w:t>
      </w:r>
      <w:r>
        <w:t>www.jstor.org/stable/2265091</w:t>
      </w:r>
      <w:r w:rsidRPr="002D2D94">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C15D0D"/>
    <w:multiLevelType w:val="multilevel"/>
    <w:tmpl w:val="ED88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6FF"/>
    <w:rsid w:val="000F2717"/>
    <w:rsid w:val="001146F6"/>
    <w:rsid w:val="00145CFD"/>
    <w:rsid w:val="00154E6E"/>
    <w:rsid w:val="00163106"/>
    <w:rsid w:val="001A6DD6"/>
    <w:rsid w:val="001B0D8C"/>
    <w:rsid w:val="001D6421"/>
    <w:rsid w:val="002066FF"/>
    <w:rsid w:val="002403C6"/>
    <w:rsid w:val="002B6343"/>
    <w:rsid w:val="002D2D94"/>
    <w:rsid w:val="00420A9A"/>
    <w:rsid w:val="00492468"/>
    <w:rsid w:val="004C3255"/>
    <w:rsid w:val="004D7807"/>
    <w:rsid w:val="00573BAA"/>
    <w:rsid w:val="00583C95"/>
    <w:rsid w:val="005C69E5"/>
    <w:rsid w:val="005E27F5"/>
    <w:rsid w:val="00636115"/>
    <w:rsid w:val="006729F5"/>
    <w:rsid w:val="006E78B2"/>
    <w:rsid w:val="00707503"/>
    <w:rsid w:val="00773657"/>
    <w:rsid w:val="008B5DCF"/>
    <w:rsid w:val="008F02EA"/>
    <w:rsid w:val="00923453"/>
    <w:rsid w:val="00957FBF"/>
    <w:rsid w:val="00994672"/>
    <w:rsid w:val="009C3400"/>
    <w:rsid w:val="009C7E2E"/>
    <w:rsid w:val="00A072CF"/>
    <w:rsid w:val="00A15AB5"/>
    <w:rsid w:val="00A21766"/>
    <w:rsid w:val="00B329AB"/>
    <w:rsid w:val="00B4710D"/>
    <w:rsid w:val="00B722D0"/>
    <w:rsid w:val="00BE521E"/>
    <w:rsid w:val="00BF494D"/>
    <w:rsid w:val="00C060ED"/>
    <w:rsid w:val="00C7093E"/>
    <w:rsid w:val="00CF6676"/>
    <w:rsid w:val="00D02453"/>
    <w:rsid w:val="00D23744"/>
    <w:rsid w:val="00E30071"/>
    <w:rsid w:val="00E44D44"/>
    <w:rsid w:val="00EE340F"/>
    <w:rsid w:val="00F20A0F"/>
    <w:rsid w:val="00F70A87"/>
    <w:rsid w:val="00FA7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A7E97D"/>
  <w14:defaultImageDpi w14:val="32767"/>
  <w15:chartTrackingRefBased/>
  <w15:docId w15:val="{8F45316A-6783-AC4F-AD72-3870B30B7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owt-font1-timesnewroman">
    <w:name w:val="qowt-font1-timesnewroman"/>
    <w:basedOn w:val="DefaultParagraphFont"/>
    <w:rsid w:val="002066FF"/>
  </w:style>
  <w:style w:type="paragraph" w:styleId="NormalWeb">
    <w:name w:val="Normal (Web)"/>
    <w:basedOn w:val="Normal"/>
    <w:uiPriority w:val="99"/>
    <w:unhideWhenUsed/>
    <w:rsid w:val="001A6DD6"/>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1A6DD6"/>
    <w:rPr>
      <w:sz w:val="20"/>
      <w:szCs w:val="20"/>
    </w:rPr>
  </w:style>
  <w:style w:type="character" w:customStyle="1" w:styleId="FootnoteTextChar">
    <w:name w:val="Footnote Text Char"/>
    <w:basedOn w:val="DefaultParagraphFont"/>
    <w:link w:val="FootnoteText"/>
    <w:uiPriority w:val="99"/>
    <w:semiHidden/>
    <w:rsid w:val="001A6DD6"/>
    <w:rPr>
      <w:sz w:val="20"/>
      <w:szCs w:val="20"/>
    </w:rPr>
  </w:style>
  <w:style w:type="character" w:styleId="FootnoteReference">
    <w:name w:val="footnote reference"/>
    <w:basedOn w:val="DefaultParagraphFont"/>
    <w:uiPriority w:val="99"/>
    <w:semiHidden/>
    <w:unhideWhenUsed/>
    <w:rsid w:val="001A6DD6"/>
    <w:rPr>
      <w:vertAlign w:val="superscript"/>
    </w:rPr>
  </w:style>
  <w:style w:type="character" w:customStyle="1" w:styleId="apple-converted-space">
    <w:name w:val="apple-converted-space"/>
    <w:basedOn w:val="DefaultParagraphFont"/>
    <w:rsid w:val="001A6DD6"/>
  </w:style>
  <w:style w:type="character" w:styleId="Hyperlink">
    <w:name w:val="Hyperlink"/>
    <w:basedOn w:val="DefaultParagraphFont"/>
    <w:uiPriority w:val="99"/>
    <w:unhideWhenUsed/>
    <w:rsid w:val="00F70A87"/>
    <w:rPr>
      <w:color w:val="0563C1" w:themeColor="hyperlink"/>
      <w:u w:val="single"/>
    </w:rPr>
  </w:style>
  <w:style w:type="character" w:styleId="UnresolvedMention">
    <w:name w:val="Unresolved Mention"/>
    <w:basedOn w:val="DefaultParagraphFont"/>
    <w:uiPriority w:val="99"/>
    <w:rsid w:val="00F70A8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89971">
      <w:bodyDiv w:val="1"/>
      <w:marLeft w:val="0"/>
      <w:marRight w:val="0"/>
      <w:marTop w:val="0"/>
      <w:marBottom w:val="0"/>
      <w:divBdr>
        <w:top w:val="none" w:sz="0" w:space="0" w:color="auto"/>
        <w:left w:val="none" w:sz="0" w:space="0" w:color="auto"/>
        <w:bottom w:val="none" w:sz="0" w:space="0" w:color="auto"/>
        <w:right w:val="none" w:sz="0" w:space="0" w:color="auto"/>
      </w:divBdr>
      <w:divsChild>
        <w:div w:id="2069957232">
          <w:marLeft w:val="0"/>
          <w:marRight w:val="0"/>
          <w:marTop w:val="0"/>
          <w:marBottom w:val="0"/>
          <w:divBdr>
            <w:top w:val="none" w:sz="0" w:space="0" w:color="auto"/>
            <w:left w:val="none" w:sz="0" w:space="0" w:color="auto"/>
            <w:bottom w:val="none" w:sz="0" w:space="0" w:color="auto"/>
            <w:right w:val="none" w:sz="0" w:space="0" w:color="auto"/>
          </w:divBdr>
          <w:divsChild>
            <w:div w:id="277882239">
              <w:marLeft w:val="0"/>
              <w:marRight w:val="0"/>
              <w:marTop w:val="0"/>
              <w:marBottom w:val="0"/>
              <w:divBdr>
                <w:top w:val="none" w:sz="0" w:space="0" w:color="auto"/>
                <w:left w:val="none" w:sz="0" w:space="0" w:color="auto"/>
                <w:bottom w:val="none" w:sz="0" w:space="0" w:color="auto"/>
                <w:right w:val="none" w:sz="0" w:space="0" w:color="auto"/>
              </w:divBdr>
              <w:divsChild>
                <w:div w:id="53924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627683">
      <w:bodyDiv w:val="1"/>
      <w:marLeft w:val="0"/>
      <w:marRight w:val="0"/>
      <w:marTop w:val="0"/>
      <w:marBottom w:val="0"/>
      <w:divBdr>
        <w:top w:val="none" w:sz="0" w:space="0" w:color="auto"/>
        <w:left w:val="none" w:sz="0" w:space="0" w:color="auto"/>
        <w:bottom w:val="none" w:sz="0" w:space="0" w:color="auto"/>
        <w:right w:val="none" w:sz="0" w:space="0" w:color="auto"/>
      </w:divBdr>
    </w:div>
    <w:div w:id="690256689">
      <w:bodyDiv w:val="1"/>
      <w:marLeft w:val="0"/>
      <w:marRight w:val="0"/>
      <w:marTop w:val="0"/>
      <w:marBottom w:val="0"/>
      <w:divBdr>
        <w:top w:val="none" w:sz="0" w:space="0" w:color="auto"/>
        <w:left w:val="none" w:sz="0" w:space="0" w:color="auto"/>
        <w:bottom w:val="none" w:sz="0" w:space="0" w:color="auto"/>
        <w:right w:val="none" w:sz="0" w:space="0" w:color="auto"/>
      </w:divBdr>
    </w:div>
    <w:div w:id="1020739436">
      <w:bodyDiv w:val="1"/>
      <w:marLeft w:val="0"/>
      <w:marRight w:val="0"/>
      <w:marTop w:val="0"/>
      <w:marBottom w:val="0"/>
      <w:divBdr>
        <w:top w:val="none" w:sz="0" w:space="0" w:color="auto"/>
        <w:left w:val="none" w:sz="0" w:space="0" w:color="auto"/>
        <w:bottom w:val="none" w:sz="0" w:space="0" w:color="auto"/>
        <w:right w:val="none" w:sz="0" w:space="0" w:color="auto"/>
      </w:divBdr>
    </w:div>
    <w:div w:id="1398750682">
      <w:bodyDiv w:val="1"/>
      <w:marLeft w:val="0"/>
      <w:marRight w:val="0"/>
      <w:marTop w:val="0"/>
      <w:marBottom w:val="0"/>
      <w:divBdr>
        <w:top w:val="none" w:sz="0" w:space="0" w:color="auto"/>
        <w:left w:val="none" w:sz="0" w:space="0" w:color="auto"/>
        <w:bottom w:val="none" w:sz="0" w:space="0" w:color="auto"/>
        <w:right w:val="none" w:sz="0" w:space="0" w:color="auto"/>
      </w:divBdr>
    </w:div>
    <w:div w:id="1624848210">
      <w:bodyDiv w:val="1"/>
      <w:marLeft w:val="0"/>
      <w:marRight w:val="0"/>
      <w:marTop w:val="0"/>
      <w:marBottom w:val="0"/>
      <w:divBdr>
        <w:top w:val="none" w:sz="0" w:space="0" w:color="auto"/>
        <w:left w:val="none" w:sz="0" w:space="0" w:color="auto"/>
        <w:bottom w:val="none" w:sz="0" w:space="0" w:color="auto"/>
        <w:right w:val="none" w:sz="0" w:space="0" w:color="auto"/>
      </w:divBdr>
    </w:div>
    <w:div w:id="1754159270">
      <w:bodyDiv w:val="1"/>
      <w:marLeft w:val="0"/>
      <w:marRight w:val="0"/>
      <w:marTop w:val="0"/>
      <w:marBottom w:val="0"/>
      <w:divBdr>
        <w:top w:val="none" w:sz="0" w:space="0" w:color="auto"/>
        <w:left w:val="none" w:sz="0" w:space="0" w:color="auto"/>
        <w:bottom w:val="none" w:sz="0" w:space="0" w:color="auto"/>
        <w:right w:val="none" w:sz="0" w:space="0" w:color="auto"/>
      </w:divBdr>
    </w:div>
    <w:div w:id="1842811600">
      <w:bodyDiv w:val="1"/>
      <w:marLeft w:val="0"/>
      <w:marRight w:val="0"/>
      <w:marTop w:val="0"/>
      <w:marBottom w:val="0"/>
      <w:divBdr>
        <w:top w:val="none" w:sz="0" w:space="0" w:color="auto"/>
        <w:left w:val="none" w:sz="0" w:space="0" w:color="auto"/>
        <w:bottom w:val="none" w:sz="0" w:space="0" w:color="auto"/>
        <w:right w:val="none" w:sz="0" w:space="0" w:color="auto"/>
      </w:divBdr>
    </w:div>
    <w:div w:id="214323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D8B0A-237F-F942-8CC4-D1F07648D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5</Pages>
  <Words>2223</Words>
  <Characters>11076</Characters>
  <Application>Microsoft Office Word</Application>
  <DocSecurity>0</DocSecurity>
  <Lines>143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gerscales@yahoo.com</dc:creator>
  <cp:keywords/>
  <dc:description/>
  <cp:lastModifiedBy>gerscales@yahoo.com</cp:lastModifiedBy>
  <cp:revision>11</cp:revision>
  <dcterms:created xsi:type="dcterms:W3CDTF">2018-03-24T20:16:00Z</dcterms:created>
  <dcterms:modified xsi:type="dcterms:W3CDTF">2018-03-28T21:18:00Z</dcterms:modified>
</cp:coreProperties>
</file>