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215B0E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52F3D">
              <w:rPr>
                <w:rFonts w:ascii="Times New Roman" w:hAnsi="Times New Roman" w:cs="Times New Roman"/>
                <w:b/>
                <w:color w:val="auto"/>
                <w:sz w:val="48"/>
              </w:rPr>
              <w:t>Cas Metcalf</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7D0E7A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52F3D">
              <w:rPr>
                <w:rFonts w:ascii="Times New Roman" w:hAnsi="Times New Roman" w:cs="Times New Roman"/>
                <w:b/>
                <w:color w:val="auto"/>
                <w:sz w:val="48"/>
              </w:rPr>
              <w:t xml:space="preserve"> 2322834</w:t>
            </w:r>
            <w:r w:rsidR="00231691">
              <w:rPr>
                <w:rFonts w:ascii="Times New Roman" w:hAnsi="Times New Roman" w:cs="Times New Roman"/>
                <w:b/>
                <w:color w:val="auto"/>
                <w:sz w:val="48"/>
              </w:rPr>
              <w:t>@student.uwtsd.ac.uk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EC6DB05" w14:textId="77777777" w:rsidR="0023169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73EDA459" w:rsidR="00F927A1" w:rsidRPr="005D3F07" w:rsidRDefault="0023169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2322834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B95FDE">
            <w:pPr>
              <w:rPr>
                <w:b/>
                <w:sz w:val="24"/>
                <w:szCs w:val="24"/>
              </w:rPr>
            </w:pPr>
            <w:r w:rsidRPr="006872A0">
              <w:rPr>
                <w:b/>
                <w:sz w:val="24"/>
                <w:szCs w:val="24"/>
              </w:rPr>
              <w:t>Question</w:t>
            </w:r>
            <w:r w:rsidR="007A628F">
              <w:rPr>
                <w:b/>
                <w:sz w:val="24"/>
                <w:szCs w:val="24"/>
              </w:rPr>
              <w:t>:</w:t>
            </w:r>
          </w:p>
          <w:p w14:paraId="541B485B" w14:textId="4CB44B06" w:rsidR="00C77FA5" w:rsidRPr="00706BB5" w:rsidRDefault="000A584A" w:rsidP="00B95FDE">
            <w:pPr>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B95FDE">
            <w:pPr>
              <w:rPr>
                <w:sz w:val="24"/>
                <w:szCs w:val="24"/>
              </w:rPr>
            </w:pPr>
          </w:p>
          <w:p w14:paraId="20A5906F" w14:textId="77777777" w:rsidR="008D5999" w:rsidRDefault="008D5999" w:rsidP="00B95FDE">
            <w:pPr>
              <w:rPr>
                <w:sz w:val="24"/>
                <w:szCs w:val="24"/>
              </w:rPr>
            </w:pPr>
          </w:p>
          <w:p w14:paraId="51AF4546" w14:textId="476CB9AF" w:rsidR="00D3203C" w:rsidRDefault="00045C40" w:rsidP="00B95FDE">
            <w:pPr>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B95FDE">
            <w:pPr>
              <w:rPr>
                <w:i/>
                <w:sz w:val="24"/>
                <w:szCs w:val="24"/>
              </w:rPr>
            </w:pPr>
          </w:p>
          <w:p w14:paraId="339AB721" w14:textId="77777777" w:rsidR="005038C1" w:rsidRDefault="005038C1" w:rsidP="009642FF">
            <w:pPr>
              <w:spacing w:line="360" w:lineRule="auto"/>
              <w:ind w:firstLine="720"/>
              <w:jc w:val="both"/>
              <w:rPr>
                <w:iCs/>
                <w:sz w:val="24"/>
                <w:szCs w:val="24"/>
              </w:rPr>
            </w:pPr>
            <w:r w:rsidRPr="005038C1">
              <w:rPr>
                <w:iCs/>
                <w:sz w:val="24"/>
                <w:szCs w:val="24"/>
              </w:rPr>
              <w:t>This essay will discuss my professional involvement with an individual, referred to as </w:t>
            </w:r>
            <w:r w:rsidRPr="005038C1">
              <w:rPr>
                <w:b/>
                <w:bCs/>
                <w:iCs/>
                <w:sz w:val="24"/>
                <w:szCs w:val="24"/>
              </w:rPr>
              <w:t>3, </w:t>
            </w:r>
            <w:r w:rsidRPr="005038C1">
              <w:rPr>
                <w:iCs/>
                <w:sz w:val="24"/>
                <w:szCs w:val="24"/>
              </w:rPr>
              <w:t>in relation to adult safeguarding whilst undertaking the Consolidation Programme. This case study will critically reflect the assessments undertaken with 3 and the complexities inherent in safeguarding practice, particularly during the challenging period of transition from child to adult services. First, the essay will give an overview of the case. Secondly, it will consider the relevance of safeguarding legislation, policies and procedure, as well as human rights and mental capacity legislation to my involvement once 3 turned 18. Third, it will discuss difficulties with safeguarding during transition to adulthood. Then, it will reflect how the stages of safeguarding enquiries were enacted to protect 3 and promote his wellbeing. Furthermore, this essay will explore the interplay of legal frameworks, multi-agency collaboration, and ethical decision-making in safeguarding. Finally, the essay will conclude with a reflection on my professional development as a result of the case</w:t>
            </w:r>
          </w:p>
          <w:p w14:paraId="264A7BBC" w14:textId="254A6F40" w:rsidR="005038C1" w:rsidRPr="005038C1" w:rsidRDefault="005038C1" w:rsidP="009642FF">
            <w:pPr>
              <w:spacing w:line="360" w:lineRule="auto"/>
              <w:ind w:firstLine="720"/>
              <w:jc w:val="both"/>
              <w:rPr>
                <w:iCs/>
                <w:sz w:val="24"/>
                <w:szCs w:val="24"/>
              </w:rPr>
            </w:pPr>
            <w:r w:rsidRPr="005038C1">
              <w:rPr>
                <w:iCs/>
                <w:sz w:val="24"/>
                <w:szCs w:val="24"/>
              </w:rPr>
              <w:t>.  </w:t>
            </w:r>
          </w:p>
          <w:p w14:paraId="1279AED8" w14:textId="77777777" w:rsidR="005038C1" w:rsidRPr="005038C1" w:rsidRDefault="005038C1" w:rsidP="009642FF">
            <w:pPr>
              <w:spacing w:line="360" w:lineRule="auto"/>
              <w:jc w:val="both"/>
              <w:rPr>
                <w:iCs/>
                <w:sz w:val="24"/>
                <w:szCs w:val="24"/>
              </w:rPr>
            </w:pPr>
            <w:r w:rsidRPr="005038C1">
              <w:rPr>
                <w:b/>
                <w:bCs/>
                <w:iCs/>
                <w:sz w:val="24"/>
                <w:szCs w:val="24"/>
              </w:rPr>
              <w:t>The Initial Context and Concerns</w:t>
            </w:r>
            <w:r w:rsidRPr="005038C1">
              <w:rPr>
                <w:iCs/>
                <w:sz w:val="24"/>
                <w:szCs w:val="24"/>
              </w:rPr>
              <w:t> </w:t>
            </w:r>
          </w:p>
          <w:p w14:paraId="61355C40" w14:textId="5C14E989" w:rsidR="005038C1" w:rsidRPr="005038C1" w:rsidRDefault="005038C1" w:rsidP="009642FF">
            <w:pPr>
              <w:spacing w:line="360" w:lineRule="auto"/>
              <w:ind w:firstLine="720"/>
              <w:jc w:val="both"/>
              <w:rPr>
                <w:iCs/>
                <w:sz w:val="24"/>
                <w:szCs w:val="24"/>
              </w:rPr>
            </w:pPr>
            <w:r w:rsidRPr="005038C1">
              <w:rPr>
                <w:iCs/>
                <w:sz w:val="24"/>
                <w:szCs w:val="24"/>
              </w:rPr>
              <w:lastRenderedPageBreak/>
              <w:t>3 is a young adult diagnosed with a moderate</w:t>
            </w:r>
            <w:r w:rsidRPr="005038C1">
              <w:rPr>
                <w:b/>
                <w:bCs/>
                <w:iCs/>
                <w:sz w:val="24"/>
                <w:szCs w:val="24"/>
              </w:rPr>
              <w:t> </w:t>
            </w:r>
            <w:r w:rsidRPr="005038C1">
              <w:rPr>
                <w:iCs/>
                <w:sz w:val="24"/>
                <w:szCs w:val="24"/>
              </w:rPr>
              <w:t>learning disability, Autism Spectrum Disorder, and Attention Deficit Hyperactivity Disorder (ADHD). He also has communication difficulties and exhibits behaviour that challenges. He requires the support of others to meet all of his care and support needs.  I started working with him at 17 1/2 as a secondary worker while he was still under the Children’s Disability Team, with the primary objective of completing an adult assessment of care and support needs. At that time, 3 resided with his mother (4) and father (5) in their privately owned home. His older sister (6) served as an advocate, despite living outside the family home, and his paternal aunt (7) was also actively involved in care and support planning. </w:t>
            </w:r>
          </w:p>
          <w:p w14:paraId="5720DD8A" w14:textId="77777777" w:rsidR="005038C1" w:rsidRPr="005038C1" w:rsidRDefault="005038C1" w:rsidP="009642FF">
            <w:pPr>
              <w:spacing w:line="360" w:lineRule="auto"/>
              <w:ind w:firstLine="720"/>
              <w:jc w:val="both"/>
              <w:rPr>
                <w:iCs/>
                <w:sz w:val="24"/>
                <w:szCs w:val="24"/>
              </w:rPr>
            </w:pPr>
            <w:r w:rsidRPr="005038C1">
              <w:rPr>
                <w:iCs/>
                <w:sz w:val="24"/>
                <w:szCs w:val="24"/>
              </w:rPr>
              <w:t>During a Child in Need (CIN) review I attended, the school voiced concerns regarding 3's hygiene and clothing, noting he frequently arrived in dirty or ill-fitting uniform. Unfortunately, due to caseload demands on his social worker, he was reallocated to another support worker in the Children’s Disability Team soon after this. For two months, his new support worker and I attempted to arrange a home visit to discuss transition to adult services. Access to the home was only secured through a joint unannounced visit, which exposed serious concerns about home conditions. Following consultation with the previous social worker and team manager, a formal safeguarding visit was promptly conducted the next day. This necessitated immediate safety actions, including changing soiled bedding and clearing dangerous trip hazards. An urgent family meeting was arranged to address these concerns and to develop a safety plan, would be reviewed after a month to determine the need for child protection proceedings.  </w:t>
            </w:r>
          </w:p>
          <w:p w14:paraId="22DFCC41" w14:textId="0F10701C" w:rsidR="005038C1" w:rsidRPr="005038C1" w:rsidRDefault="005038C1" w:rsidP="009642FF">
            <w:pPr>
              <w:spacing w:line="360" w:lineRule="auto"/>
              <w:ind w:firstLine="720"/>
              <w:jc w:val="both"/>
              <w:rPr>
                <w:iCs/>
                <w:sz w:val="24"/>
                <w:szCs w:val="24"/>
              </w:rPr>
            </w:pPr>
            <w:r w:rsidRPr="005038C1">
              <w:rPr>
                <w:iCs/>
                <w:sz w:val="24"/>
                <w:szCs w:val="24"/>
              </w:rPr>
              <w:t>Given 3’s cognitive and communication impairments, a key consideration was his capacity to make decisions regarding his accommodation, finances, and support. His previous social worker completed a </w:t>
            </w:r>
            <w:r w:rsidR="00B95FDE">
              <w:rPr>
                <w:iCs/>
                <w:sz w:val="24"/>
                <w:szCs w:val="24"/>
              </w:rPr>
              <w:t xml:space="preserve"> </w:t>
            </w:r>
            <w:r w:rsidRPr="005038C1">
              <w:rPr>
                <w:iCs/>
                <w:sz w:val="24"/>
                <w:szCs w:val="24"/>
              </w:rPr>
              <w:t>Mental Capacity Assessment (MCA) and determined that he lacked capacity to make decisions about his care and accommodation. Consequently, I participated in a </w:t>
            </w:r>
            <w:r w:rsidR="00B95FDE" w:rsidRPr="005038C1">
              <w:rPr>
                <w:iCs/>
                <w:sz w:val="24"/>
                <w:szCs w:val="24"/>
              </w:rPr>
              <w:t>best interest</w:t>
            </w:r>
            <w:r w:rsidRPr="005038C1">
              <w:rPr>
                <w:iCs/>
                <w:sz w:val="24"/>
                <w:szCs w:val="24"/>
              </w:rPr>
              <w:t> meeting with his family, where it was agreed to pursue a supported living placement. Although Children’s Services continued their involvement on a Child in Need basis due to limited time remaining before 3's transition, it was clear that the safeguarding concerns would persist when 3 turned 18.  </w:t>
            </w:r>
          </w:p>
          <w:p w14:paraId="7EAB9A46" w14:textId="7C120E1E" w:rsidR="005038C1" w:rsidRPr="005038C1" w:rsidRDefault="005038C1" w:rsidP="009642FF">
            <w:pPr>
              <w:spacing w:line="360" w:lineRule="auto"/>
              <w:ind w:firstLine="720"/>
              <w:jc w:val="both"/>
              <w:rPr>
                <w:iCs/>
                <w:sz w:val="24"/>
                <w:szCs w:val="24"/>
              </w:rPr>
            </w:pPr>
            <w:r w:rsidRPr="005038C1">
              <w:rPr>
                <w:iCs/>
                <w:sz w:val="24"/>
                <w:szCs w:val="24"/>
              </w:rPr>
              <w:t>My assessment was guided by Signs of Safety </w:t>
            </w:r>
            <w:r w:rsidR="00B95FDE" w:rsidRPr="005038C1">
              <w:rPr>
                <w:iCs/>
                <w:sz w:val="24"/>
                <w:szCs w:val="24"/>
              </w:rPr>
              <w:t>framework, which</w:t>
            </w:r>
            <w:r w:rsidRPr="005038C1">
              <w:rPr>
                <w:iCs/>
                <w:sz w:val="24"/>
                <w:szCs w:val="24"/>
              </w:rPr>
              <w:t xml:space="preserve"> is used by the local authority. Signs of Safety is a strengths-based approach which considers three </w:t>
            </w:r>
            <w:r w:rsidRPr="005038C1">
              <w:rPr>
                <w:iCs/>
                <w:sz w:val="24"/>
                <w:szCs w:val="24"/>
              </w:rPr>
              <w:lastRenderedPageBreak/>
              <w:t>domains: strengths, complicating factors/risks, and actions (Turnell &amp; Edwards, 1999). This resulted in identifying not only risks and concerns but also existing strengths within the family and wider support network. Despite 3’s communication difficulties, I made active efforts to include him in decision-making, utilising visual tools and consulting with the SALT to ensure my communication was accessible.  </w:t>
            </w:r>
          </w:p>
          <w:p w14:paraId="184A6645" w14:textId="77777777" w:rsidR="005038C1" w:rsidRPr="005038C1" w:rsidRDefault="005038C1" w:rsidP="009642FF">
            <w:pPr>
              <w:spacing w:line="360" w:lineRule="auto"/>
              <w:ind w:firstLine="720"/>
              <w:jc w:val="both"/>
              <w:rPr>
                <w:iCs/>
                <w:sz w:val="24"/>
                <w:szCs w:val="24"/>
              </w:rPr>
            </w:pPr>
            <w:r w:rsidRPr="005038C1">
              <w:rPr>
                <w:b/>
                <w:bCs/>
                <w:iCs/>
                <w:sz w:val="24"/>
                <w:szCs w:val="24"/>
              </w:rPr>
              <w:t>Legal and Procedural Frameworks in Safeguarding</w:t>
            </w:r>
            <w:r w:rsidRPr="005038C1">
              <w:rPr>
                <w:iCs/>
                <w:sz w:val="24"/>
                <w:szCs w:val="24"/>
              </w:rPr>
              <w:t> </w:t>
            </w:r>
          </w:p>
          <w:p w14:paraId="79421BD6" w14:textId="7B39AC53" w:rsidR="005038C1" w:rsidRPr="005038C1" w:rsidRDefault="005038C1" w:rsidP="009642FF">
            <w:pPr>
              <w:spacing w:line="360" w:lineRule="auto"/>
              <w:ind w:firstLine="720"/>
              <w:jc w:val="both"/>
              <w:rPr>
                <w:iCs/>
                <w:sz w:val="24"/>
                <w:szCs w:val="24"/>
              </w:rPr>
            </w:pPr>
            <w:r w:rsidRPr="005038C1">
              <w:rPr>
                <w:iCs/>
                <w:sz w:val="24"/>
                <w:szCs w:val="24"/>
              </w:rPr>
              <w:t>The law provides the essential framework within which social workers assess risk, protect rights, and promote an individual’s wellbeing. My practice was informed by the</w:t>
            </w:r>
            <w:r w:rsidRPr="005038C1">
              <w:rPr>
                <w:i/>
                <w:sz w:val="24"/>
                <w:szCs w:val="24"/>
              </w:rPr>
              <w:t> Social Services and Well-being (Wales) Act (SSWA) 2014</w:t>
            </w:r>
            <w:r w:rsidRPr="005038C1">
              <w:rPr>
                <w:iCs/>
                <w:sz w:val="24"/>
                <w:szCs w:val="24"/>
              </w:rPr>
              <w:t> and the Wales Safeguarding Procedures, Beyond Welsh-specific legislation, my practice was guided by UK and international frame works, including the </w:t>
            </w:r>
            <w:r w:rsidRPr="005038C1">
              <w:rPr>
                <w:i/>
                <w:sz w:val="24"/>
                <w:szCs w:val="24"/>
              </w:rPr>
              <w:t>Mental Capacity Act 2005, Human Rights Act 199</w:t>
            </w:r>
            <w:r w:rsidR="00734268">
              <w:rPr>
                <w:i/>
                <w:sz w:val="24"/>
                <w:szCs w:val="24"/>
              </w:rPr>
              <w:t>8</w:t>
            </w:r>
            <w:r w:rsidRPr="005038C1">
              <w:rPr>
                <w:iCs/>
                <w:sz w:val="24"/>
                <w:szCs w:val="24"/>
              </w:rPr>
              <w:t> and The UN Convention on the Rights of Persons with Disabilities (2006). </w:t>
            </w:r>
          </w:p>
          <w:p w14:paraId="7832D879" w14:textId="0463F404" w:rsidR="005038C1" w:rsidRPr="005038C1" w:rsidRDefault="005038C1" w:rsidP="009642FF">
            <w:pPr>
              <w:spacing w:line="360" w:lineRule="auto"/>
              <w:ind w:firstLine="720"/>
              <w:jc w:val="both"/>
              <w:rPr>
                <w:iCs/>
                <w:sz w:val="24"/>
                <w:szCs w:val="24"/>
              </w:rPr>
            </w:pPr>
            <w:r w:rsidRPr="005038C1">
              <w:rPr>
                <w:iCs/>
                <w:sz w:val="24"/>
                <w:szCs w:val="24"/>
              </w:rPr>
              <w:t>The </w:t>
            </w:r>
            <w:r w:rsidRPr="005038C1">
              <w:rPr>
                <w:i/>
                <w:sz w:val="24"/>
                <w:szCs w:val="24"/>
              </w:rPr>
              <w:t>SSWA 2014</w:t>
            </w:r>
            <w:r w:rsidRPr="005038C1">
              <w:rPr>
                <w:iCs/>
                <w:sz w:val="24"/>
                <w:szCs w:val="24"/>
              </w:rPr>
              <w:t> provides the legal foundation for assessing and meeting an individual’s care and support needs in Wales. 'Working Together to Safeguard People' is the statutory guidance for safeguarding issued under Part 7 of the </w:t>
            </w:r>
            <w:r w:rsidRPr="005038C1">
              <w:rPr>
                <w:i/>
                <w:sz w:val="24"/>
                <w:szCs w:val="24"/>
              </w:rPr>
              <w:t>SSWA 2014</w:t>
            </w:r>
            <w:r w:rsidRPr="005038C1">
              <w:rPr>
                <w:iCs/>
                <w:sz w:val="24"/>
                <w:szCs w:val="24"/>
              </w:rPr>
              <w:t> (Welsh Government, 2019</w:t>
            </w:r>
            <w:r w:rsidR="007F5294">
              <w:rPr>
                <w:iCs/>
                <w:sz w:val="24"/>
                <w:szCs w:val="24"/>
              </w:rPr>
              <w:t>c</w:t>
            </w:r>
            <w:r w:rsidRPr="005038C1">
              <w:rPr>
                <w:iCs/>
                <w:sz w:val="24"/>
                <w:szCs w:val="24"/>
              </w:rPr>
              <w:t xml:space="preserve">). Additionally, the Wales Safeguarding Procedures serves as practice guidance for applying the </w:t>
            </w:r>
            <w:r w:rsidRPr="005038C1">
              <w:rPr>
                <w:i/>
                <w:sz w:val="24"/>
                <w:szCs w:val="24"/>
              </w:rPr>
              <w:t>SSWA 2014</w:t>
            </w:r>
            <w:r w:rsidRPr="005038C1">
              <w:rPr>
                <w:iCs/>
                <w:sz w:val="24"/>
                <w:szCs w:val="24"/>
              </w:rPr>
              <w:t xml:space="preserve"> and the statutory safeguarding guidance (Social Care Wales, 2019). These procedures provided a </w:t>
            </w:r>
            <w:r w:rsidR="007F5294" w:rsidRPr="005038C1">
              <w:rPr>
                <w:iCs/>
                <w:sz w:val="24"/>
                <w:szCs w:val="24"/>
              </w:rPr>
              <w:t>structured approach</w:t>
            </w:r>
            <w:r w:rsidRPr="005038C1">
              <w:rPr>
                <w:iCs/>
                <w:sz w:val="24"/>
                <w:szCs w:val="24"/>
              </w:rPr>
              <w:t> for responding to the safeguarding concerns. My work followed the stages of the safeguarding process: information-gathering, assessment, decision-making, intervention, and evaluation. To gain a comprehensive understanding of 3’s needs and risks, I worked closely with a variety of professionals, including speech and language therapists, community nurses, and Personal Assistants. </w:t>
            </w:r>
          </w:p>
          <w:p w14:paraId="51A7A459" w14:textId="77777777" w:rsidR="005038C1" w:rsidRPr="005038C1" w:rsidRDefault="005038C1" w:rsidP="009642FF">
            <w:pPr>
              <w:spacing w:line="360" w:lineRule="auto"/>
              <w:ind w:firstLine="720"/>
              <w:jc w:val="both"/>
              <w:rPr>
                <w:iCs/>
                <w:sz w:val="24"/>
                <w:szCs w:val="24"/>
              </w:rPr>
            </w:pPr>
            <w:r w:rsidRPr="005038C1">
              <w:rPr>
                <w:iCs/>
                <w:sz w:val="24"/>
                <w:szCs w:val="24"/>
              </w:rPr>
              <w:t>The </w:t>
            </w:r>
            <w:r w:rsidRPr="005038C1">
              <w:rPr>
                <w:i/>
                <w:sz w:val="24"/>
                <w:szCs w:val="24"/>
              </w:rPr>
              <w:t>Mental Capacity Act 2005</w:t>
            </w:r>
            <w:r w:rsidRPr="005038C1">
              <w:rPr>
                <w:iCs/>
                <w:sz w:val="24"/>
                <w:szCs w:val="24"/>
              </w:rPr>
              <w:t> is relevant for safeguarding adults. If an adult at risk is found to lack capacity to make decisions regarding their safety, then decisions must be made in their best interest, in line with the </w:t>
            </w:r>
            <w:r w:rsidRPr="005038C1">
              <w:rPr>
                <w:i/>
                <w:sz w:val="24"/>
                <w:szCs w:val="24"/>
              </w:rPr>
              <w:t>Mental Capacity Act 2005</w:t>
            </w:r>
            <w:r w:rsidRPr="005038C1">
              <w:rPr>
                <w:iCs/>
                <w:sz w:val="24"/>
                <w:szCs w:val="24"/>
              </w:rPr>
              <w:t xml:space="preserve"> Code of Practice (Department for Constitutional Affairs, 2007). Ensuring 3’s voice was heard was a priority. Despite his lack of capacity for certain decisions, his views were not irrelevant. I upheld the principles of empowerment and inclusion, working closely with SALT to create an accessible way for him to share preferences using visuals, simplified choices, and repetition. I learned that small changes in my communication could improve his engagement. </w:t>
            </w:r>
          </w:p>
          <w:p w14:paraId="2758D70E" w14:textId="65C3CEB8" w:rsidR="005038C1" w:rsidRPr="005038C1" w:rsidRDefault="007F5294" w:rsidP="009642FF">
            <w:pPr>
              <w:spacing w:line="360" w:lineRule="auto"/>
              <w:ind w:firstLine="720"/>
              <w:jc w:val="both"/>
              <w:rPr>
                <w:iCs/>
                <w:sz w:val="24"/>
                <w:szCs w:val="24"/>
              </w:rPr>
            </w:pPr>
            <w:r>
              <w:rPr>
                <w:iCs/>
                <w:sz w:val="24"/>
                <w:szCs w:val="24"/>
              </w:rPr>
              <w:lastRenderedPageBreak/>
              <w:t xml:space="preserve">The </w:t>
            </w:r>
            <w:r w:rsidR="005038C1" w:rsidRPr="005038C1">
              <w:rPr>
                <w:i/>
                <w:sz w:val="24"/>
                <w:szCs w:val="24"/>
              </w:rPr>
              <w:t>Human Rights Act 1998 (HRA)</w:t>
            </w:r>
            <w:r w:rsidR="005038C1" w:rsidRPr="005038C1">
              <w:rPr>
                <w:iCs/>
                <w:sz w:val="24"/>
                <w:szCs w:val="24"/>
              </w:rPr>
              <w:t xml:space="preserve"> incorporated the European Convention of Human rights human rights in the UK. The </w:t>
            </w:r>
            <w:r w:rsidR="005038C1" w:rsidRPr="005038C1">
              <w:rPr>
                <w:i/>
                <w:sz w:val="24"/>
                <w:szCs w:val="24"/>
              </w:rPr>
              <w:t>Human Rights Act 1998</w:t>
            </w:r>
            <w:r w:rsidR="005038C1" w:rsidRPr="005038C1">
              <w:rPr>
                <w:iCs/>
                <w:sz w:val="24"/>
                <w:szCs w:val="24"/>
              </w:rPr>
              <w:t> particularly Article 8 (the right to respect for private and family life), guided decisions on how to ethically balance 3’s safety with the maintenance of his family relationships, which became particularly salient when family dynamics </w:t>
            </w:r>
            <w:r w:rsidR="00871D5B" w:rsidRPr="005038C1">
              <w:rPr>
                <w:iCs/>
                <w:sz w:val="24"/>
                <w:szCs w:val="24"/>
              </w:rPr>
              <w:t>conflicted with</w:t>
            </w:r>
            <w:r w:rsidR="005038C1" w:rsidRPr="005038C1">
              <w:rPr>
                <w:iCs/>
                <w:sz w:val="24"/>
                <w:szCs w:val="24"/>
              </w:rPr>
              <w:t> professional judgment about his best interests. </w:t>
            </w:r>
          </w:p>
          <w:p w14:paraId="097F4BDF" w14:textId="2E24CDBB" w:rsidR="005038C1" w:rsidRPr="005038C1" w:rsidRDefault="005038C1" w:rsidP="009642FF">
            <w:pPr>
              <w:spacing w:line="360" w:lineRule="auto"/>
              <w:ind w:firstLine="720"/>
              <w:jc w:val="both"/>
              <w:rPr>
                <w:iCs/>
                <w:sz w:val="24"/>
                <w:szCs w:val="24"/>
              </w:rPr>
            </w:pPr>
            <w:r w:rsidRPr="005038C1">
              <w:rPr>
                <w:iCs/>
                <w:sz w:val="24"/>
                <w:szCs w:val="24"/>
              </w:rPr>
              <w:t> My legal knowledge was vital </w:t>
            </w:r>
            <w:r w:rsidR="00962633">
              <w:rPr>
                <w:iCs/>
                <w:sz w:val="24"/>
                <w:szCs w:val="24"/>
              </w:rPr>
              <w:t>for</w:t>
            </w:r>
            <w:r w:rsidRPr="005038C1">
              <w:rPr>
                <w:iCs/>
                <w:sz w:val="24"/>
                <w:szCs w:val="24"/>
              </w:rPr>
              <w:t> identifying 3 as an 'adult at risk'</w:t>
            </w:r>
            <w:r w:rsidR="00962633">
              <w:rPr>
                <w:iCs/>
                <w:sz w:val="24"/>
                <w:szCs w:val="24"/>
              </w:rPr>
              <w:t>,</w:t>
            </w:r>
            <w:r w:rsidRPr="005038C1">
              <w:rPr>
                <w:iCs/>
                <w:sz w:val="24"/>
                <w:szCs w:val="24"/>
              </w:rPr>
              <w:t> initiating formal safeguarding enquiries</w:t>
            </w:r>
            <w:r w:rsidR="00962633">
              <w:rPr>
                <w:iCs/>
                <w:sz w:val="24"/>
                <w:szCs w:val="24"/>
              </w:rPr>
              <w:t>,</w:t>
            </w:r>
            <w:r w:rsidRPr="005038C1">
              <w:rPr>
                <w:iCs/>
                <w:sz w:val="24"/>
                <w:szCs w:val="24"/>
              </w:rPr>
              <w:t xml:space="preserve"> and engaging in best interests decision-making under the </w:t>
            </w:r>
            <w:r w:rsidRPr="005038C1">
              <w:rPr>
                <w:i/>
                <w:sz w:val="24"/>
                <w:szCs w:val="24"/>
              </w:rPr>
              <w:t>M</w:t>
            </w:r>
            <w:r w:rsidR="00962633" w:rsidRPr="00DC2FCD">
              <w:rPr>
                <w:i/>
                <w:sz w:val="24"/>
                <w:szCs w:val="24"/>
              </w:rPr>
              <w:t>enta</w:t>
            </w:r>
            <w:r w:rsidR="00DC2FCD" w:rsidRPr="00DC2FCD">
              <w:rPr>
                <w:i/>
                <w:sz w:val="24"/>
                <w:szCs w:val="24"/>
              </w:rPr>
              <w:t>l Capacity Act</w:t>
            </w:r>
            <w:r w:rsidRPr="005038C1">
              <w:rPr>
                <w:i/>
                <w:sz w:val="24"/>
                <w:szCs w:val="24"/>
              </w:rPr>
              <w:t xml:space="preserve"> 2005</w:t>
            </w:r>
            <w:r w:rsidRPr="005038C1">
              <w:rPr>
                <w:iCs/>
                <w:sz w:val="24"/>
                <w:szCs w:val="24"/>
              </w:rPr>
              <w:t>. The law also underpinned my duty to consider the needs of 3’s carers and ensure that any intervention was both proportionate and necessary. </w:t>
            </w:r>
          </w:p>
          <w:p w14:paraId="738E638E" w14:textId="77777777" w:rsidR="005038C1" w:rsidRPr="005038C1" w:rsidRDefault="005038C1" w:rsidP="009642FF">
            <w:pPr>
              <w:spacing w:line="360" w:lineRule="auto"/>
              <w:jc w:val="both"/>
              <w:rPr>
                <w:iCs/>
                <w:sz w:val="24"/>
                <w:szCs w:val="24"/>
              </w:rPr>
            </w:pPr>
            <w:r w:rsidRPr="005038C1">
              <w:rPr>
                <w:b/>
                <w:bCs/>
                <w:iCs/>
                <w:sz w:val="24"/>
                <w:szCs w:val="24"/>
              </w:rPr>
              <w:t>Transitional safeguarding</w:t>
            </w:r>
            <w:r w:rsidRPr="005038C1">
              <w:rPr>
                <w:iCs/>
                <w:sz w:val="24"/>
                <w:szCs w:val="24"/>
              </w:rPr>
              <w:t> </w:t>
            </w:r>
          </w:p>
          <w:p w14:paraId="388E2B9B" w14:textId="709F7474" w:rsidR="005038C1" w:rsidRPr="005038C1" w:rsidRDefault="005038C1" w:rsidP="009642FF">
            <w:pPr>
              <w:spacing w:line="360" w:lineRule="auto"/>
              <w:ind w:firstLine="720"/>
              <w:jc w:val="both"/>
              <w:rPr>
                <w:iCs/>
                <w:sz w:val="24"/>
                <w:szCs w:val="24"/>
              </w:rPr>
            </w:pPr>
            <w:r w:rsidRPr="005038C1">
              <w:rPr>
                <w:iCs/>
                <w:sz w:val="24"/>
                <w:szCs w:val="24"/>
              </w:rPr>
              <w:t>It is becoming increasingly recognised that the binary process of safeguarding children and adults results in challenges with safeguarding adolescents at risk of harm as they enter </w:t>
            </w:r>
            <w:r w:rsidR="00DC2FCD" w:rsidRPr="005038C1">
              <w:rPr>
                <w:iCs/>
                <w:sz w:val="24"/>
                <w:szCs w:val="24"/>
              </w:rPr>
              <w:t>adulthood (</w:t>
            </w:r>
            <w:r w:rsidR="00CF393E">
              <w:rPr>
                <w:iCs/>
                <w:sz w:val="24"/>
                <w:szCs w:val="24"/>
              </w:rPr>
              <w:t xml:space="preserve">Holmes, </w:t>
            </w:r>
            <w:r w:rsidRPr="005038C1">
              <w:rPr>
                <w:iCs/>
                <w:sz w:val="24"/>
                <w:szCs w:val="24"/>
              </w:rPr>
              <w:t>2018). These difficulties include: markedly different systems and legal frameworks for safeguarding children and adults;  significantly different criteria for intervention and response to safeguarding concerns; the recognition that harm (and its effects) do not stop or suddenly change on one’s 18</w:t>
            </w:r>
            <w:r w:rsidRPr="005038C1">
              <w:rPr>
                <w:iCs/>
                <w:sz w:val="24"/>
                <w:szCs w:val="24"/>
                <w:vertAlign w:val="superscript"/>
              </w:rPr>
              <w:t>th</w:t>
            </w:r>
            <w:r w:rsidRPr="005038C1">
              <w:rPr>
                <w:iCs/>
                <w:sz w:val="24"/>
                <w:szCs w:val="24"/>
              </w:rPr>
              <w:t> birthday; structural and environmental factors that contribute to a risk of harm to a child continue into adulthood (</w:t>
            </w:r>
            <w:r w:rsidR="009038F0">
              <w:rPr>
                <w:iCs/>
                <w:sz w:val="24"/>
                <w:szCs w:val="24"/>
              </w:rPr>
              <w:t>D</w:t>
            </w:r>
            <w:r w:rsidR="009038F0" w:rsidRPr="005038C1">
              <w:rPr>
                <w:iCs/>
                <w:sz w:val="24"/>
                <w:szCs w:val="24"/>
              </w:rPr>
              <w:t>epartment for Health and Social Care, 2021</w:t>
            </w:r>
            <w:r w:rsidR="009038F0">
              <w:rPr>
                <w:iCs/>
                <w:sz w:val="24"/>
                <w:szCs w:val="24"/>
              </w:rPr>
              <w:t xml:space="preserve">, </w:t>
            </w:r>
            <w:r w:rsidRPr="005038C1">
              <w:rPr>
                <w:iCs/>
                <w:sz w:val="24"/>
                <w:szCs w:val="24"/>
              </w:rPr>
              <w:t>p. 4); provision of services based strictly on being  age (under 18/over 18).  </w:t>
            </w:r>
          </w:p>
          <w:p w14:paraId="412BBE3D" w14:textId="286E4422" w:rsidR="005038C1" w:rsidRPr="005038C1" w:rsidRDefault="005038C1" w:rsidP="009642FF">
            <w:pPr>
              <w:spacing w:line="360" w:lineRule="auto"/>
              <w:ind w:firstLine="720"/>
              <w:jc w:val="both"/>
              <w:rPr>
                <w:iCs/>
                <w:sz w:val="24"/>
                <w:szCs w:val="24"/>
              </w:rPr>
            </w:pPr>
            <w:r w:rsidRPr="005038C1">
              <w:rPr>
                <w:iCs/>
                <w:sz w:val="24"/>
                <w:szCs w:val="24"/>
              </w:rPr>
              <w:t>‘Transitional safeguarding’ is a developmental approach to safeguarding adolescents ‘which considers distinct developmental needs and strengths of this life stage and creating services and pathways that reflect the individualised nature of transition to adulthood’ (Department for Health and Social Care, 2021, p. 21). It aims to address current difficulties in transition by creating a more fluid and </w:t>
            </w:r>
            <w:r w:rsidR="000505E1" w:rsidRPr="005038C1">
              <w:rPr>
                <w:iCs/>
                <w:sz w:val="24"/>
                <w:szCs w:val="24"/>
              </w:rPr>
              <w:t>holistic process</w:t>
            </w:r>
            <w:r w:rsidRPr="005038C1">
              <w:rPr>
                <w:iCs/>
                <w:sz w:val="24"/>
                <w:szCs w:val="24"/>
              </w:rPr>
              <w:t> of safeguarding during transition.   </w:t>
            </w:r>
          </w:p>
          <w:p w14:paraId="462DF756" w14:textId="7939066A" w:rsidR="005038C1" w:rsidRPr="005038C1" w:rsidRDefault="005038C1" w:rsidP="009642FF">
            <w:pPr>
              <w:spacing w:line="360" w:lineRule="auto"/>
              <w:ind w:firstLine="720"/>
              <w:jc w:val="both"/>
              <w:rPr>
                <w:iCs/>
                <w:sz w:val="24"/>
                <w:szCs w:val="24"/>
              </w:rPr>
            </w:pPr>
            <w:r w:rsidRPr="005038C1">
              <w:rPr>
                <w:iCs/>
                <w:sz w:val="24"/>
                <w:szCs w:val="24"/>
              </w:rPr>
              <w:t>Although the Department of Health and Social Care has produced a briefing on transitional safeguarding for adult social workers in England, no similar guide could be found relating to individuals in Wales (2021). In fact, there is no mention of ‘transition’ in the statutory guidance for safeguarding children or adults (Welsh Government, 2019b; Welsh Government, 2019c). The only mention of transition in the Wales</w:t>
            </w:r>
            <w:r w:rsidR="000505E1">
              <w:rPr>
                <w:iCs/>
                <w:sz w:val="24"/>
                <w:szCs w:val="24"/>
              </w:rPr>
              <w:t xml:space="preserve"> </w:t>
            </w:r>
            <w:r w:rsidRPr="005038C1">
              <w:rPr>
                <w:iCs/>
                <w:sz w:val="24"/>
                <w:szCs w:val="24"/>
              </w:rPr>
              <w:t>Safeguarding </w:t>
            </w:r>
            <w:r w:rsidR="000505E1" w:rsidRPr="005038C1">
              <w:rPr>
                <w:iCs/>
                <w:sz w:val="24"/>
                <w:szCs w:val="24"/>
              </w:rPr>
              <w:t>Procedures is</w:t>
            </w:r>
            <w:r w:rsidRPr="005038C1">
              <w:rPr>
                <w:iCs/>
                <w:sz w:val="24"/>
                <w:szCs w:val="24"/>
              </w:rPr>
              <w:t xml:space="preserve"> ‘transitions, life changes’, listed under information that should be included in a child’s chronology (Care Inspectorate 2017 p.6, cited in Welsh Government, 2019a). The only guidance available to </w:t>
            </w:r>
            <w:r w:rsidRPr="005038C1">
              <w:rPr>
                <w:iCs/>
                <w:sz w:val="24"/>
                <w:szCs w:val="24"/>
              </w:rPr>
              <w:lastRenderedPageBreak/>
              <w:t xml:space="preserve">professionals which could be found was in the </w:t>
            </w:r>
            <w:r w:rsidRPr="005038C1">
              <w:rPr>
                <w:i/>
                <w:sz w:val="24"/>
                <w:szCs w:val="24"/>
              </w:rPr>
              <w:t>SSWA 2014</w:t>
            </w:r>
            <w:r w:rsidRPr="005038C1">
              <w:rPr>
                <w:iCs/>
                <w:sz w:val="24"/>
                <w:szCs w:val="24"/>
              </w:rPr>
              <w:t xml:space="preserve"> Code of Practice for assessing needs which states that ‘the transition from child to adult constitutes a significant change in circumstances and so creates a right to a re-assessment of needs’ (Social Care Wales, 2019, p. 7). It is, therefore, unsurprising that there is no policy or guidance from Regional Safeguarding Board X.  </w:t>
            </w:r>
          </w:p>
          <w:p w14:paraId="6C767B87" w14:textId="5ED817DC" w:rsidR="005038C1" w:rsidRPr="005038C1" w:rsidRDefault="005038C1" w:rsidP="009642FF">
            <w:pPr>
              <w:spacing w:line="360" w:lineRule="auto"/>
              <w:ind w:firstLine="720"/>
              <w:jc w:val="both"/>
              <w:rPr>
                <w:iCs/>
                <w:sz w:val="24"/>
                <w:szCs w:val="24"/>
              </w:rPr>
            </w:pPr>
            <w:r w:rsidRPr="005038C1">
              <w:rPr>
                <w:iCs/>
                <w:sz w:val="24"/>
                <w:szCs w:val="24"/>
              </w:rPr>
              <w:t>The significant gap between the issues that have been identified in research and the policies and practice within Wales were directly relevant to </w:t>
            </w:r>
            <w:r w:rsidR="00734268" w:rsidRPr="005038C1">
              <w:rPr>
                <w:iCs/>
                <w:sz w:val="24"/>
                <w:szCs w:val="24"/>
              </w:rPr>
              <w:t>my</w:t>
            </w:r>
            <w:r w:rsidRPr="005038C1">
              <w:rPr>
                <w:iCs/>
                <w:sz w:val="24"/>
                <w:szCs w:val="24"/>
              </w:rPr>
              <w:t> involvement with 3.  </w:t>
            </w:r>
          </w:p>
          <w:p w14:paraId="46D25D55" w14:textId="1D09FB1D" w:rsidR="005038C1" w:rsidRPr="005038C1" w:rsidRDefault="005038C1" w:rsidP="009642FF">
            <w:pPr>
              <w:spacing w:line="360" w:lineRule="auto"/>
              <w:ind w:firstLine="720"/>
              <w:jc w:val="both"/>
              <w:rPr>
                <w:iCs/>
                <w:sz w:val="24"/>
                <w:szCs w:val="24"/>
              </w:rPr>
            </w:pPr>
            <w:r w:rsidRPr="005038C1">
              <w:rPr>
                <w:iCs/>
                <w:sz w:val="24"/>
                <w:szCs w:val="24"/>
              </w:rPr>
              <w:t>Children’s Services did little to offer any support to the family, yet there was nothing adult safeguarding could do. They would not even provide advice until he turned 18.  This lack of a transitional safeguarding policy meant the intervention relied on a statutory re-assessment of needs upon transition, rather than a system designed to proactively mitigate the well-recognized risks of moving between markedly different legal and procedural framework. This created additional complexity and potential vulnerability for 3, necessitating sustained planning and multi-agency coordination over many </w:t>
            </w:r>
            <w:r w:rsidR="000505E1" w:rsidRPr="005038C1">
              <w:rPr>
                <w:iCs/>
                <w:sz w:val="24"/>
                <w:szCs w:val="24"/>
              </w:rPr>
              <w:t>months to</w:t>
            </w:r>
            <w:r w:rsidRPr="005038C1">
              <w:rPr>
                <w:iCs/>
                <w:sz w:val="24"/>
                <w:szCs w:val="24"/>
              </w:rPr>
              <w:t> bridge the system's gap. </w:t>
            </w:r>
          </w:p>
          <w:p w14:paraId="0F536557" w14:textId="77777777" w:rsidR="005038C1" w:rsidRPr="005038C1" w:rsidRDefault="005038C1" w:rsidP="009642FF">
            <w:pPr>
              <w:spacing w:line="360" w:lineRule="auto"/>
              <w:ind w:firstLine="720"/>
              <w:jc w:val="both"/>
              <w:rPr>
                <w:iCs/>
                <w:sz w:val="24"/>
                <w:szCs w:val="24"/>
              </w:rPr>
            </w:pPr>
            <w:r w:rsidRPr="005038C1">
              <w:rPr>
                <w:iCs/>
                <w:sz w:val="24"/>
                <w:szCs w:val="24"/>
              </w:rPr>
              <w:t>The issue of transition from children to adult health services has been addressed by Welsh Government. The guidance emphasises the importance of early preparation and planning, as well as continuity of care (Welsh Government, 2022b) Joint working should begin at 16, with acceptance onto adult waiting lists and a clear pathway for care.  In practice, at least locally, the situation was different. I referred 3 to the adult learning disability health team for psychology, psychiatry, speech and language therapy, and occupational therapy input. However, the referrals were rejected as he was not 18. Without access to specialist input and assessments, I could not fully consider his care and support needs and address all potential safeguarding issues as effectively. The lack of health input for 3 hindered the safeguarding process.  </w:t>
            </w:r>
          </w:p>
          <w:p w14:paraId="0D637DD2" w14:textId="77777777" w:rsidR="005038C1" w:rsidRPr="005038C1" w:rsidRDefault="005038C1" w:rsidP="009642FF">
            <w:pPr>
              <w:spacing w:line="360" w:lineRule="auto"/>
              <w:ind w:firstLine="720"/>
              <w:jc w:val="both"/>
              <w:rPr>
                <w:iCs/>
                <w:sz w:val="24"/>
                <w:szCs w:val="24"/>
              </w:rPr>
            </w:pPr>
            <w:r w:rsidRPr="005038C1">
              <w:rPr>
                <w:iCs/>
                <w:sz w:val="24"/>
                <w:szCs w:val="24"/>
              </w:rPr>
              <w:t> </w:t>
            </w:r>
          </w:p>
          <w:p w14:paraId="3CDE9225" w14:textId="77777777" w:rsidR="005038C1" w:rsidRPr="005038C1" w:rsidRDefault="005038C1" w:rsidP="009642FF">
            <w:pPr>
              <w:spacing w:line="360" w:lineRule="auto"/>
              <w:jc w:val="both"/>
              <w:rPr>
                <w:iCs/>
                <w:sz w:val="24"/>
                <w:szCs w:val="24"/>
              </w:rPr>
            </w:pPr>
            <w:r w:rsidRPr="005038C1">
              <w:rPr>
                <w:b/>
                <w:bCs/>
                <w:iCs/>
                <w:sz w:val="24"/>
                <w:szCs w:val="24"/>
              </w:rPr>
              <w:t>Safeguarding </w:t>
            </w:r>
            <w:r w:rsidRPr="005038C1">
              <w:rPr>
                <w:iCs/>
                <w:sz w:val="24"/>
                <w:szCs w:val="24"/>
              </w:rPr>
              <w:t> </w:t>
            </w:r>
          </w:p>
          <w:p w14:paraId="41995967" w14:textId="17E2E35A" w:rsidR="005038C1" w:rsidRPr="005038C1" w:rsidRDefault="005038C1" w:rsidP="009642FF">
            <w:pPr>
              <w:spacing w:line="360" w:lineRule="auto"/>
              <w:ind w:firstLine="720"/>
              <w:jc w:val="both"/>
              <w:rPr>
                <w:iCs/>
                <w:sz w:val="24"/>
                <w:szCs w:val="24"/>
              </w:rPr>
            </w:pPr>
            <w:r w:rsidRPr="005038C1">
              <w:rPr>
                <w:iCs/>
                <w:sz w:val="24"/>
                <w:szCs w:val="24"/>
              </w:rPr>
              <w:t>The information gathering stage of safeguarding is important for responding to a report of an adult at risk of abuse or neglect. At this stage, a report taker needs to have enough information to: know what the concerns are and how they have arisen; understand why the adult meets the definition of an adult at risk (</w:t>
            </w:r>
            <w:r w:rsidRPr="005038C1">
              <w:rPr>
                <w:i/>
                <w:sz w:val="24"/>
                <w:szCs w:val="24"/>
              </w:rPr>
              <w:t>SSWA 2014</w:t>
            </w:r>
            <w:r w:rsidRPr="005038C1">
              <w:rPr>
                <w:iCs/>
                <w:sz w:val="24"/>
                <w:szCs w:val="24"/>
              </w:rPr>
              <w:t>, s.126</w:t>
            </w:r>
            <w:r w:rsidR="00D54007">
              <w:rPr>
                <w:iCs/>
                <w:sz w:val="24"/>
                <w:szCs w:val="24"/>
              </w:rPr>
              <w:t>)</w:t>
            </w:r>
            <w:r w:rsidRPr="005038C1">
              <w:rPr>
                <w:iCs/>
                <w:sz w:val="24"/>
                <w:szCs w:val="24"/>
              </w:rPr>
              <w:t xml:space="preserve">, establish if immediate action </w:t>
            </w:r>
            <w:r w:rsidRPr="005038C1">
              <w:rPr>
                <w:iCs/>
                <w:sz w:val="24"/>
                <w:szCs w:val="24"/>
              </w:rPr>
              <w:lastRenderedPageBreak/>
              <w:t>is required to protect the adult; establish if the individual has care and support needs; check if consent has been obtained; and consider the individual’s mental capacity.  </w:t>
            </w:r>
          </w:p>
          <w:p w14:paraId="33079498" w14:textId="77777777" w:rsidR="005038C1" w:rsidRPr="005038C1" w:rsidRDefault="005038C1" w:rsidP="009642FF">
            <w:pPr>
              <w:spacing w:line="360" w:lineRule="auto"/>
              <w:ind w:firstLine="720"/>
              <w:jc w:val="both"/>
              <w:rPr>
                <w:iCs/>
                <w:sz w:val="24"/>
                <w:szCs w:val="24"/>
              </w:rPr>
            </w:pPr>
            <w:r w:rsidRPr="005038C1">
              <w:rPr>
                <w:iCs/>
                <w:sz w:val="24"/>
                <w:szCs w:val="24"/>
              </w:rPr>
              <w:t>As part of this process, I reviewed historic and recent Children’s Services involvement, considered allegations made by his sister and aunt, obtained information from the school, respite, and other agencies, and looked at the strengths and complicating factors in the home.  </w:t>
            </w:r>
          </w:p>
          <w:p w14:paraId="44DC4C55" w14:textId="7578A740" w:rsidR="005038C1" w:rsidRPr="005038C1" w:rsidRDefault="005038C1" w:rsidP="009642FF">
            <w:pPr>
              <w:spacing w:line="360" w:lineRule="auto"/>
              <w:ind w:firstLine="720"/>
              <w:jc w:val="both"/>
              <w:rPr>
                <w:iCs/>
                <w:sz w:val="24"/>
                <w:szCs w:val="24"/>
              </w:rPr>
            </w:pPr>
            <w:r w:rsidRPr="005038C1">
              <w:rPr>
                <w:iCs/>
                <w:sz w:val="24"/>
                <w:szCs w:val="24"/>
              </w:rPr>
              <w:t>In preparation </w:t>
            </w:r>
            <w:r w:rsidR="002A4C2C" w:rsidRPr="005038C1">
              <w:rPr>
                <w:iCs/>
                <w:sz w:val="24"/>
                <w:szCs w:val="24"/>
              </w:rPr>
              <w:t>for when</w:t>
            </w:r>
            <w:r w:rsidRPr="005038C1">
              <w:rPr>
                <w:iCs/>
                <w:sz w:val="24"/>
                <w:szCs w:val="24"/>
              </w:rPr>
              <w:t> 3 turned 18, I gathered information to establish what risks there were. Disabled children are three to four </w:t>
            </w:r>
            <w:r w:rsidR="00D54007" w:rsidRPr="005038C1">
              <w:rPr>
                <w:iCs/>
                <w:sz w:val="24"/>
                <w:szCs w:val="24"/>
              </w:rPr>
              <w:t>times more</w:t>
            </w:r>
            <w:r w:rsidRPr="005038C1">
              <w:rPr>
                <w:iCs/>
                <w:sz w:val="24"/>
                <w:szCs w:val="24"/>
              </w:rPr>
              <w:t> likely to experience abuse or neglect than non-disabled children; children with learning disabilities, communication difficulties and/or behavioural difficulties are most at risk (Hernon et al., 2013). </w:t>
            </w:r>
            <w:r w:rsidR="00D54007" w:rsidRPr="005038C1">
              <w:rPr>
                <w:iCs/>
                <w:sz w:val="24"/>
                <w:szCs w:val="24"/>
              </w:rPr>
              <w:t>Neglect and</w:t>
            </w:r>
            <w:r w:rsidRPr="005038C1">
              <w:rPr>
                <w:iCs/>
                <w:sz w:val="24"/>
                <w:szCs w:val="24"/>
              </w:rPr>
              <w:t> hoarding were consistently raised as concerns by children’s services. Child protection proceedings were considered on at least three </w:t>
            </w:r>
            <w:r w:rsidR="00296137" w:rsidRPr="005038C1">
              <w:rPr>
                <w:iCs/>
                <w:sz w:val="24"/>
                <w:szCs w:val="24"/>
              </w:rPr>
              <w:t>occasions but</w:t>
            </w:r>
            <w:r w:rsidRPr="005038C1">
              <w:rPr>
                <w:iCs/>
                <w:sz w:val="24"/>
                <w:szCs w:val="24"/>
              </w:rPr>
              <w:t> did not progress. A year before my direct involvement, 3's father (5) suffered a stroke and was unable to be discharged from rehabilitation until the home environment was safe, a significant event that further highlighted ongoing concerns about the family’s capacity to provide adequate care.  </w:t>
            </w:r>
          </w:p>
          <w:p w14:paraId="52692CCC" w14:textId="5DE437BE" w:rsidR="005038C1" w:rsidRPr="005038C1" w:rsidRDefault="002A4C2C" w:rsidP="009642FF">
            <w:pPr>
              <w:spacing w:line="360" w:lineRule="auto"/>
              <w:ind w:firstLine="720"/>
              <w:jc w:val="both"/>
              <w:rPr>
                <w:iCs/>
                <w:sz w:val="24"/>
                <w:szCs w:val="24"/>
              </w:rPr>
            </w:pPr>
            <w:r w:rsidRPr="005038C1">
              <w:rPr>
                <w:iCs/>
                <w:sz w:val="24"/>
                <w:szCs w:val="24"/>
              </w:rPr>
              <w:t xml:space="preserve"> </w:t>
            </w:r>
            <w:r w:rsidRPr="005038C1">
              <w:rPr>
                <w:iCs/>
                <w:sz w:val="24"/>
                <w:szCs w:val="24"/>
              </w:rPr>
              <w:t>The most insightful sources of information were 3’s sister</w:t>
            </w:r>
            <w:r>
              <w:rPr>
                <w:iCs/>
                <w:sz w:val="24"/>
                <w:szCs w:val="24"/>
              </w:rPr>
              <w:t xml:space="preserve">, 6, </w:t>
            </w:r>
            <w:r w:rsidRPr="005038C1">
              <w:rPr>
                <w:iCs/>
                <w:sz w:val="24"/>
                <w:szCs w:val="24"/>
              </w:rPr>
              <w:t>and</w:t>
            </w:r>
            <w:r>
              <w:rPr>
                <w:iCs/>
                <w:sz w:val="24"/>
                <w:szCs w:val="24"/>
              </w:rPr>
              <w:t xml:space="preserve"> </w:t>
            </w:r>
            <w:r w:rsidRPr="005038C1">
              <w:rPr>
                <w:iCs/>
                <w:sz w:val="24"/>
                <w:szCs w:val="24"/>
              </w:rPr>
              <w:t>aunt</w:t>
            </w:r>
            <w:r>
              <w:rPr>
                <w:iCs/>
                <w:sz w:val="24"/>
                <w:szCs w:val="24"/>
              </w:rPr>
              <w:t xml:space="preserve">, 7. </w:t>
            </w:r>
            <w:r w:rsidR="005038C1" w:rsidRPr="005038C1">
              <w:rPr>
                <w:iCs/>
                <w:sz w:val="24"/>
                <w:szCs w:val="24"/>
              </w:rPr>
              <w:t>6 disclosed her own experience of neglect as a child. Both raised concerns with me based off what they had observed and provided vital insights into the family’s situation.</w:t>
            </w:r>
            <w:r>
              <w:rPr>
                <w:iCs/>
                <w:sz w:val="24"/>
                <w:szCs w:val="24"/>
              </w:rPr>
              <w:t xml:space="preserve"> </w:t>
            </w:r>
            <w:r w:rsidR="005038C1" w:rsidRPr="005038C1">
              <w:rPr>
                <w:iCs/>
                <w:sz w:val="24"/>
                <w:szCs w:val="24"/>
              </w:rPr>
              <w:t>However, I was cautious about how their perspectives could have been shaped by past frustrations and existing family conflict. Throughout the process, I remained aware of the risk of confirmation bias and checked my assumptions with colleagues in supervision.  </w:t>
            </w:r>
          </w:p>
          <w:p w14:paraId="27E878BC" w14:textId="77777777" w:rsidR="005038C1" w:rsidRPr="005038C1" w:rsidRDefault="005038C1" w:rsidP="009642FF">
            <w:pPr>
              <w:spacing w:line="360" w:lineRule="auto"/>
              <w:ind w:firstLine="720"/>
              <w:jc w:val="both"/>
              <w:rPr>
                <w:iCs/>
                <w:sz w:val="24"/>
                <w:szCs w:val="24"/>
              </w:rPr>
            </w:pPr>
            <w:r w:rsidRPr="005038C1">
              <w:rPr>
                <w:iCs/>
                <w:sz w:val="24"/>
                <w:szCs w:val="24"/>
              </w:rPr>
              <w:t>There were multiple indicators of neglect that I identified during my involvement (Social Care Wales, 2019). The first was failure to provide personal care</w:t>
            </w:r>
            <w:r w:rsidRPr="005038C1">
              <w:rPr>
                <w:b/>
                <w:bCs/>
                <w:iCs/>
                <w:sz w:val="24"/>
                <w:szCs w:val="24"/>
              </w:rPr>
              <w:t>:</w:t>
            </w:r>
            <w:r w:rsidRPr="005038C1">
              <w:rPr>
                <w:iCs/>
                <w:sz w:val="24"/>
                <w:szCs w:val="24"/>
              </w:rPr>
              <w:t xml:space="preserve"> 3 requires prompting to complete personal care. As he frequently went to school dirty and bathed at respite, this indicated that parents were failing to provide correct support with bathing at home. The second was failure to adhere to medication guidelines: 3 needs others to administer medication for him. His medication was often sent to respite as loose tablets or in the wrong packaging, which meant staff were unable to administer it. There was an excessive amount of medication accumulating at home, many of which had gone out, indicating that he was missing doses at home as well. The third was failure to provide clothes: School reported that he often wore uniforms that were dirty or too small and his shoes were worn through the sole. </w:t>
            </w:r>
            <w:r w:rsidRPr="005038C1">
              <w:rPr>
                <w:iCs/>
                <w:sz w:val="24"/>
                <w:szCs w:val="24"/>
              </w:rPr>
              <w:lastRenderedPageBreak/>
              <w:t>The fourth was failure to provide safe shelter: This was evidenced by hoarding, ducks being kept in the living room which resulted in faeces on the floor and a serious risk of disease, unhygienic kitchen, improper storage of cleaning supplies, and dirty bedding and bedroom. Due to the state of his room, 3 had become accustomed to sleeping on the landing outside his room. The fifth was failure to provide stimulation: 6 and 7 reported he was often left upstairs alone to use his iPad with limited interaction with parents. The sixth indicator was inconsistent and reluctant contact with medical and social care organisations: 3’s parents had poor engagement with health services and often downplayed the extent of his challenging behaviour.  I had enough evidence to determine that there was reasonable cause to suspect 3 was at risk. Therefore, a S.126 enquiry was initiated (</w:t>
            </w:r>
            <w:r w:rsidRPr="005038C1">
              <w:rPr>
                <w:i/>
                <w:sz w:val="24"/>
                <w:szCs w:val="24"/>
              </w:rPr>
              <w:t>SSWA 2014</w:t>
            </w:r>
            <w:r w:rsidRPr="005038C1">
              <w:rPr>
                <w:iCs/>
                <w:sz w:val="24"/>
                <w:szCs w:val="24"/>
              </w:rPr>
              <w:t>).  </w:t>
            </w:r>
          </w:p>
          <w:p w14:paraId="1C6C89FC" w14:textId="77777777" w:rsidR="005038C1" w:rsidRPr="005038C1" w:rsidRDefault="005038C1" w:rsidP="009642FF">
            <w:pPr>
              <w:spacing w:line="360" w:lineRule="auto"/>
              <w:ind w:firstLine="720"/>
              <w:jc w:val="both"/>
              <w:rPr>
                <w:iCs/>
                <w:sz w:val="24"/>
                <w:szCs w:val="24"/>
              </w:rPr>
            </w:pPr>
            <w:r w:rsidRPr="005038C1">
              <w:rPr>
                <w:iCs/>
                <w:sz w:val="24"/>
                <w:szCs w:val="24"/>
              </w:rPr>
              <w:t>There are three possible outcomes of a Section 126 enquiry. Immediate Protection; the adult is not at risk but may have care and support needs; or adult at risk and action to protect needed (Welsh Government, 2019a). The case met the threshold for the third determination; while immediate safeguarding action was not required, longer-term action was necessary to protect 3. Given the concerns about neglect and hoarding, a preventative adult safeguarding plan was developed before 3’s 18th birthday, drawing from Children’s Services' safety plan, in the hope of stabilising the situation. This plan included wider family members regularly visiting, supporting the maintenance of a good standard of living, and informing me of the home conditions, alongside the provision direct payments for a PA to actively reduce the risk of breakdown. </w:t>
            </w:r>
          </w:p>
          <w:p w14:paraId="0AF6392E" w14:textId="77777777" w:rsidR="005038C1" w:rsidRPr="005038C1" w:rsidRDefault="005038C1" w:rsidP="009642FF">
            <w:pPr>
              <w:spacing w:line="360" w:lineRule="auto"/>
              <w:ind w:firstLine="720"/>
              <w:jc w:val="both"/>
              <w:rPr>
                <w:iCs/>
                <w:sz w:val="24"/>
                <w:szCs w:val="24"/>
              </w:rPr>
            </w:pPr>
            <w:r w:rsidRPr="005038C1">
              <w:rPr>
                <w:iCs/>
                <w:sz w:val="24"/>
                <w:szCs w:val="24"/>
              </w:rPr>
              <w:t>The initial evaluation was designed to establish the level of risk to 3, the extent of parental and wider family involvement, the influence of 3’s disabilities, as well as the impact of 4’s mental health and 5’s physical health. I carefully considered 3’s circumstances, his desired outcomes, existing barriers, risks, strengths, and capabilities during the assessment. </w:t>
            </w:r>
          </w:p>
          <w:p w14:paraId="22FC48C5" w14:textId="77777777" w:rsidR="005038C1" w:rsidRPr="005038C1" w:rsidRDefault="005038C1" w:rsidP="009642FF">
            <w:pPr>
              <w:spacing w:line="360" w:lineRule="auto"/>
              <w:ind w:firstLine="720"/>
              <w:jc w:val="both"/>
              <w:rPr>
                <w:iCs/>
                <w:sz w:val="24"/>
                <w:szCs w:val="24"/>
              </w:rPr>
            </w:pPr>
            <w:r w:rsidRPr="005038C1">
              <w:rPr>
                <w:iCs/>
                <w:sz w:val="24"/>
                <w:szCs w:val="24"/>
              </w:rPr>
              <w:t xml:space="preserve">On 3's 18th birthday, I contacted the Local Authority’s Adult Safeguarding Team for a strategy discussion. I presented the full context of the case, the interim safety plan, and the plan to transition him to supported accommodation. The safeguarding team was satisfied that 3 was an ‘adult at risk’ and the risks could be adequately mitigated by the plan and ongoing involvement. As there was limited involvement from health professionals at the time, a Multi-Disciplinary Team (MDT) approach was required to gather further information about his needs to support the longer-term interventions. Consequently, the local authority had </w:t>
            </w:r>
            <w:r w:rsidRPr="005038C1">
              <w:rPr>
                <w:iCs/>
                <w:sz w:val="24"/>
                <w:szCs w:val="24"/>
              </w:rPr>
              <w:lastRenderedPageBreak/>
              <w:t>a duty to meet his care and support needs (</w:t>
            </w:r>
            <w:r w:rsidRPr="005038C1">
              <w:rPr>
                <w:i/>
                <w:sz w:val="24"/>
                <w:szCs w:val="24"/>
              </w:rPr>
              <w:t>SSWA 2014</w:t>
            </w:r>
            <w:r w:rsidRPr="005038C1">
              <w:rPr>
                <w:iCs/>
                <w:sz w:val="24"/>
                <w:szCs w:val="24"/>
              </w:rPr>
              <w:t>, S.54(1)). To promote 3’s safety and wellbeing while he remained at home, direct payments were arranged for a PA to support him in accessing the community, as his parents struggled with this due partly to his challenging behaviour and their own difficulties. </w:t>
            </w:r>
          </w:p>
          <w:p w14:paraId="438063BD" w14:textId="48D4D346" w:rsidR="005038C1" w:rsidRPr="005038C1" w:rsidRDefault="005038C1" w:rsidP="00B10484">
            <w:pPr>
              <w:spacing w:line="360" w:lineRule="auto"/>
              <w:ind w:firstLine="720"/>
              <w:jc w:val="both"/>
              <w:rPr>
                <w:iCs/>
                <w:sz w:val="24"/>
                <w:szCs w:val="24"/>
              </w:rPr>
            </w:pPr>
            <w:r w:rsidRPr="005038C1">
              <w:rPr>
                <w:iCs/>
                <w:sz w:val="24"/>
                <w:szCs w:val="24"/>
              </w:rPr>
              <w:t>The care and support protection plan was regularly reviewed as further assessments were conducted and new information emerged. A significant challenge was the delayed move to supported living. What initially seemed a short-term issue related to fire safety evolved into a delay spanning many months, creating immense confusion and exhaustion for the family. While home conditions gradually improved with ongoing monitoring, 3’s behaviour remained </w:t>
            </w:r>
            <w:r w:rsidR="002A4C2C" w:rsidRPr="005038C1">
              <w:rPr>
                <w:iCs/>
                <w:sz w:val="24"/>
                <w:szCs w:val="24"/>
              </w:rPr>
              <w:t>challenging,</w:t>
            </w:r>
            <w:r w:rsidRPr="005038C1">
              <w:rPr>
                <w:iCs/>
                <w:sz w:val="24"/>
                <w:szCs w:val="24"/>
              </w:rPr>
              <w:t> and the other concerns were still</w:t>
            </w:r>
            <w:r w:rsidR="002A4C2C">
              <w:rPr>
                <w:iCs/>
                <w:sz w:val="24"/>
                <w:szCs w:val="24"/>
              </w:rPr>
              <w:t xml:space="preserve"> </w:t>
            </w:r>
            <w:r w:rsidRPr="005038C1">
              <w:rPr>
                <w:iCs/>
                <w:sz w:val="24"/>
                <w:szCs w:val="24"/>
              </w:rPr>
              <w:t>present. </w:t>
            </w:r>
            <w:r w:rsidR="002A4C2C">
              <w:rPr>
                <w:iCs/>
                <w:sz w:val="24"/>
                <w:szCs w:val="24"/>
              </w:rPr>
              <w:t xml:space="preserve"> </w:t>
            </w:r>
            <w:r w:rsidRPr="005038C1">
              <w:rPr>
                <w:iCs/>
                <w:sz w:val="24"/>
                <w:szCs w:val="24"/>
              </w:rPr>
              <w:t>Additional</w:t>
            </w:r>
            <w:r w:rsidR="00B10484">
              <w:rPr>
                <w:iCs/>
                <w:sz w:val="24"/>
                <w:szCs w:val="24"/>
              </w:rPr>
              <w:t xml:space="preserve"> </w:t>
            </w:r>
            <w:r w:rsidRPr="005038C1">
              <w:rPr>
                <w:iCs/>
                <w:sz w:val="24"/>
                <w:szCs w:val="24"/>
              </w:rPr>
              <w:t>support was implemented to maintain stability while the transition was underway. The situation became more difficult when 5 was diagnosed with cancer a few months later. As the transition had stalled, my confidence in the provider’s ability to move 3 withi</w:t>
            </w:r>
            <w:r w:rsidR="00733529">
              <w:rPr>
                <w:iCs/>
                <w:sz w:val="24"/>
                <w:szCs w:val="24"/>
              </w:rPr>
              <w:t>n a</w:t>
            </w:r>
            <w:r w:rsidRPr="005038C1">
              <w:rPr>
                <w:iCs/>
                <w:sz w:val="24"/>
                <w:szCs w:val="24"/>
              </w:rPr>
              <w:t> safe timeframe diminished. A new best interests meeting was convened, and the family agreed for 3 to move to the local authority’s learning disability temporary accommodation.  </w:t>
            </w:r>
          </w:p>
          <w:p w14:paraId="42B99299" w14:textId="77777777" w:rsidR="001B63EA" w:rsidRDefault="001B63EA" w:rsidP="009642FF">
            <w:pPr>
              <w:spacing w:line="360" w:lineRule="auto"/>
              <w:jc w:val="both"/>
              <w:rPr>
                <w:b/>
                <w:bCs/>
                <w:iCs/>
                <w:sz w:val="24"/>
                <w:szCs w:val="24"/>
              </w:rPr>
            </w:pPr>
          </w:p>
          <w:p w14:paraId="2F7F3003" w14:textId="149F6A31" w:rsidR="005038C1" w:rsidRPr="005038C1" w:rsidRDefault="005038C1" w:rsidP="009642FF">
            <w:pPr>
              <w:spacing w:line="360" w:lineRule="auto"/>
              <w:jc w:val="both"/>
              <w:rPr>
                <w:iCs/>
                <w:sz w:val="24"/>
                <w:szCs w:val="24"/>
              </w:rPr>
            </w:pPr>
            <w:r w:rsidRPr="005038C1">
              <w:rPr>
                <w:b/>
                <w:bCs/>
                <w:iCs/>
                <w:sz w:val="24"/>
                <w:szCs w:val="24"/>
              </w:rPr>
              <w:t>Multi-Agency Working </w:t>
            </w:r>
            <w:r w:rsidRPr="005038C1">
              <w:rPr>
                <w:iCs/>
                <w:sz w:val="24"/>
                <w:szCs w:val="24"/>
              </w:rPr>
              <w:t> </w:t>
            </w:r>
          </w:p>
          <w:p w14:paraId="3D61C193" w14:textId="51BB9B15" w:rsidR="005038C1" w:rsidRPr="005038C1" w:rsidRDefault="005038C1" w:rsidP="009642FF">
            <w:pPr>
              <w:spacing w:line="360" w:lineRule="auto"/>
              <w:ind w:firstLine="720"/>
              <w:jc w:val="both"/>
              <w:rPr>
                <w:iCs/>
                <w:sz w:val="24"/>
                <w:szCs w:val="24"/>
              </w:rPr>
            </w:pPr>
            <w:r w:rsidRPr="005038C1">
              <w:rPr>
                <w:iCs/>
                <w:sz w:val="24"/>
                <w:szCs w:val="24"/>
              </w:rPr>
              <w:t>This case illustrated the importance of multi-agency working in safeguarding adults with disabilities. Effective collaboration was essential due to the overlapping needs: learning disability, mental capacity concerns, environmental risks, and challenging family dynamics. A wide range of professionals and agencies were involved. The learning disability nurse completed a 13-point risk assessment to inform </w:t>
            </w:r>
            <w:r w:rsidR="00733529" w:rsidRPr="005038C1">
              <w:rPr>
                <w:iCs/>
                <w:sz w:val="24"/>
                <w:szCs w:val="24"/>
              </w:rPr>
              <w:t>strategies</w:t>
            </w:r>
            <w:r w:rsidRPr="005038C1">
              <w:rPr>
                <w:iCs/>
                <w:sz w:val="24"/>
                <w:szCs w:val="24"/>
              </w:rPr>
              <w:t> for managing his behaviour. The Speech and Language Therapist completed a communication assessment, which helped provide a better understanding of 3’s communication style and capacity. His school shared concerns </w:t>
            </w:r>
            <w:r w:rsidR="00733529" w:rsidRPr="005038C1">
              <w:rPr>
                <w:iCs/>
                <w:sz w:val="24"/>
                <w:szCs w:val="24"/>
              </w:rPr>
              <w:t>and information</w:t>
            </w:r>
            <w:r w:rsidRPr="005038C1">
              <w:rPr>
                <w:iCs/>
                <w:sz w:val="24"/>
                <w:szCs w:val="24"/>
              </w:rPr>
              <w:t> on his needs, abilities, and presentation. The local authority’s legal team provided advice on applying to the Court of Protection. The Mental Capacity Consultant provided advice on assessing capacity for care and finances in an inclusive way. The Safeguarding Team provided guidance during the threshold decision-making process and contributed to joint planning. The RSPCA unexpectedly became involved due to animal welfare concerns when ducks were found to be kept inside the house. </w:t>
            </w:r>
          </w:p>
          <w:p w14:paraId="6A4C001D" w14:textId="77777777" w:rsidR="005038C1" w:rsidRPr="005038C1" w:rsidRDefault="005038C1" w:rsidP="009642FF">
            <w:pPr>
              <w:spacing w:line="360" w:lineRule="auto"/>
              <w:ind w:firstLine="720"/>
              <w:jc w:val="both"/>
              <w:rPr>
                <w:iCs/>
                <w:sz w:val="24"/>
                <w:szCs w:val="24"/>
              </w:rPr>
            </w:pPr>
            <w:r w:rsidRPr="005038C1">
              <w:rPr>
                <w:iCs/>
                <w:sz w:val="24"/>
                <w:szCs w:val="24"/>
              </w:rPr>
              <w:lastRenderedPageBreak/>
              <w:t>In my view, the education provider missed key safeguarding cues. I found myself challenging their poor information sharing and encouraging better adherence to safeguarding protocols, concerns which I shared with my manager in supervision. This experience underscored the importance of being a persistent advocate, especially when other agencies lack clarity or fail to act. A lack of involvement from psychiatry and psychology hindered effective medication management and understanding the psychological impact of family issues on 3.  </w:t>
            </w:r>
          </w:p>
          <w:p w14:paraId="00AD3EF7" w14:textId="77777777" w:rsidR="005038C1" w:rsidRPr="005038C1" w:rsidRDefault="005038C1" w:rsidP="009642FF">
            <w:pPr>
              <w:spacing w:line="360" w:lineRule="auto"/>
              <w:ind w:firstLine="720"/>
              <w:jc w:val="both"/>
              <w:rPr>
                <w:iCs/>
                <w:sz w:val="24"/>
                <w:szCs w:val="24"/>
              </w:rPr>
            </w:pPr>
            <w:r w:rsidRPr="005038C1">
              <w:rPr>
                <w:iCs/>
                <w:sz w:val="24"/>
                <w:szCs w:val="24"/>
              </w:rPr>
              <w:t>Recently, new safeguarding concerns were raised by the learning disability nurse following a disclosure from 3’s aunt that 4 had given him CBD gummies to calm him on days she had forgotten his prescription medication. Adult at risk forms were submitted to both the local authority and the health board, with an action for the nurse to complete a medication mental capacity assessment. This further highlighted the need for collaboration, as joint working with myself supported her to have a person-centred approach that considered his communication needs.  </w:t>
            </w:r>
          </w:p>
          <w:p w14:paraId="115548D3" w14:textId="77777777" w:rsidR="005038C1" w:rsidRPr="005038C1" w:rsidRDefault="005038C1" w:rsidP="009642FF">
            <w:pPr>
              <w:spacing w:line="360" w:lineRule="auto"/>
              <w:jc w:val="both"/>
              <w:rPr>
                <w:iCs/>
                <w:sz w:val="24"/>
                <w:szCs w:val="24"/>
              </w:rPr>
            </w:pPr>
            <w:r w:rsidRPr="005038C1">
              <w:rPr>
                <w:b/>
                <w:bCs/>
                <w:iCs/>
                <w:sz w:val="24"/>
                <w:szCs w:val="24"/>
              </w:rPr>
              <w:t>Ethical Dilemmas and Power Dynamics</w:t>
            </w:r>
            <w:r w:rsidRPr="005038C1">
              <w:rPr>
                <w:iCs/>
                <w:sz w:val="24"/>
                <w:szCs w:val="24"/>
              </w:rPr>
              <w:t> </w:t>
            </w:r>
          </w:p>
          <w:p w14:paraId="0FD777E2" w14:textId="178FFDA5" w:rsidR="005038C1" w:rsidRPr="005038C1" w:rsidRDefault="005038C1" w:rsidP="009642FF">
            <w:pPr>
              <w:spacing w:line="360" w:lineRule="auto"/>
              <w:ind w:firstLine="720"/>
              <w:jc w:val="both"/>
              <w:rPr>
                <w:iCs/>
                <w:sz w:val="24"/>
                <w:szCs w:val="24"/>
              </w:rPr>
            </w:pPr>
            <w:r w:rsidRPr="005038C1">
              <w:rPr>
                <w:iCs/>
                <w:sz w:val="24"/>
                <w:szCs w:val="24"/>
              </w:rPr>
              <w:t>A significant ethical dilemma was balancing the decision to keep 3 at home while preparing for a supported living placement. Although the environment had improved following safety planning, concerns about ongoing risks remained. However, removing him could have caused further distress and a loss of trust for both him and his parents. Through supervision, I reflected on the balance between risk and the right to family life, choosing to monitor the situation closely while proactively continuing transition work. When the move continued to be delayed and his father's health deteriorated,</w:t>
            </w:r>
            <w:r w:rsidR="000656B4">
              <w:rPr>
                <w:iCs/>
                <w:sz w:val="24"/>
                <w:szCs w:val="24"/>
              </w:rPr>
              <w:t xml:space="preserve"> </w:t>
            </w:r>
            <w:r w:rsidRPr="005038C1">
              <w:rPr>
                <w:iCs/>
                <w:sz w:val="24"/>
                <w:szCs w:val="24"/>
              </w:rPr>
              <w:t>the subsequent best interest</w:t>
            </w:r>
            <w:r w:rsidR="004D6BDD">
              <w:rPr>
                <w:iCs/>
                <w:sz w:val="24"/>
                <w:szCs w:val="24"/>
              </w:rPr>
              <w:t xml:space="preserve"> </w:t>
            </w:r>
            <w:r w:rsidRPr="005038C1">
              <w:rPr>
                <w:iCs/>
                <w:sz w:val="24"/>
                <w:szCs w:val="24"/>
              </w:rPr>
              <w:t>decision was framed around preventing further distress to 3 and enabling 5 to focus on his treatment, making the parents more agreeable to the temporary accommodation move.  </w:t>
            </w:r>
          </w:p>
          <w:p w14:paraId="581EE50A" w14:textId="180A696A" w:rsidR="005038C1" w:rsidRPr="005038C1" w:rsidRDefault="005038C1" w:rsidP="009642FF">
            <w:pPr>
              <w:spacing w:line="360" w:lineRule="auto"/>
              <w:ind w:firstLine="720"/>
              <w:jc w:val="both"/>
              <w:rPr>
                <w:iCs/>
                <w:sz w:val="24"/>
                <w:szCs w:val="24"/>
              </w:rPr>
            </w:pPr>
            <w:r w:rsidRPr="005038C1">
              <w:rPr>
                <w:iCs/>
                <w:sz w:val="24"/>
                <w:szCs w:val="24"/>
              </w:rPr>
              <w:t>Power dynamics were a consistent </w:t>
            </w:r>
            <w:r w:rsidR="004D6BDD" w:rsidRPr="005038C1">
              <w:rPr>
                <w:iCs/>
                <w:sz w:val="24"/>
                <w:szCs w:val="24"/>
              </w:rPr>
              <w:t>undercurrent.</w:t>
            </w:r>
            <w:r w:rsidRPr="005038C1">
              <w:rPr>
                <w:iCs/>
                <w:sz w:val="24"/>
                <w:szCs w:val="24"/>
              </w:rPr>
              <w:t xml:space="preserve"> In hindsight, I reflected on how the situation was influenced by the power used by the Children’s Services, specifically their use of the potential for removal to prompt urgent action. While this strategy secured immediate improvements, it impacted on my relationship with 3’s parents and influenced the pace at which I acted.  As the statutory social worker, I held authority, but I was conscious of how this could be perceived as coercive given how children’s services responded. I struggled to be both compassionate and assertive out of fear of the family disengaging. I now recognise the </w:t>
            </w:r>
            <w:r w:rsidRPr="005038C1">
              <w:rPr>
                <w:iCs/>
                <w:sz w:val="24"/>
                <w:szCs w:val="24"/>
              </w:rPr>
              <w:lastRenderedPageBreak/>
              <w:t>value of planning for longer-term transitions earlier; had I fully anticipated the likely delays in supported living, I would have considered an earlier move to temporary accommodation. This case reinforced that safeguarding adults with disabilities requires thinking beyond the immediate risk and acting in anticipation of future vulnerabilities. </w:t>
            </w:r>
          </w:p>
          <w:p w14:paraId="3445A137" w14:textId="77777777" w:rsidR="005038C1" w:rsidRPr="005038C1" w:rsidRDefault="005038C1" w:rsidP="009642FF">
            <w:pPr>
              <w:spacing w:line="360" w:lineRule="auto"/>
              <w:ind w:firstLine="720"/>
              <w:jc w:val="both"/>
              <w:rPr>
                <w:iCs/>
                <w:sz w:val="24"/>
                <w:szCs w:val="24"/>
              </w:rPr>
            </w:pPr>
            <w:r w:rsidRPr="005038C1">
              <w:rPr>
                <w:iCs/>
                <w:sz w:val="24"/>
                <w:szCs w:val="24"/>
              </w:rPr>
              <w:t>Managing the safeguarding concerns required me to adopt a leadership role, particularly when professionals hesitated or when family members disagreed. For instance, I led the convening of a best interests meeting when an informal consensus could not be reached. The case raised ongoing ethical tensions between promoting autonomy and ensuring safety, and between advocating for 3 and navigating family conflict. </w:t>
            </w:r>
          </w:p>
          <w:p w14:paraId="6E467E6A" w14:textId="77777777" w:rsidR="005038C1" w:rsidRPr="005038C1" w:rsidRDefault="005038C1" w:rsidP="003921F5">
            <w:pPr>
              <w:spacing w:line="360" w:lineRule="auto"/>
              <w:jc w:val="both"/>
              <w:rPr>
                <w:iCs/>
                <w:sz w:val="24"/>
                <w:szCs w:val="24"/>
              </w:rPr>
            </w:pPr>
            <w:r w:rsidRPr="005038C1">
              <w:rPr>
                <w:b/>
                <w:bCs/>
                <w:iCs/>
                <w:sz w:val="24"/>
                <w:szCs w:val="24"/>
              </w:rPr>
              <w:t>Systems Thinking</w:t>
            </w:r>
            <w:r w:rsidRPr="005038C1">
              <w:rPr>
                <w:iCs/>
                <w:sz w:val="24"/>
                <w:szCs w:val="24"/>
              </w:rPr>
              <w:t> </w:t>
            </w:r>
          </w:p>
          <w:p w14:paraId="216C94A2" w14:textId="77777777" w:rsidR="005038C1" w:rsidRPr="005038C1" w:rsidRDefault="005038C1" w:rsidP="009642FF">
            <w:pPr>
              <w:spacing w:line="360" w:lineRule="auto"/>
              <w:ind w:firstLine="720"/>
              <w:jc w:val="both"/>
              <w:rPr>
                <w:iCs/>
                <w:sz w:val="24"/>
                <w:szCs w:val="24"/>
              </w:rPr>
            </w:pPr>
            <w:r w:rsidRPr="005038C1">
              <w:rPr>
                <w:iCs/>
                <w:sz w:val="24"/>
                <w:szCs w:val="24"/>
              </w:rPr>
              <w:t>From the outset, I applied systems theory to understand the interconnected nature of 3’s family, support network, and services (Walker, 2012. His behaviours and vulnerabilities were shaped by the home dynamics, the history of neglect and hoarding, relationships with professionals, and systemic factors like service transitions. By mapping these connections, I understood the ripple effects of actions, such as how delays in resolving fire safety directly impacted his anxiety and challenging behaviour. Considering that 3’s mother, who is English, had no local family support helped contextualize the impact of her caring responsibilities on her mental health and ability to maintain relationships. The direct payments for a personal assistant were also used to support her ability to see her own family. </w:t>
            </w:r>
          </w:p>
          <w:p w14:paraId="5D8EC286" w14:textId="71666FC9" w:rsidR="005038C1" w:rsidRPr="005038C1" w:rsidRDefault="005038C1" w:rsidP="009642FF">
            <w:pPr>
              <w:spacing w:line="360" w:lineRule="auto"/>
              <w:ind w:firstLine="720"/>
              <w:jc w:val="both"/>
              <w:rPr>
                <w:iCs/>
                <w:sz w:val="24"/>
                <w:szCs w:val="24"/>
              </w:rPr>
            </w:pPr>
            <w:r w:rsidRPr="005038C1">
              <w:rPr>
                <w:iCs/>
                <w:sz w:val="24"/>
                <w:szCs w:val="24"/>
              </w:rPr>
              <w:t>Transitions are one point in the family lifecycle where challenges can arise. In 3’s case, there were </w:t>
            </w:r>
            <w:r w:rsidR="003921F5" w:rsidRPr="005038C1">
              <w:rPr>
                <w:iCs/>
                <w:sz w:val="24"/>
                <w:szCs w:val="24"/>
              </w:rPr>
              <w:t>several</w:t>
            </w:r>
            <w:r w:rsidRPr="005038C1">
              <w:rPr>
                <w:iCs/>
                <w:sz w:val="24"/>
                <w:szCs w:val="24"/>
              </w:rPr>
              <w:t> transitions which contributed to the difficulties. This included: 4 taking on more caring responsibilities after 5’s stroke; the transition from children to adult service, which, as explained earlier, is particularly difficult when safeguarding is required; and the transition from parent’s being responsible for decisions to the local authority making best interest decisions with their input.  </w:t>
            </w:r>
          </w:p>
          <w:p w14:paraId="48C966F2" w14:textId="77777777" w:rsidR="005038C1" w:rsidRPr="005038C1" w:rsidRDefault="005038C1" w:rsidP="003921F5">
            <w:pPr>
              <w:spacing w:line="360" w:lineRule="auto"/>
              <w:jc w:val="both"/>
              <w:rPr>
                <w:iCs/>
                <w:sz w:val="24"/>
                <w:szCs w:val="24"/>
              </w:rPr>
            </w:pPr>
            <w:r w:rsidRPr="005038C1">
              <w:rPr>
                <w:b/>
                <w:bCs/>
                <w:iCs/>
                <w:sz w:val="24"/>
                <w:szCs w:val="24"/>
              </w:rPr>
              <w:t>Conclusion </w:t>
            </w:r>
            <w:r w:rsidRPr="005038C1">
              <w:rPr>
                <w:iCs/>
                <w:sz w:val="24"/>
                <w:szCs w:val="24"/>
              </w:rPr>
              <w:t> </w:t>
            </w:r>
          </w:p>
          <w:p w14:paraId="717F2AB4" w14:textId="77777777" w:rsidR="005038C1" w:rsidRPr="005038C1" w:rsidRDefault="005038C1" w:rsidP="009642FF">
            <w:pPr>
              <w:spacing w:line="360" w:lineRule="auto"/>
              <w:ind w:firstLine="720"/>
              <w:jc w:val="both"/>
              <w:rPr>
                <w:iCs/>
                <w:sz w:val="24"/>
                <w:szCs w:val="24"/>
              </w:rPr>
            </w:pPr>
            <w:r w:rsidRPr="005038C1">
              <w:rPr>
                <w:iCs/>
                <w:sz w:val="24"/>
                <w:szCs w:val="24"/>
              </w:rPr>
              <w:t>The most important thing I learned from this case is that effective adult safeguarding is not exclusively (or primarily) about urgent intervention. In 3’s case, it required sustained planning, careful negotiation, and multi-agency coordination over many months. The experience strengthened my ability to balance protection with empowerment and deepened my understanding of how to apply the </w:t>
            </w:r>
            <w:r w:rsidRPr="005038C1">
              <w:rPr>
                <w:i/>
                <w:sz w:val="24"/>
                <w:szCs w:val="24"/>
              </w:rPr>
              <w:t>SSWA 2014, Mental Capacity Act 2005</w:t>
            </w:r>
            <w:r w:rsidRPr="005038C1">
              <w:rPr>
                <w:iCs/>
                <w:sz w:val="24"/>
                <w:szCs w:val="24"/>
              </w:rPr>
              <w:t xml:space="preserve">, and </w:t>
            </w:r>
            <w:r w:rsidRPr="005038C1">
              <w:rPr>
                <w:iCs/>
                <w:sz w:val="24"/>
                <w:szCs w:val="24"/>
              </w:rPr>
              <w:lastRenderedPageBreak/>
              <w:t>safeguarding procedures in practice. My assessment analysis improved as I learned to triangulate evidence from different sources to build a more accurate, holistic understanding. I also developed better skills in using the Signs of Safety framework, particularly in balancing what was working well against identified concerns. </w:t>
            </w:r>
          </w:p>
          <w:p w14:paraId="36961E99" w14:textId="77777777" w:rsidR="005038C1" w:rsidRPr="005038C1" w:rsidRDefault="005038C1" w:rsidP="009642FF">
            <w:pPr>
              <w:spacing w:line="360" w:lineRule="auto"/>
              <w:ind w:firstLine="720"/>
              <w:jc w:val="both"/>
              <w:rPr>
                <w:iCs/>
                <w:sz w:val="24"/>
                <w:szCs w:val="24"/>
              </w:rPr>
            </w:pPr>
            <w:r w:rsidRPr="005038C1">
              <w:rPr>
                <w:iCs/>
                <w:sz w:val="24"/>
                <w:szCs w:val="24"/>
              </w:rPr>
              <w:t>Reflecting on this safeguarding case has reinforced the importance of a person-centred, legally grounded, and collaborative approach. Supporting 3 through his transition and navigating his family dynamics required sustained involvement, critical thinking, and a commitment to upholding his rights, even when this meant challenging his parents. Knowing that 3 was in a safe environment where his care and support needs were met in temporary accommodation, I began to critically question whether the initially identified supported living placement remained the best option. I considered: wider safeguarding issues raised by colleagues regarding the provider’s other houses; new information on 3’s compatibility based on his engagement with others in the temporary accommodation; and the level of restrictions in the proposed placement. Following further discussion in supervision, I decided that the identified placement was not in his best interest, and that an alternative, more suitable placement should be actively sought.  </w:t>
            </w:r>
          </w:p>
          <w:p w14:paraId="382099F1" w14:textId="77777777" w:rsidR="005038C1" w:rsidRPr="005038C1" w:rsidRDefault="005038C1" w:rsidP="009642FF">
            <w:pPr>
              <w:spacing w:line="360" w:lineRule="auto"/>
              <w:ind w:firstLine="720"/>
              <w:jc w:val="both"/>
              <w:rPr>
                <w:iCs/>
                <w:sz w:val="24"/>
                <w:szCs w:val="24"/>
              </w:rPr>
            </w:pPr>
            <w:r w:rsidRPr="005038C1">
              <w:rPr>
                <w:iCs/>
                <w:sz w:val="24"/>
                <w:szCs w:val="24"/>
              </w:rPr>
              <w:t>I’ve learned that effective safeguarding often requires building trust, working across agencies, and carefully planning for long-term outcomes, rather than just immediate action. The experience strengthened my ability to balance protection with empowerment and deepened my understanding of legislative frameworks in practice. </w:t>
            </w:r>
          </w:p>
          <w:p w14:paraId="55BE7B88" w14:textId="77777777" w:rsidR="005038C1" w:rsidRPr="005038C1" w:rsidRDefault="005038C1" w:rsidP="009642FF">
            <w:pPr>
              <w:jc w:val="both"/>
              <w:rPr>
                <w:iCs/>
                <w:sz w:val="24"/>
                <w:szCs w:val="24"/>
              </w:rPr>
            </w:pPr>
            <w:r w:rsidRPr="005038C1">
              <w:rPr>
                <w:iCs/>
                <w:sz w:val="24"/>
                <w:szCs w:val="24"/>
              </w:rPr>
              <w:t> </w:t>
            </w:r>
          </w:p>
          <w:p w14:paraId="4159050B" w14:textId="77777777" w:rsidR="005038C1" w:rsidRDefault="005038C1" w:rsidP="00B95FDE">
            <w:pPr>
              <w:rPr>
                <w:i/>
                <w:sz w:val="24"/>
                <w:szCs w:val="24"/>
              </w:rPr>
            </w:pPr>
          </w:p>
          <w:p w14:paraId="20370495" w14:textId="79B79501" w:rsidR="00D3203C" w:rsidRDefault="00D3203C" w:rsidP="00B95FDE">
            <w:pPr>
              <w:rPr>
                <w:i/>
                <w:sz w:val="24"/>
                <w:szCs w:val="24"/>
              </w:rPr>
            </w:pPr>
          </w:p>
          <w:p w14:paraId="12DC2F24" w14:textId="24094196" w:rsidR="00D3203C" w:rsidRDefault="00D3203C" w:rsidP="00B95FDE">
            <w:pPr>
              <w:rPr>
                <w:i/>
                <w:sz w:val="24"/>
                <w:szCs w:val="24"/>
              </w:rPr>
            </w:pPr>
          </w:p>
          <w:p w14:paraId="1225D23D" w14:textId="2833ED80" w:rsidR="00D3203C" w:rsidRDefault="00492F0B" w:rsidP="00B95FDE">
            <w:pPr>
              <w:rPr>
                <w:i/>
                <w:sz w:val="24"/>
                <w:szCs w:val="24"/>
              </w:rPr>
            </w:pPr>
            <w:r>
              <w:rPr>
                <w:i/>
                <w:sz w:val="24"/>
                <w:szCs w:val="24"/>
              </w:rPr>
              <w:t>(3885 words)</w:t>
            </w:r>
          </w:p>
          <w:p w14:paraId="0C1020FE" w14:textId="61CE561C" w:rsidR="00D3203C" w:rsidRDefault="00D3203C" w:rsidP="00B95FDE">
            <w:pPr>
              <w:rPr>
                <w:i/>
                <w:sz w:val="24"/>
                <w:szCs w:val="24"/>
              </w:rPr>
            </w:pPr>
          </w:p>
          <w:p w14:paraId="43CA65F6" w14:textId="46B65686" w:rsidR="00D3203C" w:rsidRDefault="00D3203C" w:rsidP="00B95FDE">
            <w:pPr>
              <w:rPr>
                <w:i/>
                <w:sz w:val="24"/>
                <w:szCs w:val="24"/>
              </w:rPr>
            </w:pPr>
          </w:p>
          <w:p w14:paraId="5C222972" w14:textId="259CE14B" w:rsidR="00D3203C" w:rsidRDefault="00D3203C" w:rsidP="00B95FDE">
            <w:pPr>
              <w:rPr>
                <w:i/>
                <w:sz w:val="24"/>
                <w:szCs w:val="24"/>
              </w:rPr>
            </w:pPr>
          </w:p>
          <w:p w14:paraId="0E7BBCC9" w14:textId="77777777" w:rsidR="00D3203C" w:rsidRDefault="00D3203C" w:rsidP="00B95FDE">
            <w:pPr>
              <w:rPr>
                <w:i/>
                <w:sz w:val="24"/>
                <w:szCs w:val="24"/>
              </w:rPr>
            </w:pPr>
          </w:p>
          <w:p w14:paraId="47F21B6A" w14:textId="007FFCCE" w:rsidR="007A628F" w:rsidRPr="008B28E7" w:rsidRDefault="007A628F" w:rsidP="00B95FDE">
            <w:pPr>
              <w:rPr>
                <w:sz w:val="24"/>
                <w:szCs w:val="24"/>
              </w:rPr>
            </w:pPr>
          </w:p>
        </w:tc>
      </w:tr>
      <w:tr w:rsidR="005038C1" w:rsidRPr="008B28E7" w14:paraId="11C5458C" w14:textId="77777777" w:rsidTr="7B2CF1A9">
        <w:tc>
          <w:tcPr>
            <w:tcW w:w="10031" w:type="dxa"/>
          </w:tcPr>
          <w:p w14:paraId="4A7BFDD2" w14:textId="77777777" w:rsidR="005038C1" w:rsidRPr="006872A0" w:rsidRDefault="005038C1" w:rsidP="00064063">
            <w:pPr>
              <w:jc w:val="both"/>
              <w:rPr>
                <w:b/>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05E1"/>
    <w:rsid w:val="00054A07"/>
    <w:rsid w:val="00055D43"/>
    <w:rsid w:val="00056FAC"/>
    <w:rsid w:val="00057751"/>
    <w:rsid w:val="00062E39"/>
    <w:rsid w:val="00064063"/>
    <w:rsid w:val="000656B4"/>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79D2"/>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2F3D"/>
    <w:rsid w:val="001608C4"/>
    <w:rsid w:val="00164832"/>
    <w:rsid w:val="00171418"/>
    <w:rsid w:val="001772BF"/>
    <w:rsid w:val="001772DE"/>
    <w:rsid w:val="0019496C"/>
    <w:rsid w:val="001961CF"/>
    <w:rsid w:val="001A59BB"/>
    <w:rsid w:val="001A607E"/>
    <w:rsid w:val="001A6A51"/>
    <w:rsid w:val="001A79C4"/>
    <w:rsid w:val="001B331A"/>
    <w:rsid w:val="001B63E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1691"/>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96137"/>
    <w:rsid w:val="002A0E51"/>
    <w:rsid w:val="002A1A44"/>
    <w:rsid w:val="002A291A"/>
    <w:rsid w:val="002A2C54"/>
    <w:rsid w:val="002A4C2C"/>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1F5"/>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2F0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6BDD"/>
    <w:rsid w:val="004E087B"/>
    <w:rsid w:val="004E44A4"/>
    <w:rsid w:val="004E7B8B"/>
    <w:rsid w:val="004E7BDD"/>
    <w:rsid w:val="004F1966"/>
    <w:rsid w:val="004F1E21"/>
    <w:rsid w:val="004F2542"/>
    <w:rsid w:val="004F4E33"/>
    <w:rsid w:val="004F740D"/>
    <w:rsid w:val="004F7B8F"/>
    <w:rsid w:val="00500748"/>
    <w:rsid w:val="005011D6"/>
    <w:rsid w:val="00502A14"/>
    <w:rsid w:val="005038C1"/>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3529"/>
    <w:rsid w:val="00734268"/>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529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1D5B"/>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8F0"/>
    <w:rsid w:val="00903932"/>
    <w:rsid w:val="009079BD"/>
    <w:rsid w:val="00912BD9"/>
    <w:rsid w:val="00916FB2"/>
    <w:rsid w:val="00920E5B"/>
    <w:rsid w:val="00926436"/>
    <w:rsid w:val="00926C53"/>
    <w:rsid w:val="0093018C"/>
    <w:rsid w:val="0094495F"/>
    <w:rsid w:val="009544C0"/>
    <w:rsid w:val="00954FA4"/>
    <w:rsid w:val="00956AE9"/>
    <w:rsid w:val="00962633"/>
    <w:rsid w:val="009642FF"/>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0484"/>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5FDE"/>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93E"/>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4007"/>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2FCD"/>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387547">
      <w:bodyDiv w:val="1"/>
      <w:marLeft w:val="0"/>
      <w:marRight w:val="0"/>
      <w:marTop w:val="0"/>
      <w:marBottom w:val="0"/>
      <w:divBdr>
        <w:top w:val="none" w:sz="0" w:space="0" w:color="auto"/>
        <w:left w:val="none" w:sz="0" w:space="0" w:color="auto"/>
        <w:bottom w:val="none" w:sz="0" w:space="0" w:color="auto"/>
        <w:right w:val="none" w:sz="0" w:space="0" w:color="auto"/>
      </w:divBdr>
      <w:divsChild>
        <w:div w:id="1283616266">
          <w:marLeft w:val="0"/>
          <w:marRight w:val="0"/>
          <w:marTop w:val="0"/>
          <w:marBottom w:val="0"/>
          <w:divBdr>
            <w:top w:val="none" w:sz="0" w:space="0" w:color="auto"/>
            <w:left w:val="none" w:sz="0" w:space="0" w:color="auto"/>
            <w:bottom w:val="none" w:sz="0" w:space="0" w:color="auto"/>
            <w:right w:val="none" w:sz="0" w:space="0" w:color="auto"/>
          </w:divBdr>
        </w:div>
        <w:div w:id="464087111">
          <w:marLeft w:val="0"/>
          <w:marRight w:val="0"/>
          <w:marTop w:val="0"/>
          <w:marBottom w:val="0"/>
          <w:divBdr>
            <w:top w:val="none" w:sz="0" w:space="0" w:color="auto"/>
            <w:left w:val="none" w:sz="0" w:space="0" w:color="auto"/>
            <w:bottom w:val="none" w:sz="0" w:space="0" w:color="auto"/>
            <w:right w:val="none" w:sz="0" w:space="0" w:color="auto"/>
          </w:divBdr>
        </w:div>
        <w:div w:id="285048790">
          <w:marLeft w:val="0"/>
          <w:marRight w:val="0"/>
          <w:marTop w:val="0"/>
          <w:marBottom w:val="0"/>
          <w:divBdr>
            <w:top w:val="none" w:sz="0" w:space="0" w:color="auto"/>
            <w:left w:val="none" w:sz="0" w:space="0" w:color="auto"/>
            <w:bottom w:val="none" w:sz="0" w:space="0" w:color="auto"/>
            <w:right w:val="none" w:sz="0" w:space="0" w:color="auto"/>
          </w:divBdr>
        </w:div>
        <w:div w:id="1595438605">
          <w:marLeft w:val="0"/>
          <w:marRight w:val="0"/>
          <w:marTop w:val="0"/>
          <w:marBottom w:val="0"/>
          <w:divBdr>
            <w:top w:val="none" w:sz="0" w:space="0" w:color="auto"/>
            <w:left w:val="none" w:sz="0" w:space="0" w:color="auto"/>
            <w:bottom w:val="none" w:sz="0" w:space="0" w:color="auto"/>
            <w:right w:val="none" w:sz="0" w:space="0" w:color="auto"/>
          </w:divBdr>
        </w:div>
        <w:div w:id="250822166">
          <w:marLeft w:val="0"/>
          <w:marRight w:val="0"/>
          <w:marTop w:val="0"/>
          <w:marBottom w:val="0"/>
          <w:divBdr>
            <w:top w:val="none" w:sz="0" w:space="0" w:color="auto"/>
            <w:left w:val="none" w:sz="0" w:space="0" w:color="auto"/>
            <w:bottom w:val="none" w:sz="0" w:space="0" w:color="auto"/>
            <w:right w:val="none" w:sz="0" w:space="0" w:color="auto"/>
          </w:divBdr>
        </w:div>
        <w:div w:id="1885286425">
          <w:marLeft w:val="0"/>
          <w:marRight w:val="0"/>
          <w:marTop w:val="0"/>
          <w:marBottom w:val="0"/>
          <w:divBdr>
            <w:top w:val="none" w:sz="0" w:space="0" w:color="auto"/>
            <w:left w:val="none" w:sz="0" w:space="0" w:color="auto"/>
            <w:bottom w:val="none" w:sz="0" w:space="0" w:color="auto"/>
            <w:right w:val="none" w:sz="0" w:space="0" w:color="auto"/>
          </w:divBdr>
        </w:div>
        <w:div w:id="1479305105">
          <w:marLeft w:val="0"/>
          <w:marRight w:val="0"/>
          <w:marTop w:val="0"/>
          <w:marBottom w:val="0"/>
          <w:divBdr>
            <w:top w:val="none" w:sz="0" w:space="0" w:color="auto"/>
            <w:left w:val="none" w:sz="0" w:space="0" w:color="auto"/>
            <w:bottom w:val="none" w:sz="0" w:space="0" w:color="auto"/>
            <w:right w:val="none" w:sz="0" w:space="0" w:color="auto"/>
          </w:divBdr>
        </w:div>
        <w:div w:id="1351223616">
          <w:marLeft w:val="0"/>
          <w:marRight w:val="0"/>
          <w:marTop w:val="0"/>
          <w:marBottom w:val="0"/>
          <w:divBdr>
            <w:top w:val="none" w:sz="0" w:space="0" w:color="auto"/>
            <w:left w:val="none" w:sz="0" w:space="0" w:color="auto"/>
            <w:bottom w:val="none" w:sz="0" w:space="0" w:color="auto"/>
            <w:right w:val="none" w:sz="0" w:space="0" w:color="auto"/>
          </w:divBdr>
        </w:div>
        <w:div w:id="1436050714">
          <w:marLeft w:val="0"/>
          <w:marRight w:val="0"/>
          <w:marTop w:val="0"/>
          <w:marBottom w:val="0"/>
          <w:divBdr>
            <w:top w:val="none" w:sz="0" w:space="0" w:color="auto"/>
            <w:left w:val="none" w:sz="0" w:space="0" w:color="auto"/>
            <w:bottom w:val="none" w:sz="0" w:space="0" w:color="auto"/>
            <w:right w:val="none" w:sz="0" w:space="0" w:color="auto"/>
          </w:divBdr>
        </w:div>
        <w:div w:id="800998078">
          <w:marLeft w:val="0"/>
          <w:marRight w:val="0"/>
          <w:marTop w:val="0"/>
          <w:marBottom w:val="0"/>
          <w:divBdr>
            <w:top w:val="none" w:sz="0" w:space="0" w:color="auto"/>
            <w:left w:val="none" w:sz="0" w:space="0" w:color="auto"/>
            <w:bottom w:val="none" w:sz="0" w:space="0" w:color="auto"/>
            <w:right w:val="none" w:sz="0" w:space="0" w:color="auto"/>
          </w:divBdr>
        </w:div>
        <w:div w:id="454906609">
          <w:marLeft w:val="0"/>
          <w:marRight w:val="0"/>
          <w:marTop w:val="0"/>
          <w:marBottom w:val="0"/>
          <w:divBdr>
            <w:top w:val="none" w:sz="0" w:space="0" w:color="auto"/>
            <w:left w:val="none" w:sz="0" w:space="0" w:color="auto"/>
            <w:bottom w:val="none" w:sz="0" w:space="0" w:color="auto"/>
            <w:right w:val="none" w:sz="0" w:space="0" w:color="auto"/>
          </w:divBdr>
        </w:div>
        <w:div w:id="207498271">
          <w:marLeft w:val="0"/>
          <w:marRight w:val="0"/>
          <w:marTop w:val="0"/>
          <w:marBottom w:val="0"/>
          <w:divBdr>
            <w:top w:val="none" w:sz="0" w:space="0" w:color="auto"/>
            <w:left w:val="none" w:sz="0" w:space="0" w:color="auto"/>
            <w:bottom w:val="none" w:sz="0" w:space="0" w:color="auto"/>
            <w:right w:val="none" w:sz="0" w:space="0" w:color="auto"/>
          </w:divBdr>
        </w:div>
        <w:div w:id="840243570">
          <w:marLeft w:val="0"/>
          <w:marRight w:val="0"/>
          <w:marTop w:val="0"/>
          <w:marBottom w:val="0"/>
          <w:divBdr>
            <w:top w:val="none" w:sz="0" w:space="0" w:color="auto"/>
            <w:left w:val="none" w:sz="0" w:space="0" w:color="auto"/>
            <w:bottom w:val="none" w:sz="0" w:space="0" w:color="auto"/>
            <w:right w:val="none" w:sz="0" w:space="0" w:color="auto"/>
          </w:divBdr>
        </w:div>
        <w:div w:id="1255892672">
          <w:marLeft w:val="0"/>
          <w:marRight w:val="0"/>
          <w:marTop w:val="0"/>
          <w:marBottom w:val="0"/>
          <w:divBdr>
            <w:top w:val="none" w:sz="0" w:space="0" w:color="auto"/>
            <w:left w:val="none" w:sz="0" w:space="0" w:color="auto"/>
            <w:bottom w:val="none" w:sz="0" w:space="0" w:color="auto"/>
            <w:right w:val="none" w:sz="0" w:space="0" w:color="auto"/>
          </w:divBdr>
        </w:div>
        <w:div w:id="131795261">
          <w:marLeft w:val="0"/>
          <w:marRight w:val="0"/>
          <w:marTop w:val="0"/>
          <w:marBottom w:val="0"/>
          <w:divBdr>
            <w:top w:val="none" w:sz="0" w:space="0" w:color="auto"/>
            <w:left w:val="none" w:sz="0" w:space="0" w:color="auto"/>
            <w:bottom w:val="none" w:sz="0" w:space="0" w:color="auto"/>
            <w:right w:val="none" w:sz="0" w:space="0" w:color="auto"/>
          </w:divBdr>
        </w:div>
        <w:div w:id="93672375">
          <w:marLeft w:val="0"/>
          <w:marRight w:val="0"/>
          <w:marTop w:val="0"/>
          <w:marBottom w:val="0"/>
          <w:divBdr>
            <w:top w:val="none" w:sz="0" w:space="0" w:color="auto"/>
            <w:left w:val="none" w:sz="0" w:space="0" w:color="auto"/>
            <w:bottom w:val="none" w:sz="0" w:space="0" w:color="auto"/>
            <w:right w:val="none" w:sz="0" w:space="0" w:color="auto"/>
          </w:divBdr>
        </w:div>
        <w:div w:id="1044215852">
          <w:marLeft w:val="0"/>
          <w:marRight w:val="0"/>
          <w:marTop w:val="0"/>
          <w:marBottom w:val="0"/>
          <w:divBdr>
            <w:top w:val="none" w:sz="0" w:space="0" w:color="auto"/>
            <w:left w:val="none" w:sz="0" w:space="0" w:color="auto"/>
            <w:bottom w:val="none" w:sz="0" w:space="0" w:color="auto"/>
            <w:right w:val="none" w:sz="0" w:space="0" w:color="auto"/>
          </w:divBdr>
        </w:div>
        <w:div w:id="1479498244">
          <w:marLeft w:val="0"/>
          <w:marRight w:val="0"/>
          <w:marTop w:val="0"/>
          <w:marBottom w:val="0"/>
          <w:divBdr>
            <w:top w:val="none" w:sz="0" w:space="0" w:color="auto"/>
            <w:left w:val="none" w:sz="0" w:space="0" w:color="auto"/>
            <w:bottom w:val="none" w:sz="0" w:space="0" w:color="auto"/>
            <w:right w:val="none" w:sz="0" w:space="0" w:color="auto"/>
          </w:divBdr>
        </w:div>
        <w:div w:id="1860200077">
          <w:marLeft w:val="0"/>
          <w:marRight w:val="0"/>
          <w:marTop w:val="0"/>
          <w:marBottom w:val="0"/>
          <w:divBdr>
            <w:top w:val="none" w:sz="0" w:space="0" w:color="auto"/>
            <w:left w:val="none" w:sz="0" w:space="0" w:color="auto"/>
            <w:bottom w:val="none" w:sz="0" w:space="0" w:color="auto"/>
            <w:right w:val="none" w:sz="0" w:space="0" w:color="auto"/>
          </w:divBdr>
        </w:div>
        <w:div w:id="1159150264">
          <w:marLeft w:val="0"/>
          <w:marRight w:val="0"/>
          <w:marTop w:val="0"/>
          <w:marBottom w:val="0"/>
          <w:divBdr>
            <w:top w:val="none" w:sz="0" w:space="0" w:color="auto"/>
            <w:left w:val="none" w:sz="0" w:space="0" w:color="auto"/>
            <w:bottom w:val="none" w:sz="0" w:space="0" w:color="auto"/>
            <w:right w:val="none" w:sz="0" w:space="0" w:color="auto"/>
          </w:divBdr>
        </w:div>
        <w:div w:id="740446336">
          <w:marLeft w:val="0"/>
          <w:marRight w:val="0"/>
          <w:marTop w:val="0"/>
          <w:marBottom w:val="0"/>
          <w:divBdr>
            <w:top w:val="none" w:sz="0" w:space="0" w:color="auto"/>
            <w:left w:val="none" w:sz="0" w:space="0" w:color="auto"/>
            <w:bottom w:val="none" w:sz="0" w:space="0" w:color="auto"/>
            <w:right w:val="none" w:sz="0" w:space="0" w:color="auto"/>
          </w:divBdr>
        </w:div>
        <w:div w:id="1781684675">
          <w:marLeft w:val="0"/>
          <w:marRight w:val="0"/>
          <w:marTop w:val="0"/>
          <w:marBottom w:val="0"/>
          <w:divBdr>
            <w:top w:val="none" w:sz="0" w:space="0" w:color="auto"/>
            <w:left w:val="none" w:sz="0" w:space="0" w:color="auto"/>
            <w:bottom w:val="none" w:sz="0" w:space="0" w:color="auto"/>
            <w:right w:val="none" w:sz="0" w:space="0" w:color="auto"/>
          </w:divBdr>
        </w:div>
        <w:div w:id="1061054719">
          <w:marLeft w:val="0"/>
          <w:marRight w:val="0"/>
          <w:marTop w:val="0"/>
          <w:marBottom w:val="0"/>
          <w:divBdr>
            <w:top w:val="none" w:sz="0" w:space="0" w:color="auto"/>
            <w:left w:val="none" w:sz="0" w:space="0" w:color="auto"/>
            <w:bottom w:val="none" w:sz="0" w:space="0" w:color="auto"/>
            <w:right w:val="none" w:sz="0" w:space="0" w:color="auto"/>
          </w:divBdr>
        </w:div>
        <w:div w:id="436752807">
          <w:marLeft w:val="0"/>
          <w:marRight w:val="0"/>
          <w:marTop w:val="0"/>
          <w:marBottom w:val="0"/>
          <w:divBdr>
            <w:top w:val="none" w:sz="0" w:space="0" w:color="auto"/>
            <w:left w:val="none" w:sz="0" w:space="0" w:color="auto"/>
            <w:bottom w:val="none" w:sz="0" w:space="0" w:color="auto"/>
            <w:right w:val="none" w:sz="0" w:space="0" w:color="auto"/>
          </w:divBdr>
        </w:div>
        <w:div w:id="40447802">
          <w:marLeft w:val="0"/>
          <w:marRight w:val="0"/>
          <w:marTop w:val="0"/>
          <w:marBottom w:val="0"/>
          <w:divBdr>
            <w:top w:val="none" w:sz="0" w:space="0" w:color="auto"/>
            <w:left w:val="none" w:sz="0" w:space="0" w:color="auto"/>
            <w:bottom w:val="none" w:sz="0" w:space="0" w:color="auto"/>
            <w:right w:val="none" w:sz="0" w:space="0" w:color="auto"/>
          </w:divBdr>
        </w:div>
        <w:div w:id="1192306356">
          <w:marLeft w:val="0"/>
          <w:marRight w:val="0"/>
          <w:marTop w:val="0"/>
          <w:marBottom w:val="0"/>
          <w:divBdr>
            <w:top w:val="none" w:sz="0" w:space="0" w:color="auto"/>
            <w:left w:val="none" w:sz="0" w:space="0" w:color="auto"/>
            <w:bottom w:val="none" w:sz="0" w:space="0" w:color="auto"/>
            <w:right w:val="none" w:sz="0" w:space="0" w:color="auto"/>
          </w:divBdr>
        </w:div>
        <w:div w:id="1825856096">
          <w:marLeft w:val="0"/>
          <w:marRight w:val="0"/>
          <w:marTop w:val="0"/>
          <w:marBottom w:val="0"/>
          <w:divBdr>
            <w:top w:val="none" w:sz="0" w:space="0" w:color="auto"/>
            <w:left w:val="none" w:sz="0" w:space="0" w:color="auto"/>
            <w:bottom w:val="none" w:sz="0" w:space="0" w:color="auto"/>
            <w:right w:val="none" w:sz="0" w:space="0" w:color="auto"/>
          </w:divBdr>
        </w:div>
        <w:div w:id="1134173705">
          <w:marLeft w:val="0"/>
          <w:marRight w:val="0"/>
          <w:marTop w:val="0"/>
          <w:marBottom w:val="0"/>
          <w:divBdr>
            <w:top w:val="none" w:sz="0" w:space="0" w:color="auto"/>
            <w:left w:val="none" w:sz="0" w:space="0" w:color="auto"/>
            <w:bottom w:val="none" w:sz="0" w:space="0" w:color="auto"/>
            <w:right w:val="none" w:sz="0" w:space="0" w:color="auto"/>
          </w:divBdr>
        </w:div>
        <w:div w:id="1156802142">
          <w:marLeft w:val="0"/>
          <w:marRight w:val="0"/>
          <w:marTop w:val="0"/>
          <w:marBottom w:val="0"/>
          <w:divBdr>
            <w:top w:val="none" w:sz="0" w:space="0" w:color="auto"/>
            <w:left w:val="none" w:sz="0" w:space="0" w:color="auto"/>
            <w:bottom w:val="none" w:sz="0" w:space="0" w:color="auto"/>
            <w:right w:val="none" w:sz="0" w:space="0" w:color="auto"/>
          </w:divBdr>
        </w:div>
        <w:div w:id="1064719175">
          <w:marLeft w:val="0"/>
          <w:marRight w:val="0"/>
          <w:marTop w:val="0"/>
          <w:marBottom w:val="0"/>
          <w:divBdr>
            <w:top w:val="none" w:sz="0" w:space="0" w:color="auto"/>
            <w:left w:val="none" w:sz="0" w:space="0" w:color="auto"/>
            <w:bottom w:val="none" w:sz="0" w:space="0" w:color="auto"/>
            <w:right w:val="none" w:sz="0" w:space="0" w:color="auto"/>
          </w:divBdr>
        </w:div>
        <w:div w:id="2027364171">
          <w:marLeft w:val="0"/>
          <w:marRight w:val="0"/>
          <w:marTop w:val="0"/>
          <w:marBottom w:val="0"/>
          <w:divBdr>
            <w:top w:val="none" w:sz="0" w:space="0" w:color="auto"/>
            <w:left w:val="none" w:sz="0" w:space="0" w:color="auto"/>
            <w:bottom w:val="none" w:sz="0" w:space="0" w:color="auto"/>
            <w:right w:val="none" w:sz="0" w:space="0" w:color="auto"/>
          </w:divBdr>
        </w:div>
        <w:div w:id="298344362">
          <w:marLeft w:val="0"/>
          <w:marRight w:val="0"/>
          <w:marTop w:val="0"/>
          <w:marBottom w:val="0"/>
          <w:divBdr>
            <w:top w:val="none" w:sz="0" w:space="0" w:color="auto"/>
            <w:left w:val="none" w:sz="0" w:space="0" w:color="auto"/>
            <w:bottom w:val="none" w:sz="0" w:space="0" w:color="auto"/>
            <w:right w:val="none" w:sz="0" w:space="0" w:color="auto"/>
          </w:divBdr>
        </w:div>
        <w:div w:id="556863142">
          <w:marLeft w:val="0"/>
          <w:marRight w:val="0"/>
          <w:marTop w:val="0"/>
          <w:marBottom w:val="0"/>
          <w:divBdr>
            <w:top w:val="none" w:sz="0" w:space="0" w:color="auto"/>
            <w:left w:val="none" w:sz="0" w:space="0" w:color="auto"/>
            <w:bottom w:val="none" w:sz="0" w:space="0" w:color="auto"/>
            <w:right w:val="none" w:sz="0" w:space="0" w:color="auto"/>
          </w:divBdr>
        </w:div>
        <w:div w:id="57287341">
          <w:marLeft w:val="0"/>
          <w:marRight w:val="0"/>
          <w:marTop w:val="0"/>
          <w:marBottom w:val="0"/>
          <w:divBdr>
            <w:top w:val="none" w:sz="0" w:space="0" w:color="auto"/>
            <w:left w:val="none" w:sz="0" w:space="0" w:color="auto"/>
            <w:bottom w:val="none" w:sz="0" w:space="0" w:color="auto"/>
            <w:right w:val="none" w:sz="0" w:space="0" w:color="auto"/>
          </w:divBdr>
        </w:div>
        <w:div w:id="1677806327">
          <w:marLeft w:val="0"/>
          <w:marRight w:val="0"/>
          <w:marTop w:val="0"/>
          <w:marBottom w:val="0"/>
          <w:divBdr>
            <w:top w:val="none" w:sz="0" w:space="0" w:color="auto"/>
            <w:left w:val="none" w:sz="0" w:space="0" w:color="auto"/>
            <w:bottom w:val="none" w:sz="0" w:space="0" w:color="auto"/>
            <w:right w:val="none" w:sz="0" w:space="0" w:color="auto"/>
          </w:divBdr>
        </w:div>
        <w:div w:id="1930262699">
          <w:marLeft w:val="0"/>
          <w:marRight w:val="0"/>
          <w:marTop w:val="0"/>
          <w:marBottom w:val="0"/>
          <w:divBdr>
            <w:top w:val="none" w:sz="0" w:space="0" w:color="auto"/>
            <w:left w:val="none" w:sz="0" w:space="0" w:color="auto"/>
            <w:bottom w:val="none" w:sz="0" w:space="0" w:color="auto"/>
            <w:right w:val="none" w:sz="0" w:space="0" w:color="auto"/>
          </w:divBdr>
        </w:div>
        <w:div w:id="1634403447">
          <w:marLeft w:val="0"/>
          <w:marRight w:val="0"/>
          <w:marTop w:val="0"/>
          <w:marBottom w:val="0"/>
          <w:divBdr>
            <w:top w:val="none" w:sz="0" w:space="0" w:color="auto"/>
            <w:left w:val="none" w:sz="0" w:space="0" w:color="auto"/>
            <w:bottom w:val="none" w:sz="0" w:space="0" w:color="auto"/>
            <w:right w:val="none" w:sz="0" w:space="0" w:color="auto"/>
          </w:divBdr>
        </w:div>
        <w:div w:id="1237789409">
          <w:marLeft w:val="0"/>
          <w:marRight w:val="0"/>
          <w:marTop w:val="0"/>
          <w:marBottom w:val="0"/>
          <w:divBdr>
            <w:top w:val="none" w:sz="0" w:space="0" w:color="auto"/>
            <w:left w:val="none" w:sz="0" w:space="0" w:color="auto"/>
            <w:bottom w:val="none" w:sz="0" w:space="0" w:color="auto"/>
            <w:right w:val="none" w:sz="0" w:space="0" w:color="auto"/>
          </w:divBdr>
        </w:div>
        <w:div w:id="395470521">
          <w:marLeft w:val="0"/>
          <w:marRight w:val="0"/>
          <w:marTop w:val="0"/>
          <w:marBottom w:val="0"/>
          <w:divBdr>
            <w:top w:val="none" w:sz="0" w:space="0" w:color="auto"/>
            <w:left w:val="none" w:sz="0" w:space="0" w:color="auto"/>
            <w:bottom w:val="none" w:sz="0" w:space="0" w:color="auto"/>
            <w:right w:val="none" w:sz="0" w:space="0" w:color="auto"/>
          </w:divBdr>
        </w:div>
        <w:div w:id="1568570187">
          <w:marLeft w:val="0"/>
          <w:marRight w:val="0"/>
          <w:marTop w:val="0"/>
          <w:marBottom w:val="0"/>
          <w:divBdr>
            <w:top w:val="none" w:sz="0" w:space="0" w:color="auto"/>
            <w:left w:val="none" w:sz="0" w:space="0" w:color="auto"/>
            <w:bottom w:val="none" w:sz="0" w:space="0" w:color="auto"/>
            <w:right w:val="none" w:sz="0" w:space="0" w:color="auto"/>
          </w:divBdr>
        </w:div>
        <w:div w:id="474108218">
          <w:marLeft w:val="0"/>
          <w:marRight w:val="0"/>
          <w:marTop w:val="0"/>
          <w:marBottom w:val="0"/>
          <w:divBdr>
            <w:top w:val="none" w:sz="0" w:space="0" w:color="auto"/>
            <w:left w:val="none" w:sz="0" w:space="0" w:color="auto"/>
            <w:bottom w:val="none" w:sz="0" w:space="0" w:color="auto"/>
            <w:right w:val="none" w:sz="0" w:space="0" w:color="auto"/>
          </w:divBdr>
        </w:div>
        <w:div w:id="1330451880">
          <w:marLeft w:val="0"/>
          <w:marRight w:val="0"/>
          <w:marTop w:val="0"/>
          <w:marBottom w:val="0"/>
          <w:divBdr>
            <w:top w:val="none" w:sz="0" w:space="0" w:color="auto"/>
            <w:left w:val="none" w:sz="0" w:space="0" w:color="auto"/>
            <w:bottom w:val="none" w:sz="0" w:space="0" w:color="auto"/>
            <w:right w:val="none" w:sz="0" w:space="0" w:color="auto"/>
          </w:divBdr>
        </w:div>
        <w:div w:id="1610744312">
          <w:marLeft w:val="0"/>
          <w:marRight w:val="0"/>
          <w:marTop w:val="0"/>
          <w:marBottom w:val="0"/>
          <w:divBdr>
            <w:top w:val="none" w:sz="0" w:space="0" w:color="auto"/>
            <w:left w:val="none" w:sz="0" w:space="0" w:color="auto"/>
            <w:bottom w:val="none" w:sz="0" w:space="0" w:color="auto"/>
            <w:right w:val="none" w:sz="0" w:space="0" w:color="auto"/>
          </w:divBdr>
        </w:div>
        <w:div w:id="159006273">
          <w:marLeft w:val="0"/>
          <w:marRight w:val="0"/>
          <w:marTop w:val="0"/>
          <w:marBottom w:val="0"/>
          <w:divBdr>
            <w:top w:val="none" w:sz="0" w:space="0" w:color="auto"/>
            <w:left w:val="none" w:sz="0" w:space="0" w:color="auto"/>
            <w:bottom w:val="none" w:sz="0" w:space="0" w:color="auto"/>
            <w:right w:val="none" w:sz="0" w:space="0" w:color="auto"/>
          </w:divBdr>
        </w:div>
        <w:div w:id="1532650290">
          <w:marLeft w:val="0"/>
          <w:marRight w:val="0"/>
          <w:marTop w:val="0"/>
          <w:marBottom w:val="0"/>
          <w:divBdr>
            <w:top w:val="none" w:sz="0" w:space="0" w:color="auto"/>
            <w:left w:val="none" w:sz="0" w:space="0" w:color="auto"/>
            <w:bottom w:val="none" w:sz="0" w:space="0" w:color="auto"/>
            <w:right w:val="none" w:sz="0" w:space="0" w:color="auto"/>
          </w:divBdr>
        </w:div>
        <w:div w:id="386417160">
          <w:marLeft w:val="0"/>
          <w:marRight w:val="0"/>
          <w:marTop w:val="0"/>
          <w:marBottom w:val="0"/>
          <w:divBdr>
            <w:top w:val="none" w:sz="0" w:space="0" w:color="auto"/>
            <w:left w:val="none" w:sz="0" w:space="0" w:color="auto"/>
            <w:bottom w:val="none" w:sz="0" w:space="0" w:color="auto"/>
            <w:right w:val="none" w:sz="0" w:space="0" w:color="auto"/>
          </w:divBdr>
        </w:div>
        <w:div w:id="1125461125">
          <w:marLeft w:val="0"/>
          <w:marRight w:val="0"/>
          <w:marTop w:val="0"/>
          <w:marBottom w:val="0"/>
          <w:divBdr>
            <w:top w:val="none" w:sz="0" w:space="0" w:color="auto"/>
            <w:left w:val="none" w:sz="0" w:space="0" w:color="auto"/>
            <w:bottom w:val="none" w:sz="0" w:space="0" w:color="auto"/>
            <w:right w:val="none" w:sz="0" w:space="0" w:color="auto"/>
          </w:divBdr>
        </w:div>
        <w:div w:id="2055617748">
          <w:marLeft w:val="0"/>
          <w:marRight w:val="0"/>
          <w:marTop w:val="0"/>
          <w:marBottom w:val="0"/>
          <w:divBdr>
            <w:top w:val="none" w:sz="0" w:space="0" w:color="auto"/>
            <w:left w:val="none" w:sz="0" w:space="0" w:color="auto"/>
            <w:bottom w:val="none" w:sz="0" w:space="0" w:color="auto"/>
            <w:right w:val="none" w:sz="0" w:space="0" w:color="auto"/>
          </w:divBdr>
        </w:div>
      </w:divsChild>
    </w:div>
    <w:div w:id="798694525">
      <w:bodyDiv w:val="1"/>
      <w:marLeft w:val="0"/>
      <w:marRight w:val="0"/>
      <w:marTop w:val="0"/>
      <w:marBottom w:val="0"/>
      <w:divBdr>
        <w:top w:val="none" w:sz="0" w:space="0" w:color="auto"/>
        <w:left w:val="none" w:sz="0" w:space="0" w:color="auto"/>
        <w:bottom w:val="none" w:sz="0" w:space="0" w:color="auto"/>
        <w:right w:val="none" w:sz="0" w:space="0" w:color="auto"/>
      </w:divBdr>
      <w:divsChild>
        <w:div w:id="921572503">
          <w:marLeft w:val="0"/>
          <w:marRight w:val="0"/>
          <w:marTop w:val="0"/>
          <w:marBottom w:val="0"/>
          <w:divBdr>
            <w:top w:val="none" w:sz="0" w:space="0" w:color="auto"/>
            <w:left w:val="none" w:sz="0" w:space="0" w:color="auto"/>
            <w:bottom w:val="none" w:sz="0" w:space="0" w:color="auto"/>
            <w:right w:val="none" w:sz="0" w:space="0" w:color="auto"/>
          </w:divBdr>
        </w:div>
        <w:div w:id="1936867351">
          <w:marLeft w:val="0"/>
          <w:marRight w:val="0"/>
          <w:marTop w:val="0"/>
          <w:marBottom w:val="0"/>
          <w:divBdr>
            <w:top w:val="none" w:sz="0" w:space="0" w:color="auto"/>
            <w:left w:val="none" w:sz="0" w:space="0" w:color="auto"/>
            <w:bottom w:val="none" w:sz="0" w:space="0" w:color="auto"/>
            <w:right w:val="none" w:sz="0" w:space="0" w:color="auto"/>
          </w:divBdr>
        </w:div>
        <w:div w:id="990057616">
          <w:marLeft w:val="0"/>
          <w:marRight w:val="0"/>
          <w:marTop w:val="0"/>
          <w:marBottom w:val="0"/>
          <w:divBdr>
            <w:top w:val="none" w:sz="0" w:space="0" w:color="auto"/>
            <w:left w:val="none" w:sz="0" w:space="0" w:color="auto"/>
            <w:bottom w:val="none" w:sz="0" w:space="0" w:color="auto"/>
            <w:right w:val="none" w:sz="0" w:space="0" w:color="auto"/>
          </w:divBdr>
        </w:div>
        <w:div w:id="1466316258">
          <w:marLeft w:val="0"/>
          <w:marRight w:val="0"/>
          <w:marTop w:val="0"/>
          <w:marBottom w:val="0"/>
          <w:divBdr>
            <w:top w:val="none" w:sz="0" w:space="0" w:color="auto"/>
            <w:left w:val="none" w:sz="0" w:space="0" w:color="auto"/>
            <w:bottom w:val="none" w:sz="0" w:space="0" w:color="auto"/>
            <w:right w:val="none" w:sz="0" w:space="0" w:color="auto"/>
          </w:divBdr>
        </w:div>
        <w:div w:id="1167938381">
          <w:marLeft w:val="0"/>
          <w:marRight w:val="0"/>
          <w:marTop w:val="0"/>
          <w:marBottom w:val="0"/>
          <w:divBdr>
            <w:top w:val="none" w:sz="0" w:space="0" w:color="auto"/>
            <w:left w:val="none" w:sz="0" w:space="0" w:color="auto"/>
            <w:bottom w:val="none" w:sz="0" w:space="0" w:color="auto"/>
            <w:right w:val="none" w:sz="0" w:space="0" w:color="auto"/>
          </w:divBdr>
        </w:div>
        <w:div w:id="1657149407">
          <w:marLeft w:val="0"/>
          <w:marRight w:val="0"/>
          <w:marTop w:val="0"/>
          <w:marBottom w:val="0"/>
          <w:divBdr>
            <w:top w:val="none" w:sz="0" w:space="0" w:color="auto"/>
            <w:left w:val="none" w:sz="0" w:space="0" w:color="auto"/>
            <w:bottom w:val="none" w:sz="0" w:space="0" w:color="auto"/>
            <w:right w:val="none" w:sz="0" w:space="0" w:color="auto"/>
          </w:divBdr>
        </w:div>
        <w:div w:id="1111362856">
          <w:marLeft w:val="0"/>
          <w:marRight w:val="0"/>
          <w:marTop w:val="0"/>
          <w:marBottom w:val="0"/>
          <w:divBdr>
            <w:top w:val="none" w:sz="0" w:space="0" w:color="auto"/>
            <w:left w:val="none" w:sz="0" w:space="0" w:color="auto"/>
            <w:bottom w:val="none" w:sz="0" w:space="0" w:color="auto"/>
            <w:right w:val="none" w:sz="0" w:space="0" w:color="auto"/>
          </w:divBdr>
        </w:div>
        <w:div w:id="1169950075">
          <w:marLeft w:val="0"/>
          <w:marRight w:val="0"/>
          <w:marTop w:val="0"/>
          <w:marBottom w:val="0"/>
          <w:divBdr>
            <w:top w:val="none" w:sz="0" w:space="0" w:color="auto"/>
            <w:left w:val="none" w:sz="0" w:space="0" w:color="auto"/>
            <w:bottom w:val="none" w:sz="0" w:space="0" w:color="auto"/>
            <w:right w:val="none" w:sz="0" w:space="0" w:color="auto"/>
          </w:divBdr>
        </w:div>
        <w:div w:id="962930192">
          <w:marLeft w:val="0"/>
          <w:marRight w:val="0"/>
          <w:marTop w:val="0"/>
          <w:marBottom w:val="0"/>
          <w:divBdr>
            <w:top w:val="none" w:sz="0" w:space="0" w:color="auto"/>
            <w:left w:val="none" w:sz="0" w:space="0" w:color="auto"/>
            <w:bottom w:val="none" w:sz="0" w:space="0" w:color="auto"/>
            <w:right w:val="none" w:sz="0" w:space="0" w:color="auto"/>
          </w:divBdr>
        </w:div>
        <w:div w:id="1434980291">
          <w:marLeft w:val="0"/>
          <w:marRight w:val="0"/>
          <w:marTop w:val="0"/>
          <w:marBottom w:val="0"/>
          <w:divBdr>
            <w:top w:val="none" w:sz="0" w:space="0" w:color="auto"/>
            <w:left w:val="none" w:sz="0" w:space="0" w:color="auto"/>
            <w:bottom w:val="none" w:sz="0" w:space="0" w:color="auto"/>
            <w:right w:val="none" w:sz="0" w:space="0" w:color="auto"/>
          </w:divBdr>
        </w:div>
        <w:div w:id="755328287">
          <w:marLeft w:val="0"/>
          <w:marRight w:val="0"/>
          <w:marTop w:val="0"/>
          <w:marBottom w:val="0"/>
          <w:divBdr>
            <w:top w:val="none" w:sz="0" w:space="0" w:color="auto"/>
            <w:left w:val="none" w:sz="0" w:space="0" w:color="auto"/>
            <w:bottom w:val="none" w:sz="0" w:space="0" w:color="auto"/>
            <w:right w:val="none" w:sz="0" w:space="0" w:color="auto"/>
          </w:divBdr>
        </w:div>
        <w:div w:id="180752386">
          <w:marLeft w:val="0"/>
          <w:marRight w:val="0"/>
          <w:marTop w:val="0"/>
          <w:marBottom w:val="0"/>
          <w:divBdr>
            <w:top w:val="none" w:sz="0" w:space="0" w:color="auto"/>
            <w:left w:val="none" w:sz="0" w:space="0" w:color="auto"/>
            <w:bottom w:val="none" w:sz="0" w:space="0" w:color="auto"/>
            <w:right w:val="none" w:sz="0" w:space="0" w:color="auto"/>
          </w:divBdr>
        </w:div>
        <w:div w:id="658768565">
          <w:marLeft w:val="0"/>
          <w:marRight w:val="0"/>
          <w:marTop w:val="0"/>
          <w:marBottom w:val="0"/>
          <w:divBdr>
            <w:top w:val="none" w:sz="0" w:space="0" w:color="auto"/>
            <w:left w:val="none" w:sz="0" w:space="0" w:color="auto"/>
            <w:bottom w:val="none" w:sz="0" w:space="0" w:color="auto"/>
            <w:right w:val="none" w:sz="0" w:space="0" w:color="auto"/>
          </w:divBdr>
        </w:div>
        <w:div w:id="1546021575">
          <w:marLeft w:val="0"/>
          <w:marRight w:val="0"/>
          <w:marTop w:val="0"/>
          <w:marBottom w:val="0"/>
          <w:divBdr>
            <w:top w:val="none" w:sz="0" w:space="0" w:color="auto"/>
            <w:left w:val="none" w:sz="0" w:space="0" w:color="auto"/>
            <w:bottom w:val="none" w:sz="0" w:space="0" w:color="auto"/>
            <w:right w:val="none" w:sz="0" w:space="0" w:color="auto"/>
          </w:divBdr>
        </w:div>
        <w:div w:id="1931886941">
          <w:marLeft w:val="0"/>
          <w:marRight w:val="0"/>
          <w:marTop w:val="0"/>
          <w:marBottom w:val="0"/>
          <w:divBdr>
            <w:top w:val="none" w:sz="0" w:space="0" w:color="auto"/>
            <w:left w:val="none" w:sz="0" w:space="0" w:color="auto"/>
            <w:bottom w:val="none" w:sz="0" w:space="0" w:color="auto"/>
            <w:right w:val="none" w:sz="0" w:space="0" w:color="auto"/>
          </w:divBdr>
        </w:div>
        <w:div w:id="714356406">
          <w:marLeft w:val="0"/>
          <w:marRight w:val="0"/>
          <w:marTop w:val="0"/>
          <w:marBottom w:val="0"/>
          <w:divBdr>
            <w:top w:val="none" w:sz="0" w:space="0" w:color="auto"/>
            <w:left w:val="none" w:sz="0" w:space="0" w:color="auto"/>
            <w:bottom w:val="none" w:sz="0" w:space="0" w:color="auto"/>
            <w:right w:val="none" w:sz="0" w:space="0" w:color="auto"/>
          </w:divBdr>
        </w:div>
        <w:div w:id="2126609664">
          <w:marLeft w:val="0"/>
          <w:marRight w:val="0"/>
          <w:marTop w:val="0"/>
          <w:marBottom w:val="0"/>
          <w:divBdr>
            <w:top w:val="none" w:sz="0" w:space="0" w:color="auto"/>
            <w:left w:val="none" w:sz="0" w:space="0" w:color="auto"/>
            <w:bottom w:val="none" w:sz="0" w:space="0" w:color="auto"/>
            <w:right w:val="none" w:sz="0" w:space="0" w:color="auto"/>
          </w:divBdr>
        </w:div>
        <w:div w:id="174921953">
          <w:marLeft w:val="0"/>
          <w:marRight w:val="0"/>
          <w:marTop w:val="0"/>
          <w:marBottom w:val="0"/>
          <w:divBdr>
            <w:top w:val="none" w:sz="0" w:space="0" w:color="auto"/>
            <w:left w:val="none" w:sz="0" w:space="0" w:color="auto"/>
            <w:bottom w:val="none" w:sz="0" w:space="0" w:color="auto"/>
            <w:right w:val="none" w:sz="0" w:space="0" w:color="auto"/>
          </w:divBdr>
        </w:div>
        <w:div w:id="186452729">
          <w:marLeft w:val="0"/>
          <w:marRight w:val="0"/>
          <w:marTop w:val="0"/>
          <w:marBottom w:val="0"/>
          <w:divBdr>
            <w:top w:val="none" w:sz="0" w:space="0" w:color="auto"/>
            <w:left w:val="none" w:sz="0" w:space="0" w:color="auto"/>
            <w:bottom w:val="none" w:sz="0" w:space="0" w:color="auto"/>
            <w:right w:val="none" w:sz="0" w:space="0" w:color="auto"/>
          </w:divBdr>
        </w:div>
        <w:div w:id="151407866">
          <w:marLeft w:val="0"/>
          <w:marRight w:val="0"/>
          <w:marTop w:val="0"/>
          <w:marBottom w:val="0"/>
          <w:divBdr>
            <w:top w:val="none" w:sz="0" w:space="0" w:color="auto"/>
            <w:left w:val="none" w:sz="0" w:space="0" w:color="auto"/>
            <w:bottom w:val="none" w:sz="0" w:space="0" w:color="auto"/>
            <w:right w:val="none" w:sz="0" w:space="0" w:color="auto"/>
          </w:divBdr>
        </w:div>
        <w:div w:id="851263975">
          <w:marLeft w:val="0"/>
          <w:marRight w:val="0"/>
          <w:marTop w:val="0"/>
          <w:marBottom w:val="0"/>
          <w:divBdr>
            <w:top w:val="none" w:sz="0" w:space="0" w:color="auto"/>
            <w:left w:val="none" w:sz="0" w:space="0" w:color="auto"/>
            <w:bottom w:val="none" w:sz="0" w:space="0" w:color="auto"/>
            <w:right w:val="none" w:sz="0" w:space="0" w:color="auto"/>
          </w:divBdr>
        </w:div>
        <w:div w:id="1602833032">
          <w:marLeft w:val="0"/>
          <w:marRight w:val="0"/>
          <w:marTop w:val="0"/>
          <w:marBottom w:val="0"/>
          <w:divBdr>
            <w:top w:val="none" w:sz="0" w:space="0" w:color="auto"/>
            <w:left w:val="none" w:sz="0" w:space="0" w:color="auto"/>
            <w:bottom w:val="none" w:sz="0" w:space="0" w:color="auto"/>
            <w:right w:val="none" w:sz="0" w:space="0" w:color="auto"/>
          </w:divBdr>
        </w:div>
        <w:div w:id="1503425607">
          <w:marLeft w:val="0"/>
          <w:marRight w:val="0"/>
          <w:marTop w:val="0"/>
          <w:marBottom w:val="0"/>
          <w:divBdr>
            <w:top w:val="none" w:sz="0" w:space="0" w:color="auto"/>
            <w:left w:val="none" w:sz="0" w:space="0" w:color="auto"/>
            <w:bottom w:val="none" w:sz="0" w:space="0" w:color="auto"/>
            <w:right w:val="none" w:sz="0" w:space="0" w:color="auto"/>
          </w:divBdr>
        </w:div>
        <w:div w:id="2043358840">
          <w:marLeft w:val="0"/>
          <w:marRight w:val="0"/>
          <w:marTop w:val="0"/>
          <w:marBottom w:val="0"/>
          <w:divBdr>
            <w:top w:val="none" w:sz="0" w:space="0" w:color="auto"/>
            <w:left w:val="none" w:sz="0" w:space="0" w:color="auto"/>
            <w:bottom w:val="none" w:sz="0" w:space="0" w:color="auto"/>
            <w:right w:val="none" w:sz="0" w:space="0" w:color="auto"/>
          </w:divBdr>
        </w:div>
        <w:div w:id="954798849">
          <w:marLeft w:val="0"/>
          <w:marRight w:val="0"/>
          <w:marTop w:val="0"/>
          <w:marBottom w:val="0"/>
          <w:divBdr>
            <w:top w:val="none" w:sz="0" w:space="0" w:color="auto"/>
            <w:left w:val="none" w:sz="0" w:space="0" w:color="auto"/>
            <w:bottom w:val="none" w:sz="0" w:space="0" w:color="auto"/>
            <w:right w:val="none" w:sz="0" w:space="0" w:color="auto"/>
          </w:divBdr>
        </w:div>
        <w:div w:id="641230700">
          <w:marLeft w:val="0"/>
          <w:marRight w:val="0"/>
          <w:marTop w:val="0"/>
          <w:marBottom w:val="0"/>
          <w:divBdr>
            <w:top w:val="none" w:sz="0" w:space="0" w:color="auto"/>
            <w:left w:val="none" w:sz="0" w:space="0" w:color="auto"/>
            <w:bottom w:val="none" w:sz="0" w:space="0" w:color="auto"/>
            <w:right w:val="none" w:sz="0" w:space="0" w:color="auto"/>
          </w:divBdr>
        </w:div>
        <w:div w:id="1023440696">
          <w:marLeft w:val="0"/>
          <w:marRight w:val="0"/>
          <w:marTop w:val="0"/>
          <w:marBottom w:val="0"/>
          <w:divBdr>
            <w:top w:val="none" w:sz="0" w:space="0" w:color="auto"/>
            <w:left w:val="none" w:sz="0" w:space="0" w:color="auto"/>
            <w:bottom w:val="none" w:sz="0" w:space="0" w:color="auto"/>
            <w:right w:val="none" w:sz="0" w:space="0" w:color="auto"/>
          </w:divBdr>
        </w:div>
        <w:div w:id="960380941">
          <w:marLeft w:val="0"/>
          <w:marRight w:val="0"/>
          <w:marTop w:val="0"/>
          <w:marBottom w:val="0"/>
          <w:divBdr>
            <w:top w:val="none" w:sz="0" w:space="0" w:color="auto"/>
            <w:left w:val="none" w:sz="0" w:space="0" w:color="auto"/>
            <w:bottom w:val="none" w:sz="0" w:space="0" w:color="auto"/>
            <w:right w:val="none" w:sz="0" w:space="0" w:color="auto"/>
          </w:divBdr>
        </w:div>
        <w:div w:id="1527214776">
          <w:marLeft w:val="0"/>
          <w:marRight w:val="0"/>
          <w:marTop w:val="0"/>
          <w:marBottom w:val="0"/>
          <w:divBdr>
            <w:top w:val="none" w:sz="0" w:space="0" w:color="auto"/>
            <w:left w:val="none" w:sz="0" w:space="0" w:color="auto"/>
            <w:bottom w:val="none" w:sz="0" w:space="0" w:color="auto"/>
            <w:right w:val="none" w:sz="0" w:space="0" w:color="auto"/>
          </w:divBdr>
        </w:div>
        <w:div w:id="388458046">
          <w:marLeft w:val="0"/>
          <w:marRight w:val="0"/>
          <w:marTop w:val="0"/>
          <w:marBottom w:val="0"/>
          <w:divBdr>
            <w:top w:val="none" w:sz="0" w:space="0" w:color="auto"/>
            <w:left w:val="none" w:sz="0" w:space="0" w:color="auto"/>
            <w:bottom w:val="none" w:sz="0" w:space="0" w:color="auto"/>
            <w:right w:val="none" w:sz="0" w:space="0" w:color="auto"/>
          </w:divBdr>
        </w:div>
        <w:div w:id="175507259">
          <w:marLeft w:val="0"/>
          <w:marRight w:val="0"/>
          <w:marTop w:val="0"/>
          <w:marBottom w:val="0"/>
          <w:divBdr>
            <w:top w:val="none" w:sz="0" w:space="0" w:color="auto"/>
            <w:left w:val="none" w:sz="0" w:space="0" w:color="auto"/>
            <w:bottom w:val="none" w:sz="0" w:space="0" w:color="auto"/>
            <w:right w:val="none" w:sz="0" w:space="0" w:color="auto"/>
          </w:divBdr>
        </w:div>
        <w:div w:id="1720741051">
          <w:marLeft w:val="0"/>
          <w:marRight w:val="0"/>
          <w:marTop w:val="0"/>
          <w:marBottom w:val="0"/>
          <w:divBdr>
            <w:top w:val="none" w:sz="0" w:space="0" w:color="auto"/>
            <w:left w:val="none" w:sz="0" w:space="0" w:color="auto"/>
            <w:bottom w:val="none" w:sz="0" w:space="0" w:color="auto"/>
            <w:right w:val="none" w:sz="0" w:space="0" w:color="auto"/>
          </w:divBdr>
        </w:div>
        <w:div w:id="1558206868">
          <w:marLeft w:val="0"/>
          <w:marRight w:val="0"/>
          <w:marTop w:val="0"/>
          <w:marBottom w:val="0"/>
          <w:divBdr>
            <w:top w:val="none" w:sz="0" w:space="0" w:color="auto"/>
            <w:left w:val="none" w:sz="0" w:space="0" w:color="auto"/>
            <w:bottom w:val="none" w:sz="0" w:space="0" w:color="auto"/>
            <w:right w:val="none" w:sz="0" w:space="0" w:color="auto"/>
          </w:divBdr>
        </w:div>
        <w:div w:id="587153157">
          <w:marLeft w:val="0"/>
          <w:marRight w:val="0"/>
          <w:marTop w:val="0"/>
          <w:marBottom w:val="0"/>
          <w:divBdr>
            <w:top w:val="none" w:sz="0" w:space="0" w:color="auto"/>
            <w:left w:val="none" w:sz="0" w:space="0" w:color="auto"/>
            <w:bottom w:val="none" w:sz="0" w:space="0" w:color="auto"/>
            <w:right w:val="none" w:sz="0" w:space="0" w:color="auto"/>
          </w:divBdr>
        </w:div>
        <w:div w:id="843785748">
          <w:marLeft w:val="0"/>
          <w:marRight w:val="0"/>
          <w:marTop w:val="0"/>
          <w:marBottom w:val="0"/>
          <w:divBdr>
            <w:top w:val="none" w:sz="0" w:space="0" w:color="auto"/>
            <w:left w:val="none" w:sz="0" w:space="0" w:color="auto"/>
            <w:bottom w:val="none" w:sz="0" w:space="0" w:color="auto"/>
            <w:right w:val="none" w:sz="0" w:space="0" w:color="auto"/>
          </w:divBdr>
        </w:div>
        <w:div w:id="1429733681">
          <w:marLeft w:val="0"/>
          <w:marRight w:val="0"/>
          <w:marTop w:val="0"/>
          <w:marBottom w:val="0"/>
          <w:divBdr>
            <w:top w:val="none" w:sz="0" w:space="0" w:color="auto"/>
            <w:left w:val="none" w:sz="0" w:space="0" w:color="auto"/>
            <w:bottom w:val="none" w:sz="0" w:space="0" w:color="auto"/>
            <w:right w:val="none" w:sz="0" w:space="0" w:color="auto"/>
          </w:divBdr>
        </w:div>
        <w:div w:id="1116603179">
          <w:marLeft w:val="0"/>
          <w:marRight w:val="0"/>
          <w:marTop w:val="0"/>
          <w:marBottom w:val="0"/>
          <w:divBdr>
            <w:top w:val="none" w:sz="0" w:space="0" w:color="auto"/>
            <w:left w:val="none" w:sz="0" w:space="0" w:color="auto"/>
            <w:bottom w:val="none" w:sz="0" w:space="0" w:color="auto"/>
            <w:right w:val="none" w:sz="0" w:space="0" w:color="auto"/>
          </w:divBdr>
        </w:div>
        <w:div w:id="2129658406">
          <w:marLeft w:val="0"/>
          <w:marRight w:val="0"/>
          <w:marTop w:val="0"/>
          <w:marBottom w:val="0"/>
          <w:divBdr>
            <w:top w:val="none" w:sz="0" w:space="0" w:color="auto"/>
            <w:left w:val="none" w:sz="0" w:space="0" w:color="auto"/>
            <w:bottom w:val="none" w:sz="0" w:space="0" w:color="auto"/>
            <w:right w:val="none" w:sz="0" w:space="0" w:color="auto"/>
          </w:divBdr>
        </w:div>
        <w:div w:id="1932470021">
          <w:marLeft w:val="0"/>
          <w:marRight w:val="0"/>
          <w:marTop w:val="0"/>
          <w:marBottom w:val="0"/>
          <w:divBdr>
            <w:top w:val="none" w:sz="0" w:space="0" w:color="auto"/>
            <w:left w:val="none" w:sz="0" w:space="0" w:color="auto"/>
            <w:bottom w:val="none" w:sz="0" w:space="0" w:color="auto"/>
            <w:right w:val="none" w:sz="0" w:space="0" w:color="auto"/>
          </w:divBdr>
        </w:div>
        <w:div w:id="15156590">
          <w:marLeft w:val="0"/>
          <w:marRight w:val="0"/>
          <w:marTop w:val="0"/>
          <w:marBottom w:val="0"/>
          <w:divBdr>
            <w:top w:val="none" w:sz="0" w:space="0" w:color="auto"/>
            <w:left w:val="none" w:sz="0" w:space="0" w:color="auto"/>
            <w:bottom w:val="none" w:sz="0" w:space="0" w:color="auto"/>
            <w:right w:val="none" w:sz="0" w:space="0" w:color="auto"/>
          </w:divBdr>
        </w:div>
        <w:div w:id="537623244">
          <w:marLeft w:val="0"/>
          <w:marRight w:val="0"/>
          <w:marTop w:val="0"/>
          <w:marBottom w:val="0"/>
          <w:divBdr>
            <w:top w:val="none" w:sz="0" w:space="0" w:color="auto"/>
            <w:left w:val="none" w:sz="0" w:space="0" w:color="auto"/>
            <w:bottom w:val="none" w:sz="0" w:space="0" w:color="auto"/>
            <w:right w:val="none" w:sz="0" w:space="0" w:color="auto"/>
          </w:divBdr>
        </w:div>
        <w:div w:id="165828072">
          <w:marLeft w:val="0"/>
          <w:marRight w:val="0"/>
          <w:marTop w:val="0"/>
          <w:marBottom w:val="0"/>
          <w:divBdr>
            <w:top w:val="none" w:sz="0" w:space="0" w:color="auto"/>
            <w:left w:val="none" w:sz="0" w:space="0" w:color="auto"/>
            <w:bottom w:val="none" w:sz="0" w:space="0" w:color="auto"/>
            <w:right w:val="none" w:sz="0" w:space="0" w:color="auto"/>
          </w:divBdr>
        </w:div>
        <w:div w:id="1440948664">
          <w:marLeft w:val="0"/>
          <w:marRight w:val="0"/>
          <w:marTop w:val="0"/>
          <w:marBottom w:val="0"/>
          <w:divBdr>
            <w:top w:val="none" w:sz="0" w:space="0" w:color="auto"/>
            <w:left w:val="none" w:sz="0" w:space="0" w:color="auto"/>
            <w:bottom w:val="none" w:sz="0" w:space="0" w:color="auto"/>
            <w:right w:val="none" w:sz="0" w:space="0" w:color="auto"/>
          </w:divBdr>
        </w:div>
        <w:div w:id="527763902">
          <w:marLeft w:val="0"/>
          <w:marRight w:val="0"/>
          <w:marTop w:val="0"/>
          <w:marBottom w:val="0"/>
          <w:divBdr>
            <w:top w:val="none" w:sz="0" w:space="0" w:color="auto"/>
            <w:left w:val="none" w:sz="0" w:space="0" w:color="auto"/>
            <w:bottom w:val="none" w:sz="0" w:space="0" w:color="auto"/>
            <w:right w:val="none" w:sz="0" w:space="0" w:color="auto"/>
          </w:divBdr>
        </w:div>
        <w:div w:id="927465851">
          <w:marLeft w:val="0"/>
          <w:marRight w:val="0"/>
          <w:marTop w:val="0"/>
          <w:marBottom w:val="0"/>
          <w:divBdr>
            <w:top w:val="none" w:sz="0" w:space="0" w:color="auto"/>
            <w:left w:val="none" w:sz="0" w:space="0" w:color="auto"/>
            <w:bottom w:val="none" w:sz="0" w:space="0" w:color="auto"/>
            <w:right w:val="none" w:sz="0" w:space="0" w:color="auto"/>
          </w:divBdr>
        </w:div>
        <w:div w:id="1611815196">
          <w:marLeft w:val="0"/>
          <w:marRight w:val="0"/>
          <w:marTop w:val="0"/>
          <w:marBottom w:val="0"/>
          <w:divBdr>
            <w:top w:val="none" w:sz="0" w:space="0" w:color="auto"/>
            <w:left w:val="none" w:sz="0" w:space="0" w:color="auto"/>
            <w:bottom w:val="none" w:sz="0" w:space="0" w:color="auto"/>
            <w:right w:val="none" w:sz="0" w:space="0" w:color="auto"/>
          </w:divBdr>
        </w:div>
        <w:div w:id="624241588">
          <w:marLeft w:val="0"/>
          <w:marRight w:val="0"/>
          <w:marTop w:val="0"/>
          <w:marBottom w:val="0"/>
          <w:divBdr>
            <w:top w:val="none" w:sz="0" w:space="0" w:color="auto"/>
            <w:left w:val="none" w:sz="0" w:space="0" w:color="auto"/>
            <w:bottom w:val="none" w:sz="0" w:space="0" w:color="auto"/>
            <w:right w:val="none" w:sz="0" w:space="0" w:color="auto"/>
          </w:divBdr>
        </w:div>
        <w:div w:id="454369634">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12</Pages>
  <Words>4086</Words>
  <Characters>23240</Characters>
  <Application>Microsoft Office Word</Application>
  <DocSecurity>0</DocSecurity>
  <Lines>664</Lines>
  <Paragraphs>158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Cas Metcalf</cp:lastModifiedBy>
  <cp:revision>28</cp:revision>
  <cp:lastPrinted>2020-02-11T19:20:00Z</cp:lastPrinted>
  <dcterms:created xsi:type="dcterms:W3CDTF">2022-09-29T11:34:00Z</dcterms:created>
  <dcterms:modified xsi:type="dcterms:W3CDTF">2025-10-27T17:34:00Z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