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9A1BDC" w14:textId="08EEF30C" w:rsidR="00952477" w:rsidRDefault="2EECE8CD" w:rsidP="007E16B6">
      <w:pPr>
        <w:spacing w:line="360" w:lineRule="auto"/>
        <w:rPr>
          <w:rFonts w:ascii="Arial" w:eastAsia="Arial" w:hAnsi="Arial" w:cs="Arial"/>
          <w:sz w:val="22"/>
          <w:szCs w:val="22"/>
          <w:lang w:val="bg-BG"/>
        </w:rPr>
      </w:pPr>
      <w:r w:rsidRPr="5E9BD0CD">
        <w:rPr>
          <w:rFonts w:ascii="Aptos" w:eastAsia="Aptos" w:hAnsi="Aptos" w:cs="Aptos"/>
          <w:sz w:val="22"/>
          <w:szCs w:val="22"/>
          <w:lang w:val="bg-BG"/>
        </w:rPr>
        <w:t>Student name: Desislava Markova</w:t>
      </w:r>
    </w:p>
    <w:p w14:paraId="005018B8" w14:textId="2B3AAFFC" w:rsidR="00952477" w:rsidRDefault="2EECE8CD" w:rsidP="007E16B6">
      <w:pPr>
        <w:spacing w:line="360" w:lineRule="auto"/>
      </w:pPr>
      <w:r w:rsidRPr="5E9BD0CD">
        <w:rPr>
          <w:rFonts w:ascii="Aptos" w:eastAsia="Aptos" w:hAnsi="Aptos" w:cs="Aptos"/>
          <w:sz w:val="22"/>
          <w:szCs w:val="22"/>
          <w:lang w:val="bg-BG"/>
        </w:rPr>
        <w:t>Student number: 2512936</w:t>
      </w:r>
    </w:p>
    <w:p w14:paraId="0A6A9DAA" w14:textId="3C55B156" w:rsidR="00952477" w:rsidRDefault="2EECE8CD" w:rsidP="007E16B6">
      <w:pPr>
        <w:spacing w:line="360" w:lineRule="auto"/>
      </w:pPr>
      <w:r w:rsidRPr="5E9BD0CD">
        <w:rPr>
          <w:rFonts w:ascii="Aptos" w:eastAsia="Aptos" w:hAnsi="Aptos" w:cs="Aptos"/>
          <w:sz w:val="22"/>
          <w:szCs w:val="22"/>
          <w:lang w:val="bg-BG"/>
        </w:rPr>
        <w:t xml:space="preserve">The module code and title: LCHS7002, </w:t>
      </w:r>
      <w:r w:rsidRPr="5E9BD0CD">
        <w:rPr>
          <w:rFonts w:ascii="Arial" w:eastAsia="Arial" w:hAnsi="Arial" w:cs="Arial"/>
          <w:sz w:val="22"/>
          <w:szCs w:val="22"/>
          <w:lang w:val="bg-BG"/>
        </w:rPr>
        <w:t>Health Care System Organisation and Leadership</w:t>
      </w:r>
    </w:p>
    <w:p w14:paraId="480C0909" w14:textId="5B7D4C93" w:rsidR="00952477" w:rsidRDefault="2EECE8CD" w:rsidP="007E16B6">
      <w:pPr>
        <w:spacing w:line="360" w:lineRule="auto"/>
      </w:pPr>
      <w:r w:rsidRPr="5E9BD0CD">
        <w:rPr>
          <w:rFonts w:ascii="Aptos" w:eastAsia="Aptos" w:hAnsi="Aptos" w:cs="Aptos"/>
          <w:sz w:val="22"/>
          <w:szCs w:val="22"/>
          <w:lang w:val="bg-BG"/>
        </w:rPr>
        <w:t xml:space="preserve">Lecturer’s name: Dr </w:t>
      </w:r>
      <w:r w:rsidRPr="5E9BD0CD">
        <w:rPr>
          <w:rFonts w:ascii="Arial" w:eastAsia="Arial" w:hAnsi="Arial" w:cs="Arial"/>
          <w:sz w:val="22"/>
          <w:szCs w:val="22"/>
          <w:lang w:val="bg-BG"/>
        </w:rPr>
        <w:t>Fahad Khan</w:t>
      </w:r>
    </w:p>
    <w:p w14:paraId="552B6428" w14:textId="682953C4" w:rsidR="00952477" w:rsidRPr="007E16B6" w:rsidRDefault="2EECE8CD" w:rsidP="007E16B6">
      <w:pPr>
        <w:spacing w:line="360" w:lineRule="auto"/>
      </w:pPr>
      <w:r w:rsidRPr="5E9BD0CD">
        <w:rPr>
          <w:rFonts w:ascii="Aptos" w:eastAsia="Aptos" w:hAnsi="Aptos" w:cs="Aptos"/>
          <w:sz w:val="22"/>
          <w:szCs w:val="22"/>
          <w:lang w:val="bg-BG"/>
        </w:rPr>
        <w:t xml:space="preserve">Assessment title: </w:t>
      </w:r>
      <w:r w:rsidRPr="5E9BD0CD">
        <w:rPr>
          <w:rFonts w:ascii="Arial" w:eastAsia="Arial" w:hAnsi="Arial" w:cs="Arial"/>
          <w:sz w:val="22"/>
          <w:szCs w:val="22"/>
          <w:lang w:val="bg-BG"/>
        </w:rPr>
        <w:t>Case Study Analysis Report</w:t>
      </w:r>
    </w:p>
    <w:p w14:paraId="46CD11CA" w14:textId="319BFF9F" w:rsidR="00952477" w:rsidRDefault="00952477" w:rsidP="007E16B6">
      <w:pPr>
        <w:spacing w:after="0" w:line="360" w:lineRule="auto"/>
        <w:rPr>
          <w:rFonts w:ascii="Arial" w:eastAsia="Arial" w:hAnsi="Arial" w:cs="Arial"/>
          <w:sz w:val="22"/>
          <w:szCs w:val="22"/>
          <w:lang w:val="bg-BG"/>
        </w:rPr>
      </w:pPr>
    </w:p>
    <w:p w14:paraId="1E1B8DE9" w14:textId="0DCCE8EA" w:rsidR="5E9BD0CD" w:rsidRDefault="5E9BD0CD" w:rsidP="007E16B6">
      <w:pPr>
        <w:spacing w:after="0" w:line="360" w:lineRule="auto"/>
        <w:rPr>
          <w:rFonts w:ascii="Arial" w:eastAsia="Arial" w:hAnsi="Arial" w:cs="Arial"/>
          <w:sz w:val="22"/>
          <w:szCs w:val="22"/>
          <w:lang w:val="bg-BG"/>
        </w:rPr>
      </w:pPr>
    </w:p>
    <w:p w14:paraId="1FA1338E" w14:textId="5B9AEC9F" w:rsidR="5E9BD0CD" w:rsidRDefault="5E9BD0CD" w:rsidP="007E16B6">
      <w:pPr>
        <w:spacing w:after="0" w:line="360" w:lineRule="auto"/>
        <w:rPr>
          <w:rFonts w:ascii="Arial" w:eastAsia="Arial" w:hAnsi="Arial" w:cs="Arial"/>
          <w:sz w:val="22"/>
          <w:szCs w:val="22"/>
          <w:lang w:val="bg-BG"/>
        </w:rPr>
      </w:pPr>
    </w:p>
    <w:p w14:paraId="48FAAABF" w14:textId="5E04F029" w:rsidR="5E9BD0CD" w:rsidRDefault="5E9BD0CD" w:rsidP="007E16B6">
      <w:pPr>
        <w:spacing w:after="0" w:line="360" w:lineRule="auto"/>
        <w:rPr>
          <w:rFonts w:ascii="Arial" w:eastAsia="Arial" w:hAnsi="Arial" w:cs="Arial"/>
          <w:sz w:val="22"/>
          <w:szCs w:val="22"/>
          <w:lang w:val="bg-BG"/>
        </w:rPr>
      </w:pPr>
    </w:p>
    <w:p w14:paraId="6ADE3618" w14:textId="166F64BA" w:rsidR="5E9BD0CD" w:rsidRDefault="5E9BD0CD" w:rsidP="007E16B6">
      <w:pPr>
        <w:spacing w:after="0" w:line="360" w:lineRule="auto"/>
        <w:rPr>
          <w:rFonts w:ascii="Arial" w:eastAsia="Arial" w:hAnsi="Arial" w:cs="Arial"/>
          <w:sz w:val="22"/>
          <w:szCs w:val="22"/>
          <w:lang w:val="bg-BG"/>
        </w:rPr>
      </w:pPr>
    </w:p>
    <w:p w14:paraId="2B57BCE6" w14:textId="093316E6" w:rsidR="5E9BD0CD" w:rsidRDefault="5E9BD0CD" w:rsidP="007E16B6">
      <w:pPr>
        <w:spacing w:after="0" w:line="360" w:lineRule="auto"/>
        <w:rPr>
          <w:rFonts w:ascii="Arial" w:eastAsia="Arial" w:hAnsi="Arial" w:cs="Arial"/>
          <w:sz w:val="22"/>
          <w:szCs w:val="22"/>
          <w:lang w:val="bg-BG"/>
        </w:rPr>
      </w:pPr>
    </w:p>
    <w:p w14:paraId="742E19CE" w14:textId="375CD699" w:rsidR="5E9BD0CD" w:rsidRDefault="5E9BD0CD" w:rsidP="007E16B6">
      <w:pPr>
        <w:spacing w:after="0" w:line="360" w:lineRule="auto"/>
        <w:rPr>
          <w:rFonts w:ascii="Arial" w:eastAsia="Arial" w:hAnsi="Arial" w:cs="Arial"/>
          <w:sz w:val="22"/>
          <w:szCs w:val="22"/>
          <w:lang w:val="bg-BG"/>
        </w:rPr>
      </w:pPr>
    </w:p>
    <w:p w14:paraId="3C344E52" w14:textId="11954654" w:rsidR="5E9BD0CD" w:rsidRDefault="5E9BD0CD" w:rsidP="007E16B6">
      <w:pPr>
        <w:spacing w:after="0" w:line="360" w:lineRule="auto"/>
        <w:rPr>
          <w:rFonts w:ascii="Arial" w:eastAsia="Arial" w:hAnsi="Arial" w:cs="Arial"/>
          <w:sz w:val="22"/>
          <w:szCs w:val="22"/>
          <w:lang w:val="bg-BG"/>
        </w:rPr>
      </w:pPr>
    </w:p>
    <w:p w14:paraId="15A24B58" w14:textId="7900295B" w:rsidR="5E9BD0CD" w:rsidRDefault="5E9BD0CD" w:rsidP="007E16B6">
      <w:pPr>
        <w:spacing w:after="0" w:line="360" w:lineRule="auto"/>
        <w:rPr>
          <w:rFonts w:ascii="Arial" w:eastAsia="Arial" w:hAnsi="Arial" w:cs="Arial"/>
          <w:sz w:val="22"/>
          <w:szCs w:val="22"/>
          <w:lang w:val="bg-BG"/>
        </w:rPr>
      </w:pPr>
    </w:p>
    <w:p w14:paraId="5FAFD5CA" w14:textId="16FE1E0E" w:rsidR="5E9BD0CD" w:rsidRDefault="5E9BD0CD" w:rsidP="007E16B6">
      <w:pPr>
        <w:spacing w:after="0" w:line="360" w:lineRule="auto"/>
        <w:rPr>
          <w:rFonts w:ascii="Arial" w:eastAsia="Arial" w:hAnsi="Arial" w:cs="Arial"/>
          <w:sz w:val="22"/>
          <w:szCs w:val="22"/>
          <w:lang w:val="bg-BG"/>
        </w:rPr>
      </w:pPr>
    </w:p>
    <w:p w14:paraId="79928BBA" w14:textId="5B0E5B5F" w:rsidR="5E9BD0CD" w:rsidRDefault="5E9BD0CD" w:rsidP="007E16B6">
      <w:pPr>
        <w:spacing w:after="0" w:line="360" w:lineRule="auto"/>
        <w:rPr>
          <w:rFonts w:ascii="Arial" w:eastAsia="Arial" w:hAnsi="Arial" w:cs="Arial"/>
          <w:sz w:val="22"/>
          <w:szCs w:val="22"/>
          <w:lang w:val="bg-BG"/>
        </w:rPr>
      </w:pPr>
    </w:p>
    <w:p w14:paraId="5A442654" w14:textId="0125A89D" w:rsidR="5E9BD0CD" w:rsidRDefault="5E9BD0CD" w:rsidP="007E16B6">
      <w:pPr>
        <w:spacing w:after="0" w:line="360" w:lineRule="auto"/>
        <w:rPr>
          <w:rFonts w:ascii="Arial" w:eastAsia="Arial" w:hAnsi="Arial" w:cs="Arial"/>
          <w:sz w:val="22"/>
          <w:szCs w:val="22"/>
          <w:lang w:val="bg-BG"/>
        </w:rPr>
      </w:pPr>
    </w:p>
    <w:p w14:paraId="7033647C" w14:textId="3996FCEE" w:rsidR="5E9BD0CD" w:rsidRDefault="5E9BD0CD" w:rsidP="007E16B6">
      <w:pPr>
        <w:spacing w:after="0" w:line="360" w:lineRule="auto"/>
        <w:rPr>
          <w:rFonts w:ascii="Arial" w:eastAsia="Arial" w:hAnsi="Arial" w:cs="Arial"/>
          <w:sz w:val="22"/>
          <w:szCs w:val="22"/>
          <w:lang w:val="bg-BG"/>
        </w:rPr>
      </w:pPr>
    </w:p>
    <w:p w14:paraId="745CBFEA" w14:textId="10F5A870" w:rsidR="5E9BD0CD" w:rsidRDefault="5E9BD0CD" w:rsidP="007E16B6">
      <w:pPr>
        <w:spacing w:after="0" w:line="360" w:lineRule="auto"/>
        <w:rPr>
          <w:rFonts w:ascii="Arial" w:eastAsia="Arial" w:hAnsi="Arial" w:cs="Arial"/>
          <w:sz w:val="22"/>
          <w:szCs w:val="22"/>
          <w:lang w:val="bg-BG"/>
        </w:rPr>
      </w:pPr>
    </w:p>
    <w:p w14:paraId="21C4AFA2" w14:textId="39A8F7BF" w:rsidR="5E9BD0CD" w:rsidRDefault="5E9BD0CD" w:rsidP="007E16B6">
      <w:pPr>
        <w:spacing w:after="0" w:line="360" w:lineRule="auto"/>
        <w:rPr>
          <w:rFonts w:ascii="Arial" w:eastAsia="Arial" w:hAnsi="Arial" w:cs="Arial"/>
          <w:sz w:val="22"/>
          <w:szCs w:val="22"/>
          <w:lang w:val="bg-BG"/>
        </w:rPr>
      </w:pPr>
    </w:p>
    <w:p w14:paraId="62E8D105" w14:textId="240FC38E" w:rsidR="5E9BD0CD" w:rsidRDefault="5E9BD0CD" w:rsidP="007E16B6">
      <w:pPr>
        <w:spacing w:after="0" w:line="360" w:lineRule="auto"/>
        <w:rPr>
          <w:rFonts w:ascii="Arial" w:eastAsia="Arial" w:hAnsi="Arial" w:cs="Arial"/>
          <w:sz w:val="22"/>
          <w:szCs w:val="22"/>
          <w:lang w:val="bg-BG"/>
        </w:rPr>
      </w:pPr>
    </w:p>
    <w:p w14:paraId="1492BE1E" w14:textId="3D7465D0" w:rsidR="5E9BD0CD" w:rsidRDefault="5E9BD0CD" w:rsidP="007E16B6">
      <w:pPr>
        <w:spacing w:after="0" w:line="360" w:lineRule="auto"/>
        <w:rPr>
          <w:rFonts w:ascii="Arial" w:eastAsia="Arial" w:hAnsi="Arial" w:cs="Arial"/>
          <w:sz w:val="22"/>
          <w:szCs w:val="22"/>
          <w:lang w:val="bg-BG"/>
        </w:rPr>
      </w:pPr>
    </w:p>
    <w:p w14:paraId="7FC35E5C" w14:textId="41EB426D" w:rsidR="5E9BD0CD" w:rsidRDefault="5E9BD0CD" w:rsidP="007E16B6">
      <w:pPr>
        <w:spacing w:after="0" w:line="360" w:lineRule="auto"/>
        <w:rPr>
          <w:rFonts w:ascii="Arial" w:eastAsia="Arial" w:hAnsi="Arial" w:cs="Arial"/>
          <w:sz w:val="22"/>
          <w:szCs w:val="22"/>
          <w:lang w:val="bg-BG"/>
        </w:rPr>
      </w:pPr>
    </w:p>
    <w:p w14:paraId="3BCD054F" w14:textId="07828439" w:rsidR="5E9BD0CD" w:rsidRDefault="5E9BD0CD" w:rsidP="007E16B6">
      <w:pPr>
        <w:spacing w:after="0" w:line="360" w:lineRule="auto"/>
        <w:rPr>
          <w:rFonts w:ascii="Arial" w:eastAsia="Arial" w:hAnsi="Arial" w:cs="Arial"/>
          <w:sz w:val="22"/>
          <w:szCs w:val="22"/>
          <w:lang w:val="bg-BG"/>
        </w:rPr>
      </w:pPr>
    </w:p>
    <w:p w14:paraId="69951633" w14:textId="7A28567E" w:rsidR="5E9BD0CD" w:rsidRDefault="5E9BD0CD" w:rsidP="007E16B6">
      <w:pPr>
        <w:spacing w:after="0" w:line="360" w:lineRule="auto"/>
        <w:rPr>
          <w:rFonts w:ascii="Arial" w:eastAsia="Arial" w:hAnsi="Arial" w:cs="Arial"/>
          <w:sz w:val="22"/>
          <w:szCs w:val="22"/>
          <w:lang w:val="bg-BG"/>
        </w:rPr>
      </w:pPr>
    </w:p>
    <w:p w14:paraId="08446185" w14:textId="6F289465" w:rsidR="5E9BD0CD" w:rsidRDefault="5E9BD0CD" w:rsidP="007E16B6">
      <w:pPr>
        <w:spacing w:after="0" w:line="360" w:lineRule="auto"/>
        <w:rPr>
          <w:rFonts w:ascii="Arial" w:eastAsia="Arial" w:hAnsi="Arial" w:cs="Arial"/>
          <w:sz w:val="22"/>
          <w:szCs w:val="22"/>
          <w:lang w:val="bg-BG"/>
        </w:rPr>
      </w:pPr>
    </w:p>
    <w:p w14:paraId="5F5DEE1D" w14:textId="41F66281" w:rsidR="5E9BD0CD" w:rsidRDefault="5E9BD0CD" w:rsidP="007E16B6">
      <w:pPr>
        <w:spacing w:after="0" w:line="360" w:lineRule="auto"/>
        <w:rPr>
          <w:rFonts w:ascii="Arial" w:eastAsia="Arial" w:hAnsi="Arial" w:cs="Arial"/>
          <w:sz w:val="22"/>
          <w:szCs w:val="22"/>
          <w:lang w:val="bg-BG"/>
        </w:rPr>
      </w:pPr>
    </w:p>
    <w:p w14:paraId="423BCA4A" w14:textId="535B1D6D" w:rsidR="5E9BD0CD" w:rsidRDefault="5E9BD0CD" w:rsidP="007E16B6">
      <w:pPr>
        <w:spacing w:after="0" w:line="360" w:lineRule="auto"/>
        <w:rPr>
          <w:rFonts w:ascii="Arial" w:eastAsia="Arial" w:hAnsi="Arial" w:cs="Arial"/>
          <w:sz w:val="22"/>
          <w:szCs w:val="22"/>
          <w:lang w:val="bg-BG"/>
        </w:rPr>
      </w:pPr>
    </w:p>
    <w:p w14:paraId="5B68BF63" w14:textId="16A1049E" w:rsidR="5E9BD0CD" w:rsidRDefault="5E9BD0CD" w:rsidP="007E16B6">
      <w:pPr>
        <w:spacing w:after="0" w:line="360" w:lineRule="auto"/>
        <w:rPr>
          <w:rFonts w:ascii="Arial" w:eastAsia="Arial" w:hAnsi="Arial" w:cs="Arial"/>
          <w:sz w:val="22"/>
          <w:szCs w:val="22"/>
          <w:lang w:val="bg-BG"/>
        </w:rPr>
      </w:pPr>
    </w:p>
    <w:p w14:paraId="4F0A5376" w14:textId="0DE90E0A" w:rsidR="5E9BD0CD" w:rsidRDefault="5E9BD0CD" w:rsidP="007E16B6">
      <w:pPr>
        <w:spacing w:after="0" w:line="360" w:lineRule="auto"/>
        <w:rPr>
          <w:rFonts w:ascii="Arial" w:eastAsia="Arial" w:hAnsi="Arial" w:cs="Arial"/>
          <w:sz w:val="22"/>
          <w:szCs w:val="22"/>
          <w:lang w:val="bg-BG"/>
        </w:rPr>
      </w:pPr>
    </w:p>
    <w:p w14:paraId="26195588" w14:textId="5ADD24BC" w:rsidR="5E9BD0CD" w:rsidRDefault="5E9BD0CD" w:rsidP="007E16B6">
      <w:pPr>
        <w:spacing w:after="0" w:line="360" w:lineRule="auto"/>
        <w:rPr>
          <w:rFonts w:ascii="Arial" w:eastAsia="Arial" w:hAnsi="Arial" w:cs="Arial"/>
          <w:sz w:val="22"/>
          <w:szCs w:val="22"/>
          <w:lang w:val="bg-BG"/>
        </w:rPr>
      </w:pPr>
    </w:p>
    <w:p w14:paraId="7E914C5C" w14:textId="1BF2BC0B" w:rsidR="5E9BD0CD" w:rsidRDefault="5E9BD0CD" w:rsidP="007E16B6">
      <w:pPr>
        <w:spacing w:after="0" w:line="360" w:lineRule="auto"/>
        <w:rPr>
          <w:rFonts w:ascii="Arial" w:eastAsia="Arial" w:hAnsi="Arial" w:cs="Arial"/>
          <w:sz w:val="22"/>
          <w:szCs w:val="22"/>
          <w:lang w:val="bg-BG"/>
        </w:rPr>
      </w:pPr>
    </w:p>
    <w:p w14:paraId="41BC9158" w14:textId="55CEA7FD" w:rsidR="5E9BD0CD" w:rsidRDefault="5E9BD0CD" w:rsidP="007E16B6">
      <w:pPr>
        <w:spacing w:after="0" w:line="360" w:lineRule="auto"/>
        <w:rPr>
          <w:rFonts w:ascii="Arial" w:eastAsia="Arial" w:hAnsi="Arial" w:cs="Arial"/>
          <w:sz w:val="22"/>
          <w:szCs w:val="22"/>
          <w:lang w:val="bg-BG"/>
        </w:rPr>
      </w:pPr>
    </w:p>
    <w:p w14:paraId="439D9F47" w14:textId="77777777" w:rsidR="002E68F4" w:rsidRDefault="002E68F4" w:rsidP="007E16B6">
      <w:pPr>
        <w:spacing w:before="240" w:after="240" w:line="360" w:lineRule="auto"/>
        <w:rPr>
          <w:rFonts w:ascii="Arial" w:eastAsia="Arial" w:hAnsi="Arial" w:cs="Arial"/>
          <w:sz w:val="22"/>
          <w:szCs w:val="22"/>
        </w:rPr>
      </w:pPr>
    </w:p>
    <w:p w14:paraId="3847059A" w14:textId="3EDC9235" w:rsidR="007E16B6" w:rsidRDefault="007E16B6" w:rsidP="007E16B6">
      <w:pPr>
        <w:spacing w:before="240" w:after="240" w:line="360" w:lineRule="auto"/>
        <w:jc w:val="center"/>
        <w:rPr>
          <w:b/>
          <w:bCs/>
          <w:sz w:val="28"/>
          <w:szCs w:val="28"/>
        </w:rPr>
      </w:pPr>
      <w:r w:rsidRPr="007E16B6">
        <w:rPr>
          <w:b/>
          <w:bCs/>
          <w:sz w:val="28"/>
          <w:szCs w:val="28"/>
        </w:rPr>
        <w:lastRenderedPageBreak/>
        <w:t>Serious Incident Case Study: Infant Morphine Overdose</w:t>
      </w:r>
    </w:p>
    <w:p w14:paraId="2418D198" w14:textId="77777777" w:rsidR="007E16B6" w:rsidRPr="007E16B6" w:rsidRDefault="007E16B6" w:rsidP="007E16B6">
      <w:pPr>
        <w:spacing w:before="240" w:after="240" w:line="360" w:lineRule="auto"/>
        <w:jc w:val="center"/>
        <w:rPr>
          <w:rFonts w:ascii="Arial" w:eastAsia="Arial" w:hAnsi="Arial" w:cs="Arial"/>
          <w:b/>
          <w:bCs/>
          <w:sz w:val="28"/>
          <w:szCs w:val="28"/>
        </w:rPr>
      </w:pPr>
    </w:p>
    <w:p w14:paraId="737D3A6E" w14:textId="35561CDA" w:rsidR="751B082D" w:rsidRPr="002E68F4" w:rsidRDefault="05197112" w:rsidP="007E16B6">
      <w:pPr>
        <w:spacing w:before="240" w:after="240" w:line="360" w:lineRule="auto"/>
        <w:rPr>
          <w:rFonts w:ascii="Arial" w:eastAsia="Arial" w:hAnsi="Arial" w:cs="Arial"/>
          <w:b/>
          <w:bCs/>
          <w:sz w:val="22"/>
          <w:szCs w:val="22"/>
        </w:rPr>
      </w:pPr>
      <w:r w:rsidRPr="002E68F4">
        <w:rPr>
          <w:rFonts w:ascii="Arial" w:eastAsia="Arial" w:hAnsi="Arial" w:cs="Arial"/>
          <w:b/>
          <w:bCs/>
          <w:sz w:val="22"/>
          <w:szCs w:val="22"/>
        </w:rPr>
        <w:t>Introduction</w:t>
      </w:r>
    </w:p>
    <w:p w14:paraId="5B48473B" w14:textId="7FE74383" w:rsidR="676B90B1" w:rsidRDefault="7BC3BC2B"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Medication safety is a fundamental component of high-quality healthcare and a central concern for health and social care organisations worldwide (</w:t>
      </w:r>
      <w:r w:rsidR="4AFF6D15" w:rsidRPr="5E9BD0CD">
        <w:rPr>
          <w:rFonts w:ascii="Arial" w:eastAsia="Arial" w:hAnsi="Arial" w:cs="Arial"/>
          <w:sz w:val="22"/>
          <w:szCs w:val="22"/>
        </w:rPr>
        <w:t>World Health Organization</w:t>
      </w:r>
      <w:r w:rsidR="002E68F4">
        <w:rPr>
          <w:rFonts w:ascii="Arial" w:eastAsia="Arial" w:hAnsi="Arial" w:cs="Arial"/>
          <w:sz w:val="22"/>
          <w:szCs w:val="22"/>
        </w:rPr>
        <w:t xml:space="preserve"> -WHO</w:t>
      </w:r>
      <w:r w:rsidRPr="5E9BD0CD">
        <w:rPr>
          <w:rFonts w:ascii="Arial" w:eastAsia="Arial" w:hAnsi="Arial" w:cs="Arial"/>
          <w:sz w:val="22"/>
          <w:szCs w:val="22"/>
        </w:rPr>
        <w:t xml:space="preserve">, 2017; Elliott et al., 2018). The safe prescribing, dispensing and administration of medicines requires coordinated action across professional groups, organisational boundaries and governance systems. Failures in medication safety can result in preventable harm, particularly when high-risk drugs are involved or when care is provided to vulnerable patient groups such as infants (Reason, 2000; Kaushal et al., 2001). Neonates are especially vulnerable due to weight-based dosing and reliance on carers for administration, increasing the risk of medication-related harm (NHS England North East and Yorkshire, 2023; West </w:t>
      </w:r>
      <w:r w:rsidRPr="5E9BD0CD">
        <w:rPr>
          <w:rFonts w:ascii="Arial" w:eastAsia="Arial" w:hAnsi="Arial" w:cs="Arial"/>
          <w:i/>
          <w:iCs/>
          <w:sz w:val="22"/>
          <w:szCs w:val="22"/>
        </w:rPr>
        <w:t>et al</w:t>
      </w:r>
      <w:r w:rsidRPr="5E9BD0CD">
        <w:rPr>
          <w:rFonts w:ascii="Arial" w:eastAsia="Arial" w:hAnsi="Arial" w:cs="Arial"/>
          <w:sz w:val="22"/>
          <w:szCs w:val="22"/>
        </w:rPr>
        <w:t>., 2015).</w:t>
      </w:r>
    </w:p>
    <w:p w14:paraId="177E4D0F" w14:textId="10B0BE9E" w:rsidR="676B90B1" w:rsidRDefault="7BC3BC2B"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This report examines a serious medication error involving a four-week-old infant who received a morphine sulphate dose twenty times higher than intended due to a formulation error during transfer of care. The incorrect supply of a 10 mg/5 ml oral solution instead of the prescribed 100 micrograms/ml formulation led to overdose, despite the medicine being classified as a “Red Drug – Hospital Only Drug” (NHS England North East and Yorkshire, 2023). Although the infant survived following naloxone administration, the incident reflects a recurring national issue, highlighting systemic weaknesses in governance, communication and medication safety processes.</w:t>
      </w:r>
    </w:p>
    <w:p w14:paraId="481A643B" w14:textId="2D4EF228" w:rsidR="676B90B1" w:rsidRDefault="7BC3BC2B"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 xml:space="preserve">The purpose of this report is to analyse how leadership and management influenced this incident and to evaluate how improved leadership could enhance patient safety. Leadership in healthcare involves influencing individuals and teams to achieve shared goals, particularly safe and effective care (Northouse, 2022; Yukl, 2013). Effective leadership is essential for promoting communication, accountability and a culture of safety, all of which are critical in preventing errors (West </w:t>
      </w:r>
      <w:r w:rsidRPr="5E9BD0CD">
        <w:rPr>
          <w:rFonts w:ascii="Arial" w:eastAsia="Arial" w:hAnsi="Arial" w:cs="Arial"/>
          <w:i/>
          <w:iCs/>
          <w:sz w:val="22"/>
          <w:szCs w:val="22"/>
        </w:rPr>
        <w:t>et al</w:t>
      </w:r>
      <w:r w:rsidRPr="5E9BD0CD">
        <w:rPr>
          <w:rFonts w:ascii="Arial" w:eastAsia="Arial" w:hAnsi="Arial" w:cs="Arial"/>
          <w:sz w:val="22"/>
          <w:szCs w:val="22"/>
        </w:rPr>
        <w:t>., 2015).</w:t>
      </w:r>
    </w:p>
    <w:p w14:paraId="6DC15984" w14:textId="1443AF59" w:rsidR="676B90B1" w:rsidRDefault="7BC3BC2B"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Healthcare systems operate through both centralised and decentralised structures. Centralisation promotes standardisation and control, particularly for high-risk medicines, while decentralisation enables flexibility and professional autonomy (Mintzberg, 2009; Yukl, 2013). However, weaknesses in coordination between these structures can increase the risk of errors, particularly during transitions of care.</w:t>
      </w:r>
    </w:p>
    <w:p w14:paraId="12E0DE11" w14:textId="5E179892" w:rsidR="2FF696C6" w:rsidRDefault="2FF696C6"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lastRenderedPageBreak/>
        <w:t>Several leadership theories inform this analysis and provide a framework for understanding how leadership influences patient safety within complex healthcare systems. Purpose-driven or transformational leadership emphasises shared vision, staff engagement and continuous improvement, which are associated with improved safety outcomes (Bass and Avolio, 199</w:t>
      </w:r>
      <w:r w:rsidR="27B5C374" w:rsidRPr="5E9BD0CD">
        <w:rPr>
          <w:rFonts w:ascii="Arial" w:eastAsia="Arial" w:hAnsi="Arial" w:cs="Arial"/>
          <w:sz w:val="22"/>
          <w:szCs w:val="22"/>
        </w:rPr>
        <w:t>3</w:t>
      </w:r>
      <w:r w:rsidRPr="5E9BD0CD">
        <w:rPr>
          <w:rFonts w:ascii="Arial" w:eastAsia="Arial" w:hAnsi="Arial" w:cs="Arial"/>
          <w:sz w:val="22"/>
          <w:szCs w:val="22"/>
        </w:rPr>
        <w:t xml:space="preserve">; West </w:t>
      </w:r>
      <w:r w:rsidRPr="5E9BD0CD">
        <w:rPr>
          <w:rFonts w:ascii="Arial" w:eastAsia="Arial" w:hAnsi="Arial" w:cs="Arial"/>
          <w:i/>
          <w:iCs/>
          <w:sz w:val="22"/>
          <w:szCs w:val="22"/>
        </w:rPr>
        <w:t>et al</w:t>
      </w:r>
      <w:r w:rsidRPr="5E9BD0CD">
        <w:rPr>
          <w:rFonts w:ascii="Arial" w:eastAsia="Arial" w:hAnsi="Arial" w:cs="Arial"/>
          <w:sz w:val="22"/>
          <w:szCs w:val="22"/>
        </w:rPr>
        <w:t>., 2015). McGregor’s Theory X and Theory Y explain contrasting assumptions about control and motivation, where Theory X reflects compliance and supervision, and Theory Y emphasises autonomy, accountability and collaboration (McGregor, 1960; Northouse, 2022; Chandankhede and Thombre, 202</w:t>
      </w:r>
      <w:r w:rsidR="10B0E322" w:rsidRPr="5E9BD0CD">
        <w:rPr>
          <w:rFonts w:ascii="Arial" w:eastAsia="Arial" w:hAnsi="Arial" w:cs="Arial"/>
          <w:sz w:val="22"/>
          <w:szCs w:val="22"/>
        </w:rPr>
        <w:t>5</w:t>
      </w:r>
      <w:r w:rsidRPr="5E9BD0CD">
        <w:rPr>
          <w:rFonts w:ascii="Arial" w:eastAsia="Arial" w:hAnsi="Arial" w:cs="Arial"/>
          <w:sz w:val="22"/>
          <w:szCs w:val="22"/>
        </w:rPr>
        <w:t>).</w:t>
      </w:r>
    </w:p>
    <w:p w14:paraId="600CB09E" w14:textId="6E3F2070" w:rsidR="2FF696C6" w:rsidRDefault="2FF696C6"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Behavioural leadership theory highlights the importance of communication and supportive leadership actions in maintaining safe practice (Northouse, 2022). Situational or contingency leadership theory is particularly relevant in this case, as it emphasises that leadership must adapt to the complexity and risk of the situation, requiring flexibility, responsiveness and context-specific decision-making in high-risk clinical environments (</w:t>
      </w:r>
      <w:r w:rsidR="0FFC99C4" w:rsidRPr="5E9BD0CD">
        <w:rPr>
          <w:rFonts w:ascii="Arial" w:eastAsia="Arial" w:hAnsi="Arial" w:cs="Arial"/>
          <w:sz w:val="22"/>
          <w:szCs w:val="22"/>
        </w:rPr>
        <w:t>Hersey, Blanchard and Johnson</w:t>
      </w:r>
      <w:r w:rsidRPr="5E9BD0CD">
        <w:rPr>
          <w:rFonts w:ascii="Arial" w:eastAsia="Arial" w:hAnsi="Arial" w:cs="Arial"/>
          <w:sz w:val="22"/>
          <w:szCs w:val="22"/>
        </w:rPr>
        <w:t>, 201</w:t>
      </w:r>
      <w:r w:rsidR="3F8DF53A" w:rsidRPr="5E9BD0CD">
        <w:rPr>
          <w:rFonts w:ascii="Arial" w:eastAsia="Arial" w:hAnsi="Arial" w:cs="Arial"/>
          <w:sz w:val="22"/>
          <w:szCs w:val="22"/>
        </w:rPr>
        <w:t>2</w:t>
      </w:r>
      <w:r w:rsidRPr="5E9BD0CD">
        <w:rPr>
          <w:rFonts w:ascii="Arial" w:eastAsia="Arial" w:hAnsi="Arial" w:cs="Arial"/>
          <w:sz w:val="22"/>
          <w:szCs w:val="22"/>
        </w:rPr>
        <w:t>; Yukl, 2013).</w:t>
      </w:r>
    </w:p>
    <w:p w14:paraId="698329A8" w14:textId="6615F9FD" w:rsidR="5E9BD0CD" w:rsidRDefault="2FF696C6"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In contrast, Great Man Theory, Trait Theory and the Tannenbaum and Schmidt model are less applicable, as they focus on individual leadership characteristics or single-team dynamics rather than system-wide interactions across healthcare organisations (Carlyle, 1841; Tannenbaum and Schmidt, 1973; Yukl, 2013). Therefore, leadership theories that emphasise behaviour, adaptability and collective responsibility provide a more appropriate framework for analysing patient safety in this case.</w:t>
      </w:r>
    </w:p>
    <w:p w14:paraId="25DCB1B5" w14:textId="54EB2C92" w:rsidR="676B90B1" w:rsidRDefault="7BC3BC2B"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This report will apply systems thinking to analyse the case, examine structural influences, evaluate leadership approaches and propose recommendations to improve patient safety and governance.</w:t>
      </w:r>
    </w:p>
    <w:p w14:paraId="20BB55DF" w14:textId="5A2D30D7" w:rsidR="55ED6401" w:rsidRDefault="55ED6401" w:rsidP="007E16B6">
      <w:pPr>
        <w:spacing w:before="240" w:after="240" w:line="360" w:lineRule="auto"/>
        <w:rPr>
          <w:rFonts w:ascii="Arial" w:eastAsia="Arial" w:hAnsi="Arial" w:cs="Arial"/>
          <w:sz w:val="22"/>
          <w:szCs w:val="22"/>
        </w:rPr>
      </w:pPr>
    </w:p>
    <w:p w14:paraId="68792393" w14:textId="628CC05A" w:rsidR="751B082D" w:rsidRPr="002E68F4" w:rsidRDefault="05197112" w:rsidP="007E16B6">
      <w:pPr>
        <w:spacing w:before="240" w:after="240" w:line="360" w:lineRule="auto"/>
        <w:rPr>
          <w:rFonts w:ascii="Arial" w:eastAsia="Arial" w:hAnsi="Arial" w:cs="Arial"/>
          <w:b/>
          <w:bCs/>
          <w:sz w:val="22"/>
          <w:szCs w:val="22"/>
        </w:rPr>
      </w:pPr>
      <w:r w:rsidRPr="002E68F4">
        <w:rPr>
          <w:rFonts w:ascii="Arial" w:eastAsia="Arial" w:hAnsi="Arial" w:cs="Arial"/>
          <w:b/>
          <w:bCs/>
          <w:sz w:val="22"/>
          <w:szCs w:val="22"/>
        </w:rPr>
        <w:t>Identifying the problem and setting the system context: applying systems thinking and the rich picture</w:t>
      </w:r>
    </w:p>
    <w:p w14:paraId="1C2EE708" w14:textId="7E6EB595" w:rsidR="751B082D" w:rsidRDefault="12BD3A98"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 xml:space="preserve">The central problem in this case study is a serious medication error in which a four-week-old infant received a morphine sulphate dose twenty times higher than intended. The prescribed medicine was morphine sulphate 100 micrograms/ml oral solution, yet the parents were supplied with morphine sulphate 10 mg/5 ml oral solution instead (NHS England North East and Yorkshire, 2023). Consequently, the infant received 3.8 mg rather than the intended 190 micrograms and required emergency treatment with naloxone. Although the infant survived, the severity of the overdose highlights the potentially fatal consequences of medication </w:t>
      </w:r>
      <w:r w:rsidRPr="5E9BD0CD">
        <w:rPr>
          <w:rFonts w:ascii="Arial" w:eastAsia="Arial" w:hAnsi="Arial" w:cs="Arial"/>
          <w:sz w:val="22"/>
          <w:szCs w:val="22"/>
        </w:rPr>
        <w:lastRenderedPageBreak/>
        <w:t>errors involving high-risk drugs (Reason, 2000; Vincent, 2010). Critically, this incident cannot be reduced to a single prescribing or dispensing mistake; rather, it reflects a failure of the healthcare system to manage risk effectively across multiple stages of care.</w:t>
      </w:r>
    </w:p>
    <w:p w14:paraId="1C7BD192" w14:textId="637DB827" w:rsidR="751B082D" w:rsidRDefault="12BD3A98"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The significance of this case extends beyond the local context. National incident data indicate that this was the fifth similar infant morphine overdose since 2018, with one previous case resulting in death (NHS England North East and Yorkshire, 2023). This recurrence demonstrates a pattern of repeated failure, suggesting that organisational learning and safety improvements have been insufficient. From a critical perspective, repeated incidents involving the same drug and similar system conditions indicate weaknesses in feedback loops and governance processes (Wears and Sutcliffe, 2020).</w:t>
      </w:r>
    </w:p>
    <w:p w14:paraId="2824C1F9" w14:textId="1FD89894" w:rsidR="751B082D" w:rsidRDefault="75A7026B"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At a global level, medication errors are recognised as a major public health issue, with evidence suggesting that approximately one in ten patients experience harm during healthcare (W</w:t>
      </w:r>
      <w:r w:rsidR="1251FA97" w:rsidRPr="5E9BD0CD">
        <w:rPr>
          <w:rFonts w:ascii="Arial" w:eastAsia="Arial" w:hAnsi="Arial" w:cs="Arial"/>
          <w:sz w:val="22"/>
          <w:szCs w:val="22"/>
        </w:rPr>
        <w:t>HO</w:t>
      </w:r>
      <w:r w:rsidRPr="5E9BD0CD">
        <w:rPr>
          <w:rFonts w:ascii="Arial" w:eastAsia="Arial" w:hAnsi="Arial" w:cs="Arial"/>
          <w:sz w:val="22"/>
          <w:szCs w:val="22"/>
        </w:rPr>
        <w:t>, 2017; Slawomirski,</w:t>
      </w:r>
      <w:r w:rsidR="108296B4" w:rsidRPr="5E9BD0CD">
        <w:rPr>
          <w:rFonts w:ascii="Arial" w:eastAsia="Arial" w:hAnsi="Arial" w:cs="Arial"/>
          <w:sz w:val="22"/>
          <w:szCs w:val="22"/>
        </w:rPr>
        <w:t xml:space="preserve"> Auraaen, and Klazinga</w:t>
      </w:r>
      <w:r w:rsidRPr="5E9BD0CD">
        <w:rPr>
          <w:rFonts w:ascii="Arial" w:eastAsia="Arial" w:hAnsi="Arial" w:cs="Arial"/>
          <w:sz w:val="22"/>
          <w:szCs w:val="22"/>
        </w:rPr>
        <w:t xml:space="preserve"> 2017).</w:t>
      </w:r>
      <w:r w:rsidR="12BD3A98" w:rsidRPr="5E9BD0CD">
        <w:rPr>
          <w:rFonts w:ascii="Arial" w:eastAsia="Arial" w:hAnsi="Arial" w:cs="Arial"/>
          <w:sz w:val="22"/>
          <w:szCs w:val="22"/>
        </w:rPr>
        <w:t xml:space="preserve"> The World Health Organization</w:t>
      </w:r>
      <w:r w:rsidR="52C89434" w:rsidRPr="5E9BD0CD">
        <w:rPr>
          <w:rFonts w:ascii="Arial" w:eastAsia="Arial" w:hAnsi="Arial" w:cs="Arial"/>
          <w:sz w:val="22"/>
          <w:szCs w:val="22"/>
        </w:rPr>
        <w:t xml:space="preserve"> (2017)</w:t>
      </w:r>
      <w:r w:rsidR="12BD3A98" w:rsidRPr="5E9BD0CD">
        <w:rPr>
          <w:rFonts w:ascii="Arial" w:eastAsia="Arial" w:hAnsi="Arial" w:cs="Arial"/>
          <w:sz w:val="22"/>
          <w:szCs w:val="22"/>
        </w:rPr>
        <w:t xml:space="preserve"> estimates that medication errors cause at least one death per day and injure approximately 1.3 million people annually worldwide. </w:t>
      </w:r>
      <w:r w:rsidR="56E5798F" w:rsidRPr="5E9BD0CD">
        <w:rPr>
          <w:rFonts w:ascii="Arial" w:eastAsia="Arial" w:hAnsi="Arial" w:cs="Arial"/>
          <w:sz w:val="22"/>
          <w:szCs w:val="22"/>
        </w:rPr>
        <w:t>Additionally, medication-related harm is estimated to cost approximately US$42 billion annually, representing nearly 1% of global health expenditure (W</w:t>
      </w:r>
      <w:r w:rsidR="6B2DCF83" w:rsidRPr="5E9BD0CD">
        <w:rPr>
          <w:rFonts w:ascii="Arial" w:eastAsia="Arial" w:hAnsi="Arial" w:cs="Arial"/>
          <w:sz w:val="22"/>
          <w:szCs w:val="22"/>
        </w:rPr>
        <w:t>HO</w:t>
      </w:r>
      <w:r w:rsidR="56E5798F" w:rsidRPr="5E9BD0CD">
        <w:rPr>
          <w:rFonts w:ascii="Arial" w:eastAsia="Arial" w:hAnsi="Arial" w:cs="Arial"/>
          <w:sz w:val="22"/>
          <w:szCs w:val="22"/>
        </w:rPr>
        <w:t>, 2017)</w:t>
      </w:r>
      <w:r w:rsidR="12BD3A98" w:rsidRPr="5E9BD0CD">
        <w:rPr>
          <w:rFonts w:ascii="Arial" w:eastAsia="Arial" w:hAnsi="Arial" w:cs="Arial"/>
          <w:sz w:val="22"/>
          <w:szCs w:val="22"/>
        </w:rPr>
        <w:t>. These figures reveal that medication safety failures are systemic and frequently linked to communication breakdowns, poor standardisation and fragmented care delivery (WHO, 2017; Reason, 2000).</w:t>
      </w:r>
    </w:p>
    <w:p w14:paraId="72EE4D54" w14:textId="2E63207C" w:rsidR="751B082D" w:rsidRDefault="12BD3A98"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At a national level, the scale of the problem is equally significant. In England, approximately 237 million medication errors occur annually, with around 66 million considered potentially clinically significant (Elliott et al., 2018). While not all errors result in harm, the volume increases the probability of severe outcomes, particularly with high-risk medicines such as opioids</w:t>
      </w:r>
      <w:r w:rsidR="5B430A4F" w:rsidRPr="5E9BD0CD">
        <w:rPr>
          <w:rFonts w:ascii="Arial" w:eastAsia="Arial" w:hAnsi="Arial" w:cs="Arial"/>
          <w:sz w:val="22"/>
          <w:szCs w:val="22"/>
        </w:rPr>
        <w:t xml:space="preserve"> </w:t>
      </w:r>
      <w:r w:rsidR="6895779F" w:rsidRPr="5E9BD0CD">
        <w:rPr>
          <w:rFonts w:ascii="Arial" w:eastAsia="Arial" w:hAnsi="Arial" w:cs="Arial"/>
          <w:sz w:val="22"/>
          <w:szCs w:val="22"/>
        </w:rPr>
        <w:t>(</w:t>
      </w:r>
      <w:r w:rsidR="2141F361" w:rsidRPr="5E9BD0CD">
        <w:rPr>
          <w:rFonts w:ascii="Arial" w:eastAsia="Arial" w:hAnsi="Arial" w:cs="Arial"/>
          <w:sz w:val="22"/>
          <w:szCs w:val="22"/>
        </w:rPr>
        <w:t>W</w:t>
      </w:r>
      <w:r w:rsidR="7B8C298F" w:rsidRPr="5E9BD0CD">
        <w:rPr>
          <w:rFonts w:ascii="Arial" w:eastAsia="Arial" w:hAnsi="Arial" w:cs="Arial"/>
          <w:sz w:val="22"/>
          <w:szCs w:val="22"/>
        </w:rPr>
        <w:t>HO</w:t>
      </w:r>
      <w:r w:rsidR="2141F361" w:rsidRPr="5E9BD0CD">
        <w:rPr>
          <w:rFonts w:ascii="Arial" w:eastAsia="Arial" w:hAnsi="Arial" w:cs="Arial"/>
          <w:sz w:val="22"/>
          <w:szCs w:val="22"/>
        </w:rPr>
        <w:t>, 2017)</w:t>
      </w:r>
      <w:r w:rsidRPr="5E9BD0CD">
        <w:rPr>
          <w:rFonts w:ascii="Arial" w:eastAsia="Arial" w:hAnsi="Arial" w:cs="Arial"/>
          <w:sz w:val="22"/>
          <w:szCs w:val="22"/>
        </w:rPr>
        <w:t>. This suggests that current safety systems may be reactive rather than preventative, identifying harm after occurrence rather than mitigating risks in advance (Vincent, 2010).</w:t>
      </w:r>
    </w:p>
    <w:p w14:paraId="51F5F200" w14:textId="67357F80" w:rsidR="751B082D" w:rsidRDefault="12BD3A98"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 xml:space="preserve">Evidence from national and international organisations reinforces this interpretation. The Institute for Healthcare Improvement </w:t>
      </w:r>
      <w:r w:rsidR="28D5BC82" w:rsidRPr="5E9BD0CD">
        <w:rPr>
          <w:rFonts w:ascii="Arial" w:eastAsia="Arial" w:hAnsi="Arial" w:cs="Arial"/>
          <w:sz w:val="22"/>
          <w:szCs w:val="22"/>
        </w:rPr>
        <w:t xml:space="preserve">(2019) </w:t>
      </w:r>
      <w:r w:rsidRPr="5E9BD0CD">
        <w:rPr>
          <w:rFonts w:ascii="Arial" w:eastAsia="Arial" w:hAnsi="Arial" w:cs="Arial"/>
          <w:sz w:val="22"/>
          <w:szCs w:val="22"/>
        </w:rPr>
        <w:t>identifies medication errors as one of the most common preventable causes of harm, often linked to failures in communication, coordination and system design. Similarly, the OECD</w:t>
      </w:r>
      <w:r w:rsidR="3A6B8C70" w:rsidRPr="5E9BD0CD">
        <w:rPr>
          <w:rFonts w:ascii="Arial" w:eastAsia="Arial" w:hAnsi="Arial" w:cs="Arial"/>
          <w:sz w:val="22"/>
          <w:szCs w:val="22"/>
        </w:rPr>
        <w:t xml:space="preserve"> </w:t>
      </w:r>
      <w:r w:rsidRPr="5E9BD0CD">
        <w:rPr>
          <w:rFonts w:ascii="Arial" w:eastAsia="Arial" w:hAnsi="Arial" w:cs="Arial"/>
          <w:sz w:val="22"/>
          <w:szCs w:val="22"/>
        </w:rPr>
        <w:t>estimates that unsafe care accounts for approximately 15% of hospital expenditure across member countries, highlighting the economic and systemic consequences of safety failures</w:t>
      </w:r>
      <w:r w:rsidR="7C5BB5E9" w:rsidRPr="5E9BD0CD">
        <w:rPr>
          <w:rFonts w:ascii="Arial" w:eastAsia="Arial" w:hAnsi="Arial" w:cs="Arial"/>
          <w:sz w:val="22"/>
          <w:szCs w:val="22"/>
        </w:rPr>
        <w:t xml:space="preserve"> (Slawomirski, </w:t>
      </w:r>
      <w:r w:rsidR="397B64E4" w:rsidRPr="5E9BD0CD">
        <w:rPr>
          <w:rFonts w:ascii="Arial" w:eastAsia="Arial" w:hAnsi="Arial" w:cs="Arial"/>
          <w:sz w:val="22"/>
          <w:szCs w:val="22"/>
        </w:rPr>
        <w:t>Auraaen and Klazinga, 2017</w:t>
      </w:r>
      <w:r w:rsidR="7C5BB5E9" w:rsidRPr="5E9BD0CD">
        <w:rPr>
          <w:rFonts w:ascii="Arial" w:eastAsia="Arial" w:hAnsi="Arial" w:cs="Arial"/>
          <w:sz w:val="22"/>
          <w:szCs w:val="22"/>
        </w:rPr>
        <w:t>)</w:t>
      </w:r>
      <w:r w:rsidRPr="5E9BD0CD">
        <w:rPr>
          <w:rFonts w:ascii="Arial" w:eastAsia="Arial" w:hAnsi="Arial" w:cs="Arial"/>
          <w:sz w:val="22"/>
          <w:szCs w:val="22"/>
        </w:rPr>
        <w:t>. These findings position the infant morphine overdose as both a local clinical incident and part of a broader global pattern of healthcare system vulnerability.</w:t>
      </w:r>
    </w:p>
    <w:p w14:paraId="0CEA5E42" w14:textId="0D8B7B50" w:rsidR="751B082D" w:rsidRDefault="12BD3A98"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lastRenderedPageBreak/>
        <w:t>A systems thinking approach provides a more comprehensive explanation of the incident. Systems thinking emphasises that errors arise from interactions between people, processes and structures rather than isolated individual actions (Sterman, 2000). In this case, the overdose resulted from a sequence of interconnected failures across organisational boundaries, including hospital discharge, GP prescribing, pharmacy dispensing and parental administration. This aligns with Reason’s (2000) model of system failure, where multiple safeguards fail simultaneously.</w:t>
      </w:r>
    </w:p>
    <w:p w14:paraId="091C6173" w14:textId="28B1301C" w:rsidR="751B082D" w:rsidRDefault="12BD3A98"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At the hospital level, the use of a handwritten discharge summary, the abbreviation “mcg” and the reference to “Oramorph” introduced ambiguity into medication instructions. This reflects a failure of standardisation and governance, as documentation did not align with safe prescribing practices (NHS England North East and Yorkshire, 2023; Vincent, 2010). At the primary care level, the GP correctly calculated the dose but lacked awareness of the appropriate formulation, demonstrating dependency on accurate information transfer between organisations. This highlights how decision-making in healthcare is often constrained by incomplete or ambiguous data (Wears and Sutcliffe, 2020).</w:t>
      </w:r>
    </w:p>
    <w:p w14:paraId="49D13C23" w14:textId="6C643EF8" w:rsidR="751B082D" w:rsidRDefault="12BD3A98"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 xml:space="preserve">At the community pharmacy level, the prescription was questioned due to the unusually small volume, representing a potential safety checkpoint. However, indirect communication pathways prevented effective escalation, demonstrating weaknesses in professional interaction and accountability (West </w:t>
      </w:r>
      <w:r w:rsidRPr="5E9BD0CD">
        <w:rPr>
          <w:rFonts w:ascii="Arial" w:eastAsia="Arial" w:hAnsi="Arial" w:cs="Arial"/>
          <w:i/>
          <w:iCs/>
          <w:sz w:val="22"/>
          <w:szCs w:val="22"/>
        </w:rPr>
        <w:t>et al</w:t>
      </w:r>
      <w:r w:rsidRPr="5E9BD0CD">
        <w:rPr>
          <w:rFonts w:ascii="Arial" w:eastAsia="Arial" w:hAnsi="Arial" w:cs="Arial"/>
          <w:sz w:val="22"/>
          <w:szCs w:val="22"/>
        </w:rPr>
        <w:t>., 2015). At the patient level, the parents administered the medication according to previous instructions, illustrating how patient behaviour is shaped by system-level failures rather than individual error.</w:t>
      </w:r>
    </w:p>
    <w:p w14:paraId="2894F6A4" w14:textId="0C71510F" w:rsidR="751B082D" w:rsidRDefault="12BD3A98"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These interactions reveal systemic weaknesses in communication, accountability and leadership. Communication breakdowns occurred at multiple points, while accountability was diffused across organisations, reducing clarity of responsibility (Braithwaite</w:t>
      </w:r>
      <w:r w:rsidRPr="5E9BD0CD">
        <w:rPr>
          <w:rFonts w:ascii="Arial" w:eastAsia="Arial" w:hAnsi="Arial" w:cs="Arial"/>
          <w:i/>
          <w:iCs/>
          <w:sz w:val="22"/>
          <w:szCs w:val="22"/>
        </w:rPr>
        <w:t xml:space="preserve"> et al</w:t>
      </w:r>
      <w:r w:rsidRPr="5E9BD0CD">
        <w:rPr>
          <w:rFonts w:ascii="Arial" w:eastAsia="Arial" w:hAnsi="Arial" w:cs="Arial"/>
          <w:sz w:val="22"/>
          <w:szCs w:val="22"/>
        </w:rPr>
        <w:t>., 2017). Leadership weaknesses were evident in the lack of proactive systems to anticipate and mitigate risk before harm occurred.</w:t>
      </w:r>
    </w:p>
    <w:p w14:paraId="181F0275" w14:textId="470AB997" w:rsidR="751B082D" w:rsidRDefault="12BD3A98"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 xml:space="preserve">The case also highlights the influence of governance at multiple levels. Locally, healthcare providers were responsible for prescribing and dispensing, while regionally Integrated Care Boards oversaw formulary decisions (NHS England North East and Yorkshire, 2023). </w:t>
      </w:r>
      <w:r w:rsidR="46DA7F37" w:rsidRPr="5E9BD0CD">
        <w:rPr>
          <w:rFonts w:ascii="Arial" w:eastAsia="Arial" w:hAnsi="Arial" w:cs="Arial"/>
          <w:sz w:val="22"/>
          <w:szCs w:val="22"/>
        </w:rPr>
        <w:t xml:space="preserve">Nationally, NHS England provides overarching patient safety frameworks and controlled drug governance policies, establishing standards for safe practice and incident reporting across the healthcare system (NHS England, 2019; NHS England, </w:t>
      </w:r>
      <w:r w:rsidR="616C09BB" w:rsidRPr="5E9BD0CD">
        <w:rPr>
          <w:rFonts w:ascii="Arial" w:eastAsia="Arial" w:hAnsi="Arial" w:cs="Arial"/>
          <w:sz w:val="22"/>
          <w:szCs w:val="22"/>
        </w:rPr>
        <w:t>no date</w:t>
      </w:r>
      <w:r w:rsidR="46DA7F37" w:rsidRPr="5E9BD0CD">
        <w:rPr>
          <w:rFonts w:ascii="Arial" w:eastAsia="Arial" w:hAnsi="Arial" w:cs="Arial"/>
          <w:sz w:val="22"/>
          <w:szCs w:val="22"/>
        </w:rPr>
        <w:t xml:space="preserve">). </w:t>
      </w:r>
      <w:r w:rsidRPr="5E9BD0CD">
        <w:rPr>
          <w:rFonts w:ascii="Arial" w:eastAsia="Arial" w:hAnsi="Arial" w:cs="Arial"/>
          <w:sz w:val="22"/>
          <w:szCs w:val="22"/>
        </w:rPr>
        <w:t>However, despite these structures, the recurrence of similar incidents suggests that governance mechanisms were not effectively implemented or enforced (Braithwaite et al., 2017).</w:t>
      </w:r>
    </w:p>
    <w:p w14:paraId="51FBC3E8" w14:textId="29C88255" w:rsidR="751B082D" w:rsidRDefault="12BD3A98"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lastRenderedPageBreak/>
        <w:t>Underlying system pressures further contributed to the incident. Workforce shortages and increasing service demand within the NHS may reduce time available for communication and safety checks, increasing the risk of error (Health Foundation, 2022</w:t>
      </w:r>
      <w:r w:rsidR="0CBD58AF" w:rsidRPr="5E9BD0CD">
        <w:rPr>
          <w:rFonts w:ascii="Arial" w:eastAsia="Arial" w:hAnsi="Arial" w:cs="Arial"/>
          <w:sz w:val="22"/>
          <w:szCs w:val="22"/>
        </w:rPr>
        <w:t>;</w:t>
      </w:r>
      <w:r w:rsidR="62B62197" w:rsidRPr="5E9BD0CD">
        <w:rPr>
          <w:rFonts w:ascii="Arial" w:eastAsia="Arial" w:hAnsi="Arial" w:cs="Arial"/>
          <w:sz w:val="22"/>
          <w:szCs w:val="22"/>
        </w:rPr>
        <w:t xml:space="preserve"> WHO, 2017</w:t>
      </w:r>
      <w:r w:rsidRPr="5E9BD0CD">
        <w:rPr>
          <w:rFonts w:ascii="Arial" w:eastAsia="Arial" w:hAnsi="Arial" w:cs="Arial"/>
          <w:sz w:val="22"/>
          <w:szCs w:val="22"/>
        </w:rPr>
        <w:t>). These pressures demonstrate how organisational context influences safety outcomes and must be considered in any system-level analysis.</w:t>
      </w:r>
      <w:r w:rsidR="227D0705" w:rsidRPr="5E9BD0CD">
        <w:rPr>
          <w:rFonts w:ascii="Arial" w:eastAsia="Arial" w:hAnsi="Arial" w:cs="Arial"/>
          <w:sz w:val="22"/>
          <w:szCs w:val="22"/>
        </w:rPr>
        <w:t xml:space="preserve"> </w:t>
      </w:r>
    </w:p>
    <w:p w14:paraId="47DDB64A" w14:textId="757829AF" w:rsidR="751B082D" w:rsidRDefault="12BD3A98"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 xml:space="preserve">The use of a rich picture supports this analysis by visually </w:t>
      </w:r>
      <w:r w:rsidR="67A0AED8" w:rsidRPr="5E9BD0CD">
        <w:rPr>
          <w:rFonts w:ascii="Arial" w:eastAsia="Arial" w:hAnsi="Arial" w:cs="Arial"/>
          <w:sz w:val="22"/>
          <w:szCs w:val="22"/>
        </w:rPr>
        <w:t>representing the complexity of the system and supporting analysis of interactions within healthcare environments (Gadsby</w:t>
      </w:r>
      <w:r w:rsidR="6F27C0B4" w:rsidRPr="5E9BD0CD">
        <w:rPr>
          <w:rFonts w:ascii="Arial" w:eastAsia="Arial" w:hAnsi="Arial" w:cs="Arial"/>
          <w:sz w:val="22"/>
          <w:szCs w:val="22"/>
        </w:rPr>
        <w:t xml:space="preserve"> and Wilding,</w:t>
      </w:r>
      <w:r w:rsidR="67A0AED8" w:rsidRPr="5E9BD0CD">
        <w:rPr>
          <w:rFonts w:ascii="Arial" w:eastAsia="Arial" w:hAnsi="Arial" w:cs="Arial"/>
          <w:sz w:val="22"/>
          <w:szCs w:val="22"/>
        </w:rPr>
        <w:t xml:space="preserve"> 2024).</w:t>
      </w:r>
      <w:r w:rsidRPr="5E9BD0CD">
        <w:rPr>
          <w:rFonts w:ascii="Arial" w:eastAsia="Arial" w:hAnsi="Arial" w:cs="Arial"/>
          <w:sz w:val="22"/>
          <w:szCs w:val="22"/>
        </w:rPr>
        <w:t xml:space="preserve"> It illustrates how governance structures, healthcare providers and patients interact, while also highlighting external pressures such as workload and communication gaps. Importantly, the diagram identifies feedback loops, such as incident reporting systems, and demonstrates how weak feedback failed to prevent recurrence (Sterman, 2000). It also highlights dependencies between stages of care, </w:t>
      </w:r>
      <w:r w:rsidR="53FB651A" w:rsidRPr="5E9BD0CD">
        <w:rPr>
          <w:rFonts w:ascii="Arial" w:eastAsia="Arial" w:hAnsi="Arial" w:cs="Arial"/>
          <w:sz w:val="22"/>
          <w:szCs w:val="22"/>
        </w:rPr>
        <w:t>showing how failures in one part of the system can propagate across the entire care pathway and lead to patient harm (Sterman, 2000).</w:t>
      </w:r>
    </w:p>
    <w:p w14:paraId="1E82D977" w14:textId="67C025E7" w:rsidR="751B082D" w:rsidRDefault="751B082D" w:rsidP="007E16B6">
      <w:pPr>
        <w:spacing w:before="240" w:after="240" w:line="360" w:lineRule="auto"/>
        <w:rPr>
          <w:rFonts w:ascii="Arial" w:eastAsia="Arial" w:hAnsi="Arial" w:cs="Arial"/>
          <w:sz w:val="22"/>
          <w:szCs w:val="22"/>
        </w:rPr>
      </w:pPr>
    </w:p>
    <w:p w14:paraId="46F070B7" w14:textId="437EA31B" w:rsidR="751B082D" w:rsidRDefault="1926BCA8" w:rsidP="007E16B6">
      <w:pPr>
        <w:spacing w:before="240" w:after="240" w:line="360" w:lineRule="auto"/>
        <w:rPr>
          <w:rFonts w:ascii="Arial" w:eastAsia="Arial" w:hAnsi="Arial" w:cs="Arial"/>
          <w:sz w:val="22"/>
          <w:szCs w:val="22"/>
        </w:rPr>
      </w:pPr>
      <w:r>
        <w:rPr>
          <w:noProof/>
        </w:rPr>
        <w:drawing>
          <wp:inline distT="0" distB="0" distL="0" distR="0" wp14:anchorId="323ED591" wp14:editId="3CDC2213">
            <wp:extent cx="2570720" cy="2814214"/>
            <wp:effectExtent l="0" t="0" r="0" b="0"/>
            <wp:docPr id="33753274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028110" name=""/>
                    <pic:cNvPicPr/>
                  </pic:nvPicPr>
                  <pic:blipFill>
                    <a:blip r:embed="rId4">
                      <a:extLst>
                        <a:ext uri="{28A0092B-C50C-407E-A947-70E740481C1C}">
                          <a14:useLocalDpi xmlns:a14="http://schemas.microsoft.com/office/drawing/2010/main"/>
                        </a:ext>
                      </a:extLst>
                    </a:blip>
                    <a:stretch>
                      <a:fillRect/>
                    </a:stretch>
                  </pic:blipFill>
                  <pic:spPr>
                    <a:xfrm>
                      <a:off x="0" y="0"/>
                      <a:ext cx="2570720" cy="2814214"/>
                    </a:xfrm>
                    <a:prstGeom prst="rect">
                      <a:avLst/>
                    </a:prstGeom>
                  </pic:spPr>
                </pic:pic>
              </a:graphicData>
            </a:graphic>
          </wp:inline>
        </w:drawing>
      </w:r>
    </w:p>
    <w:p w14:paraId="4F24E22A" w14:textId="74699C73" w:rsidR="751B082D" w:rsidRDefault="751B082D" w:rsidP="007E16B6">
      <w:pPr>
        <w:spacing w:before="240" w:after="240" w:line="360" w:lineRule="auto"/>
        <w:rPr>
          <w:rFonts w:ascii="Arial" w:eastAsia="Arial" w:hAnsi="Arial" w:cs="Arial"/>
          <w:sz w:val="22"/>
          <w:szCs w:val="22"/>
        </w:rPr>
      </w:pPr>
    </w:p>
    <w:p w14:paraId="122C0244" w14:textId="77B4A41A" w:rsidR="751B082D" w:rsidRPr="007E16B6" w:rsidRDefault="05197112" w:rsidP="007E16B6">
      <w:pPr>
        <w:spacing w:before="240" w:after="240" w:line="360" w:lineRule="auto"/>
        <w:rPr>
          <w:rFonts w:ascii="Arial" w:eastAsia="Arial" w:hAnsi="Arial" w:cs="Arial"/>
          <w:b/>
          <w:bCs/>
          <w:sz w:val="22"/>
          <w:szCs w:val="22"/>
        </w:rPr>
      </w:pPr>
      <w:r w:rsidRPr="007E16B6">
        <w:rPr>
          <w:rFonts w:ascii="Arial" w:eastAsia="Arial" w:hAnsi="Arial" w:cs="Arial"/>
          <w:b/>
          <w:bCs/>
          <w:sz w:val="22"/>
          <w:szCs w:val="22"/>
        </w:rPr>
        <w:t xml:space="preserve">Centralisation and decentralisation </w:t>
      </w:r>
    </w:p>
    <w:p w14:paraId="50293E56" w14:textId="098871D7" w:rsidR="33A285A6" w:rsidRDefault="1518078C"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 xml:space="preserve">Healthcare systems typically operate through a dynamic interaction between centralised governance and decentralised clinical practice, and the effectiveness of this balance determines how policy is enacted in real-world settings (Mintzberg, 2009; Braithwaite </w:t>
      </w:r>
      <w:r w:rsidRPr="5E9BD0CD">
        <w:rPr>
          <w:rFonts w:ascii="Arial" w:eastAsia="Arial" w:hAnsi="Arial" w:cs="Arial"/>
          <w:i/>
          <w:iCs/>
          <w:sz w:val="22"/>
          <w:szCs w:val="22"/>
        </w:rPr>
        <w:t>et al.</w:t>
      </w:r>
      <w:r w:rsidRPr="5E9BD0CD">
        <w:rPr>
          <w:rFonts w:ascii="Arial" w:eastAsia="Arial" w:hAnsi="Arial" w:cs="Arial"/>
          <w:sz w:val="22"/>
          <w:szCs w:val="22"/>
        </w:rPr>
        <w:t xml:space="preserve">, 2017). Centralisation concentrates authority at higher organisational levels to promote </w:t>
      </w:r>
      <w:r w:rsidRPr="5E9BD0CD">
        <w:rPr>
          <w:rFonts w:ascii="Arial" w:eastAsia="Arial" w:hAnsi="Arial" w:cs="Arial"/>
          <w:sz w:val="22"/>
          <w:szCs w:val="22"/>
        </w:rPr>
        <w:lastRenderedPageBreak/>
        <w:t xml:space="preserve">consistency and standardisation, whereas decentralisation distributes decision-making across professionals and organisations to enable responsiveness and clinical autonomy (Yukl, 2013; </w:t>
      </w:r>
      <w:r w:rsidR="543DC913" w:rsidRPr="5E9BD0CD">
        <w:rPr>
          <w:rFonts w:ascii="Arial" w:eastAsia="Arial" w:hAnsi="Arial" w:cs="Arial"/>
          <w:sz w:val="22"/>
          <w:szCs w:val="22"/>
        </w:rPr>
        <w:t>WHO</w:t>
      </w:r>
      <w:r w:rsidRPr="5E9BD0CD">
        <w:rPr>
          <w:rFonts w:ascii="Arial" w:eastAsia="Arial" w:hAnsi="Arial" w:cs="Arial"/>
          <w:sz w:val="22"/>
          <w:szCs w:val="22"/>
        </w:rPr>
        <w:t>, 2017). The infant morphine overdose case clearly reflects a hybrid system in which strategic control over high-risk medicines was centralised, yet operational decision-making remained highly decentralised across the care pathway (NHS England North East and Yorkshire, 2023). Critically, it is this misalignment between central intent and decentralised execution that underpins the failure observed.</w:t>
      </w:r>
    </w:p>
    <w:p w14:paraId="0250D118" w14:textId="4ADF64D6" w:rsidR="33A285A6" w:rsidRDefault="1518078C"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 xml:space="preserve">At a centralised level, NHS England establishes overarching patient safety frameworks, controlled drug governance and medication classification systems intended to reduce risk (NHS England, 2019; NHS England, </w:t>
      </w:r>
      <w:r w:rsidR="101EF39D" w:rsidRPr="5E9BD0CD">
        <w:rPr>
          <w:rFonts w:ascii="Arial" w:eastAsia="Arial" w:hAnsi="Arial" w:cs="Arial"/>
          <w:sz w:val="22"/>
          <w:szCs w:val="22"/>
        </w:rPr>
        <w:t>no date</w:t>
      </w:r>
      <w:r w:rsidRPr="5E9BD0CD">
        <w:rPr>
          <w:rFonts w:ascii="Arial" w:eastAsia="Arial" w:hAnsi="Arial" w:cs="Arial"/>
          <w:sz w:val="22"/>
          <w:szCs w:val="22"/>
        </w:rPr>
        <w:t>). The designation of morphine sulphate 100 micrograms/ml as a “Red Drug – Hospital Only Drug” represents a clear example of centralised decision-making, whereby prescribing authority is deliberately restricted to specialist secondary care settings (NHS England North East and Yorkshire, 2023). This approach aligns with global patient safety strategies, which emphasise standardisation and restriction of high-risk medicines as key mechanisms for reducing preventable harm (W</w:t>
      </w:r>
      <w:r w:rsidR="7031B89C" w:rsidRPr="5E9BD0CD">
        <w:rPr>
          <w:rFonts w:ascii="Arial" w:eastAsia="Arial" w:hAnsi="Arial" w:cs="Arial"/>
          <w:sz w:val="22"/>
          <w:szCs w:val="22"/>
        </w:rPr>
        <w:t>HO</w:t>
      </w:r>
      <w:r w:rsidRPr="5E9BD0CD">
        <w:rPr>
          <w:rFonts w:ascii="Arial" w:eastAsia="Arial" w:hAnsi="Arial" w:cs="Arial"/>
          <w:sz w:val="22"/>
          <w:szCs w:val="22"/>
        </w:rPr>
        <w:t>, 2017). From a theoretical perspective, centralisation is justified here</w:t>
      </w:r>
      <w:r w:rsidR="17BE327B" w:rsidRPr="5E9BD0CD">
        <w:rPr>
          <w:rFonts w:ascii="Arial" w:eastAsia="Arial" w:hAnsi="Arial" w:cs="Arial"/>
          <w:sz w:val="22"/>
          <w:szCs w:val="22"/>
        </w:rPr>
        <w:t xml:space="preserve"> because high-risk medications require tighter control to reduce variability and minimise the risk of error within complex healthcare systems (NHS England, 2019).</w:t>
      </w:r>
    </w:p>
    <w:p w14:paraId="4A68746C" w14:textId="4AEE99F8" w:rsidR="33A285A6" w:rsidRDefault="1518078C"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The advantages of centralisation are therefore evident in principle. Standardisation reduces ambiguity and variation, both of which are well-established contributors to medication error (Reason, 2000; W</w:t>
      </w:r>
      <w:r w:rsidR="19E9733B" w:rsidRPr="5E9BD0CD">
        <w:rPr>
          <w:rFonts w:ascii="Arial" w:eastAsia="Arial" w:hAnsi="Arial" w:cs="Arial"/>
          <w:sz w:val="22"/>
          <w:szCs w:val="22"/>
        </w:rPr>
        <w:t>HO</w:t>
      </w:r>
      <w:r w:rsidRPr="5E9BD0CD">
        <w:rPr>
          <w:rFonts w:ascii="Arial" w:eastAsia="Arial" w:hAnsi="Arial" w:cs="Arial"/>
          <w:sz w:val="22"/>
          <w:szCs w:val="22"/>
        </w:rPr>
        <w:t xml:space="preserve">, 2017). Furthermore, centralised systems enable large-scale surveillance and pattern recognition. The identification of this case as the fifth similar incident since 2018 demonstrates the value of national reporting systems in detecting recurrent safety failures (NHS England North East and Yorkshire, 2023). This aligns with evidence suggesting that system-wide data collection is essential for learning from adverse events and improving safety (Braithwaite </w:t>
      </w:r>
      <w:r w:rsidRPr="5E9BD0CD">
        <w:rPr>
          <w:rFonts w:ascii="Arial" w:eastAsia="Arial" w:hAnsi="Arial" w:cs="Arial"/>
          <w:i/>
          <w:iCs/>
          <w:sz w:val="22"/>
          <w:szCs w:val="22"/>
        </w:rPr>
        <w:t>et al</w:t>
      </w:r>
      <w:r w:rsidRPr="5E9BD0CD">
        <w:rPr>
          <w:rFonts w:ascii="Arial" w:eastAsia="Arial" w:hAnsi="Arial" w:cs="Arial"/>
          <w:sz w:val="22"/>
          <w:szCs w:val="22"/>
        </w:rPr>
        <w:t>., 2017).</w:t>
      </w:r>
    </w:p>
    <w:p w14:paraId="399B1500" w14:textId="783B4E24" w:rsidR="33A285A6" w:rsidRDefault="420A2CCB"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However, a critical limitation emerges when centralised policy is not effectively translated into local practice, creating a gap between formal governance structures and real-world clinical activity (Nicolini,</w:t>
      </w:r>
      <w:r w:rsidR="3F645877" w:rsidRPr="5E9BD0CD">
        <w:rPr>
          <w:rFonts w:ascii="Arial" w:eastAsia="Arial" w:hAnsi="Arial" w:cs="Arial"/>
          <w:sz w:val="22"/>
          <w:szCs w:val="22"/>
        </w:rPr>
        <w:t xml:space="preserve"> Waring and Mengis</w:t>
      </w:r>
      <w:r w:rsidR="6EED2BCF" w:rsidRPr="5E9BD0CD">
        <w:rPr>
          <w:rFonts w:ascii="Arial" w:eastAsia="Arial" w:hAnsi="Arial" w:cs="Arial"/>
          <w:sz w:val="22"/>
          <w:szCs w:val="22"/>
        </w:rPr>
        <w:t>,</w:t>
      </w:r>
      <w:r w:rsidRPr="5E9BD0CD">
        <w:rPr>
          <w:rFonts w:ascii="Arial" w:eastAsia="Arial" w:hAnsi="Arial" w:cs="Arial"/>
          <w:sz w:val="22"/>
          <w:szCs w:val="22"/>
        </w:rPr>
        <w:t xml:space="preserve"> 2011</w:t>
      </w:r>
      <w:r w:rsidR="3945B61F" w:rsidRPr="5E9BD0CD">
        <w:rPr>
          <w:rFonts w:ascii="Arial" w:eastAsia="Arial" w:hAnsi="Arial" w:cs="Arial"/>
          <w:sz w:val="22"/>
          <w:szCs w:val="22"/>
        </w:rPr>
        <w:t>; Nuffield Trust, 2017</w:t>
      </w:r>
      <w:r w:rsidRPr="5E9BD0CD">
        <w:rPr>
          <w:rFonts w:ascii="Arial" w:eastAsia="Arial" w:hAnsi="Arial" w:cs="Arial"/>
          <w:sz w:val="22"/>
          <w:szCs w:val="22"/>
        </w:rPr>
        <w:t>).</w:t>
      </w:r>
      <w:r w:rsidR="1518078C" w:rsidRPr="5E9BD0CD">
        <w:rPr>
          <w:rFonts w:ascii="Arial" w:eastAsia="Arial" w:hAnsi="Arial" w:cs="Arial"/>
          <w:sz w:val="22"/>
          <w:szCs w:val="22"/>
        </w:rPr>
        <w:t xml:space="preserve"> In this case, despite the Red Drug classification, the discharge process transferred prescribing responsibility to primary care, directly contradicting governance expectations (NHS England North East and Yorkshire, 2023). This illustrates a key systemic weakness: centralisation may define what should happen, but it does not guarantee that it will happen in practice (Wears and Sutcliffe, 2020). </w:t>
      </w:r>
      <w:r w:rsidR="39387897" w:rsidRPr="5E9BD0CD">
        <w:rPr>
          <w:rFonts w:ascii="Arial" w:eastAsia="Arial" w:hAnsi="Arial" w:cs="Arial"/>
          <w:sz w:val="22"/>
          <w:szCs w:val="22"/>
        </w:rPr>
        <w:t xml:space="preserve">Consequently, central governance can become symbolic rather </w:t>
      </w:r>
      <w:r w:rsidR="39387897" w:rsidRPr="5E9BD0CD">
        <w:rPr>
          <w:rFonts w:ascii="Arial" w:eastAsia="Arial" w:hAnsi="Arial" w:cs="Arial"/>
          <w:sz w:val="22"/>
          <w:szCs w:val="22"/>
        </w:rPr>
        <w:lastRenderedPageBreak/>
        <w:t xml:space="preserve">than functional if it is not embedded within operational systems (Braithwaite </w:t>
      </w:r>
      <w:r w:rsidR="39387897" w:rsidRPr="5E9BD0CD">
        <w:rPr>
          <w:rFonts w:ascii="Arial" w:eastAsia="Arial" w:hAnsi="Arial" w:cs="Arial"/>
          <w:i/>
          <w:iCs/>
          <w:sz w:val="22"/>
          <w:szCs w:val="22"/>
        </w:rPr>
        <w:t>et al</w:t>
      </w:r>
      <w:r w:rsidR="39387897" w:rsidRPr="5E9BD0CD">
        <w:rPr>
          <w:rFonts w:ascii="Arial" w:eastAsia="Arial" w:hAnsi="Arial" w:cs="Arial"/>
          <w:sz w:val="22"/>
          <w:szCs w:val="22"/>
        </w:rPr>
        <w:t>., 2017; Wears and Sutcliffe, 2020).</w:t>
      </w:r>
    </w:p>
    <w:p w14:paraId="117C0B72" w14:textId="0FF6F897" w:rsidR="33A285A6" w:rsidRDefault="1518078C"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 xml:space="preserve">Moreover, centralisation may create a false sense of security by assuming that policy compliance will naturally occur without active reinforcement (Braithwaite </w:t>
      </w:r>
      <w:r w:rsidRPr="5E9BD0CD">
        <w:rPr>
          <w:rFonts w:ascii="Arial" w:eastAsia="Arial" w:hAnsi="Arial" w:cs="Arial"/>
          <w:i/>
          <w:iCs/>
          <w:sz w:val="22"/>
          <w:szCs w:val="22"/>
        </w:rPr>
        <w:t>et al</w:t>
      </w:r>
      <w:r w:rsidRPr="5E9BD0CD">
        <w:rPr>
          <w:rFonts w:ascii="Arial" w:eastAsia="Arial" w:hAnsi="Arial" w:cs="Arial"/>
          <w:sz w:val="22"/>
          <w:szCs w:val="22"/>
        </w:rPr>
        <w:t xml:space="preserve">., 2017). </w:t>
      </w:r>
      <w:r w:rsidR="64B7AF1E" w:rsidRPr="5E9BD0CD">
        <w:rPr>
          <w:rFonts w:ascii="Arial" w:eastAsia="Arial" w:hAnsi="Arial" w:cs="Arial"/>
          <w:sz w:val="22"/>
          <w:szCs w:val="22"/>
        </w:rPr>
        <w:t xml:space="preserve">The evidence in this case suggests that frontline clinicians were either unaware of, or unable to operationalise, governance rules effectively, indicating a failure of implementation rather than policy design (NHS England North East and Yorkshire, 2023; Braithwaite </w:t>
      </w:r>
      <w:r w:rsidR="64B7AF1E" w:rsidRPr="5E9BD0CD">
        <w:rPr>
          <w:rFonts w:ascii="Arial" w:eastAsia="Arial" w:hAnsi="Arial" w:cs="Arial"/>
          <w:i/>
          <w:iCs/>
          <w:sz w:val="22"/>
          <w:szCs w:val="22"/>
        </w:rPr>
        <w:t>et al</w:t>
      </w:r>
      <w:r w:rsidR="64B7AF1E" w:rsidRPr="5E9BD0CD">
        <w:rPr>
          <w:rFonts w:ascii="Arial" w:eastAsia="Arial" w:hAnsi="Arial" w:cs="Arial"/>
          <w:sz w:val="22"/>
          <w:szCs w:val="22"/>
        </w:rPr>
        <w:t>., 201</w:t>
      </w:r>
      <w:r w:rsidR="7F0E4508" w:rsidRPr="5E9BD0CD">
        <w:rPr>
          <w:rFonts w:ascii="Arial" w:eastAsia="Arial" w:hAnsi="Arial" w:cs="Arial"/>
          <w:sz w:val="22"/>
          <w:szCs w:val="22"/>
        </w:rPr>
        <w:t>7</w:t>
      </w:r>
      <w:r w:rsidR="64B7AF1E" w:rsidRPr="5E9BD0CD">
        <w:rPr>
          <w:rFonts w:ascii="Arial" w:eastAsia="Arial" w:hAnsi="Arial" w:cs="Arial"/>
          <w:sz w:val="22"/>
          <w:szCs w:val="22"/>
        </w:rPr>
        <w:t>)</w:t>
      </w:r>
      <w:r w:rsidRPr="5E9BD0CD">
        <w:rPr>
          <w:rFonts w:ascii="Arial" w:eastAsia="Arial" w:hAnsi="Arial" w:cs="Arial"/>
          <w:sz w:val="22"/>
          <w:szCs w:val="22"/>
        </w:rPr>
        <w:t>. This distinction is critical for high-level analysis, as it shifts the focus from policy existence to policy enactment.</w:t>
      </w:r>
    </w:p>
    <w:p w14:paraId="67FA45ED" w14:textId="54710B3B" w:rsidR="33A285A6" w:rsidRDefault="46470CFB"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In contrast, decentralisation shaped the operational delivery of care across the medication pathway by distributing decision-making authority across multiple professionals and organisations (Mintzberg, 2009; Yukl, 2013; NHS England North East and Yorkshire, 2023)</w:t>
      </w:r>
      <w:r w:rsidR="1518078C" w:rsidRPr="5E9BD0CD">
        <w:rPr>
          <w:rFonts w:ascii="Arial" w:eastAsia="Arial" w:hAnsi="Arial" w:cs="Arial"/>
          <w:sz w:val="22"/>
          <w:szCs w:val="22"/>
        </w:rPr>
        <w:t xml:space="preserve">. Decision-making authority was distributed across hospital clinicians, general practitioners, pharmacists and ultimately parents, reflecting the inherently fragmented nature of healthcare systems (Yukl, 2013; NHS England North East and Yorkshire, 2023). Decentralisation offers important advantages, particularly in enabling clinical judgement and responsiveness to patient-specific needs (Mintzberg, 2009). </w:t>
      </w:r>
      <w:r w:rsidR="07CD593C" w:rsidRPr="5E9BD0CD">
        <w:rPr>
          <w:rFonts w:ascii="Arial" w:eastAsia="Arial" w:hAnsi="Arial" w:cs="Arial"/>
          <w:sz w:val="22"/>
          <w:szCs w:val="22"/>
        </w:rPr>
        <w:t>In this case, the pharmacist’s recognition of an unusually small dose volume demonstrates how decentralised expertise can act as a potential safety barrier</w:t>
      </w:r>
      <w:r w:rsidR="134D9337" w:rsidRPr="5E9BD0CD">
        <w:rPr>
          <w:rFonts w:ascii="Arial" w:eastAsia="Arial" w:hAnsi="Arial" w:cs="Arial"/>
          <w:sz w:val="22"/>
          <w:szCs w:val="22"/>
        </w:rPr>
        <w:t xml:space="preserve"> within complex healthcare systems, where multiple professional checks are required to prevent error (Reason, 2000).</w:t>
      </w:r>
    </w:p>
    <w:p w14:paraId="7BB72896" w14:textId="3ED41D64" w:rsidR="33A285A6" w:rsidRDefault="1518078C"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 xml:space="preserve">However, the case simultaneously exposes the fundamental risks of decentralisation when coordination mechanisms are weak. Distributed authority resulted in fragmented accountability, where no single </w:t>
      </w:r>
      <w:r w:rsidR="3FA0D14F" w:rsidRPr="5E9BD0CD">
        <w:rPr>
          <w:rFonts w:ascii="Arial" w:eastAsia="Arial" w:hAnsi="Arial" w:cs="Arial"/>
          <w:sz w:val="22"/>
          <w:szCs w:val="22"/>
        </w:rPr>
        <w:t>actor-maintained</w:t>
      </w:r>
      <w:r w:rsidRPr="5E9BD0CD">
        <w:rPr>
          <w:rFonts w:ascii="Arial" w:eastAsia="Arial" w:hAnsi="Arial" w:cs="Arial"/>
          <w:sz w:val="22"/>
          <w:szCs w:val="22"/>
        </w:rPr>
        <w:t xml:space="preserve"> oversight of the entire medication pathway (Reason, 2000). Each professional acted within their local context, yet the absence of integrated communication allowed the error to propagate across multiple stages. This reflects what systems theory describes as “latent conditions”, where systemic weaknesses combine to create failure (Reason, 2000).</w:t>
      </w:r>
    </w:p>
    <w:p w14:paraId="2CC412FE" w14:textId="46F88249" w:rsidR="33A285A6" w:rsidRDefault="1518078C"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Communication failure is particularly significant in this context. Evidence indicates that communication breakdowns contribute to approximately 70% of serious patient safety incidents (</w:t>
      </w:r>
      <w:r w:rsidR="49E9A1A3" w:rsidRPr="5E9BD0CD">
        <w:rPr>
          <w:rFonts w:ascii="Arial" w:eastAsia="Arial" w:hAnsi="Arial" w:cs="Arial"/>
          <w:sz w:val="22"/>
          <w:szCs w:val="22"/>
        </w:rPr>
        <w:t>Institute for Healthcare Improvement - IHI</w:t>
      </w:r>
      <w:r w:rsidRPr="5E9BD0CD">
        <w:rPr>
          <w:rFonts w:ascii="Arial" w:eastAsia="Arial" w:hAnsi="Arial" w:cs="Arial"/>
          <w:sz w:val="22"/>
          <w:szCs w:val="22"/>
        </w:rPr>
        <w:t>, 20</w:t>
      </w:r>
      <w:r w:rsidR="06E3537D" w:rsidRPr="5E9BD0CD">
        <w:rPr>
          <w:rFonts w:ascii="Arial" w:eastAsia="Arial" w:hAnsi="Arial" w:cs="Arial"/>
          <w:sz w:val="22"/>
          <w:szCs w:val="22"/>
        </w:rPr>
        <w:t>19</w:t>
      </w:r>
      <w:r w:rsidRPr="5E9BD0CD">
        <w:rPr>
          <w:rFonts w:ascii="Arial" w:eastAsia="Arial" w:hAnsi="Arial" w:cs="Arial"/>
          <w:sz w:val="22"/>
          <w:szCs w:val="22"/>
        </w:rPr>
        <w:t xml:space="preserve">). </w:t>
      </w:r>
      <w:r w:rsidR="1CF8A35E" w:rsidRPr="5E9BD0CD">
        <w:rPr>
          <w:rFonts w:ascii="Arial" w:eastAsia="Arial" w:hAnsi="Arial" w:cs="Arial"/>
          <w:sz w:val="22"/>
          <w:szCs w:val="22"/>
        </w:rPr>
        <w:t>In this case, the lack of direct clinician-to-clinician communication between pharmacy and general practice represents a critical failure of escalation processes, reflecting well-documented risks associated with communication breakdowns in patient safety (I</w:t>
      </w:r>
      <w:r w:rsidR="4A4F0775" w:rsidRPr="5E9BD0CD">
        <w:rPr>
          <w:rFonts w:ascii="Arial" w:eastAsia="Arial" w:hAnsi="Arial" w:cs="Arial"/>
          <w:sz w:val="22"/>
          <w:szCs w:val="22"/>
        </w:rPr>
        <w:t>HI</w:t>
      </w:r>
      <w:r w:rsidR="1CF8A35E" w:rsidRPr="5E9BD0CD">
        <w:rPr>
          <w:rFonts w:ascii="Arial" w:eastAsia="Arial" w:hAnsi="Arial" w:cs="Arial"/>
          <w:sz w:val="22"/>
          <w:szCs w:val="22"/>
        </w:rPr>
        <w:t xml:space="preserve"> 20</w:t>
      </w:r>
      <w:r w:rsidR="56BF1D96" w:rsidRPr="5E9BD0CD">
        <w:rPr>
          <w:rFonts w:ascii="Arial" w:eastAsia="Arial" w:hAnsi="Arial" w:cs="Arial"/>
          <w:sz w:val="22"/>
          <w:szCs w:val="22"/>
        </w:rPr>
        <w:t>19</w:t>
      </w:r>
      <w:r w:rsidR="1CF8A35E" w:rsidRPr="5E9BD0CD">
        <w:rPr>
          <w:rFonts w:ascii="Arial" w:eastAsia="Arial" w:hAnsi="Arial" w:cs="Arial"/>
          <w:sz w:val="22"/>
          <w:szCs w:val="22"/>
        </w:rPr>
        <w:t xml:space="preserve">; </w:t>
      </w:r>
      <w:r w:rsidR="2F139679" w:rsidRPr="5E9BD0CD">
        <w:rPr>
          <w:rFonts w:ascii="Arial" w:eastAsia="Arial" w:hAnsi="Arial" w:cs="Arial"/>
          <w:sz w:val="22"/>
          <w:szCs w:val="22"/>
        </w:rPr>
        <w:t>WHO</w:t>
      </w:r>
      <w:r w:rsidR="1CF8A35E" w:rsidRPr="5E9BD0CD">
        <w:rPr>
          <w:rFonts w:ascii="Arial" w:eastAsia="Arial" w:hAnsi="Arial" w:cs="Arial"/>
          <w:sz w:val="22"/>
          <w:szCs w:val="22"/>
        </w:rPr>
        <w:t>, 2017).</w:t>
      </w:r>
      <w:r w:rsidR="7C657901" w:rsidRPr="5E9BD0CD">
        <w:rPr>
          <w:rFonts w:ascii="Arial" w:eastAsia="Arial" w:hAnsi="Arial" w:cs="Arial"/>
          <w:sz w:val="22"/>
          <w:szCs w:val="22"/>
        </w:rPr>
        <w:t xml:space="preserve"> The reliance on indirect communication channels significantly reduced the likelihood of resolving ambiguity, </w:t>
      </w:r>
      <w:r w:rsidR="7C657901" w:rsidRPr="5E9BD0CD">
        <w:rPr>
          <w:rFonts w:ascii="Arial" w:eastAsia="Arial" w:hAnsi="Arial" w:cs="Arial"/>
          <w:sz w:val="22"/>
          <w:szCs w:val="22"/>
        </w:rPr>
        <w:lastRenderedPageBreak/>
        <w:t>demonstrating how decentralised systems require robust communication infrastructure to function safely (I</w:t>
      </w:r>
      <w:r w:rsidR="2F50F066" w:rsidRPr="5E9BD0CD">
        <w:rPr>
          <w:rFonts w:ascii="Arial" w:eastAsia="Arial" w:hAnsi="Arial" w:cs="Arial"/>
          <w:sz w:val="22"/>
          <w:szCs w:val="22"/>
        </w:rPr>
        <w:t>HI,</w:t>
      </w:r>
      <w:r w:rsidR="7C657901" w:rsidRPr="5E9BD0CD">
        <w:rPr>
          <w:rFonts w:ascii="Arial" w:eastAsia="Arial" w:hAnsi="Arial" w:cs="Arial"/>
          <w:sz w:val="22"/>
          <w:szCs w:val="22"/>
        </w:rPr>
        <w:t xml:space="preserve"> 20</w:t>
      </w:r>
      <w:r w:rsidR="074FD7CB" w:rsidRPr="5E9BD0CD">
        <w:rPr>
          <w:rFonts w:ascii="Arial" w:eastAsia="Arial" w:hAnsi="Arial" w:cs="Arial"/>
          <w:sz w:val="22"/>
          <w:szCs w:val="22"/>
        </w:rPr>
        <w:t>19</w:t>
      </w:r>
      <w:r w:rsidR="7C657901" w:rsidRPr="5E9BD0CD">
        <w:rPr>
          <w:rFonts w:ascii="Arial" w:eastAsia="Arial" w:hAnsi="Arial" w:cs="Arial"/>
          <w:sz w:val="22"/>
          <w:szCs w:val="22"/>
        </w:rPr>
        <w:t>; W</w:t>
      </w:r>
      <w:r w:rsidR="36D88FEC" w:rsidRPr="5E9BD0CD">
        <w:rPr>
          <w:rFonts w:ascii="Arial" w:eastAsia="Arial" w:hAnsi="Arial" w:cs="Arial"/>
          <w:sz w:val="22"/>
          <w:szCs w:val="22"/>
        </w:rPr>
        <w:t>HO</w:t>
      </w:r>
      <w:r w:rsidR="7C657901" w:rsidRPr="5E9BD0CD">
        <w:rPr>
          <w:rFonts w:ascii="Arial" w:eastAsia="Arial" w:hAnsi="Arial" w:cs="Arial"/>
          <w:sz w:val="22"/>
          <w:szCs w:val="22"/>
        </w:rPr>
        <w:t>, 2017; NHS England, 2019).</w:t>
      </w:r>
    </w:p>
    <w:p w14:paraId="167BD623" w14:textId="070B9021" w:rsidR="33A285A6" w:rsidRDefault="1518078C"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 xml:space="preserve">National data further reinforces this analysis. Elliott et al. (2018) estimate that 237 million medication errors occur annually in the NHS, with transitions of care identified as high-risk points. This is particularly relevant to the case, as the error occurred during a transition from hospital to primary care. Additionally, workforce pressures, including staffing shortages and high workload, may further compromise communication and checking processes (Health Foundation, 2022). </w:t>
      </w:r>
      <w:r w:rsidR="6E0884BF" w:rsidRPr="5E9BD0CD">
        <w:rPr>
          <w:rFonts w:ascii="Arial" w:eastAsia="Arial" w:hAnsi="Arial" w:cs="Arial"/>
          <w:sz w:val="22"/>
          <w:szCs w:val="22"/>
        </w:rPr>
        <w:t>These contextual factors highlight that decentralised healthcare delivery operates within resource-constrained environments, where workforce pressures and system complexity can amplify vulnerabilities and increase the likelihood of error (Health Foundation, 2022; W</w:t>
      </w:r>
      <w:r w:rsidR="7670F297" w:rsidRPr="5E9BD0CD">
        <w:rPr>
          <w:rFonts w:ascii="Arial" w:eastAsia="Arial" w:hAnsi="Arial" w:cs="Arial"/>
          <w:sz w:val="22"/>
          <w:szCs w:val="22"/>
        </w:rPr>
        <w:t>HO</w:t>
      </w:r>
      <w:r w:rsidR="6E0884BF" w:rsidRPr="5E9BD0CD">
        <w:rPr>
          <w:rFonts w:ascii="Arial" w:eastAsia="Arial" w:hAnsi="Arial" w:cs="Arial"/>
          <w:sz w:val="22"/>
          <w:szCs w:val="22"/>
        </w:rPr>
        <w:t>, 2017; Braithwaite et al., 201</w:t>
      </w:r>
      <w:r w:rsidR="44B32949" w:rsidRPr="5E9BD0CD">
        <w:rPr>
          <w:rFonts w:ascii="Arial" w:eastAsia="Arial" w:hAnsi="Arial" w:cs="Arial"/>
          <w:sz w:val="22"/>
          <w:szCs w:val="22"/>
        </w:rPr>
        <w:t>7</w:t>
      </w:r>
      <w:r w:rsidR="6E0884BF" w:rsidRPr="5E9BD0CD">
        <w:rPr>
          <w:rFonts w:ascii="Arial" w:eastAsia="Arial" w:hAnsi="Arial" w:cs="Arial"/>
          <w:sz w:val="22"/>
          <w:szCs w:val="22"/>
        </w:rPr>
        <w:t>).</w:t>
      </w:r>
    </w:p>
    <w:p w14:paraId="014427AC" w14:textId="1A791195" w:rsidR="33A285A6" w:rsidRDefault="6571939C"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From a critical perspective, the interaction between centralisation and decentralisation both supported and hindered crisis management (Mintzberg, 2009; Braithwaite et al., 2017).</w:t>
      </w:r>
      <w:r w:rsidR="1518078C" w:rsidRPr="5E9BD0CD">
        <w:rPr>
          <w:rFonts w:ascii="Arial" w:eastAsia="Arial" w:hAnsi="Arial" w:cs="Arial"/>
          <w:sz w:val="22"/>
          <w:szCs w:val="22"/>
        </w:rPr>
        <w:t xml:space="preserve"> Centralised systems enabled retrospective identification of the incident pattern, supporting organisational learning at a national level (NHS England North East and Yorkshire, 2023). However, decentralised practice hindered early detection and intervention, as local warning signs were not effectively escalated or acted upon. This demonstrates a failure of feedback loops, where information generated at the frontline did not translate into timely corrective action (Sterman, 2000).</w:t>
      </w:r>
    </w:p>
    <w:p w14:paraId="2B918FB9" w14:textId="6F2C12BE" w:rsidR="1BC95119" w:rsidRDefault="1BC95119"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I</w:t>
      </w:r>
      <w:r w:rsidR="623D5EB8" w:rsidRPr="5E9BD0CD">
        <w:rPr>
          <w:rFonts w:ascii="Arial" w:eastAsia="Arial" w:hAnsi="Arial" w:cs="Arial"/>
          <w:sz w:val="22"/>
          <w:szCs w:val="22"/>
        </w:rPr>
        <w:t>n terms of decision-making, centralisation provided clear governance rules, yet decentralised actors lacked the necessary knowledge and communication structures to apply these rules effectively (NHS England, 2019; NHS England North East and Yorkshire, 2023; Braithwaite et al., 2017). This misalignment resulted in a disconnect between policy and practice, undermining the intended safety benefits of central governance (W</w:t>
      </w:r>
      <w:r w:rsidR="5A714929" w:rsidRPr="5E9BD0CD">
        <w:rPr>
          <w:rFonts w:ascii="Arial" w:eastAsia="Arial" w:hAnsi="Arial" w:cs="Arial"/>
          <w:sz w:val="22"/>
          <w:szCs w:val="22"/>
        </w:rPr>
        <w:t>HO</w:t>
      </w:r>
      <w:r w:rsidR="623D5EB8" w:rsidRPr="5E9BD0CD">
        <w:rPr>
          <w:rFonts w:ascii="Arial" w:eastAsia="Arial" w:hAnsi="Arial" w:cs="Arial"/>
          <w:sz w:val="22"/>
          <w:szCs w:val="22"/>
        </w:rPr>
        <w:t>, 2017; Wears and Sutcliffe, 2020).</w:t>
      </w:r>
    </w:p>
    <w:p w14:paraId="17835433" w14:textId="1E8BA79E" w:rsidR="623D5EB8" w:rsidRDefault="623D5EB8"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In terms of accountability, centralisation clarified expectations, but decentralisation obscured responsibility, creating ambiguity over who was accountable for ensuring safe medication management (Reason, 2000; Braithwaite et al., 2017).</w:t>
      </w:r>
    </w:p>
    <w:p w14:paraId="33351730" w14:textId="709FCEDB" w:rsidR="33A285A6" w:rsidRDefault="1518078C"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 xml:space="preserve">Critically, this case demonstrates that the issue is not whether a system is centralised or decentralised, but whether these structures are effectively integrated. A high-performing healthcare system requires centralised standards combined with decentralised execution that is supported by strong communication, shared accountability and continuous feedback </w:t>
      </w:r>
      <w:r w:rsidRPr="5E9BD0CD">
        <w:rPr>
          <w:rFonts w:ascii="Arial" w:eastAsia="Arial" w:hAnsi="Arial" w:cs="Arial"/>
          <w:sz w:val="22"/>
          <w:szCs w:val="22"/>
        </w:rPr>
        <w:lastRenderedPageBreak/>
        <w:t>(W</w:t>
      </w:r>
      <w:r w:rsidR="5958DF8C" w:rsidRPr="5E9BD0CD">
        <w:rPr>
          <w:rFonts w:ascii="Arial" w:eastAsia="Arial" w:hAnsi="Arial" w:cs="Arial"/>
          <w:sz w:val="22"/>
          <w:szCs w:val="22"/>
        </w:rPr>
        <w:t>HO</w:t>
      </w:r>
      <w:r w:rsidRPr="5E9BD0CD">
        <w:rPr>
          <w:rFonts w:ascii="Arial" w:eastAsia="Arial" w:hAnsi="Arial" w:cs="Arial"/>
          <w:sz w:val="22"/>
          <w:szCs w:val="22"/>
        </w:rPr>
        <w:t>, 2017). In this case, the absence of such integration resulted in a system where safety policies existed but were not operationally effective</w:t>
      </w:r>
      <w:r w:rsidR="0C5B1FA4" w:rsidRPr="5E9BD0CD">
        <w:rPr>
          <w:rFonts w:ascii="Arial" w:eastAsia="Arial" w:hAnsi="Arial" w:cs="Arial"/>
          <w:sz w:val="22"/>
          <w:szCs w:val="22"/>
        </w:rPr>
        <w:t xml:space="preserve"> (NHS England, 2019).</w:t>
      </w:r>
    </w:p>
    <w:p w14:paraId="6A3BF442" w14:textId="672D74E1" w:rsidR="33A285A6" w:rsidRDefault="4294BA5D"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Overall, the infant morphine overdose case illustrates a fundamental systems failure arising from the misalignment of centralised governance and decentralised practice, reflecting wider challenges in healthcare system integration (Reason, 2000; NHS England North East and Yorkshire, 2023; Braithwaite et al., 2017). While centralisation established appropriate safety intentions, decentralisation exposed weaknesses in communication, accountability and coordination, ultimately undermining patient safety (W</w:t>
      </w:r>
      <w:r w:rsidR="20F5B361" w:rsidRPr="5E9BD0CD">
        <w:rPr>
          <w:rFonts w:ascii="Arial" w:eastAsia="Arial" w:hAnsi="Arial" w:cs="Arial"/>
          <w:sz w:val="22"/>
          <w:szCs w:val="22"/>
        </w:rPr>
        <w:t>HO</w:t>
      </w:r>
      <w:r w:rsidRPr="5E9BD0CD">
        <w:rPr>
          <w:rFonts w:ascii="Arial" w:eastAsia="Arial" w:hAnsi="Arial" w:cs="Arial"/>
          <w:sz w:val="22"/>
          <w:szCs w:val="22"/>
        </w:rPr>
        <w:t xml:space="preserve">, 2017; </w:t>
      </w:r>
      <w:r w:rsidR="6385A9E2" w:rsidRPr="5E9BD0CD">
        <w:rPr>
          <w:rFonts w:ascii="Arial" w:eastAsia="Arial" w:hAnsi="Arial" w:cs="Arial"/>
          <w:sz w:val="22"/>
          <w:szCs w:val="22"/>
        </w:rPr>
        <w:t>IHI</w:t>
      </w:r>
      <w:r w:rsidRPr="5E9BD0CD">
        <w:rPr>
          <w:rFonts w:ascii="Arial" w:eastAsia="Arial" w:hAnsi="Arial" w:cs="Arial"/>
          <w:sz w:val="22"/>
          <w:szCs w:val="22"/>
        </w:rPr>
        <w:t>, 20</w:t>
      </w:r>
      <w:r w:rsidR="4EF30421" w:rsidRPr="5E9BD0CD">
        <w:rPr>
          <w:rFonts w:ascii="Arial" w:eastAsia="Arial" w:hAnsi="Arial" w:cs="Arial"/>
          <w:sz w:val="22"/>
          <w:szCs w:val="22"/>
        </w:rPr>
        <w:t>19</w:t>
      </w:r>
      <w:r w:rsidRPr="5E9BD0CD">
        <w:rPr>
          <w:rFonts w:ascii="Arial" w:eastAsia="Arial" w:hAnsi="Arial" w:cs="Arial"/>
          <w:sz w:val="22"/>
          <w:szCs w:val="22"/>
        </w:rPr>
        <w:t>).</w:t>
      </w:r>
      <w:r w:rsidR="1518078C" w:rsidRPr="5E9BD0CD">
        <w:rPr>
          <w:rFonts w:ascii="Arial" w:eastAsia="Arial" w:hAnsi="Arial" w:cs="Arial"/>
          <w:sz w:val="22"/>
          <w:szCs w:val="22"/>
        </w:rPr>
        <w:t xml:space="preserve"> The case therefore reinforces the need for integrated systems that align policy, practice and professional responsibility, supported by strong leadership and continuous use of safety data to drive improvement (Reason, 2000; W</w:t>
      </w:r>
      <w:r w:rsidR="75CFC164" w:rsidRPr="5E9BD0CD">
        <w:rPr>
          <w:rFonts w:ascii="Arial" w:eastAsia="Arial" w:hAnsi="Arial" w:cs="Arial"/>
          <w:sz w:val="22"/>
          <w:szCs w:val="22"/>
        </w:rPr>
        <w:t>HO</w:t>
      </w:r>
      <w:r w:rsidR="1518078C" w:rsidRPr="5E9BD0CD">
        <w:rPr>
          <w:rFonts w:ascii="Arial" w:eastAsia="Arial" w:hAnsi="Arial" w:cs="Arial"/>
          <w:sz w:val="22"/>
          <w:szCs w:val="22"/>
        </w:rPr>
        <w:t>, 2017).</w:t>
      </w:r>
    </w:p>
    <w:p w14:paraId="06402E64" w14:textId="77777777" w:rsidR="007E16B6" w:rsidRPr="007E16B6" w:rsidRDefault="007E16B6" w:rsidP="007E16B6">
      <w:pPr>
        <w:spacing w:before="240" w:after="240" w:line="360" w:lineRule="auto"/>
        <w:rPr>
          <w:rFonts w:ascii="Arial" w:eastAsia="Arial" w:hAnsi="Arial" w:cs="Arial"/>
          <w:sz w:val="22"/>
          <w:szCs w:val="22"/>
        </w:rPr>
      </w:pPr>
    </w:p>
    <w:p w14:paraId="3FD972A7" w14:textId="5C373EA5" w:rsidR="33A285A6" w:rsidRPr="007E16B6" w:rsidRDefault="10E7D2BD" w:rsidP="007E16B6">
      <w:pPr>
        <w:spacing w:before="240" w:after="240" w:line="360" w:lineRule="auto"/>
        <w:rPr>
          <w:rFonts w:ascii="Arial" w:eastAsia="Arial" w:hAnsi="Arial" w:cs="Arial"/>
          <w:b/>
          <w:bCs/>
          <w:sz w:val="22"/>
          <w:szCs w:val="22"/>
        </w:rPr>
      </w:pPr>
      <w:r w:rsidRPr="007E16B6">
        <w:rPr>
          <w:rFonts w:ascii="Arial" w:eastAsia="Arial" w:hAnsi="Arial" w:cs="Arial"/>
          <w:b/>
          <w:bCs/>
          <w:sz w:val="22"/>
          <w:szCs w:val="22"/>
        </w:rPr>
        <w:t xml:space="preserve">Leadership theories </w:t>
      </w:r>
    </w:p>
    <w:p w14:paraId="3F3EC936" w14:textId="5A970ACE" w:rsidR="47F7289A" w:rsidRDefault="47F7289A"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 xml:space="preserve">Leadership is a critical determinant of patient safety outcomes, as it shapes how governance frameworks are operationalised, how professionals communicate across organisational boundaries, and how healthcare systems respond to risk and learning (West </w:t>
      </w:r>
      <w:r w:rsidRPr="5E9BD0CD">
        <w:rPr>
          <w:rFonts w:ascii="Arial" w:eastAsia="Arial" w:hAnsi="Arial" w:cs="Arial"/>
          <w:i/>
          <w:iCs/>
          <w:sz w:val="22"/>
          <w:szCs w:val="22"/>
        </w:rPr>
        <w:t>et al</w:t>
      </w:r>
      <w:r w:rsidRPr="5E9BD0CD">
        <w:rPr>
          <w:rFonts w:ascii="Arial" w:eastAsia="Arial" w:hAnsi="Arial" w:cs="Arial"/>
          <w:sz w:val="22"/>
          <w:szCs w:val="22"/>
        </w:rPr>
        <w:t>., 2015; W</w:t>
      </w:r>
      <w:r w:rsidR="4F3A06F9" w:rsidRPr="5E9BD0CD">
        <w:rPr>
          <w:rFonts w:ascii="Arial" w:eastAsia="Arial" w:hAnsi="Arial" w:cs="Arial"/>
          <w:sz w:val="22"/>
          <w:szCs w:val="22"/>
        </w:rPr>
        <w:t>HO</w:t>
      </w:r>
      <w:r w:rsidRPr="5E9BD0CD">
        <w:rPr>
          <w:rFonts w:ascii="Arial" w:eastAsia="Arial" w:hAnsi="Arial" w:cs="Arial"/>
          <w:sz w:val="22"/>
          <w:szCs w:val="22"/>
        </w:rPr>
        <w:t>, 2017). In the infant morphine overdose case, leadership influenced the management of a high-risk medicine, the effectiveness of communication, and the system’s ability to learn from previous incidents (NHS England North East and Yorkshire, 2023). The recurrence of similar incidents since 2018 suggests that leadership failed to translate knowledge into practice, indicating systemic weaknesses in leadership effectiveness and organisational learning (Braithwaite et al., 2017).</w:t>
      </w:r>
    </w:p>
    <w:p w14:paraId="7F3203F2" w14:textId="674075C3" w:rsidR="5E9BD0CD" w:rsidRDefault="47F7289A"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Purpose-driven or transformational leadership emphasises inspiring staff, promoting shared goals and fostering a culture of continuous improvement (Bass and Avolio, 199</w:t>
      </w:r>
      <w:r w:rsidR="2AB9C4C5" w:rsidRPr="5E9BD0CD">
        <w:rPr>
          <w:rFonts w:ascii="Arial" w:eastAsia="Arial" w:hAnsi="Arial" w:cs="Arial"/>
          <w:sz w:val="22"/>
          <w:szCs w:val="22"/>
        </w:rPr>
        <w:t>3</w:t>
      </w:r>
      <w:r w:rsidRPr="5E9BD0CD">
        <w:rPr>
          <w:rFonts w:ascii="Arial" w:eastAsia="Arial" w:hAnsi="Arial" w:cs="Arial"/>
          <w:sz w:val="22"/>
          <w:szCs w:val="22"/>
        </w:rPr>
        <w:t xml:space="preserve">; West </w:t>
      </w:r>
      <w:r w:rsidRPr="5E9BD0CD">
        <w:rPr>
          <w:rFonts w:ascii="Arial" w:eastAsia="Arial" w:hAnsi="Arial" w:cs="Arial"/>
          <w:i/>
          <w:iCs/>
          <w:sz w:val="22"/>
          <w:szCs w:val="22"/>
        </w:rPr>
        <w:t>et al</w:t>
      </w:r>
      <w:r w:rsidRPr="5E9BD0CD">
        <w:rPr>
          <w:rFonts w:ascii="Arial" w:eastAsia="Arial" w:hAnsi="Arial" w:cs="Arial"/>
          <w:sz w:val="22"/>
          <w:szCs w:val="22"/>
        </w:rPr>
        <w:t xml:space="preserve">., 2015). In healthcare, transformational leadership is strongly associated with improved patient safety, staff engagement and reduced mortality (West </w:t>
      </w:r>
      <w:r w:rsidRPr="5E9BD0CD">
        <w:rPr>
          <w:rFonts w:ascii="Arial" w:eastAsia="Arial" w:hAnsi="Arial" w:cs="Arial"/>
          <w:i/>
          <w:iCs/>
          <w:sz w:val="22"/>
          <w:szCs w:val="22"/>
        </w:rPr>
        <w:t>et al</w:t>
      </w:r>
      <w:r w:rsidRPr="5E9BD0CD">
        <w:rPr>
          <w:rFonts w:ascii="Arial" w:eastAsia="Arial" w:hAnsi="Arial" w:cs="Arial"/>
          <w:sz w:val="22"/>
          <w:szCs w:val="22"/>
        </w:rPr>
        <w:t xml:space="preserve">., 2015). </w:t>
      </w:r>
      <w:r w:rsidR="6FF96815" w:rsidRPr="5E9BD0CD">
        <w:rPr>
          <w:rFonts w:ascii="Arial" w:eastAsia="Arial" w:hAnsi="Arial" w:cs="Arial"/>
          <w:sz w:val="22"/>
          <w:szCs w:val="22"/>
        </w:rPr>
        <w:t>However, in this case, leadership appears to have lacked a clear purpose-driven approach (Bass and Avolio, 199</w:t>
      </w:r>
      <w:r w:rsidR="6BB29712" w:rsidRPr="5E9BD0CD">
        <w:rPr>
          <w:rFonts w:ascii="Arial" w:eastAsia="Arial" w:hAnsi="Arial" w:cs="Arial"/>
          <w:sz w:val="22"/>
          <w:szCs w:val="22"/>
        </w:rPr>
        <w:t>3</w:t>
      </w:r>
      <w:r w:rsidR="6FF96815" w:rsidRPr="5E9BD0CD">
        <w:rPr>
          <w:rFonts w:ascii="Arial" w:eastAsia="Arial" w:hAnsi="Arial" w:cs="Arial"/>
          <w:sz w:val="22"/>
          <w:szCs w:val="22"/>
        </w:rPr>
        <w:t xml:space="preserve">). There was limited evidence of a shared safety vision or proactive engagement with staff to prevent known risks associated with high-risk medicines (West </w:t>
      </w:r>
      <w:r w:rsidR="6FF96815" w:rsidRPr="5E9BD0CD">
        <w:rPr>
          <w:rFonts w:ascii="Arial" w:eastAsia="Arial" w:hAnsi="Arial" w:cs="Arial"/>
          <w:i/>
          <w:iCs/>
          <w:sz w:val="22"/>
          <w:szCs w:val="22"/>
        </w:rPr>
        <w:t>et al</w:t>
      </w:r>
      <w:r w:rsidR="6FF96815" w:rsidRPr="5E9BD0CD">
        <w:rPr>
          <w:rFonts w:ascii="Arial" w:eastAsia="Arial" w:hAnsi="Arial" w:cs="Arial"/>
          <w:sz w:val="22"/>
          <w:szCs w:val="22"/>
        </w:rPr>
        <w:t xml:space="preserve">., 2015). Instead, leadership responses were largely reactive, implemented after harm occurred, rather than anticipatory and preventative (NHS England North East and Yorkshire, 2023). This suggests that transformational leadership principles, particularly those related to proactive risk </w:t>
      </w:r>
      <w:r w:rsidR="6FF96815" w:rsidRPr="5E9BD0CD">
        <w:rPr>
          <w:rFonts w:ascii="Arial" w:eastAsia="Arial" w:hAnsi="Arial" w:cs="Arial"/>
          <w:sz w:val="22"/>
          <w:szCs w:val="22"/>
        </w:rPr>
        <w:lastRenderedPageBreak/>
        <w:t>management and staff engagement, were not effectively embedded within the system (W</w:t>
      </w:r>
      <w:r w:rsidR="65F42C18" w:rsidRPr="5E9BD0CD">
        <w:rPr>
          <w:rFonts w:ascii="Arial" w:eastAsia="Arial" w:hAnsi="Arial" w:cs="Arial"/>
          <w:sz w:val="22"/>
          <w:szCs w:val="22"/>
        </w:rPr>
        <w:t>HO</w:t>
      </w:r>
      <w:r w:rsidR="6FF96815" w:rsidRPr="5E9BD0CD">
        <w:rPr>
          <w:rFonts w:ascii="Arial" w:eastAsia="Arial" w:hAnsi="Arial" w:cs="Arial"/>
          <w:sz w:val="22"/>
          <w:szCs w:val="22"/>
        </w:rPr>
        <w:t>, 2017).</w:t>
      </w:r>
    </w:p>
    <w:p w14:paraId="260A9284" w14:textId="64D9E9FC" w:rsidR="47F7289A" w:rsidRDefault="47F7289A"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McGregor’s Theory X and Theory Y provide further insight into leadership assumptions about control and staff behaviour (McGregor, 1960; Northouse, 2022). Theory X is reflected in the strict governance of the morphine formulation as a “Red Drug,” where prescribing authority is tightly controlled (NHS England North East and Yorkshire, 2023). While such control is necessary, the case demonstrates that reliance on rule-based governance alone was insufficient to prevent error (Reason, 2000).</w:t>
      </w:r>
      <w:r w:rsidR="492F4590" w:rsidRPr="5E9BD0CD">
        <w:rPr>
          <w:rFonts w:ascii="Arial" w:eastAsia="Arial" w:hAnsi="Arial" w:cs="Arial"/>
          <w:sz w:val="22"/>
          <w:szCs w:val="22"/>
        </w:rPr>
        <w:t xml:space="preserve"> Ouchi’s Theory Z further emphasises trust, collaboration and shared responsibility, which are critical in supporting communication and teamwork across complex healthcare systems. In this case, the absence of these relational elements contributed to fragmented communication and weak coordination across organisational boundaries (Ouchi, 1981; West </w:t>
      </w:r>
      <w:r w:rsidR="492F4590" w:rsidRPr="5E9BD0CD">
        <w:rPr>
          <w:rFonts w:ascii="Arial" w:eastAsia="Arial" w:hAnsi="Arial" w:cs="Arial"/>
          <w:i/>
          <w:iCs/>
          <w:sz w:val="22"/>
          <w:szCs w:val="22"/>
        </w:rPr>
        <w:t>et al.</w:t>
      </w:r>
      <w:r w:rsidR="492F4590" w:rsidRPr="5E9BD0CD">
        <w:rPr>
          <w:rFonts w:ascii="Arial" w:eastAsia="Arial" w:hAnsi="Arial" w:cs="Arial"/>
          <w:sz w:val="22"/>
          <w:szCs w:val="22"/>
        </w:rPr>
        <w:t>, 2015).</w:t>
      </w:r>
    </w:p>
    <w:p w14:paraId="1393590B" w14:textId="223D801F" w:rsidR="47F7289A" w:rsidRDefault="47F7289A"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 xml:space="preserve">Critically, Theory Y behaviours, such as professional autonomy, open communication and shared accountability, were not adequately supported. Although the pharmacist identified a concern, communication remained indirect and procedural. Evidence indicates that healthcare organisations characterised by Theory Y leadership, including staff empowerment and psychological safety, achieve better patient outcomes and lower rates of harm (West </w:t>
      </w:r>
      <w:r w:rsidRPr="5E9BD0CD">
        <w:rPr>
          <w:rFonts w:ascii="Arial" w:eastAsia="Arial" w:hAnsi="Arial" w:cs="Arial"/>
          <w:i/>
          <w:iCs/>
          <w:sz w:val="22"/>
          <w:szCs w:val="22"/>
        </w:rPr>
        <w:t>et al.</w:t>
      </w:r>
      <w:r w:rsidRPr="5E9BD0CD">
        <w:rPr>
          <w:rFonts w:ascii="Arial" w:eastAsia="Arial" w:hAnsi="Arial" w:cs="Arial"/>
          <w:sz w:val="22"/>
          <w:szCs w:val="22"/>
        </w:rPr>
        <w:t>, 2015). Therefore, leadership in this case was not appropriately balanced between control and empowerment.</w:t>
      </w:r>
    </w:p>
    <w:p w14:paraId="3E2ED8D6" w14:textId="03458C49" w:rsidR="47F7289A" w:rsidRDefault="47F7289A"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Great Man Theory and Trait Theory offer limited explanatory value in this context. Great Man Theory assumes leadership is based on inherent qualities, while Trait Theory focuses on personal characteristics such as intelligence and confidence (Carlyle, 1841; Northouse, 2022). However, the infant morphine overdose was the result of system-wide failures rather than individual leadership deficiencies. Attributing the incident to individual traits would oversimplify the complexity of healthcare systems and ignore structural issues such as communication breakdowns and governance failures (Reason, 2000).</w:t>
      </w:r>
      <w:r w:rsidR="23921E37" w:rsidRPr="5E9BD0CD">
        <w:rPr>
          <w:rFonts w:ascii="Arial" w:eastAsia="Arial" w:hAnsi="Arial" w:cs="Arial"/>
          <w:sz w:val="22"/>
          <w:szCs w:val="22"/>
        </w:rPr>
        <w:t xml:space="preserve"> </w:t>
      </w:r>
      <w:r w:rsidRPr="5E9BD0CD">
        <w:rPr>
          <w:rFonts w:ascii="Arial" w:eastAsia="Arial" w:hAnsi="Arial" w:cs="Arial"/>
          <w:sz w:val="22"/>
          <w:szCs w:val="22"/>
        </w:rPr>
        <w:t>These theories are therefore inadequate for analysing this case, as patient safety in healthcare depends on collective processes, system design and multidisciplinary interaction rather than individual leadership characteristics (W</w:t>
      </w:r>
      <w:r w:rsidR="31D32E65" w:rsidRPr="5E9BD0CD">
        <w:rPr>
          <w:rFonts w:ascii="Arial" w:eastAsia="Arial" w:hAnsi="Arial" w:cs="Arial"/>
          <w:sz w:val="22"/>
          <w:szCs w:val="22"/>
        </w:rPr>
        <w:t>HO</w:t>
      </w:r>
      <w:r w:rsidRPr="5E9BD0CD">
        <w:rPr>
          <w:rFonts w:ascii="Arial" w:eastAsia="Arial" w:hAnsi="Arial" w:cs="Arial"/>
          <w:sz w:val="22"/>
          <w:szCs w:val="22"/>
        </w:rPr>
        <w:t>, 2017).</w:t>
      </w:r>
    </w:p>
    <w:p w14:paraId="0CBCCD56" w14:textId="2EF2A5F6" w:rsidR="5E9BD0CD" w:rsidRDefault="47F7289A"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 xml:space="preserve">The Tannenbaum and Schmidt model conceptualises leadership as a continuum between authoritarian and democratic approaches (Tannenbaum and Schmidt, 1973; Yukl, 2013). </w:t>
      </w:r>
      <w:r w:rsidR="32AA0813" w:rsidRPr="5E9BD0CD">
        <w:rPr>
          <w:rFonts w:ascii="Arial" w:eastAsia="Arial" w:hAnsi="Arial" w:cs="Arial"/>
          <w:sz w:val="22"/>
          <w:szCs w:val="22"/>
        </w:rPr>
        <w:t xml:space="preserve">In this case, governance structures reflect an authoritarian approach through strict control of high-risk medicines (NHS England North East and Yorkshire, 2023; WHO, 2017).However, </w:t>
      </w:r>
      <w:r w:rsidR="32AA0813" w:rsidRPr="5E9BD0CD">
        <w:rPr>
          <w:rFonts w:ascii="Arial" w:eastAsia="Arial" w:hAnsi="Arial" w:cs="Arial"/>
          <w:sz w:val="22"/>
          <w:szCs w:val="22"/>
        </w:rPr>
        <w:lastRenderedPageBreak/>
        <w:t>operational delivery required a more participative approach involving collaboration between healthcare professionals (Tannenbaum and Schmidt, 1973; West et al., 2015).</w:t>
      </w:r>
    </w:p>
    <w:p w14:paraId="7A8FA1D5" w14:textId="7F51544E" w:rsidR="3C89B7BE" w:rsidRDefault="3C89B7BE"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 xml:space="preserve">Critically, leadership failed to adapt along this continuum. While control mechanisms were implemented, they were not complemented by participative communication and collaboration, reflecting a lack of adaptive leadership in a complex healthcare context (West </w:t>
      </w:r>
      <w:r w:rsidRPr="5E9BD0CD">
        <w:rPr>
          <w:rFonts w:ascii="Arial" w:eastAsia="Arial" w:hAnsi="Arial" w:cs="Arial"/>
          <w:i/>
          <w:iCs/>
          <w:sz w:val="22"/>
          <w:szCs w:val="22"/>
        </w:rPr>
        <w:t>et al</w:t>
      </w:r>
      <w:r w:rsidRPr="5E9BD0CD">
        <w:rPr>
          <w:rFonts w:ascii="Arial" w:eastAsia="Arial" w:hAnsi="Arial" w:cs="Arial"/>
          <w:sz w:val="22"/>
          <w:szCs w:val="22"/>
        </w:rPr>
        <w:t>., 2015).</w:t>
      </w:r>
      <w:r w:rsidR="0384611A" w:rsidRPr="5E9BD0CD">
        <w:rPr>
          <w:rFonts w:ascii="Arial" w:eastAsia="Arial" w:hAnsi="Arial" w:cs="Arial"/>
          <w:sz w:val="22"/>
          <w:szCs w:val="22"/>
        </w:rPr>
        <w:t xml:space="preserve"> The absence of direct clinician-to-clinician communication between pharmacy and general practice illustrates a failure to apply a more democratic leadership approach where it was required, illustrating a failure to shift appropriately along the leadership continuum between control and participation (Tannenbaum and Schmidt, 1973; Yukl, 2013).</w:t>
      </w:r>
    </w:p>
    <w:p w14:paraId="30C64318" w14:textId="40159A7A" w:rsidR="47F7289A" w:rsidRDefault="47F7289A"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Situational or contingency leadership theory argues that leadership effectiveness depends on adapting style to the context and specific demands of the situation (</w:t>
      </w:r>
      <w:r w:rsidR="59D41ED0" w:rsidRPr="5E9BD0CD">
        <w:rPr>
          <w:rFonts w:ascii="Arial" w:eastAsia="Arial" w:hAnsi="Arial" w:cs="Arial"/>
          <w:sz w:val="22"/>
          <w:szCs w:val="22"/>
        </w:rPr>
        <w:t>Hersey, Blanchard, and Johnson</w:t>
      </w:r>
      <w:r w:rsidRPr="5E9BD0CD">
        <w:rPr>
          <w:rFonts w:ascii="Arial" w:eastAsia="Arial" w:hAnsi="Arial" w:cs="Arial"/>
          <w:sz w:val="22"/>
          <w:szCs w:val="22"/>
        </w:rPr>
        <w:t>, 201</w:t>
      </w:r>
      <w:r w:rsidR="5F4AECC2" w:rsidRPr="5E9BD0CD">
        <w:rPr>
          <w:rFonts w:ascii="Arial" w:eastAsia="Arial" w:hAnsi="Arial" w:cs="Arial"/>
          <w:sz w:val="22"/>
          <w:szCs w:val="22"/>
        </w:rPr>
        <w:t>2</w:t>
      </w:r>
      <w:r w:rsidRPr="5E9BD0CD">
        <w:rPr>
          <w:rFonts w:ascii="Arial" w:eastAsia="Arial" w:hAnsi="Arial" w:cs="Arial"/>
          <w:sz w:val="22"/>
          <w:szCs w:val="22"/>
        </w:rPr>
        <w:t>). High-risk clinical scenarios, such as paediatric opioid prescribing, require a combination of strong governance and flexible, responsive communication.</w:t>
      </w:r>
    </w:p>
    <w:p w14:paraId="436C7373" w14:textId="77D69879" w:rsidR="47F7289A" w:rsidRDefault="47F7289A"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In this case, leadership was not sufficiently adaptive. While strict control was applied through governance policies, there was insufficient adjustment to ensure effective communication and coordination across organisations</w:t>
      </w:r>
      <w:r w:rsidR="3C39882A" w:rsidRPr="5E9BD0CD">
        <w:rPr>
          <w:rFonts w:ascii="Arial" w:eastAsia="Arial" w:hAnsi="Arial" w:cs="Arial"/>
          <w:sz w:val="22"/>
          <w:szCs w:val="22"/>
        </w:rPr>
        <w:t>, highlighting a failure to apply adaptive leadership required for complex, high-risk healthcare environments (Yukl, 2013; W</w:t>
      </w:r>
      <w:r w:rsidR="3DE46137" w:rsidRPr="5E9BD0CD">
        <w:rPr>
          <w:rFonts w:ascii="Arial" w:eastAsia="Arial" w:hAnsi="Arial" w:cs="Arial"/>
          <w:sz w:val="22"/>
          <w:szCs w:val="22"/>
        </w:rPr>
        <w:t>HO,</w:t>
      </w:r>
      <w:r w:rsidR="3C39882A" w:rsidRPr="5E9BD0CD">
        <w:rPr>
          <w:rFonts w:ascii="Arial" w:eastAsia="Arial" w:hAnsi="Arial" w:cs="Arial"/>
          <w:sz w:val="22"/>
          <w:szCs w:val="22"/>
        </w:rPr>
        <w:t xml:space="preserve"> 2017; Braithwaite et al., 2017)</w:t>
      </w:r>
      <w:r w:rsidR="3C39882A" w:rsidRPr="5E9BD0CD">
        <w:rPr>
          <w:rFonts w:ascii="Arial" w:eastAsia="Arial" w:hAnsi="Arial" w:cs="Arial"/>
          <w:b/>
          <w:bCs/>
          <w:sz w:val="22"/>
          <w:szCs w:val="22"/>
        </w:rPr>
        <w:t>.</w:t>
      </w:r>
      <w:r w:rsidR="3C39882A" w:rsidRPr="5E9BD0CD">
        <w:rPr>
          <w:rFonts w:ascii="Arial" w:eastAsia="Arial" w:hAnsi="Arial" w:cs="Arial"/>
          <w:sz w:val="22"/>
          <w:szCs w:val="22"/>
        </w:rPr>
        <w:t xml:space="preserve"> </w:t>
      </w:r>
      <w:r w:rsidRPr="5E9BD0CD">
        <w:rPr>
          <w:rFonts w:ascii="Arial" w:eastAsia="Arial" w:hAnsi="Arial" w:cs="Arial"/>
          <w:sz w:val="22"/>
          <w:szCs w:val="22"/>
        </w:rPr>
        <w:t>This lack of situational awareness contributed to the failure to prevent the error. Evidence suggests that adaptive leadership is essential in complex healthcare environments, where rigid approaches may fail to address dynamic risks (Yukl, 2013).</w:t>
      </w:r>
    </w:p>
    <w:p w14:paraId="42EBEDAD" w14:textId="72EF0F91" w:rsidR="47F7289A" w:rsidRDefault="47F7289A"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Behavioural leadership theory provides the most relevant framework for analysing this case, as it focuses on observable leadership behaviours (Northouse, 2022). It distinguishes between task-oriented behaviours, such as enforcing procedures, and relationship-oriented behaviours, such as communication and team support (Northouse, 2022; Yukl, 2013).</w:t>
      </w:r>
    </w:p>
    <w:p w14:paraId="7E7DCC40" w14:textId="3FAF2860" w:rsidR="47F7289A" w:rsidRDefault="47F7289A"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In this case, leadership was heavily task-oriented, focusing on governance frameworks, prescribing protocols and compliance with policy (W</w:t>
      </w:r>
      <w:r w:rsidR="526D689A" w:rsidRPr="5E9BD0CD">
        <w:rPr>
          <w:rFonts w:ascii="Arial" w:eastAsia="Arial" w:hAnsi="Arial" w:cs="Arial"/>
          <w:sz w:val="22"/>
          <w:szCs w:val="22"/>
        </w:rPr>
        <w:t>HO</w:t>
      </w:r>
      <w:r w:rsidRPr="5E9BD0CD">
        <w:rPr>
          <w:rFonts w:ascii="Arial" w:eastAsia="Arial" w:hAnsi="Arial" w:cs="Arial"/>
          <w:sz w:val="22"/>
          <w:szCs w:val="22"/>
        </w:rPr>
        <w:t>, 2017). However, the absence of relationship-oriented behaviours significantly contributed to the incident. There was inadequate communication, limited collaboration and insufficient patient counselling (Reason, 2000; I</w:t>
      </w:r>
      <w:r w:rsidR="34FD6809" w:rsidRPr="5E9BD0CD">
        <w:rPr>
          <w:rFonts w:ascii="Arial" w:eastAsia="Arial" w:hAnsi="Arial" w:cs="Arial"/>
          <w:sz w:val="22"/>
          <w:szCs w:val="22"/>
        </w:rPr>
        <w:t>HI</w:t>
      </w:r>
      <w:r w:rsidRPr="5E9BD0CD">
        <w:rPr>
          <w:rFonts w:ascii="Arial" w:eastAsia="Arial" w:hAnsi="Arial" w:cs="Arial"/>
          <w:sz w:val="22"/>
          <w:szCs w:val="22"/>
        </w:rPr>
        <w:t>, 20</w:t>
      </w:r>
      <w:r w:rsidR="724E2B80" w:rsidRPr="5E9BD0CD">
        <w:rPr>
          <w:rFonts w:ascii="Arial" w:eastAsia="Arial" w:hAnsi="Arial" w:cs="Arial"/>
          <w:sz w:val="22"/>
          <w:szCs w:val="22"/>
        </w:rPr>
        <w:t>19</w:t>
      </w:r>
      <w:r w:rsidRPr="5E9BD0CD">
        <w:rPr>
          <w:rFonts w:ascii="Arial" w:eastAsia="Arial" w:hAnsi="Arial" w:cs="Arial"/>
          <w:sz w:val="22"/>
          <w:szCs w:val="22"/>
        </w:rPr>
        <w:t>).</w:t>
      </w:r>
    </w:p>
    <w:p w14:paraId="619D7A20" w14:textId="3A818999" w:rsidR="47F7289A" w:rsidRDefault="47F7289A"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Communication failures are implicated in approximately 70% of serious patient safety incidents, highlighting the importance of relational leadership behaviours (I</w:t>
      </w:r>
      <w:r w:rsidR="64783B74" w:rsidRPr="5E9BD0CD">
        <w:rPr>
          <w:rFonts w:ascii="Arial" w:eastAsia="Arial" w:hAnsi="Arial" w:cs="Arial"/>
          <w:sz w:val="22"/>
          <w:szCs w:val="22"/>
        </w:rPr>
        <w:t>HI</w:t>
      </w:r>
      <w:r w:rsidRPr="5E9BD0CD">
        <w:rPr>
          <w:rFonts w:ascii="Arial" w:eastAsia="Arial" w:hAnsi="Arial" w:cs="Arial"/>
          <w:sz w:val="22"/>
          <w:szCs w:val="22"/>
        </w:rPr>
        <w:t>, 20</w:t>
      </w:r>
      <w:r w:rsidR="608408B7" w:rsidRPr="5E9BD0CD">
        <w:rPr>
          <w:rFonts w:ascii="Arial" w:eastAsia="Arial" w:hAnsi="Arial" w:cs="Arial"/>
          <w:sz w:val="22"/>
          <w:szCs w:val="22"/>
        </w:rPr>
        <w:t>19</w:t>
      </w:r>
      <w:r w:rsidRPr="5E9BD0CD">
        <w:rPr>
          <w:rFonts w:ascii="Arial" w:eastAsia="Arial" w:hAnsi="Arial" w:cs="Arial"/>
          <w:sz w:val="22"/>
          <w:szCs w:val="22"/>
        </w:rPr>
        <w:t xml:space="preserve">). </w:t>
      </w:r>
      <w:r w:rsidR="58A22E6A" w:rsidRPr="5E9BD0CD">
        <w:rPr>
          <w:rFonts w:ascii="Arial" w:eastAsia="Arial" w:hAnsi="Arial" w:cs="Arial"/>
          <w:sz w:val="22"/>
          <w:szCs w:val="22"/>
        </w:rPr>
        <w:t xml:space="preserve">The lack of direct communication between the pharmacist and prescriber represents a critical </w:t>
      </w:r>
      <w:r w:rsidR="58A22E6A" w:rsidRPr="5E9BD0CD">
        <w:rPr>
          <w:rFonts w:ascii="Arial" w:eastAsia="Arial" w:hAnsi="Arial" w:cs="Arial"/>
          <w:sz w:val="22"/>
          <w:szCs w:val="22"/>
        </w:rPr>
        <w:lastRenderedPageBreak/>
        <w:t xml:space="preserve">failure of leadership in enabling effective teamwork (West </w:t>
      </w:r>
      <w:r w:rsidR="58A22E6A" w:rsidRPr="5E9BD0CD">
        <w:rPr>
          <w:rFonts w:ascii="Arial" w:eastAsia="Arial" w:hAnsi="Arial" w:cs="Arial"/>
          <w:i/>
          <w:iCs/>
          <w:sz w:val="22"/>
          <w:szCs w:val="22"/>
        </w:rPr>
        <w:t>et al</w:t>
      </w:r>
      <w:r w:rsidR="58A22E6A" w:rsidRPr="5E9BD0CD">
        <w:rPr>
          <w:rFonts w:ascii="Arial" w:eastAsia="Arial" w:hAnsi="Arial" w:cs="Arial"/>
          <w:sz w:val="22"/>
          <w:szCs w:val="22"/>
        </w:rPr>
        <w:t>., 2015). It also reflects a breakdown in escalation processes within patient safety systems (IHI, 20</w:t>
      </w:r>
      <w:r w:rsidR="7E5D1E08" w:rsidRPr="5E9BD0CD">
        <w:rPr>
          <w:rFonts w:ascii="Arial" w:eastAsia="Arial" w:hAnsi="Arial" w:cs="Arial"/>
          <w:sz w:val="22"/>
          <w:szCs w:val="22"/>
        </w:rPr>
        <w:t>19</w:t>
      </w:r>
      <w:r w:rsidR="58A22E6A" w:rsidRPr="5E9BD0CD">
        <w:rPr>
          <w:rFonts w:ascii="Arial" w:eastAsia="Arial" w:hAnsi="Arial" w:cs="Arial"/>
          <w:sz w:val="22"/>
          <w:szCs w:val="22"/>
        </w:rPr>
        <w:t>; WHO, 2017).</w:t>
      </w:r>
    </w:p>
    <w:p w14:paraId="14C48E1E" w14:textId="5F25E084" w:rsidR="47F7289A" w:rsidRDefault="47F7289A"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Leadership effectiveness can also be assessed using safety data and staff engagement evidence. NHS data indicates that approximately 237 million medication errors occur annually, with many linked to communication and prescribing failures (Elliott et al., 2018). NHS staff survey findings demonstrate that organisations with strong leadership, psychological safety and staff engagement achieve better patient outcomes and lower levels of harm (NHS England, 202</w:t>
      </w:r>
      <w:r w:rsidR="1A8D12DC" w:rsidRPr="5E9BD0CD">
        <w:rPr>
          <w:rFonts w:ascii="Arial" w:eastAsia="Arial" w:hAnsi="Arial" w:cs="Arial"/>
          <w:sz w:val="22"/>
          <w:szCs w:val="22"/>
        </w:rPr>
        <w:t>5</w:t>
      </w:r>
      <w:r w:rsidRPr="5E9BD0CD">
        <w:rPr>
          <w:rFonts w:ascii="Arial" w:eastAsia="Arial" w:hAnsi="Arial" w:cs="Arial"/>
          <w:sz w:val="22"/>
          <w:szCs w:val="22"/>
        </w:rPr>
        <w:t>).</w:t>
      </w:r>
    </w:p>
    <w:p w14:paraId="78F8DD79" w14:textId="0D7EBA21" w:rsidR="17C68525" w:rsidRDefault="17C68525" w:rsidP="007E16B6">
      <w:pPr>
        <w:spacing w:before="240" w:after="240" w:line="360" w:lineRule="auto"/>
      </w:pPr>
      <w:r w:rsidRPr="5E9BD0CD">
        <w:rPr>
          <w:rFonts w:ascii="Arial" w:eastAsia="Arial" w:hAnsi="Arial" w:cs="Arial"/>
          <w:sz w:val="22"/>
          <w:szCs w:val="22"/>
        </w:rPr>
        <w:t xml:space="preserve">In this case, the recurrence of similar incidents and communication failures suggests that leadership did not create an environment where staff felt empowered to challenge or escalate concerns (Braithwaite et al., 2017; NHS England North East and Yorkshire, 2023). This indicates weaknesses in psychological safety and organisational culture (West </w:t>
      </w:r>
      <w:r w:rsidRPr="5E9BD0CD">
        <w:rPr>
          <w:rFonts w:ascii="Arial" w:eastAsia="Arial" w:hAnsi="Arial" w:cs="Arial"/>
          <w:i/>
          <w:iCs/>
          <w:sz w:val="22"/>
          <w:szCs w:val="22"/>
        </w:rPr>
        <w:t xml:space="preserve">et al., </w:t>
      </w:r>
      <w:r w:rsidRPr="5E9BD0CD">
        <w:rPr>
          <w:rFonts w:ascii="Arial" w:eastAsia="Arial" w:hAnsi="Arial" w:cs="Arial"/>
          <w:sz w:val="22"/>
          <w:szCs w:val="22"/>
        </w:rPr>
        <w:t>2015; WHO, 2017).</w:t>
      </w:r>
    </w:p>
    <w:p w14:paraId="260BAA36" w14:textId="28D877DB" w:rsidR="47F7289A" w:rsidRDefault="47F7289A"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Critically, leadership in this case was predominantly reactive rather than proactive. Interventions such as improved discharge processes and staff education were implemented only after the incident occurred (NHS England North East and Yorkshire, 2023). Proactive leadership would have anticipated risks, particularly given previous incidents, and implemented preventative measures in advance (NHS England, 2019; W</w:t>
      </w:r>
      <w:r w:rsidR="2E417733" w:rsidRPr="5E9BD0CD">
        <w:rPr>
          <w:rFonts w:ascii="Arial" w:eastAsia="Arial" w:hAnsi="Arial" w:cs="Arial"/>
          <w:sz w:val="22"/>
          <w:szCs w:val="22"/>
        </w:rPr>
        <w:t>HO</w:t>
      </w:r>
      <w:r w:rsidRPr="5E9BD0CD">
        <w:rPr>
          <w:rFonts w:ascii="Arial" w:eastAsia="Arial" w:hAnsi="Arial" w:cs="Arial"/>
          <w:sz w:val="22"/>
          <w:szCs w:val="22"/>
        </w:rPr>
        <w:t>, 2017).</w:t>
      </w:r>
    </w:p>
    <w:p w14:paraId="5A949AD0" w14:textId="1D2E7051" w:rsidR="47F7289A" w:rsidRDefault="47F7289A"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 xml:space="preserve">More effective leadership could have included distributed leadership, where responsibility for safety is shared across teams, and emotionally intelligent leadership, which promotes communication, trust and collaboration (West </w:t>
      </w:r>
      <w:r w:rsidRPr="5E9BD0CD">
        <w:rPr>
          <w:rFonts w:ascii="Arial" w:eastAsia="Arial" w:hAnsi="Arial" w:cs="Arial"/>
          <w:i/>
          <w:iCs/>
          <w:sz w:val="22"/>
          <w:szCs w:val="22"/>
        </w:rPr>
        <w:t>et al.</w:t>
      </w:r>
      <w:r w:rsidRPr="5E9BD0CD">
        <w:rPr>
          <w:rFonts w:ascii="Arial" w:eastAsia="Arial" w:hAnsi="Arial" w:cs="Arial"/>
          <w:sz w:val="22"/>
          <w:szCs w:val="22"/>
        </w:rPr>
        <w:t>, 2015). These approaches would have supported earlier identification of risk and improved coordination across the care pathway.</w:t>
      </w:r>
    </w:p>
    <w:p w14:paraId="761EB836" w14:textId="7553E6DE" w:rsidR="5E9BD0CD" w:rsidRPr="007E16B6" w:rsidRDefault="5E9BD0CD" w:rsidP="007E16B6">
      <w:pPr>
        <w:spacing w:before="240" w:after="240" w:line="360" w:lineRule="auto"/>
        <w:rPr>
          <w:rFonts w:ascii="Arial" w:eastAsia="Arial" w:hAnsi="Arial" w:cs="Arial"/>
          <w:b/>
          <w:bCs/>
          <w:sz w:val="22"/>
          <w:szCs w:val="22"/>
        </w:rPr>
      </w:pPr>
    </w:p>
    <w:p w14:paraId="13ED3054" w14:textId="5D417F5D" w:rsidR="33A285A6" w:rsidRPr="007E16B6" w:rsidRDefault="10E7D2BD" w:rsidP="007E16B6">
      <w:pPr>
        <w:spacing w:before="240" w:after="240" w:line="360" w:lineRule="auto"/>
        <w:rPr>
          <w:rFonts w:ascii="Arial" w:eastAsia="Arial" w:hAnsi="Arial" w:cs="Arial"/>
          <w:b/>
          <w:bCs/>
          <w:sz w:val="22"/>
          <w:szCs w:val="22"/>
        </w:rPr>
      </w:pPr>
      <w:r w:rsidRPr="007E16B6">
        <w:rPr>
          <w:rFonts w:ascii="Arial" w:eastAsia="Arial" w:hAnsi="Arial" w:cs="Arial"/>
          <w:b/>
          <w:bCs/>
          <w:sz w:val="22"/>
          <w:szCs w:val="22"/>
        </w:rPr>
        <w:t>Improvement and lessons learned</w:t>
      </w:r>
    </w:p>
    <w:p w14:paraId="5DB17B44" w14:textId="3123AB5A" w:rsidR="7AD7972B" w:rsidRDefault="7AD7972B"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The infant morphine overdose case demonstrates that patient safety outcomes are shaped by the interaction of leadership, governance and system design rather than by isolated professional decisions (Reason, 2000; W</w:t>
      </w:r>
      <w:r w:rsidR="386324FF" w:rsidRPr="5E9BD0CD">
        <w:rPr>
          <w:rFonts w:ascii="Arial" w:eastAsia="Arial" w:hAnsi="Arial" w:cs="Arial"/>
          <w:sz w:val="22"/>
          <w:szCs w:val="22"/>
        </w:rPr>
        <w:t>HO</w:t>
      </w:r>
      <w:r w:rsidRPr="5E9BD0CD">
        <w:rPr>
          <w:rFonts w:ascii="Arial" w:eastAsia="Arial" w:hAnsi="Arial" w:cs="Arial"/>
          <w:sz w:val="22"/>
          <w:szCs w:val="22"/>
        </w:rPr>
        <w:t>, 2017). The error emerged because multiple system defences failed sequentially, reflecting latent conditions embedded within organisational processes rather than a single active error (Reason, 2000; NHS England North East and Yorkshire, 2023). Critically, this indicates that leadership and governance failures operated across multiple levels, reinforcing the importance of systems thinking in understanding healthcare incidents (Sterman, 2000; Braithwaite et al., 2017).</w:t>
      </w:r>
    </w:p>
    <w:p w14:paraId="6BF085A9" w14:textId="44064FA7" w:rsidR="7AD7972B" w:rsidRDefault="7AD7972B"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lastRenderedPageBreak/>
        <w:t>A central problem was the weakness of transfer-of-care governance. The discharge summary failed to clearly specify medication details, used unsafe abbreviations such as “mcg” and relied on a brand name associated with a different formulation (NHS England North East and Yorkshire, 2023). This reflects a governance failure not in policy existence but in policy implementation, as safe prescribing standards were not operationalised effectively (NHS England, 2019; W</w:t>
      </w:r>
      <w:r w:rsidR="33D94727" w:rsidRPr="5E9BD0CD">
        <w:rPr>
          <w:rFonts w:ascii="Arial" w:eastAsia="Arial" w:hAnsi="Arial" w:cs="Arial"/>
          <w:sz w:val="22"/>
          <w:szCs w:val="22"/>
        </w:rPr>
        <w:t>HO</w:t>
      </w:r>
      <w:r w:rsidRPr="5E9BD0CD">
        <w:rPr>
          <w:rFonts w:ascii="Arial" w:eastAsia="Arial" w:hAnsi="Arial" w:cs="Arial"/>
          <w:sz w:val="22"/>
          <w:szCs w:val="22"/>
        </w:rPr>
        <w:t>, 2017). Evidence indicates that poor discharge communication contributes significantly to medication errors, with discrepancies occurring in up to 30–70% of transitions of care (Elliott et al., 2018).</w:t>
      </w:r>
    </w:p>
    <w:p w14:paraId="5591108C" w14:textId="0C3D3DE0" w:rsidR="522B4583" w:rsidRDefault="522B4583"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From a leadership perspective, this demonstrates a failure to ensure that governance policies are embedded into routine clinical processes, reflecting a well-documented gap between policy design and frontline implementation (Braithwaite et al., 2017).</w:t>
      </w:r>
      <w:r w:rsidR="7AD7972B" w:rsidRPr="5E9BD0CD">
        <w:rPr>
          <w:rFonts w:ascii="Arial" w:eastAsia="Arial" w:hAnsi="Arial" w:cs="Arial"/>
          <w:sz w:val="22"/>
          <w:szCs w:val="22"/>
        </w:rPr>
        <w:t xml:space="preserve"> Governance requires not only rule-setting but also system design that enforces compliance and reduces ambiguity (Braithwaite et al., 2017; NHS England, 2019). An evidence-based solution would involve mandatory electronic discharge summaries with standardised medication fields, as digital systems have been shown to significantly reduce prescribing errors (Kaushal</w:t>
      </w:r>
      <w:r w:rsidR="4F6E738E" w:rsidRPr="5E9BD0CD">
        <w:rPr>
          <w:rFonts w:ascii="Arial" w:eastAsia="Arial" w:hAnsi="Arial" w:cs="Arial"/>
          <w:sz w:val="22"/>
          <w:szCs w:val="22"/>
        </w:rPr>
        <w:t>, Shojania and Bates</w:t>
      </w:r>
      <w:r w:rsidR="6AABEC86" w:rsidRPr="5E9BD0CD">
        <w:rPr>
          <w:rFonts w:ascii="Arial" w:eastAsia="Arial" w:hAnsi="Arial" w:cs="Arial"/>
          <w:sz w:val="22"/>
          <w:szCs w:val="22"/>
        </w:rPr>
        <w:t>,</w:t>
      </w:r>
      <w:r w:rsidR="7AD7972B" w:rsidRPr="5E9BD0CD">
        <w:rPr>
          <w:rFonts w:ascii="Arial" w:eastAsia="Arial" w:hAnsi="Arial" w:cs="Arial"/>
          <w:sz w:val="22"/>
          <w:szCs w:val="22"/>
        </w:rPr>
        <w:t xml:space="preserve"> 2003).</w:t>
      </w:r>
    </w:p>
    <w:p w14:paraId="053DCB8B" w14:textId="39B81FC7" w:rsidR="7AD7972B" w:rsidRDefault="7AD7972B"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 xml:space="preserve">A second problem was the absence of robust medicines reconciliation and follow-up processes after discharge. The case identified that face-to-face reconciliation and verification of existing medicines could have prevented the error (NHS England North East and Yorkshire, 2023). Transitions of care are internationally recognised as high-risk points, with the World Health Organization </w:t>
      </w:r>
      <w:r w:rsidR="2C0FEBC6" w:rsidRPr="5E9BD0CD">
        <w:rPr>
          <w:rFonts w:ascii="Arial" w:eastAsia="Arial" w:hAnsi="Arial" w:cs="Arial"/>
          <w:sz w:val="22"/>
          <w:szCs w:val="22"/>
        </w:rPr>
        <w:t xml:space="preserve">(2017) </w:t>
      </w:r>
      <w:r w:rsidRPr="5E9BD0CD">
        <w:rPr>
          <w:rFonts w:ascii="Arial" w:eastAsia="Arial" w:hAnsi="Arial" w:cs="Arial"/>
          <w:sz w:val="22"/>
          <w:szCs w:val="22"/>
        </w:rPr>
        <w:t>identifying medication reconciliation failures as a major contributor to preventable harm</w:t>
      </w:r>
      <w:r w:rsidR="27CC8BFF" w:rsidRPr="5E9BD0CD">
        <w:rPr>
          <w:rFonts w:ascii="Arial" w:eastAsia="Arial" w:hAnsi="Arial" w:cs="Arial"/>
          <w:sz w:val="22"/>
          <w:szCs w:val="22"/>
        </w:rPr>
        <w:t>.</w:t>
      </w:r>
    </w:p>
    <w:p w14:paraId="2043D449" w14:textId="13011269" w:rsidR="7AD7972B" w:rsidRDefault="7AD7972B"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 xml:space="preserve">This reflects both a governance gap and a leadership failure to prioritise high-risk transitions. Leadership should ensure that high-risk patients, particularly neonates receiving opioids, are subject to enhanced safety checks (West </w:t>
      </w:r>
      <w:r w:rsidRPr="5E9BD0CD">
        <w:rPr>
          <w:rFonts w:ascii="Arial" w:eastAsia="Arial" w:hAnsi="Arial" w:cs="Arial"/>
          <w:i/>
          <w:iCs/>
          <w:sz w:val="22"/>
          <w:szCs w:val="22"/>
        </w:rPr>
        <w:t>et al.,</w:t>
      </w:r>
      <w:r w:rsidRPr="5E9BD0CD">
        <w:rPr>
          <w:rFonts w:ascii="Arial" w:eastAsia="Arial" w:hAnsi="Arial" w:cs="Arial"/>
          <w:sz w:val="22"/>
          <w:szCs w:val="22"/>
        </w:rPr>
        <w:t xml:space="preserve"> 2015). Evidence-based improvement would include structured reconciliation protocols and integration with the Discharge Medicines Service, which has been shown to improve medication safety outcomes in primary care (NHS England, 2021).</w:t>
      </w:r>
    </w:p>
    <w:p w14:paraId="26210942" w14:textId="29B2E449" w:rsidR="7AD7972B" w:rsidRDefault="7AD7972B"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Another critical issue was weak organisational learning and knowledge dissemination. Despite multiple similar incidents nationally, clinicians involved in the case were unaware of the 100 micrograms/ml formulation (NHS England North East and Yorkshire, 2023). This indicates a failure of feedback systems, where incident data was collected but not effectively translated into frontline practice (Braithwaite et al., 2017;</w:t>
      </w:r>
      <w:r w:rsidR="714505B3" w:rsidRPr="5E9BD0CD">
        <w:rPr>
          <w:rFonts w:ascii="Arial" w:eastAsia="Arial" w:hAnsi="Arial" w:cs="Arial"/>
          <w:sz w:val="22"/>
          <w:szCs w:val="22"/>
        </w:rPr>
        <w:t xml:space="preserve"> </w:t>
      </w:r>
      <w:r w:rsidR="5F8CFEC6" w:rsidRPr="5E9BD0CD">
        <w:rPr>
          <w:rFonts w:ascii="Arial" w:eastAsia="Arial" w:hAnsi="Arial" w:cs="Arial"/>
          <w:sz w:val="22"/>
          <w:szCs w:val="22"/>
        </w:rPr>
        <w:t>Slawomirski, Auraaen and Klazinga, 2017</w:t>
      </w:r>
      <w:r w:rsidRPr="5E9BD0CD">
        <w:rPr>
          <w:rFonts w:ascii="Arial" w:eastAsia="Arial" w:hAnsi="Arial" w:cs="Arial"/>
          <w:sz w:val="22"/>
          <w:szCs w:val="22"/>
        </w:rPr>
        <w:t>).</w:t>
      </w:r>
    </w:p>
    <w:p w14:paraId="48E4B2A0" w14:textId="3F15B6E6" w:rsidR="7AD7972B" w:rsidRDefault="7AD7972B"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lastRenderedPageBreak/>
        <w:t>Data suggests that learning systems in healthcare are often underdeveloped, with repeated incidents reflecting poor integration of safety intelligence into practice (</w:t>
      </w:r>
      <w:r w:rsidR="05A4D73D" w:rsidRPr="5E9BD0CD">
        <w:rPr>
          <w:rFonts w:ascii="Arial" w:eastAsia="Arial" w:hAnsi="Arial" w:cs="Arial"/>
          <w:sz w:val="22"/>
          <w:szCs w:val="22"/>
        </w:rPr>
        <w:t>Slawomirski, Auraaen and Klazinga, 2017</w:t>
      </w:r>
      <w:r w:rsidRPr="5E9BD0CD">
        <w:rPr>
          <w:rFonts w:ascii="Arial" w:eastAsia="Arial" w:hAnsi="Arial" w:cs="Arial"/>
          <w:sz w:val="22"/>
          <w:szCs w:val="22"/>
        </w:rPr>
        <w:t>). Leadership plays a crucial role in converting data into actionable learning, yet in this case leadership appears to have been reactive rather than proactive (W</w:t>
      </w:r>
      <w:r w:rsidR="4600CBE9" w:rsidRPr="5E9BD0CD">
        <w:rPr>
          <w:rFonts w:ascii="Arial" w:eastAsia="Arial" w:hAnsi="Arial" w:cs="Arial"/>
          <w:sz w:val="22"/>
          <w:szCs w:val="22"/>
        </w:rPr>
        <w:t>HO</w:t>
      </w:r>
      <w:r w:rsidRPr="5E9BD0CD">
        <w:rPr>
          <w:rFonts w:ascii="Arial" w:eastAsia="Arial" w:hAnsi="Arial" w:cs="Arial"/>
          <w:sz w:val="22"/>
          <w:szCs w:val="22"/>
        </w:rPr>
        <w:t>, 2017). A key improvement would involve strengthening feedback loops through mandatory safety briefings, continuous professional development and system-wide alerts linked to prescribing systems (NHS England, 2019).</w:t>
      </w:r>
    </w:p>
    <w:p w14:paraId="492250DF" w14:textId="716750DF" w:rsidR="7AD7972B" w:rsidRDefault="7AD7972B"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The communication pathway between pharmacy and general practice represents another significant failure. The pharmacist identified a clinically relevant concern but communicated indirectly through administrative staff rather than directly with the prescriber (NHS England North East and Yorkshire, 2023). This demonstrates a breakdown in escalation processes and highlights the importance of direct clinician-to-clinician communication in managing high-risk medicines (I</w:t>
      </w:r>
      <w:r w:rsidR="54905F01" w:rsidRPr="5E9BD0CD">
        <w:rPr>
          <w:rFonts w:ascii="Arial" w:eastAsia="Arial" w:hAnsi="Arial" w:cs="Arial"/>
          <w:sz w:val="22"/>
          <w:szCs w:val="22"/>
        </w:rPr>
        <w:t>HI</w:t>
      </w:r>
      <w:r w:rsidRPr="5E9BD0CD">
        <w:rPr>
          <w:rFonts w:ascii="Arial" w:eastAsia="Arial" w:hAnsi="Arial" w:cs="Arial"/>
          <w:sz w:val="22"/>
          <w:szCs w:val="22"/>
        </w:rPr>
        <w:t>, 20</w:t>
      </w:r>
      <w:r w:rsidR="57A04EA3" w:rsidRPr="5E9BD0CD">
        <w:rPr>
          <w:rFonts w:ascii="Arial" w:eastAsia="Arial" w:hAnsi="Arial" w:cs="Arial"/>
          <w:sz w:val="22"/>
          <w:szCs w:val="22"/>
        </w:rPr>
        <w:t>19</w:t>
      </w:r>
      <w:r w:rsidRPr="5E9BD0CD">
        <w:rPr>
          <w:rFonts w:ascii="Arial" w:eastAsia="Arial" w:hAnsi="Arial" w:cs="Arial"/>
          <w:sz w:val="22"/>
          <w:szCs w:val="22"/>
        </w:rPr>
        <w:t>).</w:t>
      </w:r>
    </w:p>
    <w:p w14:paraId="750B13A2" w14:textId="7ECA65C2" w:rsidR="7AD7972B" w:rsidRDefault="7AD7972B"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Communication failures are implicated in approximately 70% of serious patient safety incidents, emphasising the critical role of leadership in fostering effective communication cultures (I</w:t>
      </w:r>
      <w:r w:rsidR="398C5563" w:rsidRPr="5E9BD0CD">
        <w:rPr>
          <w:rFonts w:ascii="Arial" w:eastAsia="Arial" w:hAnsi="Arial" w:cs="Arial"/>
          <w:sz w:val="22"/>
          <w:szCs w:val="22"/>
        </w:rPr>
        <w:t>HI</w:t>
      </w:r>
      <w:r w:rsidRPr="5E9BD0CD">
        <w:rPr>
          <w:rFonts w:ascii="Arial" w:eastAsia="Arial" w:hAnsi="Arial" w:cs="Arial"/>
          <w:sz w:val="22"/>
          <w:szCs w:val="22"/>
        </w:rPr>
        <w:t xml:space="preserve"> 20</w:t>
      </w:r>
      <w:r w:rsidR="203C3162" w:rsidRPr="5E9BD0CD">
        <w:rPr>
          <w:rFonts w:ascii="Arial" w:eastAsia="Arial" w:hAnsi="Arial" w:cs="Arial"/>
          <w:sz w:val="22"/>
          <w:szCs w:val="22"/>
        </w:rPr>
        <w:t>19</w:t>
      </w:r>
      <w:r w:rsidRPr="5E9BD0CD">
        <w:rPr>
          <w:rFonts w:ascii="Arial" w:eastAsia="Arial" w:hAnsi="Arial" w:cs="Arial"/>
          <w:sz w:val="22"/>
          <w:szCs w:val="22"/>
        </w:rPr>
        <w:t>; W</w:t>
      </w:r>
      <w:r w:rsidR="1636D519" w:rsidRPr="5E9BD0CD">
        <w:rPr>
          <w:rFonts w:ascii="Arial" w:eastAsia="Arial" w:hAnsi="Arial" w:cs="Arial"/>
          <w:sz w:val="22"/>
          <w:szCs w:val="22"/>
        </w:rPr>
        <w:t>HO</w:t>
      </w:r>
      <w:r w:rsidRPr="5E9BD0CD">
        <w:rPr>
          <w:rFonts w:ascii="Arial" w:eastAsia="Arial" w:hAnsi="Arial" w:cs="Arial"/>
          <w:sz w:val="22"/>
          <w:szCs w:val="22"/>
        </w:rPr>
        <w:t xml:space="preserve">, 2017). This case reflects both structural and cultural deficiencies, where systems did not mandate direct communication and professionals may not have felt empowered to escalate concerns. Evidence-based solutions include formal escalation protocols and leadership strategies that promote psychological safety and assertive communication (West </w:t>
      </w:r>
      <w:r w:rsidRPr="5E9BD0CD">
        <w:rPr>
          <w:rFonts w:ascii="Arial" w:eastAsia="Arial" w:hAnsi="Arial" w:cs="Arial"/>
          <w:i/>
          <w:iCs/>
          <w:sz w:val="22"/>
          <w:szCs w:val="22"/>
        </w:rPr>
        <w:t>et al.,</w:t>
      </w:r>
      <w:r w:rsidRPr="5E9BD0CD">
        <w:rPr>
          <w:rFonts w:ascii="Arial" w:eastAsia="Arial" w:hAnsi="Arial" w:cs="Arial"/>
          <w:sz w:val="22"/>
          <w:szCs w:val="22"/>
        </w:rPr>
        <w:t xml:space="preserve"> 2015).</w:t>
      </w:r>
    </w:p>
    <w:p w14:paraId="4A65E9BF" w14:textId="7054C28C" w:rsidR="7AD7972B" w:rsidRDefault="7AD7972B"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The final stage of the pathway highlights failures in patient engagement and education. The parents were not provided with appropriate counselling, were not given a suitable measuring device and were not asked to demonstrate understanding (NHS England North East and Yorkshire, 2023). This reflects a narrow interpretation of patient safety that excludes patients and carers as active participants in care processes (W</w:t>
      </w:r>
      <w:r w:rsidR="00F7ABD5" w:rsidRPr="5E9BD0CD">
        <w:rPr>
          <w:rFonts w:ascii="Arial" w:eastAsia="Arial" w:hAnsi="Arial" w:cs="Arial"/>
          <w:sz w:val="22"/>
          <w:szCs w:val="22"/>
        </w:rPr>
        <w:t>HO</w:t>
      </w:r>
      <w:r w:rsidRPr="5E9BD0CD">
        <w:rPr>
          <w:rFonts w:ascii="Arial" w:eastAsia="Arial" w:hAnsi="Arial" w:cs="Arial"/>
          <w:sz w:val="22"/>
          <w:szCs w:val="22"/>
        </w:rPr>
        <w:t>, 2017).</w:t>
      </w:r>
    </w:p>
    <w:p w14:paraId="2C861DB6" w14:textId="5051970D" w:rsidR="7AD7972B" w:rsidRDefault="7AD7972B"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Evidence shows that effective patient counselling and teach-back methods significantly reduce medication errors in community settings (W</w:t>
      </w:r>
      <w:r w:rsidR="487FB8DD" w:rsidRPr="5E9BD0CD">
        <w:rPr>
          <w:rFonts w:ascii="Arial" w:eastAsia="Arial" w:hAnsi="Arial" w:cs="Arial"/>
          <w:sz w:val="22"/>
          <w:szCs w:val="22"/>
        </w:rPr>
        <w:t>HO</w:t>
      </w:r>
      <w:r w:rsidRPr="5E9BD0CD">
        <w:rPr>
          <w:rFonts w:ascii="Arial" w:eastAsia="Arial" w:hAnsi="Arial" w:cs="Arial"/>
          <w:sz w:val="22"/>
          <w:szCs w:val="22"/>
        </w:rPr>
        <w:t xml:space="preserve">, 2017). Leadership must therefore ensure that patient-centred approaches are embedded within practice, recognising patients and carers as critical safety partners rather than passive recipients of care (West </w:t>
      </w:r>
      <w:r w:rsidRPr="5E9BD0CD">
        <w:rPr>
          <w:rFonts w:ascii="Arial" w:eastAsia="Arial" w:hAnsi="Arial" w:cs="Arial"/>
          <w:i/>
          <w:iCs/>
          <w:sz w:val="22"/>
          <w:szCs w:val="22"/>
        </w:rPr>
        <w:t>et al</w:t>
      </w:r>
      <w:r w:rsidRPr="5E9BD0CD">
        <w:rPr>
          <w:rFonts w:ascii="Arial" w:eastAsia="Arial" w:hAnsi="Arial" w:cs="Arial"/>
          <w:sz w:val="22"/>
          <w:szCs w:val="22"/>
        </w:rPr>
        <w:t>., 2015).</w:t>
      </w:r>
    </w:p>
    <w:p w14:paraId="5BE015B3" w14:textId="1BD2D6AE" w:rsidR="7AD7972B" w:rsidRDefault="7AD7972B"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 xml:space="preserve">The interaction between system structure, leadership style and feedback mechanisms is central to understanding this case. The healthcare system operated as a hybrid of centralised governance and decentralised delivery, yet the alignment between these </w:t>
      </w:r>
      <w:r w:rsidRPr="5E9BD0CD">
        <w:rPr>
          <w:rFonts w:ascii="Arial" w:eastAsia="Arial" w:hAnsi="Arial" w:cs="Arial"/>
          <w:sz w:val="22"/>
          <w:szCs w:val="22"/>
        </w:rPr>
        <w:lastRenderedPageBreak/>
        <w:t>elements was weak (Mintzberg, 2009; Yukl, 2013). Centralised policies defined the medicine as high-risk, but decentralised actors lacked the knowledge and communication systems to implement these policies effectively (NHS England North East and Yorkshire, 2023).</w:t>
      </w:r>
    </w:p>
    <w:p w14:paraId="78A29C83" w14:textId="0C519030" w:rsidR="7AD7972B" w:rsidRDefault="7AD7972B"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 xml:space="preserve">This misalignment created a system in which feedback loops were ineffective. Local professionals identified anomalies, but these did not trigger corrective action, while national data identified recurring incidents without producing sufficient system-wide change (Braithwaite et al., 2017; </w:t>
      </w:r>
      <w:r w:rsidR="01ABAABD" w:rsidRPr="5E9BD0CD">
        <w:rPr>
          <w:rFonts w:ascii="Arial" w:eastAsia="Arial" w:hAnsi="Arial" w:cs="Arial"/>
          <w:sz w:val="22"/>
          <w:szCs w:val="22"/>
        </w:rPr>
        <w:t>Slawomirski, Auraaen and Klazinga, 2017</w:t>
      </w:r>
      <w:r w:rsidRPr="5E9BD0CD">
        <w:rPr>
          <w:rFonts w:ascii="Arial" w:eastAsia="Arial" w:hAnsi="Arial" w:cs="Arial"/>
          <w:sz w:val="22"/>
          <w:szCs w:val="22"/>
        </w:rPr>
        <w:t>). From a systems perspective, this represents a failure of adaptive learning, where information is generated but not utilised effectively to improve safety (Sterman, 2000).</w:t>
      </w:r>
    </w:p>
    <w:p w14:paraId="452386E6" w14:textId="14300C99" w:rsidR="7AD7972B" w:rsidRDefault="7AD7972B"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Other healthcare organisations can draw several key lessons from this case. First, medication safety requires integrated systems rather than reliance on individual vigilance, as human error is inevitable within complex environments (Reason, 2000). Second, transfer-of-care processes must be treated as critical safety points requiring standardisation and verification (</w:t>
      </w:r>
      <w:r w:rsidR="27DC862B" w:rsidRPr="5E9BD0CD">
        <w:rPr>
          <w:rFonts w:ascii="Arial" w:eastAsia="Arial" w:hAnsi="Arial" w:cs="Arial"/>
          <w:sz w:val="22"/>
          <w:szCs w:val="22"/>
        </w:rPr>
        <w:t>WHO</w:t>
      </w:r>
      <w:r w:rsidRPr="5E9BD0CD">
        <w:rPr>
          <w:rFonts w:ascii="Arial" w:eastAsia="Arial" w:hAnsi="Arial" w:cs="Arial"/>
          <w:sz w:val="22"/>
          <w:szCs w:val="22"/>
        </w:rPr>
        <w:t>, 2017). Third, communication pathways must support direct and timely professional interaction, particularly for high-risk medicines (</w:t>
      </w:r>
      <w:r w:rsidR="5EC130FB" w:rsidRPr="5E9BD0CD">
        <w:rPr>
          <w:rFonts w:ascii="Arial" w:eastAsia="Arial" w:hAnsi="Arial" w:cs="Arial"/>
          <w:sz w:val="22"/>
          <w:szCs w:val="22"/>
        </w:rPr>
        <w:t>IHI</w:t>
      </w:r>
      <w:r w:rsidRPr="5E9BD0CD">
        <w:rPr>
          <w:rFonts w:ascii="Arial" w:eastAsia="Arial" w:hAnsi="Arial" w:cs="Arial"/>
          <w:sz w:val="22"/>
          <w:szCs w:val="22"/>
        </w:rPr>
        <w:t>, 20</w:t>
      </w:r>
      <w:r w:rsidR="1ACA20BD" w:rsidRPr="5E9BD0CD">
        <w:rPr>
          <w:rFonts w:ascii="Arial" w:eastAsia="Arial" w:hAnsi="Arial" w:cs="Arial"/>
          <w:sz w:val="22"/>
          <w:szCs w:val="22"/>
        </w:rPr>
        <w:t>19</w:t>
      </w:r>
      <w:r w:rsidRPr="5E9BD0CD">
        <w:rPr>
          <w:rFonts w:ascii="Arial" w:eastAsia="Arial" w:hAnsi="Arial" w:cs="Arial"/>
          <w:sz w:val="22"/>
          <w:szCs w:val="22"/>
        </w:rPr>
        <w:t>). Fourth, patients and carers must be actively involved in safety processes through effective education and engagement (W</w:t>
      </w:r>
      <w:r w:rsidR="44990F1E" w:rsidRPr="5E9BD0CD">
        <w:rPr>
          <w:rFonts w:ascii="Arial" w:eastAsia="Arial" w:hAnsi="Arial" w:cs="Arial"/>
          <w:sz w:val="22"/>
          <w:szCs w:val="22"/>
        </w:rPr>
        <w:t>HO</w:t>
      </w:r>
      <w:r w:rsidRPr="5E9BD0CD">
        <w:rPr>
          <w:rFonts w:ascii="Arial" w:eastAsia="Arial" w:hAnsi="Arial" w:cs="Arial"/>
          <w:sz w:val="22"/>
          <w:szCs w:val="22"/>
        </w:rPr>
        <w:t>, 2017).</w:t>
      </w:r>
    </w:p>
    <w:p w14:paraId="4A14C0CA" w14:textId="2F51450B" w:rsidR="5E9BD0CD" w:rsidRDefault="7AD7972B"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Finally, evidence and data must be used proactively to support continuous improvement. Incident reporting, audit data and staff feedback should inform system redesign rather than merely documenting past failures (</w:t>
      </w:r>
      <w:r w:rsidR="0E3FC8CF" w:rsidRPr="5E9BD0CD">
        <w:rPr>
          <w:rFonts w:ascii="Arial" w:eastAsia="Arial" w:hAnsi="Arial" w:cs="Arial"/>
          <w:sz w:val="22"/>
          <w:szCs w:val="22"/>
        </w:rPr>
        <w:t>Slawomirski, Auraaen and Klazinga, 2017</w:t>
      </w:r>
      <w:r w:rsidRPr="5E9BD0CD">
        <w:rPr>
          <w:rFonts w:ascii="Arial" w:eastAsia="Arial" w:hAnsi="Arial" w:cs="Arial"/>
          <w:sz w:val="22"/>
          <w:szCs w:val="22"/>
        </w:rPr>
        <w:t xml:space="preserve">; NHS England, 2019). Continuous improvement requires not only measurement but also leadership capable of acting on data, embedding learning and ensuring accountability across the system (West </w:t>
      </w:r>
      <w:r w:rsidRPr="5E9BD0CD">
        <w:rPr>
          <w:rFonts w:ascii="Arial" w:eastAsia="Arial" w:hAnsi="Arial" w:cs="Arial"/>
          <w:i/>
          <w:iCs/>
          <w:sz w:val="22"/>
          <w:szCs w:val="22"/>
        </w:rPr>
        <w:t>et al</w:t>
      </w:r>
      <w:r w:rsidRPr="5E9BD0CD">
        <w:rPr>
          <w:rFonts w:ascii="Arial" w:eastAsia="Arial" w:hAnsi="Arial" w:cs="Arial"/>
          <w:sz w:val="22"/>
          <w:szCs w:val="22"/>
        </w:rPr>
        <w:t>., 2015).</w:t>
      </w:r>
    </w:p>
    <w:p w14:paraId="373C3CBA" w14:textId="77777777" w:rsidR="005E1FCA" w:rsidRPr="005E1FCA" w:rsidRDefault="005E1FCA" w:rsidP="007E16B6">
      <w:pPr>
        <w:spacing w:before="240" w:after="240" w:line="360" w:lineRule="auto"/>
        <w:rPr>
          <w:rFonts w:ascii="Arial" w:eastAsia="Arial" w:hAnsi="Arial" w:cs="Arial"/>
          <w:b/>
          <w:bCs/>
          <w:sz w:val="22"/>
          <w:szCs w:val="22"/>
        </w:rPr>
      </w:pPr>
    </w:p>
    <w:p w14:paraId="3C6E060B" w14:textId="28A6D6F9" w:rsidR="33A285A6" w:rsidRPr="005E1FCA" w:rsidRDefault="10E7D2BD" w:rsidP="007E16B6">
      <w:pPr>
        <w:spacing w:before="240" w:after="240" w:line="360" w:lineRule="auto"/>
        <w:rPr>
          <w:rFonts w:ascii="Arial" w:eastAsia="Arial" w:hAnsi="Arial" w:cs="Arial"/>
          <w:b/>
          <w:bCs/>
          <w:sz w:val="22"/>
          <w:szCs w:val="22"/>
        </w:rPr>
      </w:pPr>
      <w:r w:rsidRPr="005E1FCA">
        <w:rPr>
          <w:rFonts w:ascii="Arial" w:eastAsia="Arial" w:hAnsi="Arial" w:cs="Arial"/>
          <w:b/>
          <w:bCs/>
          <w:sz w:val="22"/>
          <w:szCs w:val="22"/>
        </w:rPr>
        <w:t>Recommendations</w:t>
      </w:r>
    </w:p>
    <w:p w14:paraId="2B38BD7B" w14:textId="2461D751" w:rsidR="48A6FFF8" w:rsidRDefault="005E1FCA" w:rsidP="007E16B6">
      <w:pPr>
        <w:spacing w:before="240" w:after="240" w:line="360" w:lineRule="auto"/>
        <w:rPr>
          <w:rFonts w:ascii="Arial" w:eastAsia="Arial" w:hAnsi="Arial" w:cs="Arial"/>
          <w:sz w:val="22"/>
          <w:szCs w:val="22"/>
        </w:rPr>
      </w:pPr>
      <w:r w:rsidRPr="005E1FCA">
        <w:rPr>
          <w:sz w:val="22"/>
          <w:szCs w:val="22"/>
        </w:rPr>
        <w:t>The organisation should implement a coordinated set of system-level improvements to strengthen medication safety, particularly for high-risk paediatric medicines, reflecting the need for integrated, system-wide approaches to reducing preventable harm (</w:t>
      </w:r>
      <w:r w:rsidRPr="005E1FCA">
        <w:rPr>
          <w:sz w:val="22"/>
          <w:szCs w:val="22"/>
        </w:rPr>
        <w:t>WHO</w:t>
      </w:r>
      <w:r w:rsidRPr="005E1FCA">
        <w:rPr>
          <w:sz w:val="22"/>
          <w:szCs w:val="22"/>
        </w:rPr>
        <w:t>, 2017; Braithwaite et al., 2017)</w:t>
      </w:r>
      <w:r w:rsidRPr="005E1FCA">
        <w:rPr>
          <w:sz w:val="22"/>
          <w:szCs w:val="22"/>
        </w:rPr>
        <w:t>.</w:t>
      </w:r>
      <w:r w:rsidR="48A6FFF8" w:rsidRPr="5E9BD0CD">
        <w:rPr>
          <w:rFonts w:ascii="Arial" w:eastAsia="Arial" w:hAnsi="Arial" w:cs="Arial"/>
          <w:sz w:val="22"/>
          <w:szCs w:val="22"/>
        </w:rPr>
        <w:t>These recommendations focus on leadership, governance, communication, efficiency, continuous learning and stakeholder engagement, reflecting the systemic failures identified in the case (Reason, 2000; W</w:t>
      </w:r>
      <w:r w:rsidR="07822FB8" w:rsidRPr="5E9BD0CD">
        <w:rPr>
          <w:rFonts w:ascii="Arial" w:eastAsia="Arial" w:hAnsi="Arial" w:cs="Arial"/>
          <w:sz w:val="22"/>
          <w:szCs w:val="22"/>
        </w:rPr>
        <w:t>HO</w:t>
      </w:r>
      <w:r w:rsidR="48A6FFF8" w:rsidRPr="5E9BD0CD">
        <w:rPr>
          <w:rFonts w:ascii="Arial" w:eastAsia="Arial" w:hAnsi="Arial" w:cs="Arial"/>
          <w:sz w:val="22"/>
          <w:szCs w:val="22"/>
        </w:rPr>
        <w:t>, 2017).</w:t>
      </w:r>
    </w:p>
    <w:p w14:paraId="75F6C0BF" w14:textId="552CA927" w:rsidR="48A6FFF8" w:rsidRDefault="48A6FFF8" w:rsidP="007E16B6">
      <w:pPr>
        <w:pStyle w:val="Heading3"/>
        <w:spacing w:before="281" w:after="281" w:line="360" w:lineRule="auto"/>
        <w:rPr>
          <w:rFonts w:ascii="Arial" w:eastAsia="Arial" w:hAnsi="Arial" w:cs="Arial"/>
          <w:color w:val="auto"/>
          <w:sz w:val="22"/>
          <w:szCs w:val="22"/>
        </w:rPr>
      </w:pPr>
      <w:r w:rsidRPr="5E9BD0CD">
        <w:rPr>
          <w:rFonts w:ascii="Arial" w:eastAsia="Arial" w:hAnsi="Arial" w:cs="Arial"/>
          <w:color w:val="auto"/>
          <w:sz w:val="22"/>
          <w:szCs w:val="22"/>
        </w:rPr>
        <w:lastRenderedPageBreak/>
        <w:t>1. Adopt purpose-driven and distributed leadership</w:t>
      </w:r>
    </w:p>
    <w:p w14:paraId="2D4A99E2" w14:textId="7E3B2026" w:rsidR="48A6FFF8" w:rsidRDefault="48A6FFF8"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 xml:space="preserve">The organisation should adopt a combination of transformational, distributed and safety-focused leadership to sustain improvement (West </w:t>
      </w:r>
      <w:r w:rsidRPr="5E9BD0CD">
        <w:rPr>
          <w:rFonts w:ascii="Arial" w:eastAsia="Arial" w:hAnsi="Arial" w:cs="Arial"/>
          <w:i/>
          <w:iCs/>
          <w:sz w:val="22"/>
          <w:szCs w:val="22"/>
        </w:rPr>
        <w:t>et al.</w:t>
      </w:r>
      <w:r w:rsidRPr="5E9BD0CD">
        <w:rPr>
          <w:rFonts w:ascii="Arial" w:eastAsia="Arial" w:hAnsi="Arial" w:cs="Arial"/>
          <w:sz w:val="22"/>
          <w:szCs w:val="22"/>
        </w:rPr>
        <w:t>, 2015; Bass and Avolio, 199</w:t>
      </w:r>
      <w:r w:rsidR="4D14898B" w:rsidRPr="5E9BD0CD">
        <w:rPr>
          <w:rFonts w:ascii="Arial" w:eastAsia="Arial" w:hAnsi="Arial" w:cs="Arial"/>
          <w:sz w:val="22"/>
          <w:szCs w:val="22"/>
        </w:rPr>
        <w:t>3</w:t>
      </w:r>
      <w:r w:rsidRPr="5E9BD0CD">
        <w:rPr>
          <w:rFonts w:ascii="Arial" w:eastAsia="Arial" w:hAnsi="Arial" w:cs="Arial"/>
          <w:sz w:val="22"/>
          <w:szCs w:val="22"/>
        </w:rPr>
        <w:t xml:space="preserve">). Transformational leadership can promote a culture of psychological safety, staff engagement and shared responsibility, which are associated with improved patient outcomes (West </w:t>
      </w:r>
      <w:r w:rsidRPr="5E9BD0CD">
        <w:rPr>
          <w:rFonts w:ascii="Arial" w:eastAsia="Arial" w:hAnsi="Arial" w:cs="Arial"/>
          <w:i/>
          <w:iCs/>
          <w:sz w:val="22"/>
          <w:szCs w:val="22"/>
        </w:rPr>
        <w:t xml:space="preserve">et al., </w:t>
      </w:r>
      <w:r w:rsidRPr="5E9BD0CD">
        <w:rPr>
          <w:rFonts w:ascii="Arial" w:eastAsia="Arial" w:hAnsi="Arial" w:cs="Arial"/>
          <w:sz w:val="22"/>
          <w:szCs w:val="22"/>
        </w:rPr>
        <w:t xml:space="preserve">2015). In parallel, distributed leadership should empower frontline professionals, including pharmacists and nurses, to question prescriptions and escalate concerns without hierarchical barriers (NHS England, 2019). Evidence shows that organisations with high staff engagement and supportive leadership cultures demonstrate lower mortality rates and improved safety performance (West </w:t>
      </w:r>
      <w:r w:rsidRPr="5E9BD0CD">
        <w:rPr>
          <w:rFonts w:ascii="Arial" w:eastAsia="Arial" w:hAnsi="Arial" w:cs="Arial"/>
          <w:i/>
          <w:iCs/>
          <w:sz w:val="22"/>
          <w:szCs w:val="22"/>
        </w:rPr>
        <w:t>et al.</w:t>
      </w:r>
      <w:r w:rsidRPr="5E9BD0CD">
        <w:rPr>
          <w:rFonts w:ascii="Arial" w:eastAsia="Arial" w:hAnsi="Arial" w:cs="Arial"/>
          <w:sz w:val="22"/>
          <w:szCs w:val="22"/>
        </w:rPr>
        <w:t>, 2015). Leadership informed by Theory Y principles should therefore be prioritised, encouraging autonomy, communication and accountability across multidisciplinary teams (Northouse, 2022; Chandankhede and Thombre, 202</w:t>
      </w:r>
      <w:r w:rsidR="0CCB1A53" w:rsidRPr="5E9BD0CD">
        <w:rPr>
          <w:rFonts w:ascii="Arial" w:eastAsia="Arial" w:hAnsi="Arial" w:cs="Arial"/>
          <w:sz w:val="22"/>
          <w:szCs w:val="22"/>
        </w:rPr>
        <w:t>5</w:t>
      </w:r>
      <w:r w:rsidRPr="5E9BD0CD">
        <w:rPr>
          <w:rFonts w:ascii="Arial" w:eastAsia="Arial" w:hAnsi="Arial" w:cs="Arial"/>
          <w:sz w:val="22"/>
          <w:szCs w:val="22"/>
        </w:rPr>
        <w:t>).</w:t>
      </w:r>
    </w:p>
    <w:p w14:paraId="3D1A4262" w14:textId="78698120" w:rsidR="48A6FFF8" w:rsidRDefault="48A6FFF8" w:rsidP="007E16B6">
      <w:pPr>
        <w:pStyle w:val="Heading3"/>
        <w:spacing w:before="281" w:after="281" w:line="360" w:lineRule="auto"/>
        <w:rPr>
          <w:rFonts w:ascii="Arial" w:eastAsia="Arial" w:hAnsi="Arial" w:cs="Arial"/>
          <w:color w:val="auto"/>
          <w:sz w:val="22"/>
          <w:szCs w:val="22"/>
        </w:rPr>
      </w:pPr>
      <w:r w:rsidRPr="5E9BD0CD">
        <w:rPr>
          <w:rFonts w:ascii="Arial" w:eastAsia="Arial" w:hAnsi="Arial" w:cs="Arial"/>
          <w:color w:val="auto"/>
          <w:sz w:val="22"/>
          <w:szCs w:val="22"/>
        </w:rPr>
        <w:t>2. Strengthen governance through digital and standardised systems</w:t>
      </w:r>
    </w:p>
    <w:p w14:paraId="3C09B8E1" w14:textId="31DCAA2B" w:rsidR="48A6FFF8" w:rsidRDefault="48A6FFF8"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Governance for high-risk medicines should be reinforced through mandatory digital systems and standardised prescribing processes (W</w:t>
      </w:r>
      <w:r w:rsidR="5F25B2A6" w:rsidRPr="5E9BD0CD">
        <w:rPr>
          <w:rFonts w:ascii="Arial" w:eastAsia="Arial" w:hAnsi="Arial" w:cs="Arial"/>
          <w:sz w:val="22"/>
          <w:szCs w:val="22"/>
        </w:rPr>
        <w:t>HO</w:t>
      </w:r>
      <w:r w:rsidRPr="5E9BD0CD">
        <w:rPr>
          <w:rFonts w:ascii="Arial" w:eastAsia="Arial" w:hAnsi="Arial" w:cs="Arial"/>
          <w:sz w:val="22"/>
          <w:szCs w:val="22"/>
        </w:rPr>
        <w:t xml:space="preserve">, 2017). Electronic discharge summaries should be compulsory for all paediatric cases involving high-risk drugs, ensuring full specification of medication name, strength, formulation and dose in both units and volume (NHS England, 2021). Clinical decision support systems should be integrated to flag Red Drugs and prevent inappropriate prescribing in primary care (Kaushal </w:t>
      </w:r>
      <w:r w:rsidR="5C6A9A5C" w:rsidRPr="5E9BD0CD">
        <w:rPr>
          <w:rFonts w:ascii="Arial" w:eastAsia="Arial" w:hAnsi="Arial" w:cs="Arial"/>
          <w:sz w:val="22"/>
          <w:szCs w:val="22"/>
        </w:rPr>
        <w:t>Shojania and Bates</w:t>
      </w:r>
      <w:r w:rsidRPr="5E9BD0CD">
        <w:rPr>
          <w:rFonts w:ascii="Arial" w:eastAsia="Arial" w:hAnsi="Arial" w:cs="Arial"/>
          <w:sz w:val="22"/>
          <w:szCs w:val="22"/>
        </w:rPr>
        <w:t>, 2003). Evidence indicates that electronic prescribing systems can reduce medication errors by over 50% by improving accuracy and reducing communication failures (Kaushal</w:t>
      </w:r>
      <w:r w:rsidR="3989C000" w:rsidRPr="5E9BD0CD">
        <w:rPr>
          <w:rFonts w:ascii="Arial" w:eastAsia="Arial" w:hAnsi="Arial" w:cs="Arial"/>
          <w:sz w:val="22"/>
          <w:szCs w:val="22"/>
        </w:rPr>
        <w:t>, Shojania and Bates</w:t>
      </w:r>
      <w:r w:rsidRPr="5E9BD0CD">
        <w:rPr>
          <w:rFonts w:ascii="Arial" w:eastAsia="Arial" w:hAnsi="Arial" w:cs="Arial"/>
          <w:sz w:val="22"/>
          <w:szCs w:val="22"/>
        </w:rPr>
        <w:t xml:space="preserve"> 2003). These measures would improve technical efficiency by embedding safety controls directly within clinical workflows (</w:t>
      </w:r>
      <w:r w:rsidR="53BB55E4" w:rsidRPr="5E9BD0CD">
        <w:rPr>
          <w:rFonts w:ascii="Arial" w:eastAsia="Arial" w:hAnsi="Arial" w:cs="Arial"/>
          <w:sz w:val="22"/>
          <w:szCs w:val="22"/>
        </w:rPr>
        <w:t>Slawomirski, Auraaen and Klazinga, 2017</w:t>
      </w:r>
      <w:r w:rsidRPr="5E9BD0CD">
        <w:rPr>
          <w:rFonts w:ascii="Arial" w:eastAsia="Arial" w:hAnsi="Arial" w:cs="Arial"/>
          <w:sz w:val="22"/>
          <w:szCs w:val="22"/>
        </w:rPr>
        <w:t>).</w:t>
      </w:r>
    </w:p>
    <w:p w14:paraId="40435554" w14:textId="21CAD5EE" w:rsidR="48A6FFF8" w:rsidRDefault="48A6FFF8" w:rsidP="007E16B6">
      <w:pPr>
        <w:pStyle w:val="Heading3"/>
        <w:spacing w:before="281" w:after="281" w:line="360" w:lineRule="auto"/>
        <w:rPr>
          <w:rFonts w:ascii="Arial" w:eastAsia="Arial" w:hAnsi="Arial" w:cs="Arial"/>
          <w:color w:val="auto"/>
          <w:sz w:val="22"/>
          <w:szCs w:val="22"/>
        </w:rPr>
      </w:pPr>
      <w:r w:rsidRPr="5E9BD0CD">
        <w:rPr>
          <w:rFonts w:ascii="Arial" w:eastAsia="Arial" w:hAnsi="Arial" w:cs="Arial"/>
          <w:color w:val="auto"/>
          <w:sz w:val="22"/>
          <w:szCs w:val="22"/>
        </w:rPr>
        <w:t>3. Redesign communication and escalation processes</w:t>
      </w:r>
    </w:p>
    <w:p w14:paraId="36084764" w14:textId="34091898" w:rsidR="48A6FFF8" w:rsidRDefault="48A6FFF8"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Communication systems must be strengthened to ensure direct clinician-to-clinician interaction for high-risk medication queries (</w:t>
      </w:r>
      <w:r w:rsidR="0927F572" w:rsidRPr="5E9BD0CD">
        <w:rPr>
          <w:rFonts w:ascii="Arial" w:eastAsia="Arial" w:hAnsi="Arial" w:cs="Arial"/>
          <w:sz w:val="22"/>
          <w:szCs w:val="22"/>
        </w:rPr>
        <w:t>IHI</w:t>
      </w:r>
      <w:r w:rsidRPr="5E9BD0CD">
        <w:rPr>
          <w:rFonts w:ascii="Arial" w:eastAsia="Arial" w:hAnsi="Arial" w:cs="Arial"/>
          <w:sz w:val="22"/>
          <w:szCs w:val="22"/>
        </w:rPr>
        <w:t>, 20</w:t>
      </w:r>
      <w:r w:rsidR="2516A514" w:rsidRPr="5E9BD0CD">
        <w:rPr>
          <w:rFonts w:ascii="Arial" w:eastAsia="Arial" w:hAnsi="Arial" w:cs="Arial"/>
          <w:sz w:val="22"/>
          <w:szCs w:val="22"/>
        </w:rPr>
        <w:t>19</w:t>
      </w:r>
      <w:r w:rsidRPr="5E9BD0CD">
        <w:rPr>
          <w:rFonts w:ascii="Arial" w:eastAsia="Arial" w:hAnsi="Arial" w:cs="Arial"/>
          <w:sz w:val="22"/>
          <w:szCs w:val="22"/>
        </w:rPr>
        <w:t>). Pharmacists should be required to contact prescribers directly when concerns arise, particularly in paediatric opioid prescribing (NHS England, 2019). Structured communication tools, such as SBAR (Situation, Background, Assessment, Recommendation), should be implemented to standardise escalation processes (W</w:t>
      </w:r>
      <w:r w:rsidR="7AEBE580" w:rsidRPr="5E9BD0CD">
        <w:rPr>
          <w:rFonts w:ascii="Arial" w:eastAsia="Arial" w:hAnsi="Arial" w:cs="Arial"/>
          <w:sz w:val="22"/>
          <w:szCs w:val="22"/>
        </w:rPr>
        <w:t>HO</w:t>
      </w:r>
      <w:r w:rsidRPr="5E9BD0CD">
        <w:rPr>
          <w:rFonts w:ascii="Arial" w:eastAsia="Arial" w:hAnsi="Arial" w:cs="Arial"/>
          <w:sz w:val="22"/>
          <w:szCs w:val="22"/>
        </w:rPr>
        <w:t xml:space="preserve">, 2017). Evidence demonstrates that communication failures contribute to approximately 70% of serious patient safety incidents, highlighting the need for </w:t>
      </w:r>
      <w:r w:rsidRPr="5E9BD0CD">
        <w:rPr>
          <w:rFonts w:ascii="Arial" w:eastAsia="Arial" w:hAnsi="Arial" w:cs="Arial"/>
          <w:sz w:val="22"/>
          <w:szCs w:val="22"/>
        </w:rPr>
        <w:lastRenderedPageBreak/>
        <w:t>robust communication systems (</w:t>
      </w:r>
      <w:r w:rsidR="69744CFF" w:rsidRPr="5E9BD0CD">
        <w:rPr>
          <w:rFonts w:ascii="Arial" w:eastAsia="Arial" w:hAnsi="Arial" w:cs="Arial"/>
          <w:sz w:val="22"/>
          <w:szCs w:val="22"/>
        </w:rPr>
        <w:t>IHI</w:t>
      </w:r>
      <w:r w:rsidRPr="5E9BD0CD">
        <w:rPr>
          <w:rFonts w:ascii="Arial" w:eastAsia="Arial" w:hAnsi="Arial" w:cs="Arial"/>
          <w:sz w:val="22"/>
          <w:szCs w:val="22"/>
        </w:rPr>
        <w:t>, 20</w:t>
      </w:r>
      <w:r w:rsidR="75EBF972" w:rsidRPr="5E9BD0CD">
        <w:rPr>
          <w:rFonts w:ascii="Arial" w:eastAsia="Arial" w:hAnsi="Arial" w:cs="Arial"/>
          <w:sz w:val="22"/>
          <w:szCs w:val="22"/>
        </w:rPr>
        <w:t>19</w:t>
      </w:r>
      <w:r w:rsidRPr="5E9BD0CD">
        <w:rPr>
          <w:rFonts w:ascii="Arial" w:eastAsia="Arial" w:hAnsi="Arial" w:cs="Arial"/>
          <w:sz w:val="22"/>
          <w:szCs w:val="22"/>
        </w:rPr>
        <w:t>). Daily safety huddles should also be introduced to support proactive risk identification and multidisciplinary coordination (NHS England, 2021).</w:t>
      </w:r>
    </w:p>
    <w:p w14:paraId="4BBF1467" w14:textId="1DC68B60" w:rsidR="48A6FFF8" w:rsidRDefault="48A6FFF8" w:rsidP="007E16B6">
      <w:pPr>
        <w:pStyle w:val="Heading3"/>
        <w:spacing w:before="281" w:after="281" w:line="360" w:lineRule="auto"/>
        <w:rPr>
          <w:rFonts w:ascii="Arial" w:eastAsia="Arial" w:hAnsi="Arial" w:cs="Arial"/>
          <w:color w:val="auto"/>
          <w:sz w:val="22"/>
          <w:szCs w:val="22"/>
        </w:rPr>
      </w:pPr>
      <w:r w:rsidRPr="5E9BD0CD">
        <w:rPr>
          <w:rFonts w:ascii="Arial" w:eastAsia="Arial" w:hAnsi="Arial" w:cs="Arial"/>
          <w:color w:val="auto"/>
          <w:sz w:val="22"/>
          <w:szCs w:val="22"/>
        </w:rPr>
        <w:t>4. Improve technical and allocative efficiency</w:t>
      </w:r>
    </w:p>
    <w:p w14:paraId="36F2E651" w14:textId="7D43DA74" w:rsidR="48A6FFF8" w:rsidRDefault="48A6FFF8"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Technical efficiency should be enhanced through the adoption of digital technologies such as electronic prescribing, barcode medication administration systems and automated alerts for high-risk medicines (</w:t>
      </w:r>
      <w:r w:rsidR="56A7183F" w:rsidRPr="5E9BD0CD">
        <w:rPr>
          <w:rFonts w:ascii="Arial" w:eastAsia="Arial" w:hAnsi="Arial" w:cs="Arial"/>
          <w:sz w:val="22"/>
          <w:szCs w:val="22"/>
        </w:rPr>
        <w:t>Slawomirski, Auraaen and Klazinga, 2017</w:t>
      </w:r>
      <w:r w:rsidRPr="5E9BD0CD">
        <w:rPr>
          <w:rFonts w:ascii="Arial" w:eastAsia="Arial" w:hAnsi="Arial" w:cs="Arial"/>
          <w:sz w:val="22"/>
          <w:szCs w:val="22"/>
        </w:rPr>
        <w:t>). Barcode systems have been shown to significantly reduce medication administration errors by improving accuracy and verification processes (W</w:t>
      </w:r>
      <w:r w:rsidR="18CAA2AD" w:rsidRPr="5E9BD0CD">
        <w:rPr>
          <w:rFonts w:ascii="Arial" w:eastAsia="Arial" w:hAnsi="Arial" w:cs="Arial"/>
          <w:sz w:val="22"/>
          <w:szCs w:val="22"/>
        </w:rPr>
        <w:t>HO</w:t>
      </w:r>
      <w:r w:rsidRPr="5E9BD0CD">
        <w:rPr>
          <w:rFonts w:ascii="Arial" w:eastAsia="Arial" w:hAnsi="Arial" w:cs="Arial"/>
          <w:sz w:val="22"/>
          <w:szCs w:val="22"/>
        </w:rPr>
        <w:t>, 2017). Allocative efficiency should be improved by prioritising resources toward high-risk areas such as paediatric prescribing and transitions of care, where error rates are highest (Elliott et al., 2018). Targeted investment in specialist pharmacy support for neonatal and paediatric care would further reduce risk and improve outcomes (NHS England, 2021).</w:t>
      </w:r>
    </w:p>
    <w:p w14:paraId="7594ADF3" w14:textId="3CF048A9" w:rsidR="48A6FFF8" w:rsidRDefault="48A6FFF8" w:rsidP="007E16B6">
      <w:pPr>
        <w:pStyle w:val="Heading3"/>
        <w:spacing w:before="281" w:after="281" w:line="360" w:lineRule="auto"/>
        <w:rPr>
          <w:rFonts w:ascii="Arial" w:eastAsia="Arial" w:hAnsi="Arial" w:cs="Arial"/>
          <w:color w:val="auto"/>
          <w:sz w:val="22"/>
          <w:szCs w:val="22"/>
        </w:rPr>
      </w:pPr>
      <w:r w:rsidRPr="5E9BD0CD">
        <w:rPr>
          <w:rFonts w:ascii="Arial" w:eastAsia="Arial" w:hAnsi="Arial" w:cs="Arial"/>
          <w:color w:val="auto"/>
          <w:sz w:val="22"/>
          <w:szCs w:val="22"/>
        </w:rPr>
        <w:t>5. Strengthen stakeholder engagement and co-production</w:t>
      </w:r>
    </w:p>
    <w:p w14:paraId="5EB440D2" w14:textId="0C6CDEC2" w:rsidR="48A6FFF8" w:rsidRDefault="48A6FFF8"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Patients and families should be actively involved as partners in medication safety through co-production approaches (W</w:t>
      </w:r>
      <w:r w:rsidR="5EFFE8F3" w:rsidRPr="5E9BD0CD">
        <w:rPr>
          <w:rFonts w:ascii="Arial" w:eastAsia="Arial" w:hAnsi="Arial" w:cs="Arial"/>
          <w:sz w:val="22"/>
          <w:szCs w:val="22"/>
        </w:rPr>
        <w:t>HO</w:t>
      </w:r>
      <w:r w:rsidRPr="5E9BD0CD">
        <w:rPr>
          <w:rFonts w:ascii="Arial" w:eastAsia="Arial" w:hAnsi="Arial" w:cs="Arial"/>
          <w:sz w:val="22"/>
          <w:szCs w:val="22"/>
        </w:rPr>
        <w:t>, 2017). Pharmacists should provide clear demonstrations of medication administration, including the use of appropriate measuring devices such as oral syringes, and confirm understanding through teach-back methods (I</w:t>
      </w:r>
      <w:r w:rsidR="1A6FA497" w:rsidRPr="5E9BD0CD">
        <w:rPr>
          <w:rFonts w:ascii="Arial" w:eastAsia="Arial" w:hAnsi="Arial" w:cs="Arial"/>
          <w:sz w:val="22"/>
          <w:szCs w:val="22"/>
        </w:rPr>
        <w:t>HI,</w:t>
      </w:r>
      <w:r w:rsidRPr="5E9BD0CD">
        <w:rPr>
          <w:rFonts w:ascii="Arial" w:eastAsia="Arial" w:hAnsi="Arial" w:cs="Arial"/>
          <w:sz w:val="22"/>
          <w:szCs w:val="22"/>
        </w:rPr>
        <w:t xml:space="preserve"> 20</w:t>
      </w:r>
      <w:r w:rsidR="1E1F28A0" w:rsidRPr="5E9BD0CD">
        <w:rPr>
          <w:rFonts w:ascii="Arial" w:eastAsia="Arial" w:hAnsi="Arial" w:cs="Arial"/>
          <w:sz w:val="22"/>
          <w:szCs w:val="22"/>
        </w:rPr>
        <w:t>19</w:t>
      </w:r>
      <w:r w:rsidRPr="5E9BD0CD">
        <w:rPr>
          <w:rFonts w:ascii="Arial" w:eastAsia="Arial" w:hAnsi="Arial" w:cs="Arial"/>
          <w:sz w:val="22"/>
          <w:szCs w:val="22"/>
        </w:rPr>
        <w:t>). Evidence shows that effective patient education significantly reduces medication administration errors, particularly in paediatric care (Kaushal et al., 2001). Engaging families as active participants in care strengthens the final safety barrier in the medication pathway (WHO, 2017).</w:t>
      </w:r>
    </w:p>
    <w:p w14:paraId="51F981F9" w14:textId="7A8B7AB6" w:rsidR="48A6FFF8" w:rsidRDefault="48A6FFF8" w:rsidP="007E16B6">
      <w:pPr>
        <w:pStyle w:val="Heading3"/>
        <w:spacing w:before="281" w:after="281" w:line="360" w:lineRule="auto"/>
        <w:rPr>
          <w:rFonts w:ascii="Arial" w:eastAsia="Arial" w:hAnsi="Arial" w:cs="Arial"/>
          <w:color w:val="auto"/>
          <w:sz w:val="22"/>
          <w:szCs w:val="22"/>
        </w:rPr>
      </w:pPr>
      <w:r w:rsidRPr="5E9BD0CD">
        <w:rPr>
          <w:rFonts w:ascii="Arial" w:eastAsia="Arial" w:hAnsi="Arial" w:cs="Arial"/>
          <w:color w:val="auto"/>
          <w:sz w:val="22"/>
          <w:szCs w:val="22"/>
        </w:rPr>
        <w:t>6. Embed continuous learning and system feedback</w:t>
      </w:r>
    </w:p>
    <w:p w14:paraId="7F060463" w14:textId="2A7956EB" w:rsidR="5E9BD0CD" w:rsidRDefault="48A6FFF8"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Continuous learning should be supported through robust audit, feedback and incident reporting systems (Braithwaite et al., 2017). Organisations should regularly review medication errors, near misses and compliance with discharge and prescribing standards to identify patterns and implement improvements (NHS England, 2019). Recurrent incidents involving the same medication should trigger mandatory system redesign rather than passive dissemination of alerts (W</w:t>
      </w:r>
      <w:r w:rsidR="56603565" w:rsidRPr="5E9BD0CD">
        <w:rPr>
          <w:rFonts w:ascii="Arial" w:eastAsia="Arial" w:hAnsi="Arial" w:cs="Arial"/>
          <w:sz w:val="22"/>
          <w:szCs w:val="22"/>
        </w:rPr>
        <w:t>HO</w:t>
      </w:r>
      <w:r w:rsidRPr="5E9BD0CD">
        <w:rPr>
          <w:rFonts w:ascii="Arial" w:eastAsia="Arial" w:hAnsi="Arial" w:cs="Arial"/>
          <w:sz w:val="22"/>
          <w:szCs w:val="22"/>
        </w:rPr>
        <w:t>, 2017). Evidence suggests that organisations that actively use safety data for learning demonstrate significantly improved patient safety outcomes (Braithwaite et al., 2017).</w:t>
      </w:r>
    </w:p>
    <w:p w14:paraId="32B4803E" w14:textId="77777777" w:rsidR="005E1FCA" w:rsidRDefault="005E1FCA" w:rsidP="007E16B6">
      <w:pPr>
        <w:spacing w:before="240" w:after="240" w:line="360" w:lineRule="auto"/>
        <w:rPr>
          <w:rFonts w:ascii="Arial" w:eastAsia="Arial" w:hAnsi="Arial" w:cs="Arial"/>
          <w:sz w:val="22"/>
          <w:szCs w:val="22"/>
        </w:rPr>
      </w:pPr>
    </w:p>
    <w:p w14:paraId="4CDBDF49" w14:textId="77777777" w:rsidR="005E1FCA" w:rsidRDefault="005E1FCA" w:rsidP="007E16B6">
      <w:pPr>
        <w:spacing w:before="240" w:after="240" w:line="360" w:lineRule="auto"/>
        <w:rPr>
          <w:rFonts w:ascii="Arial" w:eastAsia="Arial" w:hAnsi="Arial" w:cs="Arial"/>
          <w:sz w:val="22"/>
          <w:szCs w:val="22"/>
        </w:rPr>
      </w:pPr>
    </w:p>
    <w:p w14:paraId="3956CE36" w14:textId="50046CB2" w:rsidR="33A285A6" w:rsidRPr="005E1FCA" w:rsidRDefault="10E7D2BD" w:rsidP="007E16B6">
      <w:pPr>
        <w:spacing w:before="240" w:after="240" w:line="360" w:lineRule="auto"/>
        <w:rPr>
          <w:rFonts w:ascii="Arial" w:eastAsia="Arial" w:hAnsi="Arial" w:cs="Arial"/>
          <w:b/>
          <w:bCs/>
          <w:sz w:val="22"/>
          <w:szCs w:val="22"/>
        </w:rPr>
      </w:pPr>
      <w:r w:rsidRPr="005E1FCA">
        <w:rPr>
          <w:rFonts w:ascii="Arial" w:eastAsia="Arial" w:hAnsi="Arial" w:cs="Arial"/>
          <w:b/>
          <w:bCs/>
          <w:sz w:val="22"/>
          <w:szCs w:val="22"/>
        </w:rPr>
        <w:lastRenderedPageBreak/>
        <w:t>Conclusion</w:t>
      </w:r>
    </w:p>
    <w:p w14:paraId="5F5AD840" w14:textId="3CEED098" w:rsidR="1B8FF6C2" w:rsidRDefault="1B8FF6C2"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This case study examined the infant morphine overdose as a complex patient safety failure shaped by leadership, governance and system design. The analysis demonstrated that the incident was not attributable to a single individual error, but rather to a series of interconnected failures across discharge communication, prescribing, dispensing and administration processes (Reason, 2000; NHS England North East and Yorkshire, 2023). These failures exposed significant weaknesses in communication, implementation of governance policies, organisational learning and system feedback mechanisms (</w:t>
      </w:r>
      <w:r w:rsidR="36A17CB7" w:rsidRPr="5E9BD0CD">
        <w:rPr>
          <w:rFonts w:ascii="Arial" w:eastAsia="Arial" w:hAnsi="Arial" w:cs="Arial"/>
          <w:sz w:val="22"/>
          <w:szCs w:val="22"/>
        </w:rPr>
        <w:t>WHO</w:t>
      </w:r>
      <w:r w:rsidRPr="5E9BD0CD">
        <w:rPr>
          <w:rFonts w:ascii="Arial" w:eastAsia="Arial" w:hAnsi="Arial" w:cs="Arial"/>
          <w:sz w:val="22"/>
          <w:szCs w:val="22"/>
        </w:rPr>
        <w:t>, 2017).</w:t>
      </w:r>
    </w:p>
    <w:p w14:paraId="69610D2D" w14:textId="51472F71" w:rsidR="1B8FF6C2" w:rsidRDefault="1B8FF6C2"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From a systems thinking perspective, the case highlighted how multiple interacting components across organisational boundaries contributed to harm. The recurrence of similar incidents nationally indicates that the system failed to learn effectively from previous events, reflecting weak feedback loops and insufficient translation of safety data into practice (Braithwaite et al., 2017; NHS England North East and Yorkshire, 2023). This reinforces the importance of viewing patient safety as a whole-system issue rather than an isolated clinical problem (Sterman, 2000).</w:t>
      </w:r>
    </w:p>
    <w:p w14:paraId="29B94A36" w14:textId="7084BA46" w:rsidR="1B8FF6C2" w:rsidRDefault="1B8FF6C2"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The analysis also demonstrated that both centralised and decentralised structures influenced the outcome. While centralised governance established appropriate safety intentions through Red Drug classification, decentralised operational practice exposed weaknesses in communication, accountability and coordination (Mintzberg, 2009; Yukl, 2013). This misalignment between policy and practice ultimately undermined patient safety.</w:t>
      </w:r>
    </w:p>
    <w:p w14:paraId="31398BA2" w14:textId="4AF415C5" w:rsidR="1B8FF6C2" w:rsidRDefault="1B8FF6C2" w:rsidP="007E16B6">
      <w:pPr>
        <w:spacing w:before="240" w:after="240" w:line="360" w:lineRule="auto"/>
        <w:rPr>
          <w:rFonts w:ascii="Arial" w:eastAsia="Arial" w:hAnsi="Arial" w:cs="Arial"/>
          <w:sz w:val="22"/>
          <w:szCs w:val="22"/>
        </w:rPr>
      </w:pPr>
      <w:r w:rsidRPr="5E9BD0CD">
        <w:rPr>
          <w:rFonts w:ascii="Arial" w:eastAsia="Arial" w:hAnsi="Arial" w:cs="Arial"/>
          <w:sz w:val="22"/>
          <w:szCs w:val="22"/>
        </w:rPr>
        <w:t xml:space="preserve">Leadership failures were evident in the predominantly reactive and control-oriented approach adopted. Although governance structures were in place, leadership did not effectively promote proactive risk management, communication or shared accountability (West </w:t>
      </w:r>
      <w:r w:rsidRPr="5E9BD0CD">
        <w:rPr>
          <w:rFonts w:ascii="Arial" w:eastAsia="Arial" w:hAnsi="Arial" w:cs="Arial"/>
          <w:i/>
          <w:iCs/>
          <w:sz w:val="22"/>
          <w:szCs w:val="22"/>
        </w:rPr>
        <w:t>et al</w:t>
      </w:r>
      <w:r w:rsidRPr="5E9BD0CD">
        <w:rPr>
          <w:rFonts w:ascii="Arial" w:eastAsia="Arial" w:hAnsi="Arial" w:cs="Arial"/>
          <w:sz w:val="22"/>
          <w:szCs w:val="22"/>
        </w:rPr>
        <w:t xml:space="preserve">., 2015). Evidence suggests that leadership approaches emphasising engagement, collaboration and psychological safety are more effective in improving patient outcomes (West </w:t>
      </w:r>
      <w:r w:rsidRPr="5E9BD0CD">
        <w:rPr>
          <w:rFonts w:ascii="Arial" w:eastAsia="Arial" w:hAnsi="Arial" w:cs="Arial"/>
          <w:i/>
          <w:iCs/>
          <w:sz w:val="22"/>
          <w:szCs w:val="22"/>
        </w:rPr>
        <w:t>et al</w:t>
      </w:r>
      <w:r w:rsidRPr="5E9BD0CD">
        <w:rPr>
          <w:rFonts w:ascii="Arial" w:eastAsia="Arial" w:hAnsi="Arial" w:cs="Arial"/>
          <w:sz w:val="22"/>
          <w:szCs w:val="22"/>
        </w:rPr>
        <w:t>., 2015; NHS England, 202</w:t>
      </w:r>
      <w:r w:rsidR="43E3D00F" w:rsidRPr="5E9BD0CD">
        <w:rPr>
          <w:rFonts w:ascii="Arial" w:eastAsia="Arial" w:hAnsi="Arial" w:cs="Arial"/>
          <w:sz w:val="22"/>
          <w:szCs w:val="22"/>
        </w:rPr>
        <w:t>5</w:t>
      </w:r>
      <w:r w:rsidRPr="5E9BD0CD">
        <w:rPr>
          <w:rFonts w:ascii="Arial" w:eastAsia="Arial" w:hAnsi="Arial" w:cs="Arial"/>
          <w:sz w:val="22"/>
          <w:szCs w:val="22"/>
        </w:rPr>
        <w:t>).</w:t>
      </w:r>
    </w:p>
    <w:p w14:paraId="250A8E37" w14:textId="77777777" w:rsidR="005E1FCA" w:rsidRDefault="1B8FF6C2" w:rsidP="005E1FCA">
      <w:pPr>
        <w:spacing w:before="240" w:after="240" w:line="360" w:lineRule="auto"/>
        <w:rPr>
          <w:rFonts w:ascii="Arial" w:eastAsia="Arial" w:hAnsi="Arial" w:cs="Arial"/>
          <w:sz w:val="22"/>
          <w:szCs w:val="22"/>
        </w:rPr>
      </w:pPr>
      <w:r w:rsidRPr="5E9BD0CD">
        <w:rPr>
          <w:rFonts w:ascii="Arial" w:eastAsia="Arial" w:hAnsi="Arial" w:cs="Arial"/>
          <w:sz w:val="22"/>
          <w:szCs w:val="22"/>
        </w:rPr>
        <w:t xml:space="preserve">Overall, this case demonstrates that sustainable improvement in healthcare safety </w:t>
      </w:r>
      <w:r w:rsidR="3F163E6D" w:rsidRPr="5E9BD0CD">
        <w:rPr>
          <w:rFonts w:ascii="Arial" w:eastAsia="Arial" w:hAnsi="Arial" w:cs="Arial"/>
          <w:sz w:val="22"/>
          <w:szCs w:val="22"/>
        </w:rPr>
        <w:t xml:space="preserve">requires the integration of leadership, governance and systems thinking to ensure effective, system-wide improvement (WHO, 2017; West </w:t>
      </w:r>
      <w:r w:rsidR="3F163E6D" w:rsidRPr="5E9BD0CD">
        <w:rPr>
          <w:rFonts w:ascii="Arial" w:eastAsia="Arial" w:hAnsi="Arial" w:cs="Arial"/>
          <w:i/>
          <w:iCs/>
          <w:sz w:val="22"/>
          <w:szCs w:val="22"/>
        </w:rPr>
        <w:t>et al.</w:t>
      </w:r>
      <w:r w:rsidR="3F163E6D" w:rsidRPr="5E9BD0CD">
        <w:rPr>
          <w:rFonts w:ascii="Arial" w:eastAsia="Arial" w:hAnsi="Arial" w:cs="Arial"/>
          <w:sz w:val="22"/>
          <w:szCs w:val="22"/>
        </w:rPr>
        <w:t xml:space="preserve">, 2015; Braithwaite </w:t>
      </w:r>
      <w:r w:rsidR="3F163E6D" w:rsidRPr="5E9BD0CD">
        <w:rPr>
          <w:rFonts w:ascii="Arial" w:eastAsia="Arial" w:hAnsi="Arial" w:cs="Arial"/>
          <w:i/>
          <w:iCs/>
          <w:sz w:val="22"/>
          <w:szCs w:val="22"/>
        </w:rPr>
        <w:t>et al</w:t>
      </w:r>
      <w:r w:rsidR="3F163E6D" w:rsidRPr="5E9BD0CD">
        <w:rPr>
          <w:rFonts w:ascii="Arial" w:eastAsia="Arial" w:hAnsi="Arial" w:cs="Arial"/>
          <w:sz w:val="22"/>
          <w:szCs w:val="22"/>
        </w:rPr>
        <w:t>., 2017)</w:t>
      </w:r>
      <w:r w:rsidRPr="5E9BD0CD">
        <w:rPr>
          <w:rFonts w:ascii="Arial" w:eastAsia="Arial" w:hAnsi="Arial" w:cs="Arial"/>
          <w:sz w:val="22"/>
          <w:szCs w:val="22"/>
        </w:rPr>
        <w:t>. Effective change depends on proactive leadership, robust governance implementation and continuous use of data to support learning and accountability, ensuring that patient safety is addressed as a system-wide priority (W</w:t>
      </w:r>
      <w:r w:rsidR="20A900A8" w:rsidRPr="5E9BD0CD">
        <w:rPr>
          <w:rFonts w:ascii="Arial" w:eastAsia="Arial" w:hAnsi="Arial" w:cs="Arial"/>
          <w:sz w:val="22"/>
          <w:szCs w:val="22"/>
        </w:rPr>
        <w:t>HO</w:t>
      </w:r>
      <w:r w:rsidRPr="5E9BD0CD">
        <w:rPr>
          <w:rFonts w:ascii="Arial" w:eastAsia="Arial" w:hAnsi="Arial" w:cs="Arial"/>
          <w:sz w:val="22"/>
          <w:szCs w:val="22"/>
        </w:rPr>
        <w:t>, 2017).</w:t>
      </w:r>
    </w:p>
    <w:p w14:paraId="144F5FE8" w14:textId="1F83F995" w:rsidR="2A974A79" w:rsidRDefault="2A974A79" w:rsidP="005E1FCA">
      <w:pPr>
        <w:spacing w:before="240" w:after="240" w:line="360" w:lineRule="auto"/>
        <w:jc w:val="center"/>
        <w:rPr>
          <w:rFonts w:ascii="Arial" w:eastAsia="Arial" w:hAnsi="Arial" w:cs="Arial"/>
          <w:b/>
          <w:bCs/>
          <w:sz w:val="28"/>
          <w:szCs w:val="28"/>
        </w:rPr>
      </w:pPr>
      <w:r w:rsidRPr="007E16B6">
        <w:rPr>
          <w:rFonts w:ascii="Arial" w:eastAsia="Arial" w:hAnsi="Arial" w:cs="Arial"/>
          <w:b/>
          <w:bCs/>
          <w:sz w:val="28"/>
          <w:szCs w:val="28"/>
        </w:rPr>
        <w:lastRenderedPageBreak/>
        <w:t>Reference list</w:t>
      </w:r>
    </w:p>
    <w:p w14:paraId="625705E1" w14:textId="77777777" w:rsidR="005E1FCA" w:rsidRPr="005E1FCA" w:rsidRDefault="005E1FCA" w:rsidP="005E1FCA">
      <w:pPr>
        <w:spacing w:before="240" w:after="240" w:line="360" w:lineRule="auto"/>
        <w:jc w:val="center"/>
        <w:rPr>
          <w:rFonts w:ascii="Arial" w:eastAsia="Arial" w:hAnsi="Arial" w:cs="Arial"/>
          <w:sz w:val="22"/>
          <w:szCs w:val="22"/>
        </w:rPr>
      </w:pPr>
    </w:p>
    <w:p w14:paraId="61DE9620" w14:textId="77777777" w:rsidR="007E16B6" w:rsidRPr="007E16B6" w:rsidRDefault="007E16B6" w:rsidP="007E16B6">
      <w:pPr>
        <w:pStyle w:val="NormalWeb"/>
        <w:spacing w:line="360" w:lineRule="auto"/>
        <w:rPr>
          <w:rFonts w:asciiTheme="minorHAnsi" w:hAnsiTheme="minorHAnsi" w:cstheme="minorHAnsi"/>
          <w:sz w:val="22"/>
          <w:szCs w:val="22"/>
        </w:rPr>
      </w:pPr>
      <w:r w:rsidRPr="007E16B6">
        <w:rPr>
          <w:rFonts w:asciiTheme="minorHAnsi" w:hAnsiTheme="minorHAnsi" w:cstheme="minorHAnsi"/>
          <w:sz w:val="22"/>
          <w:szCs w:val="22"/>
        </w:rPr>
        <w:t xml:space="preserve">Bass, B.M. and Avolio, B.J. (1993) </w:t>
      </w:r>
      <w:r w:rsidRPr="007E16B6">
        <w:rPr>
          <w:rStyle w:val="Emphasis"/>
          <w:rFonts w:asciiTheme="minorHAnsi" w:hAnsiTheme="minorHAnsi" w:cstheme="minorHAnsi"/>
          <w:sz w:val="22"/>
          <w:szCs w:val="22"/>
        </w:rPr>
        <w:t>Improving organizational effectiveness through transformational leadership</w:t>
      </w:r>
      <w:r w:rsidRPr="007E16B6">
        <w:rPr>
          <w:rFonts w:asciiTheme="minorHAnsi" w:hAnsiTheme="minorHAnsi" w:cstheme="minorHAnsi"/>
          <w:sz w:val="22"/>
          <w:szCs w:val="22"/>
        </w:rPr>
        <w:t xml:space="preserve">. Thousand Oaks, CA: Sage. Available at: </w:t>
      </w:r>
      <w:hyperlink r:id="rId5" w:tgtFrame="_new" w:history="1">
        <w:r w:rsidRPr="007E16B6">
          <w:rPr>
            <w:rStyle w:val="Hyperlink"/>
            <w:rFonts w:asciiTheme="minorHAnsi" w:hAnsiTheme="minorHAnsi" w:cstheme="minorHAnsi"/>
            <w:sz w:val="22"/>
            <w:szCs w:val="22"/>
          </w:rPr>
          <w:t>https://us.sagepub.com/en-us/nam/improving-organizational-effectiveness-through-transformational-leadership/book4228</w:t>
        </w:r>
      </w:hyperlink>
      <w:r w:rsidRPr="007E16B6">
        <w:rPr>
          <w:rFonts w:asciiTheme="minorHAnsi" w:hAnsiTheme="minorHAnsi" w:cstheme="minorHAnsi"/>
          <w:sz w:val="22"/>
          <w:szCs w:val="22"/>
        </w:rPr>
        <w:t xml:space="preserve"> (Accessed: 13 March 2026).</w:t>
      </w:r>
    </w:p>
    <w:p w14:paraId="33323A2B" w14:textId="77777777" w:rsidR="007E16B6" w:rsidRPr="007E16B6" w:rsidRDefault="007E16B6" w:rsidP="007E16B6">
      <w:pPr>
        <w:pStyle w:val="NormalWeb"/>
        <w:spacing w:line="360" w:lineRule="auto"/>
        <w:rPr>
          <w:rFonts w:asciiTheme="minorHAnsi" w:hAnsiTheme="minorHAnsi" w:cstheme="minorHAnsi"/>
          <w:sz w:val="22"/>
          <w:szCs w:val="22"/>
        </w:rPr>
      </w:pPr>
      <w:r w:rsidRPr="007E16B6">
        <w:rPr>
          <w:rFonts w:asciiTheme="minorHAnsi" w:hAnsiTheme="minorHAnsi" w:cstheme="minorHAnsi"/>
          <w:sz w:val="22"/>
          <w:szCs w:val="22"/>
        </w:rPr>
        <w:t xml:space="preserve">Braithwaite, J., Herkes, J., Ludlow, K., Testa, L. and </w:t>
      </w:r>
      <w:proofErr w:type="spellStart"/>
      <w:r w:rsidRPr="007E16B6">
        <w:rPr>
          <w:rFonts w:asciiTheme="minorHAnsi" w:hAnsiTheme="minorHAnsi" w:cstheme="minorHAnsi"/>
          <w:sz w:val="22"/>
          <w:szCs w:val="22"/>
        </w:rPr>
        <w:t>Lamprell</w:t>
      </w:r>
      <w:proofErr w:type="spellEnd"/>
      <w:r w:rsidRPr="007E16B6">
        <w:rPr>
          <w:rFonts w:asciiTheme="minorHAnsi" w:hAnsiTheme="minorHAnsi" w:cstheme="minorHAnsi"/>
          <w:sz w:val="22"/>
          <w:szCs w:val="22"/>
        </w:rPr>
        <w:t xml:space="preserve">, G. (2017) ‘Association between organisational and workplace cultures, and patient outcomes: systematic review’, </w:t>
      </w:r>
      <w:r w:rsidRPr="007E16B6">
        <w:rPr>
          <w:rStyle w:val="Emphasis"/>
          <w:rFonts w:asciiTheme="minorHAnsi" w:hAnsiTheme="minorHAnsi" w:cstheme="minorHAnsi"/>
          <w:sz w:val="22"/>
          <w:szCs w:val="22"/>
        </w:rPr>
        <w:t>BMJ Open</w:t>
      </w:r>
      <w:r w:rsidRPr="007E16B6">
        <w:rPr>
          <w:rFonts w:asciiTheme="minorHAnsi" w:hAnsiTheme="minorHAnsi" w:cstheme="minorHAnsi"/>
          <w:sz w:val="22"/>
          <w:szCs w:val="22"/>
        </w:rPr>
        <w:t xml:space="preserve">, 7(11), e017708. Available at: </w:t>
      </w:r>
      <w:hyperlink r:id="rId6" w:tgtFrame="_new" w:history="1">
        <w:r w:rsidRPr="007E16B6">
          <w:rPr>
            <w:rStyle w:val="Hyperlink"/>
            <w:rFonts w:asciiTheme="minorHAnsi" w:hAnsiTheme="minorHAnsi" w:cstheme="minorHAnsi"/>
            <w:sz w:val="22"/>
            <w:szCs w:val="22"/>
          </w:rPr>
          <w:t>https://bmjopen.bmj.com/content/7/11/e017708</w:t>
        </w:r>
      </w:hyperlink>
      <w:r w:rsidRPr="007E16B6">
        <w:rPr>
          <w:rFonts w:asciiTheme="minorHAnsi" w:hAnsiTheme="minorHAnsi" w:cstheme="minorHAnsi"/>
          <w:sz w:val="22"/>
          <w:szCs w:val="22"/>
        </w:rPr>
        <w:t xml:space="preserve"> (Accessed: 16 March 2026). </w:t>
      </w:r>
    </w:p>
    <w:p w14:paraId="28EE56B8" w14:textId="77777777" w:rsidR="007E16B6" w:rsidRPr="007E16B6" w:rsidRDefault="007E16B6" w:rsidP="007E16B6">
      <w:pPr>
        <w:pStyle w:val="NormalWeb"/>
        <w:spacing w:line="360" w:lineRule="auto"/>
        <w:rPr>
          <w:rFonts w:asciiTheme="minorHAnsi" w:hAnsiTheme="minorHAnsi" w:cstheme="minorHAnsi"/>
          <w:sz w:val="22"/>
          <w:szCs w:val="22"/>
        </w:rPr>
      </w:pPr>
      <w:r w:rsidRPr="007E16B6">
        <w:rPr>
          <w:rFonts w:asciiTheme="minorHAnsi" w:hAnsiTheme="minorHAnsi" w:cstheme="minorHAnsi"/>
          <w:sz w:val="22"/>
          <w:szCs w:val="22"/>
        </w:rPr>
        <w:t xml:space="preserve">Carlyle, T. (1841) </w:t>
      </w:r>
      <w:r w:rsidRPr="007E16B6">
        <w:rPr>
          <w:rStyle w:val="Emphasis"/>
          <w:rFonts w:asciiTheme="minorHAnsi" w:hAnsiTheme="minorHAnsi" w:cstheme="minorHAnsi"/>
          <w:sz w:val="22"/>
          <w:szCs w:val="22"/>
        </w:rPr>
        <w:t>On heroes, hero-worship, and the heroic in history</w:t>
      </w:r>
      <w:r w:rsidRPr="007E16B6">
        <w:rPr>
          <w:rFonts w:asciiTheme="minorHAnsi" w:hAnsiTheme="minorHAnsi" w:cstheme="minorHAnsi"/>
          <w:sz w:val="22"/>
          <w:szCs w:val="22"/>
        </w:rPr>
        <w:t>. London: James Fraser.</w:t>
      </w:r>
    </w:p>
    <w:p w14:paraId="5A81952D" w14:textId="77777777" w:rsidR="007E16B6" w:rsidRPr="007E16B6" w:rsidRDefault="007E16B6" w:rsidP="007E16B6">
      <w:pPr>
        <w:pStyle w:val="NormalWeb"/>
        <w:spacing w:line="360" w:lineRule="auto"/>
        <w:rPr>
          <w:rFonts w:asciiTheme="minorHAnsi" w:hAnsiTheme="minorHAnsi" w:cstheme="minorHAnsi"/>
          <w:sz w:val="22"/>
          <w:szCs w:val="22"/>
        </w:rPr>
      </w:pPr>
      <w:proofErr w:type="spellStart"/>
      <w:r w:rsidRPr="007E16B6">
        <w:rPr>
          <w:rFonts w:asciiTheme="minorHAnsi" w:hAnsiTheme="minorHAnsi" w:cstheme="minorHAnsi"/>
          <w:sz w:val="22"/>
          <w:szCs w:val="22"/>
        </w:rPr>
        <w:t>Chandankhede</w:t>
      </w:r>
      <w:proofErr w:type="spellEnd"/>
      <w:r w:rsidRPr="007E16B6">
        <w:rPr>
          <w:rFonts w:asciiTheme="minorHAnsi" w:hAnsiTheme="minorHAnsi" w:cstheme="minorHAnsi"/>
          <w:sz w:val="22"/>
          <w:szCs w:val="22"/>
        </w:rPr>
        <w:t xml:space="preserve">, A.R. and Thombre, S.D. (2025) ‘Exploring the motivational landscape: A qualitative analysis of staff empowerment in hospital settings’, </w:t>
      </w:r>
      <w:proofErr w:type="spellStart"/>
      <w:r w:rsidRPr="007E16B6">
        <w:rPr>
          <w:rStyle w:val="Emphasis"/>
          <w:rFonts w:asciiTheme="minorHAnsi" w:hAnsiTheme="minorHAnsi" w:cstheme="minorHAnsi"/>
          <w:sz w:val="22"/>
          <w:szCs w:val="22"/>
        </w:rPr>
        <w:t>Cureus</w:t>
      </w:r>
      <w:proofErr w:type="spellEnd"/>
      <w:r w:rsidRPr="007E16B6">
        <w:rPr>
          <w:rFonts w:asciiTheme="minorHAnsi" w:hAnsiTheme="minorHAnsi" w:cstheme="minorHAnsi"/>
          <w:sz w:val="22"/>
          <w:szCs w:val="22"/>
        </w:rPr>
        <w:t xml:space="preserve">, 17(4), e81754. Available at: </w:t>
      </w:r>
      <w:hyperlink r:id="rId7" w:tgtFrame="_new" w:history="1">
        <w:r w:rsidRPr="007E16B6">
          <w:rPr>
            <w:rStyle w:val="Hyperlink"/>
            <w:rFonts w:asciiTheme="minorHAnsi" w:hAnsiTheme="minorHAnsi" w:cstheme="minorHAnsi"/>
            <w:sz w:val="22"/>
            <w:szCs w:val="22"/>
          </w:rPr>
          <w:t>https://pmc.ncbi.nlm.nih.gov/articles/PMC12051717/</w:t>
        </w:r>
      </w:hyperlink>
      <w:r w:rsidRPr="007E16B6">
        <w:rPr>
          <w:rFonts w:asciiTheme="minorHAnsi" w:hAnsiTheme="minorHAnsi" w:cstheme="minorHAnsi"/>
          <w:sz w:val="22"/>
          <w:szCs w:val="22"/>
        </w:rPr>
        <w:t xml:space="preserve"> (Accessed: 5 March 2026).</w:t>
      </w:r>
    </w:p>
    <w:p w14:paraId="3844D25D" w14:textId="77777777" w:rsidR="007E16B6" w:rsidRPr="007E16B6" w:rsidRDefault="007E16B6" w:rsidP="007E16B6">
      <w:pPr>
        <w:pStyle w:val="NormalWeb"/>
        <w:spacing w:line="360" w:lineRule="auto"/>
        <w:rPr>
          <w:rFonts w:asciiTheme="minorHAnsi" w:hAnsiTheme="minorHAnsi" w:cstheme="minorHAnsi"/>
          <w:sz w:val="22"/>
          <w:szCs w:val="22"/>
        </w:rPr>
      </w:pPr>
      <w:r w:rsidRPr="007E16B6">
        <w:rPr>
          <w:rFonts w:asciiTheme="minorHAnsi" w:hAnsiTheme="minorHAnsi" w:cstheme="minorHAnsi"/>
          <w:sz w:val="22"/>
          <w:szCs w:val="22"/>
        </w:rPr>
        <w:t xml:space="preserve">Elliott, R.A., Camacho, E., Jankovic, D., </w:t>
      </w:r>
      <w:proofErr w:type="spellStart"/>
      <w:r w:rsidRPr="007E16B6">
        <w:rPr>
          <w:rFonts w:asciiTheme="minorHAnsi" w:hAnsiTheme="minorHAnsi" w:cstheme="minorHAnsi"/>
          <w:sz w:val="22"/>
          <w:szCs w:val="22"/>
        </w:rPr>
        <w:t>Sculpher</w:t>
      </w:r>
      <w:proofErr w:type="spellEnd"/>
      <w:r w:rsidRPr="007E16B6">
        <w:rPr>
          <w:rFonts w:asciiTheme="minorHAnsi" w:hAnsiTheme="minorHAnsi" w:cstheme="minorHAnsi"/>
          <w:sz w:val="22"/>
          <w:szCs w:val="22"/>
        </w:rPr>
        <w:t xml:space="preserve">, M.J. and Faria, R. (2018) </w:t>
      </w:r>
      <w:r w:rsidRPr="007E16B6">
        <w:rPr>
          <w:rStyle w:val="Emphasis"/>
          <w:rFonts w:asciiTheme="minorHAnsi" w:hAnsiTheme="minorHAnsi" w:cstheme="minorHAnsi"/>
          <w:sz w:val="22"/>
          <w:szCs w:val="22"/>
        </w:rPr>
        <w:t>Prevalence and economic burden of medication errors in the NHS in England</w:t>
      </w:r>
      <w:r w:rsidRPr="007E16B6">
        <w:rPr>
          <w:rFonts w:asciiTheme="minorHAnsi" w:hAnsiTheme="minorHAnsi" w:cstheme="minorHAnsi"/>
          <w:sz w:val="22"/>
          <w:szCs w:val="22"/>
        </w:rPr>
        <w:t xml:space="preserve">. Sheffield: Policy Research Unit in Economic Evaluation of Health and Care Interventions. Available at: </w:t>
      </w:r>
      <w:hyperlink r:id="rId8" w:tgtFrame="_new" w:history="1">
        <w:r w:rsidRPr="007E16B6">
          <w:rPr>
            <w:rStyle w:val="Hyperlink"/>
            <w:rFonts w:asciiTheme="minorHAnsi" w:hAnsiTheme="minorHAnsi" w:cstheme="minorHAnsi"/>
            <w:sz w:val="22"/>
            <w:szCs w:val="22"/>
          </w:rPr>
          <w:t>https://orda.shef.ac.uk/articles/report/PREVALENCE_AND_ECONOMIC_BURDEN_OF_MEDICATION_ERRORS_IN_THE_NHS_IN_ENGLAND_Rapid_evidence_synthesis_and_economic_analysis_of_the_prevalence_and_burden_of_medication_error_in_the_UK/25218950?file=44544338</w:t>
        </w:r>
      </w:hyperlink>
      <w:r w:rsidRPr="007E16B6">
        <w:rPr>
          <w:rFonts w:asciiTheme="minorHAnsi" w:hAnsiTheme="minorHAnsi" w:cstheme="minorHAnsi"/>
          <w:sz w:val="22"/>
          <w:szCs w:val="22"/>
        </w:rPr>
        <w:t xml:space="preserve"> (Accessed: 5 March 2026).</w:t>
      </w:r>
    </w:p>
    <w:p w14:paraId="43470CA8" w14:textId="77777777" w:rsidR="007E16B6" w:rsidRPr="007E16B6" w:rsidRDefault="007E16B6" w:rsidP="007E16B6">
      <w:pPr>
        <w:pStyle w:val="NormalWeb"/>
        <w:spacing w:line="360" w:lineRule="auto"/>
        <w:rPr>
          <w:rFonts w:asciiTheme="minorHAnsi" w:hAnsiTheme="minorHAnsi" w:cstheme="minorHAnsi"/>
          <w:sz w:val="22"/>
          <w:szCs w:val="22"/>
        </w:rPr>
      </w:pPr>
      <w:r w:rsidRPr="007E16B6">
        <w:rPr>
          <w:rFonts w:asciiTheme="minorHAnsi" w:hAnsiTheme="minorHAnsi" w:cstheme="minorHAnsi"/>
          <w:sz w:val="22"/>
          <w:szCs w:val="22"/>
        </w:rPr>
        <w:t xml:space="preserve">Gadsby, E.W. and Wilding, H. (2024) ‘Systems thinking in, and for, public health: a call for a broader path’, </w:t>
      </w:r>
      <w:r w:rsidRPr="007E16B6">
        <w:rPr>
          <w:rStyle w:val="Emphasis"/>
          <w:rFonts w:asciiTheme="minorHAnsi" w:hAnsiTheme="minorHAnsi" w:cstheme="minorHAnsi"/>
          <w:sz w:val="22"/>
          <w:szCs w:val="22"/>
        </w:rPr>
        <w:t>Health Promotion International</w:t>
      </w:r>
      <w:r w:rsidRPr="007E16B6">
        <w:rPr>
          <w:rFonts w:asciiTheme="minorHAnsi" w:hAnsiTheme="minorHAnsi" w:cstheme="minorHAnsi"/>
          <w:sz w:val="22"/>
          <w:szCs w:val="22"/>
        </w:rPr>
        <w:t xml:space="preserve">, 39(4). Available at: </w:t>
      </w:r>
      <w:hyperlink r:id="rId9" w:tgtFrame="_new" w:history="1">
        <w:r w:rsidRPr="007E16B6">
          <w:rPr>
            <w:rStyle w:val="Hyperlink"/>
            <w:rFonts w:asciiTheme="minorHAnsi" w:hAnsiTheme="minorHAnsi" w:cstheme="minorHAnsi"/>
            <w:sz w:val="22"/>
            <w:szCs w:val="22"/>
          </w:rPr>
          <w:t>https://pmc.ncbi.nlm.nih.gov/articles/PMC11319874/</w:t>
        </w:r>
      </w:hyperlink>
      <w:r w:rsidRPr="007E16B6">
        <w:rPr>
          <w:rFonts w:asciiTheme="minorHAnsi" w:hAnsiTheme="minorHAnsi" w:cstheme="minorHAnsi"/>
          <w:sz w:val="22"/>
          <w:szCs w:val="22"/>
        </w:rPr>
        <w:t xml:space="preserve"> (Accessed: 17 March 2026).</w:t>
      </w:r>
    </w:p>
    <w:p w14:paraId="17BD5ED4" w14:textId="77777777" w:rsidR="007E16B6" w:rsidRPr="007E16B6" w:rsidRDefault="007E16B6" w:rsidP="007E16B6">
      <w:pPr>
        <w:pStyle w:val="NormalWeb"/>
        <w:spacing w:line="360" w:lineRule="auto"/>
        <w:rPr>
          <w:rFonts w:asciiTheme="minorHAnsi" w:hAnsiTheme="minorHAnsi" w:cstheme="minorHAnsi"/>
          <w:sz w:val="22"/>
          <w:szCs w:val="22"/>
        </w:rPr>
      </w:pPr>
      <w:r w:rsidRPr="007E16B6">
        <w:rPr>
          <w:rFonts w:asciiTheme="minorHAnsi" w:hAnsiTheme="minorHAnsi" w:cstheme="minorHAnsi"/>
          <w:sz w:val="22"/>
          <w:szCs w:val="22"/>
        </w:rPr>
        <w:t xml:space="preserve">Health Foundation (2022) </w:t>
      </w:r>
      <w:r w:rsidRPr="007E16B6">
        <w:rPr>
          <w:rStyle w:val="Emphasis"/>
          <w:rFonts w:asciiTheme="minorHAnsi" w:hAnsiTheme="minorHAnsi" w:cstheme="minorHAnsi"/>
          <w:sz w:val="22"/>
          <w:szCs w:val="22"/>
        </w:rPr>
        <w:t>NHS workforce projections 2022</w:t>
      </w:r>
      <w:r w:rsidRPr="007E16B6">
        <w:rPr>
          <w:rFonts w:asciiTheme="minorHAnsi" w:hAnsiTheme="minorHAnsi" w:cstheme="minorHAnsi"/>
          <w:sz w:val="22"/>
          <w:szCs w:val="22"/>
        </w:rPr>
        <w:t xml:space="preserve">. Available at: </w:t>
      </w:r>
      <w:hyperlink r:id="rId10" w:tgtFrame="_new" w:history="1">
        <w:r w:rsidRPr="007E16B6">
          <w:rPr>
            <w:rStyle w:val="Hyperlink"/>
            <w:rFonts w:asciiTheme="minorHAnsi" w:hAnsiTheme="minorHAnsi" w:cstheme="minorHAnsi"/>
            <w:sz w:val="22"/>
            <w:szCs w:val="22"/>
          </w:rPr>
          <w:t>https://www.health.org.uk/reports-and-analysis/reports/nhs-workforce-projections-2022</w:t>
        </w:r>
      </w:hyperlink>
      <w:r w:rsidRPr="007E16B6">
        <w:rPr>
          <w:rFonts w:asciiTheme="minorHAnsi" w:hAnsiTheme="minorHAnsi" w:cstheme="minorHAnsi"/>
          <w:sz w:val="22"/>
          <w:szCs w:val="22"/>
        </w:rPr>
        <w:t xml:space="preserve"> (Accessed: 10 March 2026).</w:t>
      </w:r>
    </w:p>
    <w:p w14:paraId="56EB9DAB" w14:textId="77777777" w:rsidR="007E16B6" w:rsidRPr="007E16B6" w:rsidRDefault="007E16B6" w:rsidP="007E16B6">
      <w:pPr>
        <w:pStyle w:val="NormalWeb"/>
        <w:spacing w:line="360" w:lineRule="auto"/>
        <w:rPr>
          <w:rFonts w:asciiTheme="minorHAnsi" w:hAnsiTheme="minorHAnsi" w:cstheme="minorHAnsi"/>
          <w:sz w:val="22"/>
          <w:szCs w:val="22"/>
        </w:rPr>
      </w:pPr>
      <w:r w:rsidRPr="007E16B6">
        <w:rPr>
          <w:rFonts w:asciiTheme="minorHAnsi" w:hAnsiTheme="minorHAnsi" w:cstheme="minorHAnsi"/>
          <w:sz w:val="22"/>
          <w:szCs w:val="22"/>
        </w:rPr>
        <w:t xml:space="preserve">Hersey, P., Blanchard, K.H. and Johnson, D.E. (2012) </w:t>
      </w:r>
      <w:r w:rsidRPr="007E16B6">
        <w:rPr>
          <w:rStyle w:val="Emphasis"/>
          <w:rFonts w:asciiTheme="minorHAnsi" w:hAnsiTheme="minorHAnsi" w:cstheme="minorHAnsi"/>
          <w:sz w:val="22"/>
          <w:szCs w:val="22"/>
        </w:rPr>
        <w:t xml:space="preserve">Management of organizational </w:t>
      </w:r>
      <w:proofErr w:type="spellStart"/>
      <w:r w:rsidRPr="007E16B6">
        <w:rPr>
          <w:rStyle w:val="Emphasis"/>
          <w:rFonts w:asciiTheme="minorHAnsi" w:hAnsiTheme="minorHAnsi" w:cstheme="minorHAnsi"/>
          <w:sz w:val="22"/>
          <w:szCs w:val="22"/>
        </w:rPr>
        <w:t>behavior</w:t>
      </w:r>
      <w:proofErr w:type="spellEnd"/>
      <w:r w:rsidRPr="007E16B6">
        <w:rPr>
          <w:rStyle w:val="Emphasis"/>
          <w:rFonts w:asciiTheme="minorHAnsi" w:hAnsiTheme="minorHAnsi" w:cstheme="minorHAnsi"/>
          <w:sz w:val="22"/>
          <w:szCs w:val="22"/>
        </w:rPr>
        <w:t>: Leading human resources</w:t>
      </w:r>
      <w:r w:rsidRPr="007E16B6">
        <w:rPr>
          <w:rFonts w:asciiTheme="minorHAnsi" w:hAnsiTheme="minorHAnsi" w:cstheme="minorHAnsi"/>
          <w:sz w:val="22"/>
          <w:szCs w:val="22"/>
        </w:rPr>
        <w:t xml:space="preserve">. 10th </w:t>
      </w:r>
      <w:proofErr w:type="spellStart"/>
      <w:r w:rsidRPr="007E16B6">
        <w:rPr>
          <w:rFonts w:asciiTheme="minorHAnsi" w:hAnsiTheme="minorHAnsi" w:cstheme="minorHAnsi"/>
          <w:sz w:val="22"/>
          <w:szCs w:val="22"/>
        </w:rPr>
        <w:t>edn</w:t>
      </w:r>
      <w:proofErr w:type="spellEnd"/>
      <w:r w:rsidRPr="007E16B6">
        <w:rPr>
          <w:rFonts w:asciiTheme="minorHAnsi" w:hAnsiTheme="minorHAnsi" w:cstheme="minorHAnsi"/>
          <w:sz w:val="22"/>
          <w:szCs w:val="22"/>
        </w:rPr>
        <w:t>. Harlow: Pearson.</w:t>
      </w:r>
    </w:p>
    <w:p w14:paraId="280C7ADF" w14:textId="77777777" w:rsidR="007E16B6" w:rsidRPr="007E16B6" w:rsidRDefault="007E16B6" w:rsidP="007E16B6">
      <w:pPr>
        <w:pStyle w:val="NormalWeb"/>
        <w:spacing w:line="360" w:lineRule="auto"/>
        <w:rPr>
          <w:rFonts w:asciiTheme="minorHAnsi" w:hAnsiTheme="minorHAnsi" w:cstheme="minorHAnsi"/>
          <w:sz w:val="22"/>
          <w:szCs w:val="22"/>
        </w:rPr>
      </w:pPr>
      <w:r w:rsidRPr="007E16B6">
        <w:rPr>
          <w:rFonts w:asciiTheme="minorHAnsi" w:hAnsiTheme="minorHAnsi" w:cstheme="minorHAnsi"/>
          <w:sz w:val="22"/>
          <w:szCs w:val="22"/>
        </w:rPr>
        <w:lastRenderedPageBreak/>
        <w:t xml:space="preserve">Institute for Healthcare Improvement (2019) </w:t>
      </w:r>
      <w:r w:rsidRPr="007E16B6">
        <w:rPr>
          <w:rStyle w:val="Emphasis"/>
          <w:rFonts w:asciiTheme="minorHAnsi" w:hAnsiTheme="minorHAnsi" w:cstheme="minorHAnsi"/>
          <w:sz w:val="22"/>
          <w:szCs w:val="22"/>
        </w:rPr>
        <w:t>Patient Safety Essentials Toolkit</w:t>
      </w:r>
      <w:r w:rsidRPr="007E16B6">
        <w:rPr>
          <w:rFonts w:asciiTheme="minorHAnsi" w:hAnsiTheme="minorHAnsi" w:cstheme="minorHAnsi"/>
          <w:sz w:val="22"/>
          <w:szCs w:val="22"/>
        </w:rPr>
        <w:t xml:space="preserve">. Available at: </w:t>
      </w:r>
      <w:hyperlink r:id="rId11" w:tgtFrame="_new" w:history="1">
        <w:r w:rsidRPr="007E16B6">
          <w:rPr>
            <w:rStyle w:val="Hyperlink"/>
            <w:rFonts w:asciiTheme="minorHAnsi" w:hAnsiTheme="minorHAnsi" w:cstheme="minorHAnsi"/>
            <w:sz w:val="22"/>
            <w:szCs w:val="22"/>
          </w:rPr>
          <w:t>https://www.ihi.org/resources/Pages/Tools/Patient-Safety-Essentials-Toolkit.aspx</w:t>
        </w:r>
      </w:hyperlink>
      <w:r w:rsidRPr="007E16B6">
        <w:rPr>
          <w:rFonts w:asciiTheme="minorHAnsi" w:hAnsiTheme="minorHAnsi" w:cstheme="minorHAnsi"/>
          <w:sz w:val="22"/>
          <w:szCs w:val="22"/>
        </w:rPr>
        <w:t xml:space="preserve"> (Accessed: 9 March 2026).</w:t>
      </w:r>
    </w:p>
    <w:p w14:paraId="01D27703" w14:textId="77777777" w:rsidR="007E16B6" w:rsidRPr="007E16B6" w:rsidRDefault="007E16B6" w:rsidP="007E16B6">
      <w:pPr>
        <w:pStyle w:val="NormalWeb"/>
        <w:spacing w:line="360" w:lineRule="auto"/>
        <w:rPr>
          <w:rFonts w:asciiTheme="minorHAnsi" w:hAnsiTheme="minorHAnsi" w:cstheme="minorHAnsi"/>
          <w:sz w:val="22"/>
          <w:szCs w:val="22"/>
        </w:rPr>
      </w:pPr>
      <w:r w:rsidRPr="007E16B6">
        <w:rPr>
          <w:rFonts w:asciiTheme="minorHAnsi" w:hAnsiTheme="minorHAnsi" w:cstheme="minorHAnsi"/>
          <w:sz w:val="22"/>
          <w:szCs w:val="22"/>
        </w:rPr>
        <w:t xml:space="preserve">Kaushal, R., Bates, D.W., Landrigan, C., McKenna, K.J., Clapp, M.D., Federico, F. and Goldmann, D.A. (2001) ‘Medication errors and adverse drug events in </w:t>
      </w:r>
      <w:proofErr w:type="spellStart"/>
      <w:r w:rsidRPr="007E16B6">
        <w:rPr>
          <w:rFonts w:asciiTheme="minorHAnsi" w:hAnsiTheme="minorHAnsi" w:cstheme="minorHAnsi"/>
          <w:sz w:val="22"/>
          <w:szCs w:val="22"/>
        </w:rPr>
        <w:t>pediatric</w:t>
      </w:r>
      <w:proofErr w:type="spellEnd"/>
      <w:r w:rsidRPr="007E16B6">
        <w:rPr>
          <w:rFonts w:asciiTheme="minorHAnsi" w:hAnsiTheme="minorHAnsi" w:cstheme="minorHAnsi"/>
          <w:sz w:val="22"/>
          <w:szCs w:val="22"/>
        </w:rPr>
        <w:t xml:space="preserve"> inpatients’, </w:t>
      </w:r>
      <w:r w:rsidRPr="007E16B6">
        <w:rPr>
          <w:rStyle w:val="Emphasis"/>
          <w:rFonts w:asciiTheme="minorHAnsi" w:hAnsiTheme="minorHAnsi" w:cstheme="minorHAnsi"/>
          <w:sz w:val="22"/>
          <w:szCs w:val="22"/>
        </w:rPr>
        <w:t>JAMA</w:t>
      </w:r>
      <w:r w:rsidRPr="007E16B6">
        <w:rPr>
          <w:rFonts w:asciiTheme="minorHAnsi" w:hAnsiTheme="minorHAnsi" w:cstheme="minorHAnsi"/>
          <w:sz w:val="22"/>
          <w:szCs w:val="22"/>
        </w:rPr>
        <w:t xml:space="preserve">, 285(16), pp. 2114–2120. Available at: </w:t>
      </w:r>
      <w:hyperlink r:id="rId12" w:tgtFrame="_new" w:history="1">
        <w:r w:rsidRPr="007E16B6">
          <w:rPr>
            <w:rStyle w:val="Hyperlink"/>
            <w:rFonts w:asciiTheme="minorHAnsi" w:hAnsiTheme="minorHAnsi" w:cstheme="minorHAnsi"/>
            <w:sz w:val="22"/>
            <w:szCs w:val="22"/>
          </w:rPr>
          <w:t>https://jamanetwork.com/journals/jama/fullarticle/193775</w:t>
        </w:r>
      </w:hyperlink>
      <w:r w:rsidRPr="007E16B6">
        <w:rPr>
          <w:rFonts w:asciiTheme="minorHAnsi" w:hAnsiTheme="minorHAnsi" w:cstheme="minorHAnsi"/>
          <w:sz w:val="22"/>
          <w:szCs w:val="22"/>
        </w:rPr>
        <w:t xml:space="preserve"> (Accessed: 6 March 2026).</w:t>
      </w:r>
    </w:p>
    <w:p w14:paraId="022C51D6" w14:textId="77777777" w:rsidR="007E16B6" w:rsidRPr="007E16B6" w:rsidRDefault="007E16B6" w:rsidP="007E16B6">
      <w:pPr>
        <w:pStyle w:val="NormalWeb"/>
        <w:spacing w:line="360" w:lineRule="auto"/>
        <w:rPr>
          <w:rFonts w:asciiTheme="minorHAnsi" w:hAnsiTheme="minorHAnsi" w:cstheme="minorHAnsi"/>
          <w:sz w:val="22"/>
          <w:szCs w:val="22"/>
        </w:rPr>
      </w:pPr>
      <w:r w:rsidRPr="007E16B6">
        <w:rPr>
          <w:rFonts w:asciiTheme="minorHAnsi" w:hAnsiTheme="minorHAnsi" w:cstheme="minorHAnsi"/>
          <w:sz w:val="22"/>
          <w:szCs w:val="22"/>
        </w:rPr>
        <w:t xml:space="preserve">Kaushal, R., </w:t>
      </w:r>
      <w:proofErr w:type="spellStart"/>
      <w:r w:rsidRPr="007E16B6">
        <w:rPr>
          <w:rFonts w:asciiTheme="minorHAnsi" w:hAnsiTheme="minorHAnsi" w:cstheme="minorHAnsi"/>
          <w:sz w:val="22"/>
          <w:szCs w:val="22"/>
        </w:rPr>
        <w:t>Shojania</w:t>
      </w:r>
      <w:proofErr w:type="spellEnd"/>
      <w:r w:rsidRPr="007E16B6">
        <w:rPr>
          <w:rFonts w:asciiTheme="minorHAnsi" w:hAnsiTheme="minorHAnsi" w:cstheme="minorHAnsi"/>
          <w:sz w:val="22"/>
          <w:szCs w:val="22"/>
        </w:rPr>
        <w:t xml:space="preserve">, K.G. and Bates, D.W. (2003) ‘Effects of computerized physician order entry and clinical decision support systems on medication safety’, </w:t>
      </w:r>
      <w:r w:rsidRPr="007E16B6">
        <w:rPr>
          <w:rStyle w:val="Emphasis"/>
          <w:rFonts w:asciiTheme="minorHAnsi" w:hAnsiTheme="minorHAnsi" w:cstheme="minorHAnsi"/>
          <w:sz w:val="22"/>
          <w:szCs w:val="22"/>
        </w:rPr>
        <w:t>Archives of Internal Medicine</w:t>
      </w:r>
      <w:r w:rsidRPr="007E16B6">
        <w:rPr>
          <w:rFonts w:asciiTheme="minorHAnsi" w:hAnsiTheme="minorHAnsi" w:cstheme="minorHAnsi"/>
          <w:sz w:val="22"/>
          <w:szCs w:val="22"/>
        </w:rPr>
        <w:t xml:space="preserve">, 163(12), pp. 1409–1416. Available at: </w:t>
      </w:r>
      <w:hyperlink r:id="rId13" w:tgtFrame="_new" w:history="1">
        <w:r w:rsidRPr="007E16B6">
          <w:rPr>
            <w:rStyle w:val="Hyperlink"/>
            <w:rFonts w:asciiTheme="minorHAnsi" w:hAnsiTheme="minorHAnsi" w:cstheme="minorHAnsi"/>
            <w:sz w:val="22"/>
            <w:szCs w:val="22"/>
          </w:rPr>
          <w:t>https://jamanetwork.com/journals/jamainternalmedicine/fullarticle/215756</w:t>
        </w:r>
      </w:hyperlink>
      <w:r w:rsidRPr="007E16B6">
        <w:rPr>
          <w:rFonts w:asciiTheme="minorHAnsi" w:hAnsiTheme="minorHAnsi" w:cstheme="minorHAnsi"/>
          <w:sz w:val="22"/>
          <w:szCs w:val="22"/>
        </w:rPr>
        <w:t xml:space="preserve"> (Accessed: 6 March 2026).</w:t>
      </w:r>
    </w:p>
    <w:p w14:paraId="794C2481" w14:textId="77777777" w:rsidR="007E16B6" w:rsidRPr="007E16B6" w:rsidRDefault="007E16B6" w:rsidP="007E16B6">
      <w:pPr>
        <w:pStyle w:val="NormalWeb"/>
        <w:spacing w:line="360" w:lineRule="auto"/>
        <w:rPr>
          <w:rFonts w:asciiTheme="minorHAnsi" w:hAnsiTheme="minorHAnsi" w:cstheme="minorHAnsi"/>
          <w:sz w:val="22"/>
          <w:szCs w:val="22"/>
        </w:rPr>
      </w:pPr>
      <w:r w:rsidRPr="007E16B6">
        <w:rPr>
          <w:rFonts w:asciiTheme="minorHAnsi" w:hAnsiTheme="minorHAnsi" w:cstheme="minorHAnsi"/>
          <w:sz w:val="22"/>
          <w:szCs w:val="22"/>
        </w:rPr>
        <w:t xml:space="preserve">McGregor, D. (1960) </w:t>
      </w:r>
      <w:r w:rsidRPr="007E16B6">
        <w:rPr>
          <w:rStyle w:val="Emphasis"/>
          <w:rFonts w:asciiTheme="minorHAnsi" w:hAnsiTheme="minorHAnsi" w:cstheme="minorHAnsi"/>
          <w:sz w:val="22"/>
          <w:szCs w:val="22"/>
        </w:rPr>
        <w:t>The human side of enterprise</w:t>
      </w:r>
      <w:r w:rsidRPr="007E16B6">
        <w:rPr>
          <w:rFonts w:asciiTheme="minorHAnsi" w:hAnsiTheme="minorHAnsi" w:cstheme="minorHAnsi"/>
          <w:sz w:val="22"/>
          <w:szCs w:val="22"/>
        </w:rPr>
        <w:t>. New York: McGraw-Hill.</w:t>
      </w:r>
    </w:p>
    <w:p w14:paraId="79216EAD" w14:textId="77777777" w:rsidR="007E16B6" w:rsidRPr="007E16B6" w:rsidRDefault="007E16B6" w:rsidP="007E16B6">
      <w:pPr>
        <w:pStyle w:val="NormalWeb"/>
        <w:spacing w:line="360" w:lineRule="auto"/>
        <w:rPr>
          <w:rFonts w:asciiTheme="minorHAnsi" w:hAnsiTheme="minorHAnsi" w:cstheme="minorHAnsi"/>
          <w:sz w:val="22"/>
          <w:szCs w:val="22"/>
        </w:rPr>
      </w:pPr>
      <w:r w:rsidRPr="007E16B6">
        <w:rPr>
          <w:rFonts w:asciiTheme="minorHAnsi" w:hAnsiTheme="minorHAnsi" w:cstheme="minorHAnsi"/>
          <w:sz w:val="22"/>
          <w:szCs w:val="22"/>
        </w:rPr>
        <w:t xml:space="preserve">Mintzberg, H. (2009) </w:t>
      </w:r>
      <w:r w:rsidRPr="007E16B6">
        <w:rPr>
          <w:rStyle w:val="Emphasis"/>
          <w:rFonts w:asciiTheme="minorHAnsi" w:hAnsiTheme="minorHAnsi" w:cstheme="minorHAnsi"/>
          <w:sz w:val="22"/>
          <w:szCs w:val="22"/>
        </w:rPr>
        <w:t>Managing</w:t>
      </w:r>
      <w:r w:rsidRPr="007E16B6">
        <w:rPr>
          <w:rFonts w:asciiTheme="minorHAnsi" w:hAnsiTheme="minorHAnsi" w:cstheme="minorHAnsi"/>
          <w:sz w:val="22"/>
          <w:szCs w:val="22"/>
        </w:rPr>
        <w:t>. Harlow: Pearson Education.</w:t>
      </w:r>
    </w:p>
    <w:p w14:paraId="129FEB4C" w14:textId="77777777" w:rsidR="007E16B6" w:rsidRPr="007E16B6" w:rsidRDefault="007E16B6" w:rsidP="007E16B6">
      <w:pPr>
        <w:pStyle w:val="NormalWeb"/>
        <w:spacing w:line="360" w:lineRule="auto"/>
        <w:rPr>
          <w:rFonts w:asciiTheme="minorHAnsi" w:hAnsiTheme="minorHAnsi" w:cstheme="minorHAnsi"/>
          <w:sz w:val="22"/>
          <w:szCs w:val="22"/>
        </w:rPr>
      </w:pPr>
      <w:r w:rsidRPr="007E16B6">
        <w:rPr>
          <w:rFonts w:asciiTheme="minorHAnsi" w:hAnsiTheme="minorHAnsi" w:cstheme="minorHAnsi"/>
          <w:sz w:val="22"/>
          <w:szCs w:val="22"/>
        </w:rPr>
        <w:t xml:space="preserve">NHS England (2019) </w:t>
      </w:r>
      <w:r w:rsidRPr="007E16B6">
        <w:rPr>
          <w:rStyle w:val="Emphasis"/>
          <w:rFonts w:asciiTheme="minorHAnsi" w:hAnsiTheme="minorHAnsi" w:cstheme="minorHAnsi"/>
          <w:sz w:val="22"/>
          <w:szCs w:val="22"/>
        </w:rPr>
        <w:t>The NHS Patient Safety Strategy: Safer culture, safer systems, safer patients</w:t>
      </w:r>
      <w:r w:rsidRPr="007E16B6">
        <w:rPr>
          <w:rFonts w:asciiTheme="minorHAnsi" w:hAnsiTheme="minorHAnsi" w:cstheme="minorHAnsi"/>
          <w:sz w:val="22"/>
          <w:szCs w:val="22"/>
        </w:rPr>
        <w:t xml:space="preserve">. Available at: </w:t>
      </w:r>
      <w:hyperlink r:id="rId14" w:tgtFrame="_new" w:history="1">
        <w:r w:rsidRPr="007E16B6">
          <w:rPr>
            <w:rStyle w:val="Hyperlink"/>
            <w:rFonts w:asciiTheme="minorHAnsi" w:hAnsiTheme="minorHAnsi" w:cstheme="minorHAnsi"/>
            <w:sz w:val="22"/>
            <w:szCs w:val="22"/>
          </w:rPr>
          <w:t>https://www.england.nhs.uk/wp-content/uploads/2020/08/190708_Patient_Safety_Strategy_for_website_v4.pdf</w:t>
        </w:r>
      </w:hyperlink>
      <w:r w:rsidRPr="007E16B6">
        <w:rPr>
          <w:rFonts w:asciiTheme="minorHAnsi" w:hAnsiTheme="minorHAnsi" w:cstheme="minorHAnsi"/>
          <w:sz w:val="22"/>
          <w:szCs w:val="22"/>
        </w:rPr>
        <w:t xml:space="preserve"> (Accessed: 13 March 2026).</w:t>
      </w:r>
    </w:p>
    <w:p w14:paraId="1C126D3F" w14:textId="77777777" w:rsidR="007E16B6" w:rsidRPr="007E16B6" w:rsidRDefault="007E16B6" w:rsidP="007E16B6">
      <w:pPr>
        <w:pStyle w:val="NormalWeb"/>
        <w:spacing w:line="360" w:lineRule="auto"/>
        <w:rPr>
          <w:rFonts w:asciiTheme="minorHAnsi" w:hAnsiTheme="minorHAnsi" w:cstheme="minorHAnsi"/>
          <w:sz w:val="22"/>
          <w:szCs w:val="22"/>
        </w:rPr>
      </w:pPr>
      <w:r w:rsidRPr="007E16B6">
        <w:rPr>
          <w:rFonts w:asciiTheme="minorHAnsi" w:hAnsiTheme="minorHAnsi" w:cstheme="minorHAnsi"/>
          <w:sz w:val="22"/>
          <w:szCs w:val="22"/>
        </w:rPr>
        <w:t xml:space="preserve">NHS England (2021) </w:t>
      </w:r>
      <w:r w:rsidRPr="007E16B6">
        <w:rPr>
          <w:rStyle w:val="Emphasis"/>
          <w:rFonts w:asciiTheme="minorHAnsi" w:hAnsiTheme="minorHAnsi" w:cstheme="minorHAnsi"/>
          <w:sz w:val="22"/>
          <w:szCs w:val="22"/>
        </w:rPr>
        <w:t>NHS Discharge Medicines Service</w:t>
      </w:r>
      <w:r w:rsidRPr="007E16B6">
        <w:rPr>
          <w:rFonts w:asciiTheme="minorHAnsi" w:hAnsiTheme="minorHAnsi" w:cstheme="minorHAnsi"/>
          <w:sz w:val="22"/>
          <w:szCs w:val="22"/>
        </w:rPr>
        <w:t xml:space="preserve">. Available at: </w:t>
      </w:r>
      <w:hyperlink r:id="rId15" w:tgtFrame="_new" w:history="1">
        <w:r w:rsidRPr="007E16B6">
          <w:rPr>
            <w:rStyle w:val="Hyperlink"/>
            <w:rFonts w:asciiTheme="minorHAnsi" w:hAnsiTheme="minorHAnsi" w:cstheme="minorHAnsi"/>
            <w:sz w:val="22"/>
            <w:szCs w:val="22"/>
          </w:rPr>
          <w:t>https://www.england.nhs.uk/primary-care/pharmacy/pharmacy-services/nhs-discharge-medicines-service/</w:t>
        </w:r>
      </w:hyperlink>
      <w:r w:rsidRPr="007E16B6">
        <w:rPr>
          <w:rFonts w:asciiTheme="minorHAnsi" w:hAnsiTheme="minorHAnsi" w:cstheme="minorHAnsi"/>
          <w:sz w:val="22"/>
          <w:szCs w:val="22"/>
        </w:rPr>
        <w:t xml:space="preserve"> (Accessed: 16 March 2026). </w:t>
      </w:r>
    </w:p>
    <w:p w14:paraId="09F5CAEE" w14:textId="77777777" w:rsidR="007E16B6" w:rsidRPr="007E16B6" w:rsidRDefault="007E16B6" w:rsidP="007E16B6">
      <w:pPr>
        <w:pStyle w:val="NormalWeb"/>
        <w:spacing w:line="360" w:lineRule="auto"/>
        <w:rPr>
          <w:rFonts w:asciiTheme="minorHAnsi" w:hAnsiTheme="minorHAnsi" w:cstheme="minorHAnsi"/>
          <w:sz w:val="22"/>
          <w:szCs w:val="22"/>
        </w:rPr>
      </w:pPr>
      <w:r w:rsidRPr="007E16B6">
        <w:rPr>
          <w:rFonts w:asciiTheme="minorHAnsi" w:hAnsiTheme="minorHAnsi" w:cstheme="minorHAnsi"/>
          <w:sz w:val="22"/>
          <w:szCs w:val="22"/>
        </w:rPr>
        <w:t xml:space="preserve">NHS England (2025) </w:t>
      </w:r>
      <w:r w:rsidRPr="007E16B6">
        <w:rPr>
          <w:rStyle w:val="Emphasis"/>
          <w:rFonts w:asciiTheme="minorHAnsi" w:hAnsiTheme="minorHAnsi" w:cstheme="minorHAnsi"/>
          <w:sz w:val="22"/>
          <w:szCs w:val="22"/>
        </w:rPr>
        <w:t>NHS Staff Survey: National results</w:t>
      </w:r>
      <w:r w:rsidRPr="007E16B6">
        <w:rPr>
          <w:rFonts w:asciiTheme="minorHAnsi" w:hAnsiTheme="minorHAnsi" w:cstheme="minorHAnsi"/>
          <w:sz w:val="22"/>
          <w:szCs w:val="22"/>
        </w:rPr>
        <w:t xml:space="preserve">. Available at: </w:t>
      </w:r>
      <w:hyperlink r:id="rId16" w:tgtFrame="_new" w:history="1">
        <w:r w:rsidRPr="007E16B6">
          <w:rPr>
            <w:rStyle w:val="Hyperlink"/>
            <w:rFonts w:asciiTheme="minorHAnsi" w:hAnsiTheme="minorHAnsi" w:cstheme="minorHAnsi"/>
            <w:sz w:val="22"/>
            <w:szCs w:val="22"/>
          </w:rPr>
          <w:t>https://www.nhsstaffsurveys.com/results/national-results/</w:t>
        </w:r>
      </w:hyperlink>
      <w:r w:rsidRPr="007E16B6">
        <w:rPr>
          <w:rFonts w:asciiTheme="minorHAnsi" w:hAnsiTheme="minorHAnsi" w:cstheme="minorHAnsi"/>
          <w:sz w:val="22"/>
          <w:szCs w:val="22"/>
        </w:rPr>
        <w:t xml:space="preserve"> (Accessed: 16 March 2026). </w:t>
      </w:r>
    </w:p>
    <w:p w14:paraId="3576B30D" w14:textId="77777777" w:rsidR="007E16B6" w:rsidRPr="007E16B6" w:rsidRDefault="007E16B6" w:rsidP="007E16B6">
      <w:pPr>
        <w:pStyle w:val="NormalWeb"/>
        <w:spacing w:line="360" w:lineRule="auto"/>
        <w:rPr>
          <w:rFonts w:asciiTheme="minorHAnsi" w:hAnsiTheme="minorHAnsi" w:cstheme="minorHAnsi"/>
          <w:sz w:val="22"/>
          <w:szCs w:val="22"/>
        </w:rPr>
      </w:pPr>
      <w:r w:rsidRPr="007E16B6">
        <w:rPr>
          <w:rFonts w:asciiTheme="minorHAnsi" w:hAnsiTheme="minorHAnsi" w:cstheme="minorHAnsi"/>
          <w:sz w:val="22"/>
          <w:szCs w:val="22"/>
        </w:rPr>
        <w:t xml:space="preserve">NHS England (no date) </w:t>
      </w:r>
      <w:r w:rsidRPr="007E16B6">
        <w:rPr>
          <w:rStyle w:val="Emphasis"/>
          <w:rFonts w:asciiTheme="minorHAnsi" w:hAnsiTheme="minorHAnsi" w:cstheme="minorHAnsi"/>
          <w:sz w:val="22"/>
          <w:szCs w:val="22"/>
        </w:rPr>
        <w:t>Safe use of controlled drugs</w:t>
      </w:r>
      <w:r w:rsidRPr="007E16B6">
        <w:rPr>
          <w:rFonts w:asciiTheme="minorHAnsi" w:hAnsiTheme="minorHAnsi" w:cstheme="minorHAnsi"/>
          <w:sz w:val="22"/>
          <w:szCs w:val="22"/>
        </w:rPr>
        <w:t xml:space="preserve">. Available at: </w:t>
      </w:r>
      <w:hyperlink r:id="rId17" w:tgtFrame="_new" w:history="1">
        <w:r w:rsidRPr="007E16B6">
          <w:rPr>
            <w:rStyle w:val="Hyperlink"/>
            <w:rFonts w:asciiTheme="minorHAnsi" w:hAnsiTheme="minorHAnsi" w:cstheme="minorHAnsi"/>
            <w:sz w:val="22"/>
            <w:szCs w:val="22"/>
          </w:rPr>
          <w:t>https://www.england.nhs.uk/south/info-professional/safe-use-of-controlled-drugs/</w:t>
        </w:r>
      </w:hyperlink>
      <w:r w:rsidRPr="007E16B6">
        <w:rPr>
          <w:rFonts w:asciiTheme="minorHAnsi" w:hAnsiTheme="minorHAnsi" w:cstheme="minorHAnsi"/>
          <w:sz w:val="22"/>
          <w:szCs w:val="22"/>
        </w:rPr>
        <w:t xml:space="preserve"> (Accessed: 12 March 2026).</w:t>
      </w:r>
    </w:p>
    <w:p w14:paraId="25BFC21B" w14:textId="77777777" w:rsidR="007E16B6" w:rsidRPr="007E16B6" w:rsidRDefault="007E16B6" w:rsidP="007E16B6">
      <w:pPr>
        <w:pStyle w:val="NormalWeb"/>
        <w:spacing w:line="360" w:lineRule="auto"/>
        <w:rPr>
          <w:rFonts w:asciiTheme="minorHAnsi" w:hAnsiTheme="minorHAnsi" w:cstheme="minorHAnsi"/>
          <w:sz w:val="22"/>
          <w:szCs w:val="22"/>
        </w:rPr>
      </w:pPr>
      <w:r w:rsidRPr="007E16B6">
        <w:rPr>
          <w:rFonts w:asciiTheme="minorHAnsi" w:hAnsiTheme="minorHAnsi" w:cstheme="minorHAnsi"/>
          <w:sz w:val="22"/>
          <w:szCs w:val="22"/>
        </w:rPr>
        <w:t xml:space="preserve">NHS England North East and Yorkshire (2023) </w:t>
      </w:r>
      <w:r w:rsidRPr="007E16B6">
        <w:rPr>
          <w:rStyle w:val="Emphasis"/>
          <w:rFonts w:asciiTheme="minorHAnsi" w:hAnsiTheme="minorHAnsi" w:cstheme="minorHAnsi"/>
          <w:sz w:val="22"/>
          <w:szCs w:val="22"/>
        </w:rPr>
        <w:t>Infant morphine overdose: Investigation summary and learning</w:t>
      </w:r>
      <w:r w:rsidRPr="007E16B6">
        <w:rPr>
          <w:rFonts w:asciiTheme="minorHAnsi" w:hAnsiTheme="minorHAnsi" w:cstheme="minorHAnsi"/>
          <w:sz w:val="22"/>
          <w:szCs w:val="22"/>
        </w:rPr>
        <w:t xml:space="preserve">. Available at: </w:t>
      </w:r>
      <w:hyperlink r:id="rId18" w:tgtFrame="_new" w:history="1">
        <w:r w:rsidRPr="007E16B6">
          <w:rPr>
            <w:rStyle w:val="Hyperlink"/>
            <w:rFonts w:asciiTheme="minorHAnsi" w:hAnsiTheme="minorHAnsi" w:cstheme="minorHAnsi"/>
            <w:sz w:val="22"/>
            <w:szCs w:val="22"/>
          </w:rPr>
          <w:t>https://northyorkshireccg.nhs.uk/wp-content/uploads/2023/07/July-2023-NHS-NEY-INFANT-MORPHINE-OVERDOSE-CASE-STUDY.pdf</w:t>
        </w:r>
      </w:hyperlink>
      <w:r w:rsidRPr="007E16B6">
        <w:rPr>
          <w:rFonts w:asciiTheme="minorHAnsi" w:hAnsiTheme="minorHAnsi" w:cstheme="minorHAnsi"/>
          <w:sz w:val="22"/>
          <w:szCs w:val="22"/>
        </w:rPr>
        <w:t xml:space="preserve"> (Accessed: 5 March 2026).</w:t>
      </w:r>
    </w:p>
    <w:p w14:paraId="48864B1E" w14:textId="77777777" w:rsidR="007E16B6" w:rsidRPr="007E16B6" w:rsidRDefault="007E16B6" w:rsidP="007E16B6">
      <w:pPr>
        <w:pStyle w:val="NormalWeb"/>
        <w:spacing w:line="360" w:lineRule="auto"/>
        <w:rPr>
          <w:rFonts w:asciiTheme="minorHAnsi" w:hAnsiTheme="minorHAnsi" w:cstheme="minorHAnsi"/>
          <w:sz w:val="22"/>
          <w:szCs w:val="22"/>
        </w:rPr>
      </w:pPr>
      <w:r w:rsidRPr="007E16B6">
        <w:rPr>
          <w:rFonts w:asciiTheme="minorHAnsi" w:hAnsiTheme="minorHAnsi" w:cstheme="minorHAnsi"/>
          <w:sz w:val="22"/>
          <w:szCs w:val="22"/>
        </w:rPr>
        <w:lastRenderedPageBreak/>
        <w:t xml:space="preserve">Nicolini, D., Waring, J. and Mengis, J. (2011) ‘Policy and practice in the use of root cause analysis to investigate clinical adverse events: mind the gap’, </w:t>
      </w:r>
      <w:r w:rsidRPr="007E16B6">
        <w:rPr>
          <w:rStyle w:val="Emphasis"/>
          <w:rFonts w:asciiTheme="minorHAnsi" w:hAnsiTheme="minorHAnsi" w:cstheme="minorHAnsi"/>
          <w:sz w:val="22"/>
          <w:szCs w:val="22"/>
        </w:rPr>
        <w:t>Social Science &amp; Medicine</w:t>
      </w:r>
      <w:r w:rsidRPr="007E16B6">
        <w:rPr>
          <w:rFonts w:asciiTheme="minorHAnsi" w:hAnsiTheme="minorHAnsi" w:cstheme="minorHAnsi"/>
          <w:sz w:val="22"/>
          <w:szCs w:val="22"/>
        </w:rPr>
        <w:t xml:space="preserve">, 73(2), pp. 217–225. Available at: </w:t>
      </w:r>
      <w:hyperlink r:id="rId19" w:tgtFrame="_new" w:history="1">
        <w:r w:rsidRPr="007E16B6">
          <w:rPr>
            <w:rStyle w:val="Hyperlink"/>
            <w:rFonts w:asciiTheme="minorHAnsi" w:hAnsiTheme="minorHAnsi" w:cstheme="minorHAnsi"/>
            <w:sz w:val="22"/>
            <w:szCs w:val="22"/>
          </w:rPr>
          <w:t>https://pubm</w:t>
        </w:r>
        <w:r w:rsidRPr="007E16B6">
          <w:rPr>
            <w:rStyle w:val="Hyperlink"/>
            <w:rFonts w:asciiTheme="minorHAnsi" w:hAnsiTheme="minorHAnsi" w:cstheme="minorHAnsi"/>
            <w:sz w:val="22"/>
            <w:szCs w:val="22"/>
          </w:rPr>
          <w:t>e</w:t>
        </w:r>
        <w:r w:rsidRPr="007E16B6">
          <w:rPr>
            <w:rStyle w:val="Hyperlink"/>
            <w:rFonts w:asciiTheme="minorHAnsi" w:hAnsiTheme="minorHAnsi" w:cstheme="minorHAnsi"/>
            <w:sz w:val="22"/>
            <w:szCs w:val="22"/>
          </w:rPr>
          <w:t>d.ncbi.nlm.nih.gov/21683494/</w:t>
        </w:r>
      </w:hyperlink>
      <w:r w:rsidRPr="007E16B6">
        <w:rPr>
          <w:rFonts w:asciiTheme="minorHAnsi" w:hAnsiTheme="minorHAnsi" w:cstheme="minorHAnsi"/>
          <w:sz w:val="22"/>
          <w:szCs w:val="22"/>
        </w:rPr>
        <w:t xml:space="preserve"> (Accessed: 9 March 2026).</w:t>
      </w:r>
    </w:p>
    <w:p w14:paraId="62FC9869" w14:textId="77777777" w:rsidR="007E16B6" w:rsidRPr="007E16B6" w:rsidRDefault="007E16B6" w:rsidP="007E16B6">
      <w:pPr>
        <w:pStyle w:val="NormalWeb"/>
        <w:spacing w:line="360" w:lineRule="auto"/>
        <w:rPr>
          <w:rFonts w:asciiTheme="minorHAnsi" w:hAnsiTheme="minorHAnsi" w:cstheme="minorHAnsi"/>
          <w:sz w:val="22"/>
          <w:szCs w:val="22"/>
        </w:rPr>
      </w:pPr>
      <w:r w:rsidRPr="007E16B6">
        <w:rPr>
          <w:rFonts w:asciiTheme="minorHAnsi" w:hAnsiTheme="minorHAnsi" w:cstheme="minorHAnsi"/>
          <w:sz w:val="22"/>
          <w:szCs w:val="22"/>
        </w:rPr>
        <w:t xml:space="preserve">Northouse, P.G. (2022) </w:t>
      </w:r>
      <w:r w:rsidRPr="007E16B6">
        <w:rPr>
          <w:rStyle w:val="Emphasis"/>
          <w:rFonts w:asciiTheme="minorHAnsi" w:hAnsiTheme="minorHAnsi" w:cstheme="minorHAnsi"/>
          <w:sz w:val="22"/>
          <w:szCs w:val="22"/>
        </w:rPr>
        <w:t>Leadership: Theory and practice</w:t>
      </w:r>
      <w:r w:rsidRPr="007E16B6">
        <w:rPr>
          <w:rFonts w:asciiTheme="minorHAnsi" w:hAnsiTheme="minorHAnsi" w:cstheme="minorHAnsi"/>
          <w:sz w:val="22"/>
          <w:szCs w:val="22"/>
        </w:rPr>
        <w:t xml:space="preserve">. 9th </w:t>
      </w:r>
      <w:proofErr w:type="spellStart"/>
      <w:r w:rsidRPr="007E16B6">
        <w:rPr>
          <w:rFonts w:asciiTheme="minorHAnsi" w:hAnsiTheme="minorHAnsi" w:cstheme="minorHAnsi"/>
          <w:sz w:val="22"/>
          <w:szCs w:val="22"/>
        </w:rPr>
        <w:t>edn</w:t>
      </w:r>
      <w:proofErr w:type="spellEnd"/>
      <w:r w:rsidRPr="007E16B6">
        <w:rPr>
          <w:rFonts w:asciiTheme="minorHAnsi" w:hAnsiTheme="minorHAnsi" w:cstheme="minorHAnsi"/>
          <w:sz w:val="22"/>
          <w:szCs w:val="22"/>
        </w:rPr>
        <w:t>. Thousand Oaks, CA: Sage.</w:t>
      </w:r>
    </w:p>
    <w:p w14:paraId="0F6FDE2C" w14:textId="77777777" w:rsidR="007E16B6" w:rsidRPr="007E16B6" w:rsidRDefault="007E16B6" w:rsidP="007E16B6">
      <w:pPr>
        <w:pStyle w:val="NormalWeb"/>
        <w:spacing w:line="360" w:lineRule="auto"/>
        <w:rPr>
          <w:rFonts w:asciiTheme="minorHAnsi" w:hAnsiTheme="minorHAnsi" w:cstheme="minorHAnsi"/>
          <w:sz w:val="22"/>
          <w:szCs w:val="22"/>
        </w:rPr>
      </w:pPr>
      <w:r w:rsidRPr="007E16B6">
        <w:rPr>
          <w:rFonts w:asciiTheme="minorHAnsi" w:hAnsiTheme="minorHAnsi" w:cstheme="minorHAnsi"/>
          <w:sz w:val="22"/>
          <w:szCs w:val="22"/>
        </w:rPr>
        <w:t xml:space="preserve">Nuffield Trust (2017) </w:t>
      </w:r>
      <w:r w:rsidRPr="007E16B6">
        <w:rPr>
          <w:rStyle w:val="Emphasis"/>
          <w:rFonts w:asciiTheme="minorHAnsi" w:hAnsiTheme="minorHAnsi" w:cstheme="minorHAnsi"/>
          <w:sz w:val="22"/>
          <w:szCs w:val="22"/>
        </w:rPr>
        <w:t>Shifting the balance of care: Great expectations</w:t>
      </w:r>
      <w:r w:rsidRPr="007E16B6">
        <w:rPr>
          <w:rFonts w:asciiTheme="minorHAnsi" w:hAnsiTheme="minorHAnsi" w:cstheme="minorHAnsi"/>
          <w:sz w:val="22"/>
          <w:szCs w:val="22"/>
        </w:rPr>
        <w:t xml:space="preserve">. Available at: </w:t>
      </w:r>
      <w:hyperlink r:id="rId20" w:tgtFrame="_new" w:history="1">
        <w:r w:rsidRPr="007E16B6">
          <w:rPr>
            <w:rStyle w:val="Hyperlink"/>
            <w:rFonts w:asciiTheme="minorHAnsi" w:hAnsiTheme="minorHAnsi" w:cstheme="minorHAnsi"/>
            <w:sz w:val="22"/>
            <w:szCs w:val="22"/>
          </w:rPr>
          <w:t>https://www.nuffieldtrust.org.uk/research/shifting-the-balance-of-care-great-expectations</w:t>
        </w:r>
      </w:hyperlink>
      <w:r w:rsidRPr="007E16B6">
        <w:rPr>
          <w:rFonts w:asciiTheme="minorHAnsi" w:hAnsiTheme="minorHAnsi" w:cstheme="minorHAnsi"/>
          <w:sz w:val="22"/>
          <w:szCs w:val="22"/>
        </w:rPr>
        <w:t xml:space="preserve"> (Accessed: 15 March 2026). </w:t>
      </w:r>
    </w:p>
    <w:p w14:paraId="51AAF249" w14:textId="77777777" w:rsidR="007E16B6" w:rsidRPr="007E16B6" w:rsidRDefault="007E16B6" w:rsidP="007E16B6">
      <w:pPr>
        <w:pStyle w:val="NormalWeb"/>
        <w:spacing w:line="360" w:lineRule="auto"/>
        <w:rPr>
          <w:rFonts w:asciiTheme="minorHAnsi" w:hAnsiTheme="minorHAnsi" w:cstheme="minorHAnsi"/>
          <w:sz w:val="22"/>
          <w:szCs w:val="22"/>
        </w:rPr>
      </w:pPr>
      <w:r w:rsidRPr="007E16B6">
        <w:rPr>
          <w:rFonts w:asciiTheme="minorHAnsi" w:hAnsiTheme="minorHAnsi" w:cstheme="minorHAnsi"/>
          <w:sz w:val="22"/>
          <w:szCs w:val="22"/>
        </w:rPr>
        <w:t xml:space="preserve">Ouchi, W.G. (1981) </w:t>
      </w:r>
      <w:r w:rsidRPr="007E16B6">
        <w:rPr>
          <w:rStyle w:val="Emphasis"/>
          <w:rFonts w:asciiTheme="minorHAnsi" w:hAnsiTheme="minorHAnsi" w:cstheme="minorHAnsi"/>
          <w:sz w:val="22"/>
          <w:szCs w:val="22"/>
        </w:rPr>
        <w:t>Theory Z: How American business can meet the Japanese challenge</w:t>
      </w:r>
      <w:r w:rsidRPr="007E16B6">
        <w:rPr>
          <w:rFonts w:asciiTheme="minorHAnsi" w:hAnsiTheme="minorHAnsi" w:cstheme="minorHAnsi"/>
          <w:sz w:val="22"/>
          <w:szCs w:val="22"/>
        </w:rPr>
        <w:t>. Reading, MA: Addison-Wesley.</w:t>
      </w:r>
    </w:p>
    <w:p w14:paraId="261DAC1E" w14:textId="77777777" w:rsidR="007E16B6" w:rsidRPr="007E16B6" w:rsidRDefault="007E16B6" w:rsidP="007E16B6">
      <w:pPr>
        <w:pStyle w:val="NormalWeb"/>
        <w:spacing w:line="360" w:lineRule="auto"/>
        <w:rPr>
          <w:rFonts w:asciiTheme="minorHAnsi" w:hAnsiTheme="minorHAnsi" w:cstheme="minorHAnsi"/>
          <w:sz w:val="22"/>
          <w:szCs w:val="22"/>
        </w:rPr>
      </w:pPr>
      <w:r w:rsidRPr="007E16B6">
        <w:rPr>
          <w:rFonts w:asciiTheme="minorHAnsi" w:hAnsiTheme="minorHAnsi" w:cstheme="minorHAnsi"/>
          <w:sz w:val="22"/>
          <w:szCs w:val="22"/>
        </w:rPr>
        <w:t xml:space="preserve">Reason, J. (2000) ‘Human error: models and management’, </w:t>
      </w:r>
      <w:r w:rsidRPr="007E16B6">
        <w:rPr>
          <w:rStyle w:val="Emphasis"/>
          <w:rFonts w:asciiTheme="minorHAnsi" w:hAnsiTheme="minorHAnsi" w:cstheme="minorHAnsi"/>
          <w:sz w:val="22"/>
          <w:szCs w:val="22"/>
        </w:rPr>
        <w:t>BMJ</w:t>
      </w:r>
      <w:r w:rsidRPr="007E16B6">
        <w:rPr>
          <w:rFonts w:asciiTheme="minorHAnsi" w:hAnsiTheme="minorHAnsi" w:cstheme="minorHAnsi"/>
          <w:sz w:val="22"/>
          <w:szCs w:val="22"/>
        </w:rPr>
        <w:t xml:space="preserve">, 320(7237), pp. 768–770. Available at: </w:t>
      </w:r>
      <w:hyperlink r:id="rId21" w:tgtFrame="_new" w:history="1">
        <w:r w:rsidRPr="007E16B6">
          <w:rPr>
            <w:rStyle w:val="Hyperlink"/>
            <w:rFonts w:asciiTheme="minorHAnsi" w:hAnsiTheme="minorHAnsi" w:cstheme="minorHAnsi"/>
            <w:sz w:val="22"/>
            <w:szCs w:val="22"/>
          </w:rPr>
          <w:t>https://www.bmj.com/content/320/7237/768</w:t>
        </w:r>
      </w:hyperlink>
      <w:r w:rsidRPr="007E16B6">
        <w:rPr>
          <w:rFonts w:asciiTheme="minorHAnsi" w:hAnsiTheme="minorHAnsi" w:cstheme="minorHAnsi"/>
          <w:sz w:val="22"/>
          <w:szCs w:val="22"/>
        </w:rPr>
        <w:t xml:space="preserve"> (Accessed: 18 March 2026).</w:t>
      </w:r>
    </w:p>
    <w:p w14:paraId="5B60CD51" w14:textId="77777777" w:rsidR="007E16B6" w:rsidRPr="007E16B6" w:rsidRDefault="007E16B6" w:rsidP="007E16B6">
      <w:pPr>
        <w:pStyle w:val="NormalWeb"/>
        <w:spacing w:line="360" w:lineRule="auto"/>
        <w:rPr>
          <w:rFonts w:asciiTheme="minorHAnsi" w:hAnsiTheme="minorHAnsi" w:cstheme="minorHAnsi"/>
          <w:sz w:val="22"/>
          <w:szCs w:val="22"/>
        </w:rPr>
      </w:pPr>
      <w:r w:rsidRPr="007E16B6">
        <w:rPr>
          <w:rFonts w:asciiTheme="minorHAnsi" w:hAnsiTheme="minorHAnsi" w:cstheme="minorHAnsi"/>
          <w:sz w:val="22"/>
          <w:szCs w:val="22"/>
        </w:rPr>
        <w:t xml:space="preserve">Slawomirski, L., </w:t>
      </w:r>
      <w:proofErr w:type="spellStart"/>
      <w:r w:rsidRPr="007E16B6">
        <w:rPr>
          <w:rFonts w:asciiTheme="minorHAnsi" w:hAnsiTheme="minorHAnsi" w:cstheme="minorHAnsi"/>
          <w:sz w:val="22"/>
          <w:szCs w:val="22"/>
        </w:rPr>
        <w:t>Auraaen</w:t>
      </w:r>
      <w:proofErr w:type="spellEnd"/>
      <w:r w:rsidRPr="007E16B6">
        <w:rPr>
          <w:rFonts w:asciiTheme="minorHAnsi" w:hAnsiTheme="minorHAnsi" w:cstheme="minorHAnsi"/>
          <w:sz w:val="22"/>
          <w:szCs w:val="22"/>
        </w:rPr>
        <w:t xml:space="preserve">, A. and </w:t>
      </w:r>
      <w:proofErr w:type="spellStart"/>
      <w:r w:rsidRPr="007E16B6">
        <w:rPr>
          <w:rFonts w:asciiTheme="minorHAnsi" w:hAnsiTheme="minorHAnsi" w:cstheme="minorHAnsi"/>
          <w:sz w:val="22"/>
          <w:szCs w:val="22"/>
        </w:rPr>
        <w:t>Klazinga</w:t>
      </w:r>
      <w:proofErr w:type="spellEnd"/>
      <w:r w:rsidRPr="007E16B6">
        <w:rPr>
          <w:rFonts w:asciiTheme="minorHAnsi" w:hAnsiTheme="minorHAnsi" w:cstheme="minorHAnsi"/>
          <w:sz w:val="22"/>
          <w:szCs w:val="22"/>
        </w:rPr>
        <w:t xml:space="preserve">, N. (2017) </w:t>
      </w:r>
      <w:r w:rsidRPr="007E16B6">
        <w:rPr>
          <w:rStyle w:val="Emphasis"/>
          <w:rFonts w:asciiTheme="minorHAnsi" w:hAnsiTheme="minorHAnsi" w:cstheme="minorHAnsi"/>
          <w:sz w:val="22"/>
          <w:szCs w:val="22"/>
        </w:rPr>
        <w:t>The economics of patient safety: Strengthening a value-based approach to reducing patient harm at national level</w:t>
      </w:r>
      <w:r w:rsidRPr="007E16B6">
        <w:rPr>
          <w:rFonts w:asciiTheme="minorHAnsi" w:hAnsiTheme="minorHAnsi" w:cstheme="minorHAnsi"/>
          <w:sz w:val="22"/>
          <w:szCs w:val="22"/>
        </w:rPr>
        <w:t xml:space="preserve">. Paris: OECD Publishing. Available at: </w:t>
      </w:r>
      <w:hyperlink r:id="rId22" w:tgtFrame="_new" w:history="1">
        <w:r w:rsidRPr="007E16B6">
          <w:rPr>
            <w:rStyle w:val="Hyperlink"/>
            <w:rFonts w:asciiTheme="minorHAnsi" w:hAnsiTheme="minorHAnsi" w:cstheme="minorHAnsi"/>
            <w:sz w:val="22"/>
            <w:szCs w:val="22"/>
          </w:rPr>
          <w:t>https://www.oecd.org/content/dam/oecd/en/publications/reports/2017/06/the-economics-of-patient-safety_258f9682/5a9858cd-en.pdf</w:t>
        </w:r>
      </w:hyperlink>
      <w:r w:rsidRPr="007E16B6">
        <w:rPr>
          <w:rFonts w:asciiTheme="minorHAnsi" w:hAnsiTheme="minorHAnsi" w:cstheme="minorHAnsi"/>
          <w:sz w:val="22"/>
          <w:szCs w:val="22"/>
        </w:rPr>
        <w:t xml:space="preserve"> (Accessed: 7 March 2026).</w:t>
      </w:r>
    </w:p>
    <w:p w14:paraId="2BB19523" w14:textId="77777777" w:rsidR="007E16B6" w:rsidRPr="007E16B6" w:rsidRDefault="007E16B6" w:rsidP="007E16B6">
      <w:pPr>
        <w:pStyle w:val="NormalWeb"/>
        <w:spacing w:line="360" w:lineRule="auto"/>
        <w:rPr>
          <w:rFonts w:asciiTheme="minorHAnsi" w:hAnsiTheme="minorHAnsi" w:cstheme="minorHAnsi"/>
          <w:sz w:val="22"/>
          <w:szCs w:val="22"/>
        </w:rPr>
      </w:pPr>
      <w:r w:rsidRPr="007E16B6">
        <w:rPr>
          <w:rFonts w:asciiTheme="minorHAnsi" w:hAnsiTheme="minorHAnsi" w:cstheme="minorHAnsi"/>
          <w:sz w:val="22"/>
          <w:szCs w:val="22"/>
        </w:rPr>
        <w:t xml:space="preserve">Sterman, J.D. (2000) </w:t>
      </w:r>
      <w:r w:rsidRPr="007E16B6">
        <w:rPr>
          <w:rStyle w:val="Emphasis"/>
          <w:rFonts w:asciiTheme="minorHAnsi" w:hAnsiTheme="minorHAnsi" w:cstheme="minorHAnsi"/>
          <w:sz w:val="22"/>
          <w:szCs w:val="22"/>
        </w:rPr>
        <w:t xml:space="preserve">Business dynamics: Systems thinking and </w:t>
      </w:r>
      <w:proofErr w:type="spellStart"/>
      <w:r w:rsidRPr="007E16B6">
        <w:rPr>
          <w:rStyle w:val="Emphasis"/>
          <w:rFonts w:asciiTheme="minorHAnsi" w:hAnsiTheme="minorHAnsi" w:cstheme="minorHAnsi"/>
          <w:sz w:val="22"/>
          <w:szCs w:val="22"/>
        </w:rPr>
        <w:t>modeling</w:t>
      </w:r>
      <w:proofErr w:type="spellEnd"/>
      <w:r w:rsidRPr="007E16B6">
        <w:rPr>
          <w:rStyle w:val="Emphasis"/>
          <w:rFonts w:asciiTheme="minorHAnsi" w:hAnsiTheme="minorHAnsi" w:cstheme="minorHAnsi"/>
          <w:sz w:val="22"/>
          <w:szCs w:val="22"/>
        </w:rPr>
        <w:t xml:space="preserve"> for a complex world</w:t>
      </w:r>
      <w:r w:rsidRPr="007E16B6">
        <w:rPr>
          <w:rFonts w:asciiTheme="minorHAnsi" w:hAnsiTheme="minorHAnsi" w:cstheme="minorHAnsi"/>
          <w:sz w:val="22"/>
          <w:szCs w:val="22"/>
        </w:rPr>
        <w:t xml:space="preserve">. Boston, MA: McGraw-Hill. Available at: </w:t>
      </w:r>
      <w:hyperlink r:id="rId23" w:tgtFrame="_new" w:history="1">
        <w:r w:rsidRPr="007E16B6">
          <w:rPr>
            <w:rStyle w:val="Hyperlink"/>
            <w:rFonts w:asciiTheme="minorHAnsi" w:hAnsiTheme="minorHAnsi" w:cstheme="minorHAnsi"/>
            <w:sz w:val="22"/>
            <w:szCs w:val="22"/>
          </w:rPr>
          <w:t>https://lalt.fecfau.unicamp.br/projects/wp-content/uploads/2020/livros/Sistemas%20dinamicos/John_D_Sterman_2000_EN_Business_Dynamics_-_Systems_Thinking_and_Modeling_for_a_Complex_World.pdf</w:t>
        </w:r>
      </w:hyperlink>
      <w:r w:rsidRPr="007E16B6">
        <w:rPr>
          <w:rFonts w:asciiTheme="minorHAnsi" w:hAnsiTheme="minorHAnsi" w:cstheme="minorHAnsi"/>
          <w:sz w:val="22"/>
          <w:szCs w:val="22"/>
        </w:rPr>
        <w:t xml:space="preserve"> (Accessed: 8 March 2026).</w:t>
      </w:r>
    </w:p>
    <w:p w14:paraId="56B32B17" w14:textId="77777777" w:rsidR="007E16B6" w:rsidRPr="007E16B6" w:rsidRDefault="007E16B6" w:rsidP="007E16B6">
      <w:pPr>
        <w:pStyle w:val="NormalWeb"/>
        <w:spacing w:line="360" w:lineRule="auto"/>
        <w:rPr>
          <w:rFonts w:asciiTheme="minorHAnsi" w:hAnsiTheme="minorHAnsi" w:cstheme="minorHAnsi"/>
          <w:sz w:val="22"/>
          <w:szCs w:val="22"/>
        </w:rPr>
      </w:pPr>
      <w:r w:rsidRPr="007E16B6">
        <w:rPr>
          <w:rFonts w:asciiTheme="minorHAnsi" w:hAnsiTheme="minorHAnsi" w:cstheme="minorHAnsi"/>
          <w:sz w:val="22"/>
          <w:szCs w:val="22"/>
        </w:rPr>
        <w:t xml:space="preserve">Tannenbaum, R. and Schmidt, W.H. (1973) ‘How to choose a leadership pattern’, </w:t>
      </w:r>
      <w:r w:rsidRPr="007E16B6">
        <w:rPr>
          <w:rStyle w:val="Emphasis"/>
          <w:rFonts w:asciiTheme="minorHAnsi" w:hAnsiTheme="minorHAnsi" w:cstheme="minorHAnsi"/>
          <w:sz w:val="22"/>
          <w:szCs w:val="22"/>
        </w:rPr>
        <w:t>Harvard Business Review</w:t>
      </w:r>
      <w:r w:rsidRPr="007E16B6">
        <w:rPr>
          <w:rFonts w:asciiTheme="minorHAnsi" w:hAnsiTheme="minorHAnsi" w:cstheme="minorHAnsi"/>
          <w:sz w:val="22"/>
          <w:szCs w:val="22"/>
        </w:rPr>
        <w:t xml:space="preserve">, 51(3), pp. 162–180. Available at: </w:t>
      </w:r>
      <w:hyperlink r:id="rId24" w:tgtFrame="_new" w:history="1">
        <w:r w:rsidRPr="007E16B6">
          <w:rPr>
            <w:rStyle w:val="Hyperlink"/>
            <w:rFonts w:asciiTheme="minorHAnsi" w:hAnsiTheme="minorHAnsi" w:cstheme="minorHAnsi"/>
            <w:sz w:val="22"/>
            <w:szCs w:val="22"/>
          </w:rPr>
          <w:t>https://hbr.org/1973/05/how-to-choose-a-leadership-pattern</w:t>
        </w:r>
      </w:hyperlink>
      <w:r w:rsidRPr="007E16B6">
        <w:rPr>
          <w:rFonts w:asciiTheme="minorHAnsi" w:hAnsiTheme="minorHAnsi" w:cstheme="minorHAnsi"/>
          <w:sz w:val="22"/>
          <w:szCs w:val="22"/>
        </w:rPr>
        <w:t xml:space="preserve"> (Accessed: 18 March 2026).</w:t>
      </w:r>
    </w:p>
    <w:p w14:paraId="32890738" w14:textId="77777777" w:rsidR="007E16B6" w:rsidRPr="007E16B6" w:rsidRDefault="007E16B6" w:rsidP="007E16B6">
      <w:pPr>
        <w:pStyle w:val="NormalWeb"/>
        <w:spacing w:line="360" w:lineRule="auto"/>
        <w:rPr>
          <w:rFonts w:asciiTheme="minorHAnsi" w:hAnsiTheme="minorHAnsi" w:cstheme="minorHAnsi"/>
          <w:sz w:val="22"/>
          <w:szCs w:val="22"/>
        </w:rPr>
      </w:pPr>
      <w:r w:rsidRPr="007E16B6">
        <w:rPr>
          <w:rFonts w:asciiTheme="minorHAnsi" w:hAnsiTheme="minorHAnsi" w:cstheme="minorHAnsi"/>
          <w:sz w:val="22"/>
          <w:szCs w:val="22"/>
        </w:rPr>
        <w:t xml:space="preserve">Vincent, C. (2010) </w:t>
      </w:r>
      <w:r w:rsidRPr="007E16B6">
        <w:rPr>
          <w:rStyle w:val="Emphasis"/>
          <w:rFonts w:asciiTheme="minorHAnsi" w:hAnsiTheme="minorHAnsi" w:cstheme="minorHAnsi"/>
          <w:sz w:val="22"/>
          <w:szCs w:val="22"/>
        </w:rPr>
        <w:t>Patient safety</w:t>
      </w:r>
      <w:r w:rsidRPr="007E16B6">
        <w:rPr>
          <w:rFonts w:asciiTheme="minorHAnsi" w:hAnsiTheme="minorHAnsi" w:cstheme="minorHAnsi"/>
          <w:sz w:val="22"/>
          <w:szCs w:val="22"/>
        </w:rPr>
        <w:t xml:space="preserve">. 2nd </w:t>
      </w:r>
      <w:proofErr w:type="spellStart"/>
      <w:r w:rsidRPr="007E16B6">
        <w:rPr>
          <w:rFonts w:asciiTheme="minorHAnsi" w:hAnsiTheme="minorHAnsi" w:cstheme="minorHAnsi"/>
          <w:sz w:val="22"/>
          <w:szCs w:val="22"/>
        </w:rPr>
        <w:t>edn</w:t>
      </w:r>
      <w:proofErr w:type="spellEnd"/>
      <w:r w:rsidRPr="007E16B6">
        <w:rPr>
          <w:rFonts w:asciiTheme="minorHAnsi" w:hAnsiTheme="minorHAnsi" w:cstheme="minorHAnsi"/>
          <w:sz w:val="22"/>
          <w:szCs w:val="22"/>
        </w:rPr>
        <w:t>. Chichester: Wiley-Blackwell.</w:t>
      </w:r>
    </w:p>
    <w:p w14:paraId="4DE6BE78" w14:textId="77777777" w:rsidR="007E16B6" w:rsidRPr="007E16B6" w:rsidRDefault="007E16B6" w:rsidP="007E16B6">
      <w:pPr>
        <w:pStyle w:val="NormalWeb"/>
        <w:spacing w:line="360" w:lineRule="auto"/>
        <w:rPr>
          <w:rFonts w:asciiTheme="minorHAnsi" w:hAnsiTheme="minorHAnsi" w:cstheme="minorHAnsi"/>
          <w:sz w:val="22"/>
          <w:szCs w:val="22"/>
        </w:rPr>
      </w:pPr>
      <w:r w:rsidRPr="007E16B6">
        <w:rPr>
          <w:rFonts w:asciiTheme="minorHAnsi" w:hAnsiTheme="minorHAnsi" w:cstheme="minorHAnsi"/>
          <w:sz w:val="22"/>
          <w:szCs w:val="22"/>
        </w:rPr>
        <w:t xml:space="preserve">Wears, R.L. and Sutcliffe, K.M. (2020) </w:t>
      </w:r>
      <w:r w:rsidRPr="007E16B6">
        <w:rPr>
          <w:rStyle w:val="Emphasis"/>
          <w:rFonts w:asciiTheme="minorHAnsi" w:hAnsiTheme="minorHAnsi" w:cstheme="minorHAnsi"/>
          <w:sz w:val="22"/>
          <w:szCs w:val="22"/>
        </w:rPr>
        <w:t>Still not safe: Patient safety and the middle-managing of American medicine</w:t>
      </w:r>
      <w:r w:rsidRPr="007E16B6">
        <w:rPr>
          <w:rFonts w:asciiTheme="minorHAnsi" w:hAnsiTheme="minorHAnsi" w:cstheme="minorHAnsi"/>
          <w:sz w:val="22"/>
          <w:szCs w:val="22"/>
        </w:rPr>
        <w:t>. New York: Oxford University Press.</w:t>
      </w:r>
    </w:p>
    <w:p w14:paraId="2825D43E" w14:textId="77777777" w:rsidR="007E16B6" w:rsidRPr="007E16B6" w:rsidRDefault="007E16B6" w:rsidP="007E16B6">
      <w:pPr>
        <w:pStyle w:val="NormalWeb"/>
        <w:spacing w:line="360" w:lineRule="auto"/>
        <w:rPr>
          <w:rFonts w:asciiTheme="minorHAnsi" w:hAnsiTheme="minorHAnsi" w:cstheme="minorHAnsi"/>
          <w:sz w:val="22"/>
          <w:szCs w:val="22"/>
        </w:rPr>
      </w:pPr>
      <w:r w:rsidRPr="007E16B6">
        <w:rPr>
          <w:rFonts w:asciiTheme="minorHAnsi" w:hAnsiTheme="minorHAnsi" w:cstheme="minorHAnsi"/>
          <w:sz w:val="22"/>
          <w:szCs w:val="22"/>
        </w:rPr>
        <w:lastRenderedPageBreak/>
        <w:t xml:space="preserve">West, M., Eckert, R., Steward, K. and Pasmore, B. (2015) </w:t>
      </w:r>
      <w:r w:rsidRPr="007E16B6">
        <w:rPr>
          <w:rStyle w:val="Emphasis"/>
          <w:rFonts w:asciiTheme="minorHAnsi" w:hAnsiTheme="minorHAnsi" w:cstheme="minorHAnsi"/>
          <w:sz w:val="22"/>
          <w:szCs w:val="22"/>
        </w:rPr>
        <w:t>Developing collective leadership for health care</w:t>
      </w:r>
      <w:r w:rsidRPr="007E16B6">
        <w:rPr>
          <w:rFonts w:asciiTheme="minorHAnsi" w:hAnsiTheme="minorHAnsi" w:cstheme="minorHAnsi"/>
          <w:sz w:val="22"/>
          <w:szCs w:val="22"/>
        </w:rPr>
        <w:t xml:space="preserve">. London: The King’s Fund. Available at: </w:t>
      </w:r>
      <w:hyperlink r:id="rId25" w:tgtFrame="_new" w:history="1">
        <w:r w:rsidRPr="007E16B6">
          <w:rPr>
            <w:rStyle w:val="Hyperlink"/>
            <w:rFonts w:asciiTheme="minorHAnsi" w:hAnsiTheme="minorHAnsi" w:cstheme="minorHAnsi"/>
            <w:sz w:val="22"/>
            <w:szCs w:val="22"/>
          </w:rPr>
          <w:t>https://www.kingsfund.org.uk/publications/developing-collective-leadership-health-care</w:t>
        </w:r>
      </w:hyperlink>
      <w:r w:rsidRPr="007E16B6">
        <w:rPr>
          <w:rFonts w:asciiTheme="minorHAnsi" w:hAnsiTheme="minorHAnsi" w:cstheme="minorHAnsi"/>
          <w:sz w:val="22"/>
          <w:szCs w:val="22"/>
        </w:rPr>
        <w:t xml:space="preserve"> (Accessed: 18 March 2026).</w:t>
      </w:r>
    </w:p>
    <w:p w14:paraId="4E4C0F69" w14:textId="77777777" w:rsidR="007E16B6" w:rsidRPr="007E16B6" w:rsidRDefault="007E16B6" w:rsidP="007E16B6">
      <w:pPr>
        <w:pStyle w:val="NormalWeb"/>
        <w:spacing w:line="360" w:lineRule="auto"/>
        <w:rPr>
          <w:rFonts w:asciiTheme="minorHAnsi" w:hAnsiTheme="minorHAnsi" w:cstheme="minorHAnsi"/>
          <w:sz w:val="22"/>
          <w:szCs w:val="22"/>
        </w:rPr>
      </w:pPr>
      <w:r w:rsidRPr="007E16B6">
        <w:rPr>
          <w:rFonts w:asciiTheme="minorHAnsi" w:hAnsiTheme="minorHAnsi" w:cstheme="minorHAnsi"/>
          <w:sz w:val="22"/>
          <w:szCs w:val="22"/>
        </w:rPr>
        <w:t xml:space="preserve">World Health Organization (2017) </w:t>
      </w:r>
      <w:r w:rsidRPr="007E16B6">
        <w:rPr>
          <w:rStyle w:val="Emphasis"/>
          <w:rFonts w:asciiTheme="minorHAnsi" w:hAnsiTheme="minorHAnsi" w:cstheme="minorHAnsi"/>
          <w:sz w:val="22"/>
          <w:szCs w:val="22"/>
        </w:rPr>
        <w:t>Medication without harm: Global patient safety challenge</w:t>
      </w:r>
      <w:r w:rsidRPr="007E16B6">
        <w:rPr>
          <w:rFonts w:asciiTheme="minorHAnsi" w:hAnsiTheme="minorHAnsi" w:cstheme="minorHAnsi"/>
          <w:sz w:val="22"/>
          <w:szCs w:val="22"/>
        </w:rPr>
        <w:t xml:space="preserve">. Geneva: WHO. Available at: </w:t>
      </w:r>
      <w:hyperlink r:id="rId26" w:tgtFrame="_new" w:history="1">
        <w:r w:rsidRPr="007E16B6">
          <w:rPr>
            <w:rStyle w:val="Hyperlink"/>
            <w:rFonts w:asciiTheme="minorHAnsi" w:hAnsiTheme="minorHAnsi" w:cstheme="minorHAnsi"/>
            <w:sz w:val="22"/>
            <w:szCs w:val="22"/>
          </w:rPr>
          <w:t>https://iris.who.int/server/api/core/bitstreams/15520c4f-89d1-4a8f-9bab-6b771aa30acb/content</w:t>
        </w:r>
      </w:hyperlink>
      <w:r w:rsidRPr="007E16B6">
        <w:rPr>
          <w:rFonts w:asciiTheme="minorHAnsi" w:hAnsiTheme="minorHAnsi" w:cstheme="minorHAnsi"/>
          <w:sz w:val="22"/>
          <w:szCs w:val="22"/>
        </w:rPr>
        <w:t xml:space="preserve"> (Accessed: 15 March 2026).</w:t>
      </w:r>
    </w:p>
    <w:p w14:paraId="56F81485" w14:textId="77777777" w:rsidR="007E16B6" w:rsidRPr="007E16B6" w:rsidRDefault="007E16B6" w:rsidP="007E16B6">
      <w:pPr>
        <w:pStyle w:val="NormalWeb"/>
        <w:spacing w:line="360" w:lineRule="auto"/>
        <w:rPr>
          <w:rFonts w:asciiTheme="minorHAnsi" w:hAnsiTheme="minorHAnsi" w:cstheme="minorHAnsi"/>
          <w:sz w:val="22"/>
          <w:szCs w:val="22"/>
        </w:rPr>
      </w:pPr>
      <w:r w:rsidRPr="007E16B6">
        <w:rPr>
          <w:rFonts w:asciiTheme="minorHAnsi" w:hAnsiTheme="minorHAnsi" w:cstheme="minorHAnsi"/>
          <w:sz w:val="22"/>
          <w:szCs w:val="22"/>
        </w:rPr>
        <w:t xml:space="preserve">Yukl, G. (2013) </w:t>
      </w:r>
      <w:r w:rsidRPr="007E16B6">
        <w:rPr>
          <w:rStyle w:val="Emphasis"/>
          <w:rFonts w:asciiTheme="minorHAnsi" w:hAnsiTheme="minorHAnsi" w:cstheme="minorHAnsi"/>
          <w:sz w:val="22"/>
          <w:szCs w:val="22"/>
        </w:rPr>
        <w:t>Leadership in organizations</w:t>
      </w:r>
      <w:r w:rsidRPr="007E16B6">
        <w:rPr>
          <w:rFonts w:asciiTheme="minorHAnsi" w:hAnsiTheme="minorHAnsi" w:cstheme="minorHAnsi"/>
          <w:sz w:val="22"/>
          <w:szCs w:val="22"/>
        </w:rPr>
        <w:t xml:space="preserve">. 8th </w:t>
      </w:r>
      <w:proofErr w:type="spellStart"/>
      <w:r w:rsidRPr="007E16B6">
        <w:rPr>
          <w:rFonts w:asciiTheme="minorHAnsi" w:hAnsiTheme="minorHAnsi" w:cstheme="minorHAnsi"/>
          <w:sz w:val="22"/>
          <w:szCs w:val="22"/>
        </w:rPr>
        <w:t>edn</w:t>
      </w:r>
      <w:proofErr w:type="spellEnd"/>
      <w:r w:rsidRPr="007E16B6">
        <w:rPr>
          <w:rFonts w:asciiTheme="minorHAnsi" w:hAnsiTheme="minorHAnsi" w:cstheme="minorHAnsi"/>
          <w:sz w:val="22"/>
          <w:szCs w:val="22"/>
        </w:rPr>
        <w:t>. Harlow: Pearson.</w:t>
      </w:r>
    </w:p>
    <w:p w14:paraId="48D461E7" w14:textId="05A7B41E" w:rsidR="2054C2FF" w:rsidRDefault="2054C2FF" w:rsidP="007E16B6">
      <w:pPr>
        <w:spacing w:before="240" w:after="240" w:line="360" w:lineRule="auto"/>
        <w:rPr>
          <w:rFonts w:ascii="Arial" w:eastAsia="Arial" w:hAnsi="Arial" w:cs="Arial"/>
          <w:sz w:val="22"/>
          <w:szCs w:val="22"/>
        </w:rPr>
      </w:pPr>
    </w:p>
    <w:sectPr w:rsidR="2054C2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9D900D"/>
    <w:rsid w:val="00041759"/>
    <w:rsid w:val="0016D514"/>
    <w:rsid w:val="002E68F4"/>
    <w:rsid w:val="005E1FCA"/>
    <w:rsid w:val="007E16B6"/>
    <w:rsid w:val="00952477"/>
    <w:rsid w:val="00C15BFB"/>
    <w:rsid w:val="00F7ABD5"/>
    <w:rsid w:val="0192BAB6"/>
    <w:rsid w:val="01ABAABD"/>
    <w:rsid w:val="01D01F39"/>
    <w:rsid w:val="01ED97F8"/>
    <w:rsid w:val="020D982F"/>
    <w:rsid w:val="036C0993"/>
    <w:rsid w:val="0384611A"/>
    <w:rsid w:val="0421CE25"/>
    <w:rsid w:val="045311B9"/>
    <w:rsid w:val="049D04BB"/>
    <w:rsid w:val="0501777A"/>
    <w:rsid w:val="05151219"/>
    <w:rsid w:val="0515B315"/>
    <w:rsid w:val="05197112"/>
    <w:rsid w:val="05428693"/>
    <w:rsid w:val="05A4D73D"/>
    <w:rsid w:val="0642A288"/>
    <w:rsid w:val="06E3537D"/>
    <w:rsid w:val="07227241"/>
    <w:rsid w:val="0733932A"/>
    <w:rsid w:val="074FD7CB"/>
    <w:rsid w:val="07822FB8"/>
    <w:rsid w:val="07CD593C"/>
    <w:rsid w:val="07D78393"/>
    <w:rsid w:val="08A9D447"/>
    <w:rsid w:val="090A2D7A"/>
    <w:rsid w:val="0927F572"/>
    <w:rsid w:val="09558505"/>
    <w:rsid w:val="0A10E2D7"/>
    <w:rsid w:val="0A397EAF"/>
    <w:rsid w:val="0ACB5317"/>
    <w:rsid w:val="0B00CCAE"/>
    <w:rsid w:val="0B63EDC2"/>
    <w:rsid w:val="0BAC2386"/>
    <w:rsid w:val="0C5B1FA4"/>
    <w:rsid w:val="0C65D34F"/>
    <w:rsid w:val="0CBD58AF"/>
    <w:rsid w:val="0CCB1A53"/>
    <w:rsid w:val="0D795FD5"/>
    <w:rsid w:val="0DB880A0"/>
    <w:rsid w:val="0E0FF75E"/>
    <w:rsid w:val="0E3FC8CF"/>
    <w:rsid w:val="0EC1C9D8"/>
    <w:rsid w:val="0ED1FC0C"/>
    <w:rsid w:val="0EDF21C9"/>
    <w:rsid w:val="0F054A1D"/>
    <w:rsid w:val="0FFC99C4"/>
    <w:rsid w:val="101EF39D"/>
    <w:rsid w:val="104D827A"/>
    <w:rsid w:val="108296B4"/>
    <w:rsid w:val="10A62023"/>
    <w:rsid w:val="10B0E322"/>
    <w:rsid w:val="10D51328"/>
    <w:rsid w:val="10E7D2BD"/>
    <w:rsid w:val="11A23F98"/>
    <w:rsid w:val="1251FA97"/>
    <w:rsid w:val="12B427FD"/>
    <w:rsid w:val="12BC9F4F"/>
    <w:rsid w:val="12BCEACC"/>
    <w:rsid w:val="12BD3A98"/>
    <w:rsid w:val="12D7B16C"/>
    <w:rsid w:val="134D9337"/>
    <w:rsid w:val="136AB325"/>
    <w:rsid w:val="1446FC68"/>
    <w:rsid w:val="145B1AF2"/>
    <w:rsid w:val="145B5244"/>
    <w:rsid w:val="1493F211"/>
    <w:rsid w:val="1518078C"/>
    <w:rsid w:val="15E209D2"/>
    <w:rsid w:val="1636D519"/>
    <w:rsid w:val="169636E7"/>
    <w:rsid w:val="16B6A11F"/>
    <w:rsid w:val="16E13305"/>
    <w:rsid w:val="1793CF9C"/>
    <w:rsid w:val="17BE327B"/>
    <w:rsid w:val="17C68525"/>
    <w:rsid w:val="17F53E1E"/>
    <w:rsid w:val="186A01CA"/>
    <w:rsid w:val="1874378C"/>
    <w:rsid w:val="18C27C0A"/>
    <w:rsid w:val="18CAA2AD"/>
    <w:rsid w:val="18FC959E"/>
    <w:rsid w:val="1926BCA8"/>
    <w:rsid w:val="19336107"/>
    <w:rsid w:val="19669D20"/>
    <w:rsid w:val="19E9733B"/>
    <w:rsid w:val="1A6FA497"/>
    <w:rsid w:val="1A8D12DC"/>
    <w:rsid w:val="1ACA20BD"/>
    <w:rsid w:val="1ADFFCFC"/>
    <w:rsid w:val="1AF76EB8"/>
    <w:rsid w:val="1B4650B1"/>
    <w:rsid w:val="1B8FF6C2"/>
    <w:rsid w:val="1BA214E4"/>
    <w:rsid w:val="1BB45B49"/>
    <w:rsid w:val="1BBF8F93"/>
    <w:rsid w:val="1BC95119"/>
    <w:rsid w:val="1C9F1287"/>
    <w:rsid w:val="1CF8A35E"/>
    <w:rsid w:val="1DC9B083"/>
    <w:rsid w:val="1E1F28A0"/>
    <w:rsid w:val="1EAA8467"/>
    <w:rsid w:val="1EDE1C60"/>
    <w:rsid w:val="203C3162"/>
    <w:rsid w:val="2054C2FF"/>
    <w:rsid w:val="207A7E13"/>
    <w:rsid w:val="20A4EA9C"/>
    <w:rsid w:val="20A6F9F6"/>
    <w:rsid w:val="20A8D7A0"/>
    <w:rsid w:val="20A900A8"/>
    <w:rsid w:val="20BB5252"/>
    <w:rsid w:val="20F5B361"/>
    <w:rsid w:val="2137E7A6"/>
    <w:rsid w:val="2141F361"/>
    <w:rsid w:val="2155C313"/>
    <w:rsid w:val="21858411"/>
    <w:rsid w:val="227D0705"/>
    <w:rsid w:val="237DBA17"/>
    <w:rsid w:val="23921E37"/>
    <w:rsid w:val="23E9CA58"/>
    <w:rsid w:val="24C57FF3"/>
    <w:rsid w:val="24EFA955"/>
    <w:rsid w:val="25072B28"/>
    <w:rsid w:val="2516A514"/>
    <w:rsid w:val="251E8F13"/>
    <w:rsid w:val="25BE9421"/>
    <w:rsid w:val="25D58CE3"/>
    <w:rsid w:val="261C0C73"/>
    <w:rsid w:val="2680910B"/>
    <w:rsid w:val="278F1D6F"/>
    <w:rsid w:val="27B5C374"/>
    <w:rsid w:val="27CC8BFF"/>
    <w:rsid w:val="27DC862B"/>
    <w:rsid w:val="280BE55A"/>
    <w:rsid w:val="287967B2"/>
    <w:rsid w:val="288C6E65"/>
    <w:rsid w:val="288EC778"/>
    <w:rsid w:val="28B7A768"/>
    <w:rsid w:val="28D5BC82"/>
    <w:rsid w:val="2984B84F"/>
    <w:rsid w:val="2A0A65BD"/>
    <w:rsid w:val="2A6FD8F8"/>
    <w:rsid w:val="2A91DD1A"/>
    <w:rsid w:val="2A974A79"/>
    <w:rsid w:val="2AB37A3A"/>
    <w:rsid w:val="2AB9C4C5"/>
    <w:rsid w:val="2B1FAEC1"/>
    <w:rsid w:val="2B37A306"/>
    <w:rsid w:val="2B3C63F1"/>
    <w:rsid w:val="2B647FA1"/>
    <w:rsid w:val="2B737B25"/>
    <w:rsid w:val="2BCC2027"/>
    <w:rsid w:val="2C0FEBC6"/>
    <w:rsid w:val="2C8D2595"/>
    <w:rsid w:val="2E1F3523"/>
    <w:rsid w:val="2E417733"/>
    <w:rsid w:val="2E5A2F0D"/>
    <w:rsid w:val="2E8EC22E"/>
    <w:rsid w:val="2EECE8CD"/>
    <w:rsid w:val="2F139679"/>
    <w:rsid w:val="2F50F066"/>
    <w:rsid w:val="2F6A90FE"/>
    <w:rsid w:val="2FB4FDC6"/>
    <w:rsid w:val="2FF696C6"/>
    <w:rsid w:val="307477A3"/>
    <w:rsid w:val="309684A4"/>
    <w:rsid w:val="30AF34F5"/>
    <w:rsid w:val="319EE407"/>
    <w:rsid w:val="31D32E65"/>
    <w:rsid w:val="31EC55FD"/>
    <w:rsid w:val="320DD4B1"/>
    <w:rsid w:val="323C0228"/>
    <w:rsid w:val="32889729"/>
    <w:rsid w:val="32AA0813"/>
    <w:rsid w:val="32CBDCB1"/>
    <w:rsid w:val="33A285A6"/>
    <w:rsid w:val="33D94727"/>
    <w:rsid w:val="342F6B9F"/>
    <w:rsid w:val="34FD6809"/>
    <w:rsid w:val="34FF737D"/>
    <w:rsid w:val="351C132B"/>
    <w:rsid w:val="35323BCD"/>
    <w:rsid w:val="353CB33F"/>
    <w:rsid w:val="35D5FC26"/>
    <w:rsid w:val="36A17CB7"/>
    <w:rsid w:val="36D88FEC"/>
    <w:rsid w:val="3734526E"/>
    <w:rsid w:val="37C9F7BA"/>
    <w:rsid w:val="382DD2B6"/>
    <w:rsid w:val="383AF4E9"/>
    <w:rsid w:val="386324FF"/>
    <w:rsid w:val="38E3B965"/>
    <w:rsid w:val="39387897"/>
    <w:rsid w:val="3945B61F"/>
    <w:rsid w:val="39618C1B"/>
    <w:rsid w:val="397B64E4"/>
    <w:rsid w:val="3989C000"/>
    <w:rsid w:val="398C5563"/>
    <w:rsid w:val="39A89219"/>
    <w:rsid w:val="39E779BD"/>
    <w:rsid w:val="3A059BBA"/>
    <w:rsid w:val="3A6B8C70"/>
    <w:rsid w:val="3A85AA4B"/>
    <w:rsid w:val="3A9D900D"/>
    <w:rsid w:val="3AC0850F"/>
    <w:rsid w:val="3B58F5C0"/>
    <w:rsid w:val="3B717547"/>
    <w:rsid w:val="3B7469F4"/>
    <w:rsid w:val="3BA07753"/>
    <w:rsid w:val="3BF69E18"/>
    <w:rsid w:val="3C39882A"/>
    <w:rsid w:val="3C5D362D"/>
    <w:rsid w:val="3C89B7BE"/>
    <w:rsid w:val="3C98ABEE"/>
    <w:rsid w:val="3D32057A"/>
    <w:rsid w:val="3D42C60B"/>
    <w:rsid w:val="3DB803B4"/>
    <w:rsid w:val="3DBE7463"/>
    <w:rsid w:val="3DD6EBEE"/>
    <w:rsid w:val="3DE46137"/>
    <w:rsid w:val="3E0E1AB0"/>
    <w:rsid w:val="3E2F4BA5"/>
    <w:rsid w:val="3EC89AB1"/>
    <w:rsid w:val="3EEC9793"/>
    <w:rsid w:val="3F163E6D"/>
    <w:rsid w:val="3F645877"/>
    <w:rsid w:val="3F8DF53A"/>
    <w:rsid w:val="3FA0D14F"/>
    <w:rsid w:val="413B339E"/>
    <w:rsid w:val="41679AD2"/>
    <w:rsid w:val="41759F77"/>
    <w:rsid w:val="41817EC4"/>
    <w:rsid w:val="418F5E1A"/>
    <w:rsid w:val="41A646B7"/>
    <w:rsid w:val="42070205"/>
    <w:rsid w:val="420A2CCB"/>
    <w:rsid w:val="42219D7F"/>
    <w:rsid w:val="422E5289"/>
    <w:rsid w:val="4260FE50"/>
    <w:rsid w:val="4294BA5D"/>
    <w:rsid w:val="42B81C47"/>
    <w:rsid w:val="42CB589B"/>
    <w:rsid w:val="42D3E971"/>
    <w:rsid w:val="43031BE6"/>
    <w:rsid w:val="4364286A"/>
    <w:rsid w:val="43E3D00F"/>
    <w:rsid w:val="446C80BA"/>
    <w:rsid w:val="44990F1E"/>
    <w:rsid w:val="44B2F587"/>
    <w:rsid w:val="44B32949"/>
    <w:rsid w:val="45560406"/>
    <w:rsid w:val="457A52F8"/>
    <w:rsid w:val="45D69C1E"/>
    <w:rsid w:val="45E61FA1"/>
    <w:rsid w:val="45EB681B"/>
    <w:rsid w:val="4600CBE9"/>
    <w:rsid w:val="46470CFB"/>
    <w:rsid w:val="46B693AB"/>
    <w:rsid w:val="46DA7F37"/>
    <w:rsid w:val="47308DE3"/>
    <w:rsid w:val="47395A11"/>
    <w:rsid w:val="4762B3F4"/>
    <w:rsid w:val="47F2682E"/>
    <w:rsid w:val="47F7289A"/>
    <w:rsid w:val="4804B208"/>
    <w:rsid w:val="482577C0"/>
    <w:rsid w:val="487FB8DD"/>
    <w:rsid w:val="4887D09D"/>
    <w:rsid w:val="48A6FFF8"/>
    <w:rsid w:val="4921448D"/>
    <w:rsid w:val="492F4590"/>
    <w:rsid w:val="4930785C"/>
    <w:rsid w:val="49561653"/>
    <w:rsid w:val="498F2770"/>
    <w:rsid w:val="49E9A1A3"/>
    <w:rsid w:val="4A4F0775"/>
    <w:rsid w:val="4A5087FF"/>
    <w:rsid w:val="4A78A325"/>
    <w:rsid w:val="4A9FD8C2"/>
    <w:rsid w:val="4AFF6D15"/>
    <w:rsid w:val="4CF689F0"/>
    <w:rsid w:val="4D0AA4D7"/>
    <w:rsid w:val="4D14898B"/>
    <w:rsid w:val="4D726B12"/>
    <w:rsid w:val="4DFF91AE"/>
    <w:rsid w:val="4E4060F1"/>
    <w:rsid w:val="4E54870C"/>
    <w:rsid w:val="4ED1733A"/>
    <w:rsid w:val="4EF30421"/>
    <w:rsid w:val="4F3A06F9"/>
    <w:rsid w:val="4F6E738E"/>
    <w:rsid w:val="4F9A28AC"/>
    <w:rsid w:val="4FA4737F"/>
    <w:rsid w:val="4FF1E6C4"/>
    <w:rsid w:val="50C4E3F5"/>
    <w:rsid w:val="51423DEA"/>
    <w:rsid w:val="51BEEF06"/>
    <w:rsid w:val="522B4583"/>
    <w:rsid w:val="52688721"/>
    <w:rsid w:val="526D689A"/>
    <w:rsid w:val="52C89434"/>
    <w:rsid w:val="52D2E07B"/>
    <w:rsid w:val="52D38E02"/>
    <w:rsid w:val="53BAC25C"/>
    <w:rsid w:val="53BB55E4"/>
    <w:rsid w:val="53FB651A"/>
    <w:rsid w:val="540565F2"/>
    <w:rsid w:val="543DC913"/>
    <w:rsid w:val="5478C9A8"/>
    <w:rsid w:val="54905F01"/>
    <w:rsid w:val="55827904"/>
    <w:rsid w:val="55D218D8"/>
    <w:rsid w:val="55D4BECB"/>
    <w:rsid w:val="55E2F307"/>
    <w:rsid w:val="55ED6401"/>
    <w:rsid w:val="55FEABFB"/>
    <w:rsid w:val="56603565"/>
    <w:rsid w:val="569527E5"/>
    <w:rsid w:val="56A7183F"/>
    <w:rsid w:val="56BF1D96"/>
    <w:rsid w:val="56C9A8C8"/>
    <w:rsid w:val="56E5798F"/>
    <w:rsid w:val="57696CEE"/>
    <w:rsid w:val="5791A48F"/>
    <w:rsid w:val="57994399"/>
    <w:rsid w:val="57A04EA3"/>
    <w:rsid w:val="57D2B96A"/>
    <w:rsid w:val="57E208D8"/>
    <w:rsid w:val="580B0DB5"/>
    <w:rsid w:val="582CAFFC"/>
    <w:rsid w:val="585ADBD0"/>
    <w:rsid w:val="5875F20B"/>
    <w:rsid w:val="58A22E6A"/>
    <w:rsid w:val="58B93235"/>
    <w:rsid w:val="592E11A4"/>
    <w:rsid w:val="59458A2A"/>
    <w:rsid w:val="5958DF8C"/>
    <w:rsid w:val="59746AF1"/>
    <w:rsid w:val="59D41ED0"/>
    <w:rsid w:val="59F00C17"/>
    <w:rsid w:val="5A076884"/>
    <w:rsid w:val="5A714929"/>
    <w:rsid w:val="5AE99576"/>
    <w:rsid w:val="5AFFFE36"/>
    <w:rsid w:val="5B19E4FE"/>
    <w:rsid w:val="5B430A4F"/>
    <w:rsid w:val="5B49486F"/>
    <w:rsid w:val="5C4629BA"/>
    <w:rsid w:val="5C6A9A5C"/>
    <w:rsid w:val="5D442819"/>
    <w:rsid w:val="5D49B118"/>
    <w:rsid w:val="5D60ABB9"/>
    <w:rsid w:val="5DA03692"/>
    <w:rsid w:val="5E9272C9"/>
    <w:rsid w:val="5E9BD0CD"/>
    <w:rsid w:val="5EC130FB"/>
    <w:rsid w:val="5EC215DF"/>
    <w:rsid w:val="5EC2359A"/>
    <w:rsid w:val="5EFFE8F3"/>
    <w:rsid w:val="5F230955"/>
    <w:rsid w:val="5F25B2A6"/>
    <w:rsid w:val="5F4AECC2"/>
    <w:rsid w:val="5F566E33"/>
    <w:rsid w:val="5F6FE81D"/>
    <w:rsid w:val="5F8CFEC6"/>
    <w:rsid w:val="5F92D1EC"/>
    <w:rsid w:val="5FC90C09"/>
    <w:rsid w:val="603FF790"/>
    <w:rsid w:val="608408B7"/>
    <w:rsid w:val="60B39CB2"/>
    <w:rsid w:val="61618E9E"/>
    <w:rsid w:val="616C09BB"/>
    <w:rsid w:val="61B2E615"/>
    <w:rsid w:val="623D5EB8"/>
    <w:rsid w:val="62B62197"/>
    <w:rsid w:val="6385A9E2"/>
    <w:rsid w:val="6409DC2E"/>
    <w:rsid w:val="643F3761"/>
    <w:rsid w:val="64783B74"/>
    <w:rsid w:val="64B7AF1E"/>
    <w:rsid w:val="64BF70A6"/>
    <w:rsid w:val="64F67E7E"/>
    <w:rsid w:val="6522BBCC"/>
    <w:rsid w:val="6522FF39"/>
    <w:rsid w:val="6571939C"/>
    <w:rsid w:val="65BA54CB"/>
    <w:rsid w:val="65E08D6E"/>
    <w:rsid w:val="65F42C18"/>
    <w:rsid w:val="66540F75"/>
    <w:rsid w:val="6665F05E"/>
    <w:rsid w:val="6674FA06"/>
    <w:rsid w:val="66BE3D16"/>
    <w:rsid w:val="66EE2F77"/>
    <w:rsid w:val="676B90B1"/>
    <w:rsid w:val="6782339E"/>
    <w:rsid w:val="67A0AED8"/>
    <w:rsid w:val="684F9FDE"/>
    <w:rsid w:val="688A6D43"/>
    <w:rsid w:val="6895779F"/>
    <w:rsid w:val="68D60D5C"/>
    <w:rsid w:val="68DE7741"/>
    <w:rsid w:val="6915BAA5"/>
    <w:rsid w:val="693B38F5"/>
    <w:rsid w:val="694503C7"/>
    <w:rsid w:val="695D44C8"/>
    <w:rsid w:val="69744CFF"/>
    <w:rsid w:val="6A7D8831"/>
    <w:rsid w:val="6AABEC86"/>
    <w:rsid w:val="6B1F2901"/>
    <w:rsid w:val="6B2DCF83"/>
    <w:rsid w:val="6B35A0F0"/>
    <w:rsid w:val="6BB29712"/>
    <w:rsid w:val="6BCE53FB"/>
    <w:rsid w:val="6C04E8A7"/>
    <w:rsid w:val="6C2E0338"/>
    <w:rsid w:val="6CA9C0BB"/>
    <w:rsid w:val="6D1A214A"/>
    <w:rsid w:val="6D63E912"/>
    <w:rsid w:val="6E0884BF"/>
    <w:rsid w:val="6EB459BC"/>
    <w:rsid w:val="6EED2BCF"/>
    <w:rsid w:val="6EF4A2EE"/>
    <w:rsid w:val="6F0EA2ED"/>
    <w:rsid w:val="6F27C0B4"/>
    <w:rsid w:val="6F4D1DF8"/>
    <w:rsid w:val="6F89AA7E"/>
    <w:rsid w:val="6FF96815"/>
    <w:rsid w:val="7031B89C"/>
    <w:rsid w:val="714505B3"/>
    <w:rsid w:val="724E2B80"/>
    <w:rsid w:val="728F24E7"/>
    <w:rsid w:val="72C77F30"/>
    <w:rsid w:val="72D1F839"/>
    <w:rsid w:val="74203EF6"/>
    <w:rsid w:val="74D52A2D"/>
    <w:rsid w:val="751B082D"/>
    <w:rsid w:val="751DAB34"/>
    <w:rsid w:val="75A7026B"/>
    <w:rsid w:val="75CFC164"/>
    <w:rsid w:val="75EBF972"/>
    <w:rsid w:val="7670F297"/>
    <w:rsid w:val="772F835B"/>
    <w:rsid w:val="77C4874F"/>
    <w:rsid w:val="77EA95F1"/>
    <w:rsid w:val="7874E0BF"/>
    <w:rsid w:val="78A54822"/>
    <w:rsid w:val="798800D6"/>
    <w:rsid w:val="79C3F2D6"/>
    <w:rsid w:val="79D16961"/>
    <w:rsid w:val="7A1F6924"/>
    <w:rsid w:val="7AD7972B"/>
    <w:rsid w:val="7AEBE580"/>
    <w:rsid w:val="7B2C2F1D"/>
    <w:rsid w:val="7B2C3500"/>
    <w:rsid w:val="7B8C298F"/>
    <w:rsid w:val="7B8C310D"/>
    <w:rsid w:val="7BC3BC2B"/>
    <w:rsid w:val="7C5BB5E9"/>
    <w:rsid w:val="7C657901"/>
    <w:rsid w:val="7CE82964"/>
    <w:rsid w:val="7D06DA87"/>
    <w:rsid w:val="7D652F23"/>
    <w:rsid w:val="7E451195"/>
    <w:rsid w:val="7E5D1E08"/>
    <w:rsid w:val="7EA77F6D"/>
    <w:rsid w:val="7EE8AE32"/>
    <w:rsid w:val="7F0E4508"/>
    <w:rsid w:val="7F646BD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929D1"/>
  <w15:chartTrackingRefBased/>
  <w15:docId w15:val="{4D96E56B-AB81-4945-B071-2FEAB30C6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bg-BG"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2054C2FF"/>
    <w:rPr>
      <w:lang w:val="en-GB"/>
    </w:rPr>
  </w:style>
  <w:style w:type="paragraph" w:styleId="Heading1">
    <w:name w:val="heading 1"/>
    <w:basedOn w:val="Normal"/>
    <w:next w:val="Normal"/>
    <w:uiPriority w:val="9"/>
    <w:qFormat/>
    <w:rsid w:val="2054C2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2054C2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2054C2FF"/>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1446FC68"/>
    <w:rPr>
      <w:color w:val="467886"/>
      <w:u w:val="single"/>
    </w:rPr>
  </w:style>
  <w:style w:type="paragraph" w:styleId="NormalWeb">
    <w:name w:val="Normal (Web)"/>
    <w:basedOn w:val="Normal"/>
    <w:uiPriority w:val="99"/>
    <w:semiHidden/>
    <w:unhideWhenUsed/>
    <w:rsid w:val="007E16B6"/>
    <w:pPr>
      <w:spacing w:before="100" w:beforeAutospacing="1" w:after="100" w:afterAutospacing="1" w:line="240" w:lineRule="auto"/>
    </w:pPr>
    <w:rPr>
      <w:rFonts w:ascii="Times New Roman" w:eastAsia="Times New Roman" w:hAnsi="Times New Roman" w:cs="Times New Roman"/>
      <w:lang w:eastAsia="en-GB"/>
    </w:rPr>
  </w:style>
  <w:style w:type="character" w:styleId="Emphasis">
    <w:name w:val="Emphasis"/>
    <w:basedOn w:val="DefaultParagraphFont"/>
    <w:uiPriority w:val="20"/>
    <w:qFormat/>
    <w:rsid w:val="007E16B6"/>
    <w:rPr>
      <w:i/>
      <w:iCs/>
    </w:rPr>
  </w:style>
  <w:style w:type="character" w:styleId="FollowedHyperlink">
    <w:name w:val="FollowedHyperlink"/>
    <w:basedOn w:val="DefaultParagraphFont"/>
    <w:uiPriority w:val="99"/>
    <w:semiHidden/>
    <w:unhideWhenUsed/>
    <w:rsid w:val="007E16B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da.shef.ac.uk/articles/report/PREVALENCE_AND_ECONOMIC_BURDEN_OF_MEDICATION_ERRORS_IN_THE_NHS_IN_ENGLAND_Rapid_evidence_synthesis_and_economic_analysis_of_the_prevalence_and_burden_of_medication_error_in_the_UK/25218950?file=44544338" TargetMode="External"/><Relationship Id="rId13" Type="http://schemas.openxmlformats.org/officeDocument/2006/relationships/hyperlink" Target="https://jamanetwork.com/journals/jamainternalmedicine/fullarticle/215756?utm_source=chatgpt.com" TargetMode="External"/><Relationship Id="rId18" Type="http://schemas.openxmlformats.org/officeDocument/2006/relationships/hyperlink" Target="https://northyorkshireccg.nhs.uk/wp-content/uploads/2023/07/July-2023-NHS-NEY-INFANT-MORPHINE-OVERDOSE-CASE-STUDY.pdf" TargetMode="External"/><Relationship Id="rId26" Type="http://schemas.openxmlformats.org/officeDocument/2006/relationships/hyperlink" Target="https://iris.who.int/server/api/core/bitstreams/15520c4f-89d1-4a8f-9bab-6b771aa30acb/content" TargetMode="External"/><Relationship Id="rId3" Type="http://schemas.openxmlformats.org/officeDocument/2006/relationships/webSettings" Target="webSettings.xml"/><Relationship Id="rId21" Type="http://schemas.openxmlformats.org/officeDocument/2006/relationships/hyperlink" Target="https://www.bmj.com/content/320/7237/768" TargetMode="External"/><Relationship Id="rId7" Type="http://schemas.openxmlformats.org/officeDocument/2006/relationships/hyperlink" Target="https://pmc.ncbi.nlm.nih.gov/articles/PMC12051717/?utm_source=chatgpt.com" TargetMode="External"/><Relationship Id="rId12" Type="http://schemas.openxmlformats.org/officeDocument/2006/relationships/hyperlink" Target="https://jamanetwork.com/journals/jama/fullarticle/193775?utm_source=chatgpt.com" TargetMode="External"/><Relationship Id="rId17" Type="http://schemas.openxmlformats.org/officeDocument/2006/relationships/hyperlink" Target="https://www.england.nhs.uk/south/info-professional/safe-use-of-controlled-drugs/" TargetMode="External"/><Relationship Id="rId25" Type="http://schemas.openxmlformats.org/officeDocument/2006/relationships/hyperlink" Target="https://www.kingsfund.org.uk/publications/developing-collective-leadership-health-care" TargetMode="External"/><Relationship Id="rId2" Type="http://schemas.openxmlformats.org/officeDocument/2006/relationships/settings" Target="settings.xml"/><Relationship Id="rId16" Type="http://schemas.openxmlformats.org/officeDocument/2006/relationships/hyperlink" Target="https://www.nhsstaffsurveys.com/results/national-results/?utm_source=chatgpt.com" TargetMode="External"/><Relationship Id="rId20" Type="http://schemas.openxmlformats.org/officeDocument/2006/relationships/hyperlink" Target="https://www.nuffieldtrust.org.uk/research/shifting-the-balance-of-care-great-expectations?utm_source=chatgpt.com" TargetMode="External"/><Relationship Id="rId1" Type="http://schemas.openxmlformats.org/officeDocument/2006/relationships/styles" Target="styles.xml"/><Relationship Id="rId6" Type="http://schemas.openxmlformats.org/officeDocument/2006/relationships/hyperlink" Target="https://bmjopen.bmj.com/content/7/11/e017708?utm_source=chatgpt.com" TargetMode="External"/><Relationship Id="rId11" Type="http://schemas.openxmlformats.org/officeDocument/2006/relationships/hyperlink" Target="https://www.ihi.org/resources/Pages/Tools/Patient-Safety-Essentials-Toolkit.aspx?utm_source=chatgpt.com" TargetMode="External"/><Relationship Id="rId24" Type="http://schemas.openxmlformats.org/officeDocument/2006/relationships/hyperlink" Target="https://hbr.org/1973/05/how-to-choose-a-leadership-pattern?utm_source=chatgpt.com" TargetMode="External"/><Relationship Id="rId5" Type="http://schemas.openxmlformats.org/officeDocument/2006/relationships/hyperlink" Target="https://us.sagepub.com/en-us/nam/improving-organizational-effectiveness-through-transformational-leadership/book4228?utm_source=chatgpt.com" TargetMode="External"/><Relationship Id="rId15" Type="http://schemas.openxmlformats.org/officeDocument/2006/relationships/hyperlink" Target="https://www.england.nhs.uk/primary-care/pharmacy/pharmacy-services/nhs-discharge-medicines-service/?utm_source=chatgpt.com" TargetMode="External"/><Relationship Id="rId23" Type="http://schemas.openxmlformats.org/officeDocument/2006/relationships/hyperlink" Target="https://lalt.fecfau.unicamp.br/projects/wp-content/uploads/2020/livros/Sistemas%20dinamicos/John_D_Sterman_2000_EN_Business_Dynamics_-_Systems_Thinking_and_Modeling_for_a_Complex_World.pdf?utm_source=chatgpt.com" TargetMode="External"/><Relationship Id="rId28" Type="http://schemas.openxmlformats.org/officeDocument/2006/relationships/theme" Target="theme/theme1.xml"/><Relationship Id="rId10" Type="http://schemas.openxmlformats.org/officeDocument/2006/relationships/hyperlink" Target="https://www.health.org.uk/reports-and-analysis/reports/nhs-workforce-projections-2022?utm_source=chatgpt.com" TargetMode="External"/><Relationship Id="rId19" Type="http://schemas.openxmlformats.org/officeDocument/2006/relationships/hyperlink" Target="https://pubmed.ncbi.nlm.nih.gov/21683494/?utm_source=chatgpt.com" TargetMode="External"/><Relationship Id="rId4" Type="http://schemas.openxmlformats.org/officeDocument/2006/relationships/image" Target="media/image1.png"/><Relationship Id="rId9" Type="http://schemas.openxmlformats.org/officeDocument/2006/relationships/hyperlink" Target="https://pmc.ncbi.nlm.nih.gov/articles/PMC11319874/" TargetMode="External"/><Relationship Id="rId14" Type="http://schemas.openxmlformats.org/officeDocument/2006/relationships/hyperlink" Target="https://www.england.nhs.uk/wp-content/uploads/2020/08/190708_Patient_Safety_Strategy_for_website_v4.pdf" TargetMode="External"/><Relationship Id="rId22" Type="http://schemas.openxmlformats.org/officeDocument/2006/relationships/hyperlink" Target="https://www.oecd.org/content/dam/oecd/en/publications/reports/2017/06/the-economics-of-patient-safety_258f9682/5a9858cd-en.pdf?utm_source=chatgpt.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23</Pages>
  <Words>8407</Words>
  <Characters>47920</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Desislava Markova (2512936)</dc:creator>
  <cp:keywords/>
  <dc:description/>
  <cp:lastModifiedBy>Desi Markova</cp:lastModifiedBy>
  <cp:revision>2</cp:revision>
  <dcterms:created xsi:type="dcterms:W3CDTF">2026-03-03T11:56:00Z</dcterms:created>
  <dcterms:modified xsi:type="dcterms:W3CDTF">2026-03-27T00:54:00Z</dcterms:modified>
</cp:coreProperties>
</file>