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EDD78" w14:textId="2AFFC81F" w:rsidR="002C1F94" w:rsidRPr="00633E87" w:rsidRDefault="00810044">
      <w:pPr>
        <w:pStyle w:val="Title"/>
        <w:rPr>
          <w:rFonts w:ascii="Times New Roman" w:hAnsi="Times New Roman" w:cs="Times New Roman"/>
          <w:b/>
          <w:bCs/>
          <w:sz w:val="32"/>
          <w:szCs w:val="32"/>
        </w:rPr>
      </w:pPr>
      <w:r w:rsidRPr="00633E87">
        <w:rPr>
          <w:rFonts w:ascii="Times New Roman" w:hAnsi="Times New Roman" w:cs="Times New Roman"/>
          <w:b/>
          <w:bCs/>
          <w:sz w:val="32"/>
          <w:szCs w:val="32"/>
        </w:rPr>
        <w:t xml:space="preserve">  Living Well: A Life Course Approach to Health and Wellbeing</w:t>
      </w:r>
    </w:p>
    <w:p w14:paraId="1133199A" w14:textId="77777777" w:rsidR="002C1F94" w:rsidRPr="00633E87" w:rsidRDefault="00CF126E">
      <w:pPr>
        <w:rPr>
          <w:rFonts w:ascii="Times New Roman" w:hAnsi="Times New Roman" w:cs="Times New Roman"/>
          <w:sz w:val="24"/>
          <w:szCs w:val="24"/>
        </w:rPr>
      </w:pPr>
      <w:r w:rsidRPr="00633E87">
        <w:rPr>
          <w:rFonts w:ascii="Times New Roman" w:hAnsi="Times New Roman" w:cs="Times New Roman"/>
          <w:b/>
          <w:bCs/>
          <w:sz w:val="24"/>
          <w:szCs w:val="24"/>
        </w:rPr>
        <w:t>Module: BMNS4014</w:t>
      </w:r>
      <w:r w:rsidRPr="00633E87">
        <w:rPr>
          <w:rFonts w:ascii="Times New Roman" w:hAnsi="Times New Roman" w:cs="Times New Roman"/>
          <w:sz w:val="24"/>
          <w:szCs w:val="24"/>
        </w:rPr>
        <w:t xml:space="preserve"> – Living Well: A Life Course Approach to Health and Wellbeing</w:t>
      </w:r>
    </w:p>
    <w:p w14:paraId="7069F256" w14:textId="6CC7B30E" w:rsidR="002C1F94" w:rsidRPr="00633E87" w:rsidRDefault="00CF126E">
      <w:pPr>
        <w:rPr>
          <w:rFonts w:ascii="Times New Roman" w:hAnsi="Times New Roman" w:cs="Times New Roman"/>
          <w:sz w:val="24"/>
          <w:szCs w:val="24"/>
        </w:rPr>
      </w:pPr>
      <w:r w:rsidRPr="00633E87">
        <w:rPr>
          <w:rFonts w:ascii="Times New Roman" w:hAnsi="Times New Roman" w:cs="Times New Roman"/>
          <w:b/>
          <w:bCs/>
          <w:sz w:val="24"/>
          <w:szCs w:val="24"/>
        </w:rPr>
        <w:t>Student Name:</w:t>
      </w:r>
      <w:r w:rsidR="00CE4D7D" w:rsidRPr="00633E87">
        <w:rPr>
          <w:rFonts w:ascii="Times New Roman" w:hAnsi="Times New Roman" w:cs="Times New Roman"/>
          <w:b/>
          <w:bCs/>
          <w:sz w:val="24"/>
          <w:szCs w:val="24"/>
        </w:rPr>
        <w:t xml:space="preserve"> </w:t>
      </w:r>
      <w:r w:rsidR="00AD181C" w:rsidRPr="00633E87">
        <w:rPr>
          <w:rFonts w:ascii="Times New Roman" w:hAnsi="Times New Roman" w:cs="Times New Roman"/>
          <w:sz w:val="24"/>
          <w:szCs w:val="24"/>
        </w:rPr>
        <w:t>Lucie Kollerova</w:t>
      </w:r>
    </w:p>
    <w:p w14:paraId="2B82B714" w14:textId="18D10080" w:rsidR="002C1F94" w:rsidRPr="00633E87" w:rsidRDefault="00CF126E">
      <w:pPr>
        <w:rPr>
          <w:rFonts w:ascii="Times New Roman" w:hAnsi="Times New Roman" w:cs="Times New Roman"/>
          <w:sz w:val="24"/>
          <w:szCs w:val="24"/>
        </w:rPr>
      </w:pPr>
      <w:r w:rsidRPr="00633E87">
        <w:rPr>
          <w:rFonts w:ascii="Times New Roman" w:hAnsi="Times New Roman" w:cs="Times New Roman"/>
          <w:b/>
          <w:bCs/>
          <w:sz w:val="24"/>
          <w:szCs w:val="24"/>
        </w:rPr>
        <w:t>Student Number:</w:t>
      </w:r>
      <w:r w:rsidR="00AD181C" w:rsidRPr="00633E87">
        <w:rPr>
          <w:rFonts w:ascii="Times New Roman" w:hAnsi="Times New Roman" w:cs="Times New Roman"/>
          <w:sz w:val="24"/>
          <w:szCs w:val="24"/>
        </w:rPr>
        <w:t xml:space="preserve"> 2509350</w:t>
      </w:r>
    </w:p>
    <w:p w14:paraId="50B656CD" w14:textId="4A7E4D84" w:rsidR="002C1F94" w:rsidRPr="00633E87" w:rsidRDefault="00CF126E">
      <w:pPr>
        <w:rPr>
          <w:rFonts w:ascii="Times New Roman" w:hAnsi="Times New Roman" w:cs="Times New Roman"/>
          <w:sz w:val="24"/>
          <w:szCs w:val="24"/>
        </w:rPr>
      </w:pPr>
      <w:r w:rsidRPr="00633E87">
        <w:rPr>
          <w:rFonts w:ascii="Times New Roman" w:hAnsi="Times New Roman" w:cs="Times New Roman"/>
          <w:b/>
          <w:bCs/>
          <w:sz w:val="24"/>
          <w:szCs w:val="24"/>
        </w:rPr>
        <w:t>Lecturer:</w:t>
      </w:r>
      <w:r w:rsidR="004E0DF7" w:rsidRPr="00633E87">
        <w:rPr>
          <w:rFonts w:ascii="Times New Roman" w:hAnsi="Times New Roman"/>
          <w:sz w:val="24"/>
          <w:szCs w:val="24"/>
        </w:rPr>
        <w:t xml:space="preserve"> Dr Ben Duxbury</w:t>
      </w:r>
    </w:p>
    <w:p w14:paraId="7E2CDCD2" w14:textId="42295E5B" w:rsidR="002C1F94" w:rsidRPr="00633E87" w:rsidRDefault="00CF126E" w:rsidP="003238AE">
      <w:pPr>
        <w:rPr>
          <w:rFonts w:ascii="Times New Roman" w:hAnsi="Times New Roman" w:cs="Times New Roman"/>
          <w:sz w:val="24"/>
          <w:szCs w:val="24"/>
        </w:rPr>
      </w:pPr>
      <w:r w:rsidRPr="003238AE">
        <w:rPr>
          <w:rFonts w:ascii="Times New Roman" w:hAnsi="Times New Roman" w:cs="Times New Roman"/>
          <w:b/>
          <w:bCs/>
          <w:sz w:val="24"/>
          <w:szCs w:val="24"/>
        </w:rPr>
        <w:t>Date</w:t>
      </w:r>
      <w:r w:rsidRPr="00633E87">
        <w:rPr>
          <w:rFonts w:ascii="Times New Roman" w:hAnsi="Times New Roman" w:cs="Times New Roman"/>
          <w:sz w:val="24"/>
          <w:szCs w:val="24"/>
        </w:rPr>
        <w:t xml:space="preserve">: </w:t>
      </w:r>
      <w:r w:rsidR="003238AE">
        <w:rPr>
          <w:rFonts w:ascii="Times New Roman" w:hAnsi="Times New Roman" w:cs="Times New Roman"/>
          <w:sz w:val="24"/>
          <w:szCs w:val="24"/>
        </w:rPr>
        <w:t>1. May</w:t>
      </w:r>
      <w:r w:rsidR="00970512" w:rsidRPr="00633E87">
        <w:rPr>
          <w:rFonts w:ascii="Times New Roman" w:hAnsi="Times New Roman" w:cs="Times New Roman"/>
          <w:sz w:val="24"/>
          <w:szCs w:val="24"/>
        </w:rPr>
        <w:t>.2026</w:t>
      </w:r>
    </w:p>
    <w:p w14:paraId="1595ED75" w14:textId="77777777" w:rsidR="000F3300" w:rsidRDefault="000F3300" w:rsidP="00145406">
      <w:pPr>
        <w:pStyle w:val="Heading1"/>
        <w:rPr>
          <w:rFonts w:ascii="Times New Roman" w:hAnsi="Times New Roman" w:cs="Times New Roman"/>
        </w:rPr>
      </w:pPr>
      <w:r w:rsidRPr="00CE4D7D">
        <w:rPr>
          <w:rFonts w:ascii="Times New Roman" w:hAnsi="Times New Roman" w:cs="Times New Roman"/>
        </w:rPr>
        <w:lastRenderedPageBreak/>
        <w:t>Abstract</w:t>
      </w:r>
    </w:p>
    <w:p w14:paraId="33C34DB6" w14:textId="76B0521D" w:rsidR="000F3300" w:rsidRPr="00730123" w:rsidRDefault="000F3300" w:rsidP="00145406">
      <w:pPr>
        <w:rPr>
          <w:sz w:val="24"/>
          <w:szCs w:val="24"/>
        </w:rPr>
        <w:sectPr w:rsidR="000F3300" w:rsidRPr="00730123" w:rsidSect="00D02A09">
          <w:pgSz w:w="12242" w:h="6067" w:orient="landscape"/>
          <w:pgMar w:top="1440" w:right="1440" w:bottom="1440" w:left="1440" w:header="720" w:footer="720" w:gutter="0"/>
          <w:cols w:space="720"/>
        </w:sectPr>
      </w:pPr>
      <w:r w:rsidRPr="00730123">
        <w:rPr>
          <w:rFonts w:ascii="Times New Roman" w:hAnsi="Times New Roman"/>
          <w:sz w:val="24"/>
          <w:szCs w:val="24"/>
        </w:rPr>
        <w:t>The aim of this article is to review the life course model on health and wellbeing, focusing on social, economic and environmental determinants across the lifespan.</w:t>
      </w:r>
      <w:r w:rsidR="001457CC" w:rsidRPr="001457CC">
        <w:t xml:space="preserve"> </w:t>
      </w:r>
      <w:r w:rsidR="001457CC" w:rsidRPr="001457CC">
        <w:rPr>
          <w:rFonts w:ascii="Times New Roman" w:hAnsi="Times New Roman"/>
          <w:sz w:val="24"/>
          <w:szCs w:val="24"/>
        </w:rPr>
        <w:t xml:space="preserve">This report draws on academic literature, policy documents and research evidence to critically </w:t>
      </w:r>
      <w:proofErr w:type="spellStart"/>
      <w:r w:rsidR="001457CC" w:rsidRPr="001457CC">
        <w:rPr>
          <w:rFonts w:ascii="Times New Roman" w:hAnsi="Times New Roman"/>
          <w:sz w:val="24"/>
          <w:szCs w:val="24"/>
        </w:rPr>
        <w:t>analyse</w:t>
      </w:r>
      <w:proofErr w:type="spellEnd"/>
      <w:r w:rsidR="001457CC" w:rsidRPr="001457CC">
        <w:rPr>
          <w:rFonts w:ascii="Times New Roman" w:hAnsi="Times New Roman"/>
          <w:sz w:val="24"/>
          <w:szCs w:val="24"/>
        </w:rPr>
        <w:t xml:space="preserve"> the </w:t>
      </w:r>
      <w:proofErr w:type="gramStart"/>
      <w:r w:rsidR="001457CC" w:rsidRPr="001457CC">
        <w:rPr>
          <w:rFonts w:ascii="Times New Roman" w:hAnsi="Times New Roman"/>
          <w:sz w:val="24"/>
          <w:szCs w:val="24"/>
        </w:rPr>
        <w:t>life course</w:t>
      </w:r>
      <w:proofErr w:type="gramEnd"/>
      <w:r w:rsidR="001457CC" w:rsidRPr="001457CC">
        <w:rPr>
          <w:rFonts w:ascii="Times New Roman" w:hAnsi="Times New Roman"/>
          <w:sz w:val="24"/>
          <w:szCs w:val="24"/>
        </w:rPr>
        <w:t xml:space="preserve"> approach to health and wellbeing.</w:t>
      </w:r>
      <w:r w:rsidRPr="00730123">
        <w:rPr>
          <w:rFonts w:ascii="Times New Roman" w:hAnsi="Times New Roman"/>
          <w:sz w:val="24"/>
          <w:szCs w:val="24"/>
        </w:rPr>
        <w:t xml:space="preserve"> Guided by research and theory, the report explores how health inequalities begin in early life and continue into adulthood. It examines the effectiveness of life-course interventions, including early years’ support, health promotion and later-life care. The report argues that health is shaped not only by individual </w:t>
      </w:r>
      <w:proofErr w:type="spellStart"/>
      <w:r w:rsidRPr="00730123">
        <w:rPr>
          <w:rFonts w:ascii="Times New Roman" w:hAnsi="Times New Roman"/>
          <w:sz w:val="24"/>
          <w:szCs w:val="24"/>
        </w:rPr>
        <w:t>behaviour</w:t>
      </w:r>
      <w:proofErr w:type="spellEnd"/>
      <w:r w:rsidRPr="00730123">
        <w:rPr>
          <w:rFonts w:ascii="Times New Roman" w:hAnsi="Times New Roman"/>
          <w:sz w:val="24"/>
          <w:szCs w:val="24"/>
        </w:rPr>
        <w:t xml:space="preserve"> but also by structural factors such as education, income, employment and housing.</w:t>
      </w:r>
      <w:r w:rsidRPr="00730123">
        <w:rPr>
          <w:sz w:val="24"/>
          <w:szCs w:val="24"/>
        </w:rPr>
        <w:t xml:space="preserve"> </w:t>
      </w:r>
      <w:r w:rsidRPr="00730123">
        <w:rPr>
          <w:rFonts w:ascii="Times New Roman" w:hAnsi="Times New Roman"/>
          <w:sz w:val="24"/>
          <w:szCs w:val="24"/>
        </w:rPr>
        <w:t>Improving health outcomes requires coordinated policy action and sustained intervention across the life cour</w:t>
      </w:r>
      <w:r w:rsidR="00157ED3" w:rsidRPr="00730123">
        <w:rPr>
          <w:rFonts w:ascii="Times New Roman" w:hAnsi="Times New Roman"/>
          <w:sz w:val="24"/>
          <w:szCs w:val="24"/>
        </w:rPr>
        <w:t>s</w:t>
      </w:r>
      <w:r w:rsidR="00730123" w:rsidRPr="00730123">
        <w:rPr>
          <w:rFonts w:ascii="Times New Roman" w:hAnsi="Times New Roman"/>
          <w:sz w:val="24"/>
          <w:szCs w:val="24"/>
        </w:rPr>
        <w:t>e</w:t>
      </w:r>
      <w:r w:rsidR="000D604A">
        <w:rPr>
          <w:rFonts w:ascii="Times New Roman" w:hAnsi="Times New Roman"/>
          <w:sz w:val="24"/>
          <w:szCs w:val="24"/>
        </w:rPr>
        <w:t>.</w:t>
      </w:r>
    </w:p>
    <w:p w14:paraId="2EA3BE66" w14:textId="77777777" w:rsidR="00730123" w:rsidRDefault="00730123" w:rsidP="00A47E74">
      <w:pPr>
        <w:pStyle w:val="Heading1"/>
        <w:numPr>
          <w:ilvl w:val="0"/>
          <w:numId w:val="10"/>
        </w:numPr>
        <w:ind w:left="360"/>
        <w:rPr>
          <w:rFonts w:ascii="Times New Roman" w:hAnsi="Times New Roman" w:cs="Times New Roman"/>
        </w:rPr>
      </w:pPr>
      <w:r w:rsidRPr="00CE4D7D">
        <w:rPr>
          <w:rFonts w:ascii="Times New Roman" w:hAnsi="Times New Roman" w:cs="Times New Roman"/>
        </w:rPr>
        <w:lastRenderedPageBreak/>
        <w:t>Introduction</w:t>
      </w:r>
    </w:p>
    <w:p w14:paraId="21821A2E" w14:textId="0443255D" w:rsidR="00BC41AE" w:rsidRDefault="00730123" w:rsidP="008C3F92">
      <w:pPr>
        <w:rPr>
          <w:rFonts w:ascii="Times New Roman" w:hAnsi="Times New Roman" w:cs="Times New Roman"/>
        </w:rPr>
        <w:sectPr w:rsidR="00BC41AE" w:rsidSect="00DC3E0F">
          <w:pgSz w:w="12242" w:h="9923"/>
          <w:pgMar w:top="1440" w:right="1797" w:bottom="1440" w:left="1797" w:header="720" w:footer="720" w:gutter="0"/>
          <w:cols w:space="720"/>
          <w:docGrid w:linePitch="360"/>
        </w:sectPr>
      </w:pPr>
      <w:r w:rsidRPr="00457C60">
        <w:rPr>
          <w:rFonts w:ascii="Times New Roman" w:hAnsi="Times New Roman"/>
          <w:sz w:val="24"/>
          <w:szCs w:val="24"/>
        </w:rPr>
        <w:t xml:space="preserve">Social, economic, biological and environmental determinants all play a part in shaping health throughout the lifespan. According to WHO (2025), the life course approach provides a temporal and societal perspective on health across an individual’s lifespan. The life course model acknowledges that </w:t>
      </w:r>
      <w:r w:rsidRPr="00457C60">
        <w:rPr>
          <w:rFonts w:ascii="Times New Roman" w:hAnsi="Times New Roman"/>
          <w:b/>
          <w:bCs/>
          <w:sz w:val="24"/>
          <w:szCs w:val="24"/>
        </w:rPr>
        <w:t xml:space="preserve">health is not solely determined by individual </w:t>
      </w:r>
      <w:proofErr w:type="spellStart"/>
      <w:r w:rsidRPr="00457C60">
        <w:rPr>
          <w:rFonts w:ascii="Times New Roman" w:hAnsi="Times New Roman"/>
          <w:b/>
          <w:bCs/>
          <w:sz w:val="24"/>
          <w:szCs w:val="24"/>
        </w:rPr>
        <w:t>behaviours</w:t>
      </w:r>
      <w:proofErr w:type="spellEnd"/>
      <w:r w:rsidRPr="00457C60">
        <w:rPr>
          <w:rFonts w:ascii="Times New Roman" w:hAnsi="Times New Roman"/>
          <w:sz w:val="24"/>
          <w:szCs w:val="24"/>
        </w:rPr>
        <w:t xml:space="preserve">, or temporary influences, but rather an outcome of the series of events that begin and continue from an individual's childhood into old age. This view stresses that in some cases, both strengths and weaknesses develop in time and are substantial social differences for individuals and groups of people. Early-life experiences including familial environment, educational attainment, or socioeconomic condition, have long-lasting effects on adult health (Ben-Shlomo and Kuh, 2002). </w:t>
      </w:r>
      <w:r w:rsidR="00773760" w:rsidRPr="00773760">
        <w:rPr>
          <w:rFonts w:ascii="Times New Roman" w:hAnsi="Times New Roman"/>
          <w:sz w:val="24"/>
          <w:szCs w:val="24"/>
        </w:rPr>
        <w:t xml:space="preserve">However, health inequalities cannot be explained solely by individual </w:t>
      </w:r>
      <w:proofErr w:type="spellStart"/>
      <w:r w:rsidR="00773760" w:rsidRPr="00773760">
        <w:rPr>
          <w:rFonts w:ascii="Times New Roman" w:hAnsi="Times New Roman"/>
          <w:sz w:val="24"/>
          <w:szCs w:val="24"/>
        </w:rPr>
        <w:t>behaviour</w:t>
      </w:r>
      <w:proofErr w:type="spellEnd"/>
      <w:r w:rsidR="00773760">
        <w:rPr>
          <w:rFonts w:ascii="Times New Roman" w:hAnsi="Times New Roman"/>
          <w:sz w:val="24"/>
          <w:szCs w:val="24"/>
        </w:rPr>
        <w:t>.</w:t>
      </w:r>
      <w:r w:rsidR="0029731E">
        <w:rPr>
          <w:rFonts w:ascii="Times New Roman" w:hAnsi="Times New Roman"/>
          <w:sz w:val="24"/>
          <w:szCs w:val="24"/>
        </w:rPr>
        <w:t xml:space="preserve"> </w:t>
      </w:r>
      <w:r w:rsidR="00773760">
        <w:rPr>
          <w:rFonts w:ascii="Times New Roman" w:hAnsi="Times New Roman"/>
          <w:sz w:val="24"/>
          <w:szCs w:val="24"/>
        </w:rPr>
        <w:t>Such</w:t>
      </w:r>
      <w:r w:rsidRPr="00457C60">
        <w:rPr>
          <w:rFonts w:ascii="Times New Roman" w:hAnsi="Times New Roman"/>
          <w:sz w:val="24"/>
          <w:szCs w:val="24"/>
        </w:rPr>
        <w:t xml:space="preserve"> is the case for structural determinants of health, as income, employment, and housing as well as access to resources, are influential determinants of health (Marmot, 2015). This indicates that </w:t>
      </w:r>
      <w:proofErr w:type="gramStart"/>
      <w:r w:rsidRPr="00457C60">
        <w:rPr>
          <w:rFonts w:ascii="Times New Roman" w:hAnsi="Times New Roman"/>
          <w:sz w:val="24"/>
          <w:szCs w:val="24"/>
        </w:rPr>
        <w:t>in order to</w:t>
      </w:r>
      <w:proofErr w:type="gramEnd"/>
      <w:r w:rsidRPr="00457C60">
        <w:rPr>
          <w:rFonts w:ascii="Times New Roman" w:hAnsi="Times New Roman"/>
          <w:sz w:val="24"/>
          <w:szCs w:val="24"/>
        </w:rPr>
        <w:t xml:space="preserve"> improve population health, larger social and policy approaches are necessary, not just a targeted change </w:t>
      </w:r>
      <w:r w:rsidRPr="00DC4324">
        <w:rPr>
          <w:rFonts w:ascii="Times New Roman" w:hAnsi="Times New Roman"/>
          <w:sz w:val="24"/>
          <w:szCs w:val="24"/>
        </w:rPr>
        <w:t xml:space="preserve">in individual </w:t>
      </w:r>
      <w:proofErr w:type="spellStart"/>
      <w:r w:rsidRPr="00DC4324">
        <w:rPr>
          <w:rFonts w:ascii="Times New Roman" w:hAnsi="Times New Roman"/>
          <w:sz w:val="24"/>
          <w:szCs w:val="24"/>
        </w:rPr>
        <w:t>behaviour</w:t>
      </w:r>
      <w:proofErr w:type="spellEnd"/>
      <w:r w:rsidRPr="00DC4324">
        <w:rPr>
          <w:rFonts w:ascii="Times New Roman" w:hAnsi="Times New Roman"/>
          <w:sz w:val="24"/>
          <w:szCs w:val="24"/>
        </w:rPr>
        <w:t xml:space="preserve">. This report critically examines the impact of social, economic and environmental determinants on health and wellbeing </w:t>
      </w:r>
      <w:r w:rsidR="00F5287E" w:rsidRPr="00DC4324">
        <w:rPr>
          <w:rFonts w:ascii="Times New Roman" w:hAnsi="Times New Roman"/>
          <w:sz w:val="24"/>
          <w:szCs w:val="24"/>
        </w:rPr>
        <w:t xml:space="preserve">across the </w:t>
      </w:r>
      <w:proofErr w:type="gramStart"/>
      <w:r w:rsidR="00F5287E" w:rsidRPr="00DC4324">
        <w:rPr>
          <w:rFonts w:ascii="Times New Roman" w:hAnsi="Times New Roman"/>
          <w:sz w:val="24"/>
          <w:szCs w:val="24"/>
        </w:rPr>
        <w:t>life course</w:t>
      </w:r>
      <w:proofErr w:type="gramEnd"/>
      <w:r w:rsidR="00F5287E" w:rsidRPr="00DC4324">
        <w:rPr>
          <w:rFonts w:ascii="Times New Roman" w:hAnsi="Times New Roman"/>
          <w:sz w:val="24"/>
          <w:szCs w:val="24"/>
        </w:rPr>
        <w:t xml:space="preserve"> </w:t>
      </w:r>
      <w:r w:rsidRPr="00DC4324">
        <w:rPr>
          <w:rFonts w:ascii="Times New Roman" w:hAnsi="Times New Roman"/>
          <w:sz w:val="24"/>
          <w:szCs w:val="24"/>
        </w:rPr>
        <w:t>and evaluates the effectiveness.</w:t>
      </w:r>
      <w:r w:rsidRPr="00DC4324">
        <w:rPr>
          <w:sz w:val="24"/>
          <w:szCs w:val="24"/>
        </w:rPr>
        <w:t xml:space="preserve"> </w:t>
      </w:r>
      <w:r w:rsidRPr="00DC4324">
        <w:rPr>
          <w:rFonts w:ascii="Times New Roman" w:hAnsi="Times New Roman"/>
          <w:sz w:val="24"/>
          <w:szCs w:val="24"/>
        </w:rPr>
        <w:t>However, addressing these determinants remains challenging without structural and long-term policy chang</w:t>
      </w:r>
      <w:r w:rsidR="00145406" w:rsidRPr="00DC4324">
        <w:rPr>
          <w:rFonts w:ascii="Times New Roman" w:hAnsi="Times New Roman"/>
          <w:sz w:val="24"/>
          <w:szCs w:val="24"/>
        </w:rPr>
        <w:t>e</w:t>
      </w:r>
      <w:r w:rsidR="00BC41AE" w:rsidRPr="00DC4324">
        <w:rPr>
          <w:rFonts w:ascii="Times New Roman" w:hAnsi="Times New Roman"/>
          <w:sz w:val="24"/>
          <w:szCs w:val="24"/>
        </w:rPr>
        <w:t>.</w:t>
      </w:r>
      <w:r w:rsidR="008C3F92" w:rsidRPr="00DC4324">
        <w:rPr>
          <w:rFonts w:ascii="Times New Roman" w:hAnsi="Times New Roman" w:cs="Times New Roman"/>
          <w:sz w:val="24"/>
          <w:szCs w:val="24"/>
        </w:rPr>
        <w:t xml:space="preserve"> </w:t>
      </w:r>
      <w:r w:rsidR="00DC3E0F" w:rsidRPr="00DC4324">
        <w:rPr>
          <w:rFonts w:ascii="Times New Roman" w:hAnsi="Times New Roman" w:cs="Times New Roman"/>
          <w:sz w:val="24"/>
          <w:szCs w:val="24"/>
        </w:rPr>
        <w:t>Health inequalities remain a major global challenge, with significant differences in life expectancy linked to socioeconomic status (WHO, 2025).</w:t>
      </w:r>
    </w:p>
    <w:p w14:paraId="322E9139" w14:textId="4CE5A0B0" w:rsidR="002C1F94" w:rsidRDefault="00CF126E" w:rsidP="00A47E74">
      <w:pPr>
        <w:pStyle w:val="Heading1"/>
        <w:numPr>
          <w:ilvl w:val="0"/>
          <w:numId w:val="10"/>
        </w:numPr>
        <w:ind w:left="360"/>
        <w:rPr>
          <w:rFonts w:ascii="Times New Roman" w:hAnsi="Times New Roman" w:cs="Times New Roman"/>
        </w:rPr>
      </w:pPr>
      <w:r w:rsidRPr="00CE4D7D">
        <w:rPr>
          <w:rFonts w:ascii="Times New Roman" w:hAnsi="Times New Roman" w:cs="Times New Roman"/>
        </w:rPr>
        <w:lastRenderedPageBreak/>
        <w:t>Life Course Approach</w:t>
      </w:r>
    </w:p>
    <w:p w14:paraId="0B654D8E" w14:textId="335BEC2D" w:rsidR="00715893" w:rsidRDefault="00370030" w:rsidP="0087193D">
      <w:pPr>
        <w:rPr>
          <w:rFonts w:ascii="Times New Roman" w:hAnsi="Times New Roman" w:cs="Times New Roman"/>
        </w:rPr>
        <w:sectPr w:rsidR="00715893" w:rsidSect="000F2F04">
          <w:pgSz w:w="12242" w:h="12474"/>
          <w:pgMar w:top="1440" w:right="1797" w:bottom="1440" w:left="1797" w:header="720" w:footer="720" w:gutter="0"/>
          <w:cols w:space="720"/>
          <w:docGrid w:linePitch="360"/>
        </w:sectPr>
      </w:pPr>
      <w:proofErr w:type="gramStart"/>
      <w:r w:rsidRPr="00370030">
        <w:rPr>
          <w:rFonts w:ascii="Times New Roman" w:hAnsi="Times New Roman"/>
          <w:sz w:val="24"/>
          <w:szCs w:val="24"/>
        </w:rPr>
        <w:t>The life</w:t>
      </w:r>
      <w:proofErr w:type="gramEnd"/>
      <w:r w:rsidRPr="00370030">
        <w:rPr>
          <w:rFonts w:ascii="Times New Roman" w:hAnsi="Times New Roman"/>
          <w:sz w:val="24"/>
          <w:szCs w:val="24"/>
        </w:rPr>
        <w:t xml:space="preserve"> course perspective is an important concept</w:t>
      </w:r>
      <w:r>
        <w:rPr>
          <w:rFonts w:ascii="Times New Roman" w:hAnsi="Times New Roman"/>
          <w:sz w:val="24"/>
          <w:szCs w:val="24"/>
        </w:rPr>
        <w:t xml:space="preserve"> </w:t>
      </w:r>
      <w:r w:rsidR="007243EC" w:rsidRPr="00457C60">
        <w:rPr>
          <w:rFonts w:ascii="Times New Roman" w:hAnsi="Times New Roman"/>
          <w:sz w:val="24"/>
          <w:szCs w:val="24"/>
        </w:rPr>
        <w:t xml:space="preserve">for comprehending the development of health over time (Kuh et al., 2003). Rather than defining illness as the result of some isolated event or specific individual </w:t>
      </w:r>
      <w:proofErr w:type="spellStart"/>
      <w:r w:rsidR="007243EC" w:rsidRPr="00457C60">
        <w:rPr>
          <w:rFonts w:ascii="Times New Roman" w:hAnsi="Times New Roman"/>
          <w:sz w:val="24"/>
          <w:szCs w:val="24"/>
        </w:rPr>
        <w:t>behaviour</w:t>
      </w:r>
      <w:proofErr w:type="spellEnd"/>
      <w:r w:rsidR="007243EC" w:rsidRPr="00457C60">
        <w:rPr>
          <w:rFonts w:ascii="Times New Roman" w:hAnsi="Times New Roman"/>
          <w:sz w:val="24"/>
          <w:szCs w:val="24"/>
        </w:rPr>
        <w:t xml:space="preserve">, it focuses on the interaction of biological, </w:t>
      </w:r>
      <w:proofErr w:type="spellStart"/>
      <w:r w:rsidR="007243EC" w:rsidRPr="00457C60">
        <w:rPr>
          <w:rFonts w:ascii="Times New Roman" w:hAnsi="Times New Roman"/>
          <w:sz w:val="24"/>
          <w:szCs w:val="24"/>
        </w:rPr>
        <w:t>behavioural</w:t>
      </w:r>
      <w:proofErr w:type="spellEnd"/>
      <w:r w:rsidR="007243EC" w:rsidRPr="00457C60">
        <w:rPr>
          <w:rFonts w:ascii="Times New Roman" w:hAnsi="Times New Roman"/>
          <w:sz w:val="24"/>
          <w:szCs w:val="24"/>
        </w:rPr>
        <w:t xml:space="preserve"> and social factors spanning a lifetime (Ben-Shlomo and Kuh, 2002). One of the strengths of this perspective is that it draws attention to how what happens early in a life impacts health through the life-course, and how exposures during childhood lead to health experiences several years later. One of the main themes of the life course approach is cumulative disadvantage. This is the way in which disadvantage is cumulative over time in that inadequate housing, low attainment of knowledge, insecure work</w:t>
      </w:r>
      <w:r w:rsidR="00C94671">
        <w:rPr>
          <w:rFonts w:ascii="Times New Roman" w:hAnsi="Times New Roman"/>
          <w:sz w:val="24"/>
          <w:szCs w:val="24"/>
        </w:rPr>
        <w:t xml:space="preserve"> </w:t>
      </w:r>
      <w:r w:rsidR="007243EC" w:rsidRPr="00457C60">
        <w:rPr>
          <w:rFonts w:ascii="Times New Roman" w:hAnsi="Times New Roman"/>
          <w:sz w:val="24"/>
          <w:szCs w:val="24"/>
        </w:rPr>
        <w:t xml:space="preserve">and restricted exposure to resources increase the risk of ill health in adulthood (Graham, 2007). For instance, a child brought up in poverty may eat worse, receive less education and later in life may face problems </w:t>
      </w:r>
      <w:proofErr w:type="gramStart"/>
      <w:r w:rsidR="007243EC" w:rsidRPr="00457C60">
        <w:rPr>
          <w:rFonts w:ascii="Times New Roman" w:hAnsi="Times New Roman"/>
          <w:sz w:val="24"/>
          <w:szCs w:val="24"/>
        </w:rPr>
        <w:t>in</w:t>
      </w:r>
      <w:proofErr w:type="gramEnd"/>
      <w:r w:rsidR="007243EC" w:rsidRPr="00457C60">
        <w:rPr>
          <w:rFonts w:ascii="Times New Roman" w:hAnsi="Times New Roman"/>
          <w:sz w:val="24"/>
          <w:szCs w:val="24"/>
        </w:rPr>
        <w:t xml:space="preserve"> earnings, employment and healthcare access. This indicates that health inequalities are frequently socially produced, not selected by individual workers. Another key concept is the presence of critical or sensitive periods-in pregnancy, infancy, and childhood. At these times, biological and psychological growth is extremely fast so negative life events, maternal stress, poor diet and a lack of nurturing, can be long-term effects on physical and psychological well-being (Naidoo and Wills, 2016). This substantiates the argument that prevention and early intervention are cornerstones of public health policy. However, despite good theoretical foundations that sustain the life course framework, applying it in practice can be difficult. Effective response to health inequities requires long-term investment, political will and multi-sectoral cooperation. As Marmot (2015) has shown, health is profoundly determined by social circumstances, the goal of health improvement requires more than services only in the provision of healthcare. In sum, the life course model is particularly influential because it affords a more inclusive and realistic approach to how health conditions </w:t>
      </w:r>
      <w:r w:rsidR="007243EC" w:rsidRPr="00233CE0">
        <w:rPr>
          <w:rFonts w:ascii="Times New Roman" w:hAnsi="Times New Roman"/>
          <w:sz w:val="24"/>
          <w:szCs w:val="24"/>
        </w:rPr>
        <w:t>change/develop historically over time.</w:t>
      </w:r>
      <w:r w:rsidR="0087193D" w:rsidRPr="00233CE0">
        <w:rPr>
          <w:rFonts w:ascii="Times New Roman" w:hAnsi="Times New Roman" w:cs="Times New Roman"/>
          <w:sz w:val="24"/>
          <w:szCs w:val="24"/>
        </w:rPr>
        <w:t xml:space="preserve"> </w:t>
      </w:r>
      <w:r w:rsidR="00233CE0" w:rsidRPr="00233CE0">
        <w:rPr>
          <w:rFonts w:ascii="Times New Roman" w:hAnsi="Times New Roman" w:cs="Times New Roman"/>
          <w:sz w:val="24"/>
          <w:szCs w:val="24"/>
        </w:rPr>
        <w:t>However, critics argue that the life course approach can be difficult to implement in practice due to the long timeframes required to observe outcomes and the complexity of coordinating policy across sectors.</w:t>
      </w:r>
    </w:p>
    <w:p w14:paraId="137BEF22" w14:textId="01EFFF33" w:rsidR="002C1F94" w:rsidRDefault="00CF126E" w:rsidP="007355C6">
      <w:pPr>
        <w:pStyle w:val="Heading1"/>
        <w:numPr>
          <w:ilvl w:val="0"/>
          <w:numId w:val="10"/>
        </w:numPr>
        <w:ind w:left="360"/>
        <w:rPr>
          <w:rFonts w:ascii="Times New Roman" w:hAnsi="Times New Roman" w:cs="Times New Roman"/>
        </w:rPr>
      </w:pPr>
      <w:r w:rsidRPr="00CE4D7D">
        <w:rPr>
          <w:rFonts w:ascii="Times New Roman" w:hAnsi="Times New Roman" w:cs="Times New Roman"/>
        </w:rPr>
        <w:lastRenderedPageBreak/>
        <w:t>Social Factors</w:t>
      </w:r>
    </w:p>
    <w:p w14:paraId="485CFA81" w14:textId="5CAFEA2A" w:rsidR="00715893" w:rsidRPr="001548EF" w:rsidRDefault="008F2D04" w:rsidP="007355C6">
      <w:pPr>
        <w:rPr>
          <w:rFonts w:ascii="Times New Roman" w:hAnsi="Times New Roman"/>
          <w:sz w:val="24"/>
          <w:szCs w:val="24"/>
        </w:rPr>
        <w:sectPr w:rsidR="00715893" w:rsidRPr="001548EF" w:rsidSect="0062217E">
          <w:pgSz w:w="12242" w:h="16727"/>
          <w:pgMar w:top="1440" w:right="1797" w:bottom="1440" w:left="1797" w:header="720" w:footer="720" w:gutter="0"/>
          <w:cols w:space="720"/>
          <w:docGrid w:linePitch="360"/>
        </w:sectPr>
      </w:pPr>
      <w:r w:rsidRPr="00457C60">
        <w:rPr>
          <w:rFonts w:ascii="Times New Roman" w:hAnsi="Times New Roman"/>
          <w:sz w:val="24"/>
          <w:szCs w:val="24"/>
        </w:rPr>
        <w:t xml:space="preserve">Social determinants of health are the contexts in which people are born, grow, live, work, learn and age, and such contexts can exert a powerful impact on health </w:t>
      </w:r>
      <w:r w:rsidR="00666C9B" w:rsidRPr="00666C9B">
        <w:rPr>
          <w:rFonts w:ascii="Times New Roman" w:hAnsi="Times New Roman"/>
          <w:sz w:val="24"/>
          <w:szCs w:val="24"/>
        </w:rPr>
        <w:t xml:space="preserve">across every </w:t>
      </w:r>
      <w:proofErr w:type="gramStart"/>
      <w:r w:rsidR="00666C9B" w:rsidRPr="00666C9B">
        <w:rPr>
          <w:rFonts w:ascii="Times New Roman" w:hAnsi="Times New Roman"/>
          <w:sz w:val="24"/>
          <w:szCs w:val="24"/>
        </w:rPr>
        <w:t>stage</w:t>
      </w:r>
      <w:proofErr w:type="gramEnd"/>
      <w:r w:rsidR="00666C9B" w:rsidRPr="00666C9B">
        <w:rPr>
          <w:rFonts w:ascii="Times New Roman" w:hAnsi="Times New Roman"/>
          <w:sz w:val="24"/>
          <w:szCs w:val="24"/>
        </w:rPr>
        <w:t xml:space="preserve"> of the life course </w:t>
      </w:r>
      <w:r w:rsidRPr="00457C60">
        <w:rPr>
          <w:rFonts w:ascii="Times New Roman" w:hAnsi="Times New Roman"/>
          <w:sz w:val="24"/>
          <w:szCs w:val="24"/>
        </w:rPr>
        <w:t>(Marmot &amp; Wilkinson, 2006). Important social determinants include education, family environment, social support, and community networks. Early life experiences are well known to shape health, both physical and mental in adulthood (Kuh et al., 2003).</w:t>
      </w:r>
      <w:r w:rsidRPr="00457C60">
        <w:rPr>
          <w:sz w:val="24"/>
          <w:szCs w:val="24"/>
        </w:rPr>
        <w:t xml:space="preserve"> </w:t>
      </w:r>
      <w:r w:rsidRPr="00457C60">
        <w:rPr>
          <w:rFonts w:ascii="Times New Roman" w:hAnsi="Times New Roman"/>
          <w:sz w:val="24"/>
          <w:szCs w:val="24"/>
        </w:rPr>
        <w:t xml:space="preserve">Education is widely </w:t>
      </w:r>
      <w:proofErr w:type="spellStart"/>
      <w:r w:rsidRPr="00457C60">
        <w:rPr>
          <w:rFonts w:ascii="Times New Roman" w:hAnsi="Times New Roman"/>
          <w:sz w:val="24"/>
          <w:szCs w:val="24"/>
        </w:rPr>
        <w:t>recognised</w:t>
      </w:r>
      <w:proofErr w:type="spellEnd"/>
      <w:r w:rsidRPr="00457C60">
        <w:rPr>
          <w:rFonts w:ascii="Times New Roman" w:hAnsi="Times New Roman"/>
          <w:sz w:val="24"/>
          <w:szCs w:val="24"/>
        </w:rPr>
        <w:t xml:space="preserve"> as one of the most influential social determinants of health. It affects health literacy, employment opportunities and income, all of which are associated with improved health outcomes (Cutler and Lleras-Muney, 2006). However, access to education is not equal across society. Individuals from disadvantaged backgrounds often face barriers that limit their opportunities. This highlights that education is not simply an individual achievement but is shaped by wider social inequalities, which can influence health across the life course (Marmot, 2015). </w:t>
      </w:r>
      <w:r w:rsidR="00140F0E" w:rsidRPr="00140F0E">
        <w:rPr>
          <w:rFonts w:ascii="Times New Roman" w:hAnsi="Times New Roman"/>
          <w:sz w:val="24"/>
          <w:szCs w:val="24"/>
        </w:rPr>
        <w:t xml:space="preserve">A key limitation is that focusing only on education does not fully address the underlying structural inequalities that shape health outcomes. This highlights the need for </w:t>
      </w:r>
      <w:proofErr w:type="gramStart"/>
      <w:r w:rsidR="00140F0E" w:rsidRPr="00140F0E">
        <w:rPr>
          <w:rFonts w:ascii="Times New Roman" w:hAnsi="Times New Roman"/>
          <w:sz w:val="24"/>
          <w:szCs w:val="24"/>
        </w:rPr>
        <w:t>coordinated,</w:t>
      </w:r>
      <w:proofErr w:type="gramEnd"/>
      <w:r w:rsidR="00140F0E" w:rsidRPr="00140F0E">
        <w:rPr>
          <w:rFonts w:ascii="Times New Roman" w:hAnsi="Times New Roman"/>
          <w:sz w:val="24"/>
          <w:szCs w:val="24"/>
        </w:rPr>
        <w:t xml:space="preserve"> long-term strategies across multiple sectors</w:t>
      </w:r>
      <w:r w:rsidR="00B95C7D">
        <w:rPr>
          <w:rFonts w:ascii="Times New Roman" w:hAnsi="Times New Roman"/>
          <w:sz w:val="24"/>
          <w:szCs w:val="24"/>
        </w:rPr>
        <w:t xml:space="preserve">. </w:t>
      </w:r>
      <w:r w:rsidRPr="00457C60">
        <w:rPr>
          <w:rFonts w:ascii="Times New Roman" w:hAnsi="Times New Roman"/>
          <w:sz w:val="24"/>
          <w:szCs w:val="24"/>
        </w:rPr>
        <w:t>Family and early relationships are also crucial in shaping health. A stable and supportive environment can promote emotional wellbeing, confidence and resilience. In contrast, adverse childhood experiences, such as neglect, abuse and family instability, are strongly associated with poorer physical and mental health in later life (Scambler, 2018). However, family circumstances are influenced by broader social and economic conditions, meaning that health outcomes cannot be explained solely by individual or family responsibility.</w:t>
      </w:r>
      <w:r w:rsidRPr="00457C60">
        <w:rPr>
          <w:sz w:val="24"/>
          <w:szCs w:val="24"/>
        </w:rPr>
        <w:t xml:space="preserve"> </w:t>
      </w:r>
      <w:r w:rsidRPr="00457C60">
        <w:rPr>
          <w:rFonts w:ascii="Times New Roman" w:hAnsi="Times New Roman"/>
          <w:sz w:val="24"/>
          <w:szCs w:val="24"/>
        </w:rPr>
        <w:t>Social support and community networks play an important role, particularly in later life. Strong social connections are associated with improved mental wellbeing and a reduced risk of illness, whereas loneliness and social isolation are linked to increased stress and poorer health outcomes (Holt-</w:t>
      </w:r>
      <w:proofErr w:type="spellStart"/>
      <w:r w:rsidRPr="00457C60">
        <w:rPr>
          <w:rFonts w:ascii="Times New Roman" w:hAnsi="Times New Roman"/>
          <w:sz w:val="24"/>
          <w:szCs w:val="24"/>
        </w:rPr>
        <w:t>Lunstad</w:t>
      </w:r>
      <w:proofErr w:type="spellEnd"/>
      <w:r w:rsidRPr="00457C60">
        <w:rPr>
          <w:rFonts w:ascii="Times New Roman" w:hAnsi="Times New Roman"/>
          <w:sz w:val="24"/>
          <w:szCs w:val="24"/>
        </w:rPr>
        <w:t>, 2018). Community-based interventions, such as social prescribing, aim to reduce isolation and improve wellbeing. However, their effectiveness may be limited if wider structural issues, such as poverty, lack of transport and unsafe environments, are not addressed (Marmot, 2010).</w:t>
      </w:r>
      <w:r w:rsidRPr="00457C60">
        <w:rPr>
          <w:sz w:val="24"/>
          <w:szCs w:val="24"/>
        </w:rPr>
        <w:t xml:space="preserve"> </w:t>
      </w:r>
      <w:r w:rsidRPr="00457C60">
        <w:rPr>
          <w:rFonts w:ascii="Times New Roman" w:hAnsi="Times New Roman"/>
          <w:sz w:val="24"/>
          <w:szCs w:val="24"/>
        </w:rPr>
        <w:t>Overall, social factors demonstrate that health outcomes are shaped not only by individual choices but also by wider social structures and inequalities. The life course approach highlights the importance of early intervention and continued support across all stages of life.</w:t>
      </w:r>
      <w:r w:rsidR="002224F7" w:rsidRPr="002224F7">
        <w:t xml:space="preserve"> </w:t>
      </w:r>
      <w:r w:rsidR="005E7085">
        <w:rPr>
          <w:rFonts w:ascii="Times New Roman" w:hAnsi="Times New Roman"/>
          <w:sz w:val="24"/>
          <w:szCs w:val="24"/>
        </w:rPr>
        <w:t>T</w:t>
      </w:r>
      <w:r w:rsidR="002224F7" w:rsidRPr="002224F7">
        <w:rPr>
          <w:rFonts w:ascii="Times New Roman" w:hAnsi="Times New Roman"/>
          <w:sz w:val="24"/>
          <w:szCs w:val="24"/>
        </w:rPr>
        <w:t xml:space="preserve">he Marmot Review </w:t>
      </w:r>
      <w:proofErr w:type="spellStart"/>
      <w:r w:rsidR="002224F7" w:rsidRPr="002224F7">
        <w:rPr>
          <w:rFonts w:ascii="Times New Roman" w:hAnsi="Times New Roman"/>
          <w:sz w:val="24"/>
          <w:szCs w:val="24"/>
        </w:rPr>
        <w:t>emphasises</w:t>
      </w:r>
      <w:proofErr w:type="spellEnd"/>
      <w:r w:rsidR="002224F7" w:rsidRPr="002224F7">
        <w:rPr>
          <w:rFonts w:ascii="Times New Roman" w:hAnsi="Times New Roman"/>
          <w:sz w:val="24"/>
          <w:szCs w:val="24"/>
        </w:rPr>
        <w:t xml:space="preserve"> the importance of reducing health inequalities through action on social determinants such as education, employment and housing (Marmot, 2010).</w:t>
      </w:r>
      <w:r w:rsidRPr="00457C60">
        <w:rPr>
          <w:rFonts w:ascii="Times New Roman" w:hAnsi="Times New Roman"/>
          <w:sz w:val="24"/>
          <w:szCs w:val="24"/>
        </w:rPr>
        <w:t xml:space="preserve"> However, improving health outcomes requires broader policy action to reduce inequalities and improve access to essential resources</w:t>
      </w:r>
      <w:r w:rsidR="008D2F8D">
        <w:rPr>
          <w:rFonts w:ascii="Times New Roman" w:hAnsi="Times New Roman"/>
          <w:sz w:val="24"/>
          <w:szCs w:val="24"/>
        </w:rPr>
        <w:t>.</w:t>
      </w:r>
      <w:r w:rsidR="001567CB" w:rsidRPr="001567CB">
        <w:t xml:space="preserve"> </w:t>
      </w:r>
      <w:r w:rsidR="001567CB" w:rsidRPr="001567CB">
        <w:rPr>
          <w:rFonts w:ascii="Times New Roman" w:hAnsi="Times New Roman"/>
          <w:sz w:val="24"/>
          <w:szCs w:val="24"/>
        </w:rPr>
        <w:t xml:space="preserve">This suggests that focusing on social determinants alone may oversimplify the complex interaction between structural, </w:t>
      </w:r>
      <w:proofErr w:type="spellStart"/>
      <w:r w:rsidR="001567CB" w:rsidRPr="001567CB">
        <w:rPr>
          <w:rFonts w:ascii="Times New Roman" w:hAnsi="Times New Roman"/>
          <w:sz w:val="24"/>
          <w:szCs w:val="24"/>
        </w:rPr>
        <w:t>behavioural</w:t>
      </w:r>
      <w:proofErr w:type="spellEnd"/>
      <w:r w:rsidR="001567CB" w:rsidRPr="001567CB">
        <w:rPr>
          <w:rFonts w:ascii="Times New Roman" w:hAnsi="Times New Roman"/>
          <w:sz w:val="24"/>
          <w:szCs w:val="24"/>
        </w:rPr>
        <w:t xml:space="preserve"> and biological factors, indicating that a more integrated approach is required</w:t>
      </w:r>
      <w:r w:rsidR="000A2B06" w:rsidRPr="000A2B06">
        <w:rPr>
          <w:rFonts w:ascii="Times New Roman" w:hAnsi="Times New Roman"/>
          <w:sz w:val="24"/>
          <w:szCs w:val="24"/>
        </w:rPr>
        <w:t>.</w:t>
      </w:r>
      <w:r w:rsidR="008F0B46">
        <w:rPr>
          <w:rFonts w:ascii="Times New Roman" w:hAnsi="Times New Roman"/>
          <w:sz w:val="24"/>
          <w:szCs w:val="24"/>
        </w:rPr>
        <w:t xml:space="preserve"> </w:t>
      </w:r>
      <w:r w:rsidR="008F0B46" w:rsidRPr="008F0B46">
        <w:rPr>
          <w:rFonts w:ascii="Times New Roman" w:hAnsi="Times New Roman"/>
          <w:sz w:val="24"/>
          <w:szCs w:val="24"/>
        </w:rPr>
        <w:t xml:space="preserve">While the life course approach </w:t>
      </w:r>
      <w:proofErr w:type="spellStart"/>
      <w:r w:rsidR="008F0B46" w:rsidRPr="008F0B46">
        <w:rPr>
          <w:rFonts w:ascii="Times New Roman" w:hAnsi="Times New Roman"/>
          <w:sz w:val="24"/>
          <w:szCs w:val="24"/>
        </w:rPr>
        <w:t>emphasises</w:t>
      </w:r>
      <w:proofErr w:type="spellEnd"/>
      <w:r w:rsidR="008F0B46" w:rsidRPr="008F0B46">
        <w:rPr>
          <w:rFonts w:ascii="Times New Roman" w:hAnsi="Times New Roman"/>
          <w:sz w:val="24"/>
          <w:szCs w:val="24"/>
        </w:rPr>
        <w:t xml:space="preserve"> structural determinants, alternative perspectives highlight the role of individual </w:t>
      </w:r>
      <w:proofErr w:type="spellStart"/>
      <w:r w:rsidR="008F0B46" w:rsidRPr="008F0B46">
        <w:rPr>
          <w:rFonts w:ascii="Times New Roman" w:hAnsi="Times New Roman"/>
          <w:sz w:val="24"/>
          <w:szCs w:val="24"/>
        </w:rPr>
        <w:t>behaviour</w:t>
      </w:r>
      <w:proofErr w:type="spellEnd"/>
      <w:r w:rsidR="008F0B46" w:rsidRPr="008F0B46">
        <w:rPr>
          <w:rFonts w:ascii="Times New Roman" w:hAnsi="Times New Roman"/>
          <w:sz w:val="24"/>
          <w:szCs w:val="24"/>
        </w:rPr>
        <w:t xml:space="preserve"> in shaping health outcomes. This highlights that health inequalities are not accidental but are systematically produced through social structures</w:t>
      </w:r>
      <w:r w:rsidR="0062217E" w:rsidRPr="0062217E">
        <w:rPr>
          <w:rFonts w:ascii="Times New Roman" w:hAnsi="Times New Roman"/>
          <w:sz w:val="24"/>
          <w:szCs w:val="24"/>
        </w:rPr>
        <w:t>.</w:t>
      </w:r>
    </w:p>
    <w:p w14:paraId="18BED298" w14:textId="1D9C4179" w:rsidR="00EE249E" w:rsidRDefault="008938BD" w:rsidP="007355C6">
      <w:pPr>
        <w:rPr>
          <w:sz w:val="24"/>
          <w:szCs w:val="24"/>
        </w:rPr>
      </w:pPr>
      <w:r w:rsidRPr="005D406C">
        <w:rPr>
          <w:rFonts w:ascii="Times New Roman" w:hAnsi="Times New Roman" w:cs="Times New Roman"/>
          <w:sz w:val="24"/>
          <w:szCs w:val="24"/>
        </w:rPr>
        <w:lastRenderedPageBreak/>
        <w:t xml:space="preserve">These social inequalities are closely linked to economic conditions, demonstrating how different determinants interact across the </w:t>
      </w:r>
      <w:proofErr w:type="gramStart"/>
      <w:r w:rsidRPr="005D406C">
        <w:rPr>
          <w:rFonts w:ascii="Times New Roman" w:hAnsi="Times New Roman" w:cs="Times New Roman"/>
          <w:sz w:val="24"/>
          <w:szCs w:val="24"/>
        </w:rPr>
        <w:t>life course</w:t>
      </w:r>
      <w:proofErr w:type="gramEnd"/>
      <w:r w:rsidR="005D406C">
        <w:rPr>
          <w:sz w:val="24"/>
          <w:szCs w:val="24"/>
        </w:rPr>
        <w:t>.</w:t>
      </w:r>
    </w:p>
    <w:p w14:paraId="6518EFB5" w14:textId="2C315A50" w:rsidR="000C50A4" w:rsidRDefault="000C50A4" w:rsidP="000C50A4">
      <w:pPr>
        <w:rPr>
          <w:rFonts w:ascii="Times New Roman" w:hAnsi="Times New Roman"/>
          <w:sz w:val="24"/>
          <w:szCs w:val="24"/>
        </w:rPr>
      </w:pPr>
      <w:r>
        <w:rPr>
          <w:rFonts w:ascii="Times New Roman" w:hAnsi="Times New Roman"/>
          <w:noProof/>
          <w:sz w:val="24"/>
          <w:szCs w:val="24"/>
        </w:rPr>
        <w:drawing>
          <wp:anchor distT="0" distB="0" distL="114300" distR="114300" simplePos="0" relativeHeight="251658240" behindDoc="1" locked="0" layoutInCell="1" allowOverlap="1" wp14:anchorId="25B98981" wp14:editId="0D1FCFA7">
            <wp:simplePos x="0" y="0"/>
            <wp:positionH relativeFrom="column">
              <wp:posOffset>139065</wp:posOffset>
            </wp:positionH>
            <wp:positionV relativeFrom="paragraph">
              <wp:posOffset>475615</wp:posOffset>
            </wp:positionV>
            <wp:extent cx="5379720" cy="3007051"/>
            <wp:effectExtent l="0" t="0" r="0" b="3175"/>
            <wp:wrapTight wrapText="bothSides">
              <wp:wrapPolygon edited="0">
                <wp:start x="0" y="0"/>
                <wp:lineTo x="0" y="21486"/>
                <wp:lineTo x="21493" y="21486"/>
                <wp:lineTo x="21493" y="0"/>
                <wp:lineTo x="0" y="0"/>
              </wp:wrapPolygon>
            </wp:wrapTight>
            <wp:docPr id="1636597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597098" name="Picture 1"/>
                    <pic:cNvPicPr/>
                  </pic:nvPicPr>
                  <pic:blipFill>
                    <a:blip r:embed="rId6">
                      <a:extLst>
                        <a:ext uri="{BEBA8EAE-BF5A-486C-A8C5-ECC9F3942E4B}">
                          <a14:imgProps xmlns:a14="http://schemas.microsoft.com/office/drawing/2010/main">
                            <a14:imgLayer r:embed="rId7">
                              <a14:imgEffect>
                                <a14:sharpenSoften amount="16000"/>
                              </a14:imgEffect>
                            </a14:imgLayer>
                          </a14:imgProps>
                        </a:ext>
                      </a:extLst>
                    </a:blip>
                    <a:stretch>
                      <a:fillRect/>
                    </a:stretch>
                  </pic:blipFill>
                  <pic:spPr>
                    <a:xfrm>
                      <a:off x="0" y="0"/>
                      <a:ext cx="5379720" cy="3007051"/>
                    </a:xfrm>
                    <a:prstGeom prst="rect">
                      <a:avLst/>
                    </a:prstGeom>
                  </pic:spPr>
                </pic:pic>
              </a:graphicData>
            </a:graphic>
          </wp:anchor>
        </w:drawing>
      </w:r>
      <w:r w:rsidR="008F2D04" w:rsidRPr="00457C60">
        <w:rPr>
          <w:sz w:val="24"/>
          <w:szCs w:val="24"/>
        </w:rPr>
        <w:t xml:space="preserve"> </w:t>
      </w:r>
      <w:r w:rsidR="008F2D04" w:rsidRPr="00457C60">
        <w:rPr>
          <w:rFonts w:ascii="Times New Roman" w:hAnsi="Times New Roman"/>
          <w:sz w:val="24"/>
          <w:szCs w:val="24"/>
        </w:rPr>
        <w:t>Having discussed social factors, the next section examines economic factors across the life course.</w:t>
      </w:r>
    </w:p>
    <w:p w14:paraId="742845D7" w14:textId="58424D69" w:rsidR="00DD329E" w:rsidRPr="00457C60" w:rsidRDefault="000C50A4" w:rsidP="000C50A4">
      <w:pPr>
        <w:jc w:val="center"/>
        <w:rPr>
          <w:rFonts w:ascii="Times New Roman" w:hAnsi="Times New Roman"/>
          <w:sz w:val="24"/>
          <w:szCs w:val="24"/>
        </w:rPr>
      </w:pPr>
      <w:r w:rsidRPr="00187068">
        <w:rPr>
          <w:rFonts w:ascii="Times New Roman" w:hAnsi="Times New Roman"/>
          <w:sz w:val="24"/>
          <w:szCs w:val="24"/>
        </w:rPr>
        <w:t>Source: Dahlgren and Whitehead (2006)</w:t>
      </w:r>
      <w:r w:rsidRPr="004A2EE6">
        <w:t xml:space="preserve"> </w:t>
      </w:r>
      <w:r w:rsidRPr="004A2EE6">
        <w:rPr>
          <w:rFonts w:ascii="Times New Roman" w:hAnsi="Times New Roman"/>
          <w:sz w:val="24"/>
          <w:szCs w:val="24"/>
        </w:rPr>
        <w:t xml:space="preserve">Figure 1: Dahlgren and Whitehead (2006) model of the social determinants of health.  </w:t>
      </w:r>
    </w:p>
    <w:p w14:paraId="14919C0F" w14:textId="77777777" w:rsidR="002C1F94" w:rsidRPr="00CE4D7D" w:rsidRDefault="00CF126E">
      <w:pPr>
        <w:pStyle w:val="Heading2"/>
        <w:rPr>
          <w:rFonts w:ascii="Times New Roman" w:hAnsi="Times New Roman" w:cs="Times New Roman"/>
        </w:rPr>
      </w:pPr>
      <w:r w:rsidRPr="00CE4D7D">
        <w:rPr>
          <w:rFonts w:ascii="Times New Roman" w:hAnsi="Times New Roman" w:cs="Times New Roman"/>
        </w:rPr>
        <w:t>3.1 Education</w:t>
      </w:r>
    </w:p>
    <w:p w14:paraId="1EA38FD6" w14:textId="77777777" w:rsidR="00CC1959" w:rsidRPr="00231514" w:rsidRDefault="00CC1959" w:rsidP="00345427">
      <w:pPr>
        <w:rPr>
          <w:rFonts w:ascii="Times New Roman" w:hAnsi="Times New Roman"/>
          <w:sz w:val="24"/>
          <w:szCs w:val="24"/>
        </w:rPr>
      </w:pPr>
      <w:r w:rsidRPr="00231514">
        <w:rPr>
          <w:rFonts w:ascii="Times New Roman" w:hAnsi="Times New Roman"/>
          <w:sz w:val="24"/>
          <w:szCs w:val="24"/>
        </w:rPr>
        <w:t>Education is a major determinant of health, as it influences health literacy, employability and income (Naidoo and Wills, 2016; Cutler and Lleras-Muney, 2006). Higher levels of education are associated with improved access to healthcare and the ability to make informed health decisions (Marmot, 2015). However, access to education is not equally distributed. Individuals from disadvantaged backgrounds often face significant barriers, resulting in reduced opportunities and long-term health inequalities (Graham, 2007). This suggests that education is not solely an individual factor but is shaped by wider social and economic structures (Bourdieu, 1986). Therefore, improving access to education across the life course is essential for promoting better health outcomes (Kuh et al., 2003). However, this is limited as access to education is influenced by structural inequalities, meaning not all individuals have the same opportunities (Marmot, 2010). This suggests that education alone is insufficient to reduce health inequalities without addressing wider structural barriers.</w:t>
      </w:r>
    </w:p>
    <w:p w14:paraId="4C85217B" w14:textId="77777777" w:rsidR="0032376B" w:rsidRDefault="0032376B" w:rsidP="00345B40">
      <w:pPr>
        <w:pStyle w:val="Heading2"/>
        <w:rPr>
          <w:rFonts w:ascii="Times New Roman" w:hAnsi="Times New Roman" w:cs="Times New Roman"/>
        </w:rPr>
        <w:sectPr w:rsidR="0032376B" w:rsidSect="005D406C">
          <w:pgSz w:w="12242" w:h="14742"/>
          <w:pgMar w:top="1440" w:right="1797" w:bottom="1440" w:left="1797" w:header="720" w:footer="720" w:gutter="0"/>
          <w:cols w:space="720"/>
          <w:docGrid w:linePitch="360"/>
        </w:sectPr>
      </w:pPr>
    </w:p>
    <w:p w14:paraId="53CFFE36" w14:textId="77777777" w:rsidR="00345B40" w:rsidRPr="00CE4D7D" w:rsidRDefault="00345B40" w:rsidP="00345B40">
      <w:pPr>
        <w:pStyle w:val="Heading2"/>
        <w:rPr>
          <w:rFonts w:ascii="Times New Roman" w:hAnsi="Times New Roman" w:cs="Times New Roman"/>
        </w:rPr>
      </w:pPr>
      <w:r w:rsidRPr="00CE4D7D">
        <w:rPr>
          <w:rFonts w:ascii="Times New Roman" w:hAnsi="Times New Roman" w:cs="Times New Roman"/>
        </w:rPr>
        <w:lastRenderedPageBreak/>
        <w:t>3.2 Family and Early Relationships</w:t>
      </w:r>
    </w:p>
    <w:p w14:paraId="09EF1661" w14:textId="2976B283" w:rsidR="0096219E" w:rsidRPr="00345B40" w:rsidRDefault="009F29B2">
      <w:pPr>
        <w:rPr>
          <w:rFonts w:ascii="Times New Roman" w:hAnsi="Times New Roman"/>
          <w:sz w:val="24"/>
          <w:szCs w:val="24"/>
        </w:rPr>
      </w:pPr>
      <w:r w:rsidRPr="009F29B2">
        <w:rPr>
          <w:rFonts w:ascii="Times New Roman" w:hAnsi="Times New Roman"/>
          <w:sz w:val="24"/>
          <w:szCs w:val="24"/>
        </w:rPr>
        <w:t>Family relationships play a fundamental role in shaping early health and development</w:t>
      </w:r>
      <w:r w:rsidR="00345B40" w:rsidRPr="00E8164F">
        <w:rPr>
          <w:rFonts w:ascii="Times New Roman" w:hAnsi="Times New Roman"/>
          <w:sz w:val="24"/>
          <w:szCs w:val="24"/>
        </w:rPr>
        <w:t xml:space="preserve">. Careful and stable home life structures offer emotional security, resilience and the basis for healthy development. Conversely, negative childhood events (neglect, abuse or family instability) relate to impaired mental health and increased likelihood </w:t>
      </w:r>
      <w:proofErr w:type="gramStart"/>
      <w:r w:rsidR="00345B40" w:rsidRPr="00E8164F">
        <w:rPr>
          <w:rFonts w:ascii="Times New Roman" w:hAnsi="Times New Roman"/>
          <w:sz w:val="24"/>
          <w:szCs w:val="24"/>
        </w:rPr>
        <w:t>with regard to</w:t>
      </w:r>
      <w:proofErr w:type="gramEnd"/>
      <w:r w:rsidR="00345B40" w:rsidRPr="00E8164F">
        <w:rPr>
          <w:rFonts w:ascii="Times New Roman" w:hAnsi="Times New Roman"/>
          <w:sz w:val="24"/>
          <w:szCs w:val="24"/>
        </w:rPr>
        <w:t xml:space="preserve"> long-term health problems (Scambler, 2018). But it is important to recognize that family situations are in fact not separate from broader social and economic circumstances. Thus, responsibility cannot be simply a matter for individuals alone. This highlights that family influences are not purely individual but are strongly affected by wider social and economic conditions (Friedli, 2009).</w:t>
      </w:r>
    </w:p>
    <w:p w14:paraId="315F2520" w14:textId="77777777" w:rsidR="002C1F94" w:rsidRPr="00CE4D7D" w:rsidRDefault="00CF126E">
      <w:pPr>
        <w:pStyle w:val="Heading2"/>
        <w:rPr>
          <w:rFonts w:ascii="Times New Roman" w:hAnsi="Times New Roman" w:cs="Times New Roman"/>
        </w:rPr>
      </w:pPr>
      <w:r w:rsidRPr="00CE4D7D">
        <w:rPr>
          <w:rFonts w:ascii="Times New Roman" w:hAnsi="Times New Roman" w:cs="Times New Roman"/>
        </w:rPr>
        <w:t>3.3 Social Support</w:t>
      </w:r>
    </w:p>
    <w:p w14:paraId="6555DA69" w14:textId="77777777" w:rsidR="00E63F5A" w:rsidRDefault="004558AF" w:rsidP="00456DB6">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2FEB5859" wp14:editId="32926370">
            <wp:simplePos x="0" y="0"/>
            <wp:positionH relativeFrom="column">
              <wp:posOffset>789305</wp:posOffset>
            </wp:positionH>
            <wp:positionV relativeFrom="paragraph">
              <wp:posOffset>1610360</wp:posOffset>
            </wp:positionV>
            <wp:extent cx="3422650" cy="3030855"/>
            <wp:effectExtent l="0" t="0" r="6350" b="0"/>
            <wp:wrapTight wrapText="bothSides">
              <wp:wrapPolygon edited="0">
                <wp:start x="0" y="0"/>
                <wp:lineTo x="0" y="21451"/>
                <wp:lineTo x="21520" y="21451"/>
                <wp:lineTo x="21520" y="0"/>
                <wp:lineTo x="0" y="0"/>
              </wp:wrapPolygon>
            </wp:wrapTight>
            <wp:docPr id="329060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060470" name="Picture 329060470"/>
                    <pic:cNvPicPr/>
                  </pic:nvPicPr>
                  <pic:blipFill>
                    <a:blip r:embed="rId8"/>
                    <a:stretch>
                      <a:fillRect/>
                    </a:stretch>
                  </pic:blipFill>
                  <pic:spPr>
                    <a:xfrm>
                      <a:off x="0" y="0"/>
                      <a:ext cx="3422650" cy="3030855"/>
                    </a:xfrm>
                    <a:prstGeom prst="rect">
                      <a:avLst/>
                    </a:prstGeom>
                  </pic:spPr>
                </pic:pic>
              </a:graphicData>
            </a:graphic>
            <wp14:sizeRelH relativeFrom="margin">
              <wp14:pctWidth>0</wp14:pctWidth>
            </wp14:sizeRelH>
            <wp14:sizeRelV relativeFrom="margin">
              <wp14:pctHeight>0</wp14:pctHeight>
            </wp14:sizeRelV>
          </wp:anchor>
        </w:drawing>
      </w:r>
      <w:r w:rsidR="007112AD" w:rsidRPr="007112AD">
        <w:rPr>
          <w:rFonts w:ascii="Times New Roman" w:hAnsi="Times New Roman" w:cs="Times New Roman"/>
          <w:sz w:val="24"/>
          <w:szCs w:val="24"/>
        </w:rPr>
        <w:t>Social support and community networks play a significant role in maintaining health, particularly in later life (Berkman and Kawachi, 2000; Holt-</w:t>
      </w:r>
      <w:proofErr w:type="spellStart"/>
      <w:r w:rsidR="007112AD" w:rsidRPr="007112AD">
        <w:rPr>
          <w:rFonts w:ascii="Times New Roman" w:hAnsi="Times New Roman" w:cs="Times New Roman"/>
          <w:sz w:val="24"/>
          <w:szCs w:val="24"/>
        </w:rPr>
        <w:t>Lunstad</w:t>
      </w:r>
      <w:proofErr w:type="spellEnd"/>
      <w:r w:rsidR="007112AD" w:rsidRPr="007112AD">
        <w:rPr>
          <w:rFonts w:ascii="Times New Roman" w:hAnsi="Times New Roman" w:cs="Times New Roman"/>
          <w:sz w:val="24"/>
          <w:szCs w:val="24"/>
        </w:rPr>
        <w:t>, 2018). Strong social connections are associated with improved mental wellbeing and reduced risk of illness, whereas loneliness and social isolation are linked to increased stress and poorer health outcomes. Community-based interventions, such as social prescribing, aim to address these issues. However, their effectiveness may be limited if wider structural barriers, including poverty and lack of access to services, are not addressed. This highlights the need for broader policy action to reduce social isolation and improve population health</w:t>
      </w:r>
      <w:r w:rsidR="00456DB6">
        <w:rPr>
          <w:rFonts w:ascii="Times New Roman" w:hAnsi="Times New Roman" w:cs="Times New Roman"/>
          <w:sz w:val="24"/>
          <w:szCs w:val="24"/>
        </w:rPr>
        <w:t>.</w:t>
      </w:r>
    </w:p>
    <w:p w14:paraId="6475D9B4" w14:textId="77777777" w:rsidR="00873AB8" w:rsidRPr="00873AB8" w:rsidRDefault="00873AB8" w:rsidP="00873AB8">
      <w:pPr>
        <w:rPr>
          <w:rFonts w:ascii="Times New Roman" w:hAnsi="Times New Roman" w:cs="Times New Roman"/>
          <w:sz w:val="24"/>
          <w:szCs w:val="24"/>
        </w:rPr>
      </w:pPr>
    </w:p>
    <w:p w14:paraId="2E394777" w14:textId="77777777" w:rsidR="00873AB8" w:rsidRPr="00873AB8" w:rsidRDefault="00873AB8" w:rsidP="00873AB8">
      <w:pPr>
        <w:rPr>
          <w:rFonts w:ascii="Times New Roman" w:hAnsi="Times New Roman" w:cs="Times New Roman"/>
          <w:sz w:val="24"/>
          <w:szCs w:val="24"/>
        </w:rPr>
      </w:pPr>
    </w:p>
    <w:p w14:paraId="0D1D7E0C" w14:textId="77777777" w:rsidR="00873AB8" w:rsidRPr="00873AB8" w:rsidRDefault="00873AB8" w:rsidP="00873AB8">
      <w:pPr>
        <w:rPr>
          <w:rFonts w:ascii="Times New Roman" w:hAnsi="Times New Roman" w:cs="Times New Roman"/>
          <w:sz w:val="24"/>
          <w:szCs w:val="24"/>
        </w:rPr>
      </w:pPr>
    </w:p>
    <w:p w14:paraId="2AE62F80" w14:textId="77777777" w:rsidR="00873AB8" w:rsidRPr="00873AB8" w:rsidRDefault="00873AB8" w:rsidP="00873AB8">
      <w:pPr>
        <w:rPr>
          <w:rFonts w:ascii="Times New Roman" w:hAnsi="Times New Roman" w:cs="Times New Roman"/>
          <w:sz w:val="24"/>
          <w:szCs w:val="24"/>
        </w:rPr>
      </w:pPr>
    </w:p>
    <w:p w14:paraId="66D0B07C" w14:textId="77777777" w:rsidR="00873AB8" w:rsidRPr="00873AB8" w:rsidRDefault="00873AB8" w:rsidP="00873AB8">
      <w:pPr>
        <w:rPr>
          <w:rFonts w:ascii="Times New Roman" w:hAnsi="Times New Roman" w:cs="Times New Roman"/>
          <w:sz w:val="24"/>
          <w:szCs w:val="24"/>
        </w:rPr>
      </w:pPr>
    </w:p>
    <w:p w14:paraId="3C8CB291" w14:textId="77777777" w:rsidR="00873AB8" w:rsidRPr="00873AB8" w:rsidRDefault="00873AB8" w:rsidP="00873AB8">
      <w:pPr>
        <w:rPr>
          <w:rFonts w:ascii="Times New Roman" w:hAnsi="Times New Roman" w:cs="Times New Roman"/>
          <w:sz w:val="24"/>
          <w:szCs w:val="24"/>
        </w:rPr>
      </w:pPr>
    </w:p>
    <w:p w14:paraId="50C39D0A" w14:textId="77777777" w:rsidR="00873AB8" w:rsidRPr="00873AB8" w:rsidRDefault="00873AB8" w:rsidP="00873AB8">
      <w:pPr>
        <w:rPr>
          <w:rFonts w:ascii="Times New Roman" w:hAnsi="Times New Roman" w:cs="Times New Roman"/>
          <w:sz w:val="24"/>
          <w:szCs w:val="24"/>
        </w:rPr>
      </w:pPr>
    </w:p>
    <w:p w14:paraId="072497FB" w14:textId="77777777" w:rsidR="00873AB8" w:rsidRPr="00873AB8" w:rsidRDefault="00873AB8" w:rsidP="00873AB8">
      <w:pPr>
        <w:rPr>
          <w:rFonts w:ascii="Times New Roman" w:hAnsi="Times New Roman" w:cs="Times New Roman"/>
          <w:sz w:val="24"/>
          <w:szCs w:val="24"/>
        </w:rPr>
      </w:pPr>
    </w:p>
    <w:p w14:paraId="43093CAC" w14:textId="4670DEEF" w:rsidR="00432A66" w:rsidRPr="00432A66" w:rsidRDefault="00432A66" w:rsidP="00432A66">
      <w:pPr>
        <w:rPr>
          <w:rFonts w:ascii="Times New Roman" w:hAnsi="Times New Roman" w:cs="Times New Roman"/>
          <w:sz w:val="24"/>
          <w:szCs w:val="24"/>
        </w:rPr>
      </w:pPr>
    </w:p>
    <w:p w14:paraId="54695804" w14:textId="77777777" w:rsidR="00432A66" w:rsidRPr="00432A66" w:rsidRDefault="00432A66" w:rsidP="00432A66">
      <w:pPr>
        <w:rPr>
          <w:rFonts w:ascii="Times New Roman" w:hAnsi="Times New Roman" w:cs="Times New Roman"/>
          <w:sz w:val="24"/>
          <w:szCs w:val="24"/>
        </w:rPr>
      </w:pPr>
      <w:r w:rsidRPr="00432A66">
        <w:rPr>
          <w:rFonts w:ascii="Times New Roman" w:hAnsi="Times New Roman" w:cs="Times New Roman"/>
          <w:sz w:val="24"/>
          <w:szCs w:val="24"/>
        </w:rPr>
        <w:t xml:space="preserve">Figure 2: The role of social support networks in influencing health and wellbeing.  </w:t>
      </w:r>
    </w:p>
    <w:p w14:paraId="768BC6C2" w14:textId="686280DF" w:rsidR="00873AB8" w:rsidRDefault="00432A66" w:rsidP="00432A66">
      <w:pPr>
        <w:rPr>
          <w:rFonts w:ascii="Times New Roman" w:hAnsi="Times New Roman" w:cs="Times New Roman"/>
          <w:sz w:val="24"/>
          <w:szCs w:val="24"/>
        </w:rPr>
      </w:pPr>
      <w:r w:rsidRPr="00432A66">
        <w:rPr>
          <w:rFonts w:ascii="Times New Roman" w:hAnsi="Times New Roman" w:cs="Times New Roman"/>
          <w:sz w:val="24"/>
          <w:szCs w:val="24"/>
        </w:rPr>
        <w:t>Source: Author generated / adapted from literature</w:t>
      </w:r>
    </w:p>
    <w:p w14:paraId="2EBD7E56" w14:textId="6E0D2977" w:rsidR="00873AB8" w:rsidRPr="00873AB8" w:rsidRDefault="00873AB8" w:rsidP="00873AB8">
      <w:pPr>
        <w:rPr>
          <w:rFonts w:ascii="Times New Roman" w:hAnsi="Times New Roman" w:cs="Times New Roman"/>
          <w:sz w:val="24"/>
          <w:szCs w:val="24"/>
        </w:rPr>
        <w:sectPr w:rsidR="00873AB8" w:rsidRPr="00873AB8" w:rsidSect="00F13B7D">
          <w:pgSz w:w="12242" w:h="15479"/>
          <w:pgMar w:top="1440" w:right="1797" w:bottom="1440" w:left="1797" w:header="720" w:footer="720" w:gutter="0"/>
          <w:cols w:space="720"/>
          <w:docGrid w:linePitch="360"/>
        </w:sectPr>
      </w:pPr>
    </w:p>
    <w:p w14:paraId="293C053C" w14:textId="011705DC" w:rsidR="002C1F94" w:rsidRPr="00CE4D7D" w:rsidRDefault="00CF126E" w:rsidP="00345427">
      <w:pPr>
        <w:pStyle w:val="Heading1"/>
        <w:rPr>
          <w:rFonts w:ascii="Times New Roman" w:hAnsi="Times New Roman" w:cs="Times New Roman"/>
        </w:rPr>
      </w:pPr>
      <w:r w:rsidRPr="00CE4D7D">
        <w:rPr>
          <w:rFonts w:ascii="Times New Roman" w:hAnsi="Times New Roman" w:cs="Times New Roman"/>
        </w:rPr>
        <w:lastRenderedPageBreak/>
        <w:t>4. Economic Factors</w:t>
      </w:r>
    </w:p>
    <w:p w14:paraId="7F3613AF" w14:textId="32AA5528" w:rsidR="00267746" w:rsidRDefault="009A69EF" w:rsidP="0054719B">
      <w:pPr>
        <w:rPr>
          <w:rFonts w:ascii="Times New Roman" w:hAnsi="Times New Roman" w:cs="Times New Roman"/>
        </w:rPr>
        <w:sectPr w:rsidR="00267746" w:rsidSect="0051370E">
          <w:pgSz w:w="12242" w:h="9072"/>
          <w:pgMar w:top="1440" w:right="1797" w:bottom="1440" w:left="1797" w:header="720" w:footer="720" w:gutter="0"/>
          <w:cols w:space="720"/>
          <w:docGrid w:linePitch="360"/>
        </w:sectPr>
      </w:pPr>
      <w:r w:rsidRPr="009A69EF">
        <w:rPr>
          <w:rFonts w:ascii="Times New Roman" w:hAnsi="Times New Roman"/>
          <w:sz w:val="24"/>
          <w:szCs w:val="24"/>
        </w:rPr>
        <w:t xml:space="preserve">Economic conditions </w:t>
      </w:r>
      <w:r w:rsidR="004C4BFA" w:rsidRPr="004C4BFA">
        <w:rPr>
          <w:rFonts w:ascii="Times New Roman" w:hAnsi="Times New Roman"/>
          <w:sz w:val="24"/>
          <w:szCs w:val="24"/>
        </w:rPr>
        <w:t>are strongly associated with health outcomes</w:t>
      </w:r>
      <w:r w:rsidR="004C4BFA">
        <w:rPr>
          <w:rFonts w:ascii="Times New Roman" w:hAnsi="Times New Roman"/>
          <w:sz w:val="24"/>
          <w:szCs w:val="24"/>
        </w:rPr>
        <w:t xml:space="preserve"> </w:t>
      </w:r>
      <w:r w:rsidRPr="009A69EF">
        <w:rPr>
          <w:rFonts w:ascii="Times New Roman" w:hAnsi="Times New Roman"/>
          <w:sz w:val="24"/>
          <w:szCs w:val="24"/>
        </w:rPr>
        <w:t xml:space="preserve">and wellbeing at all stages in life (Wilkinson, 1996; Black et al., 1980). Income, occupation, job security and material living standards all impact on the resources available to individuals and their families and accordingly their ability to maintain good health (Bartley, 2017). The life course perspective is particularly salient here since financial disadvantage can add up over time and lead to structural inequalities in health that persist over time. However, these issues cannot be addressed through individual </w:t>
      </w:r>
      <w:proofErr w:type="spellStart"/>
      <w:r w:rsidRPr="009A69EF">
        <w:rPr>
          <w:rFonts w:ascii="Times New Roman" w:hAnsi="Times New Roman"/>
          <w:sz w:val="24"/>
          <w:szCs w:val="24"/>
        </w:rPr>
        <w:t>behaviour</w:t>
      </w:r>
      <w:proofErr w:type="spellEnd"/>
      <w:r w:rsidRPr="009A69EF">
        <w:rPr>
          <w:rFonts w:ascii="Times New Roman" w:hAnsi="Times New Roman"/>
          <w:sz w:val="24"/>
          <w:szCs w:val="24"/>
        </w:rPr>
        <w:t xml:space="preserve"> change alone and require wider structural policy intervention. This suggests that health </w:t>
      </w:r>
      <w:proofErr w:type="spellStart"/>
      <w:r w:rsidRPr="009A69EF">
        <w:rPr>
          <w:rFonts w:ascii="Times New Roman" w:hAnsi="Times New Roman"/>
          <w:sz w:val="24"/>
          <w:szCs w:val="24"/>
        </w:rPr>
        <w:t>behaviours</w:t>
      </w:r>
      <w:proofErr w:type="spellEnd"/>
      <w:r w:rsidRPr="009A69EF">
        <w:rPr>
          <w:rFonts w:ascii="Times New Roman" w:hAnsi="Times New Roman"/>
          <w:sz w:val="24"/>
          <w:szCs w:val="24"/>
        </w:rPr>
        <w:t xml:space="preserve"> cannot be separated from financial circumstances, as </w:t>
      </w:r>
      <w:r w:rsidR="00821690" w:rsidRPr="00821690">
        <w:rPr>
          <w:rFonts w:ascii="Times New Roman" w:hAnsi="Times New Roman"/>
          <w:sz w:val="24"/>
          <w:szCs w:val="24"/>
        </w:rPr>
        <w:t xml:space="preserve">individuals in poverty have limited choices. For example, the Marmot Review </w:t>
      </w:r>
      <w:proofErr w:type="spellStart"/>
      <w:r w:rsidR="00821690" w:rsidRPr="00821690">
        <w:rPr>
          <w:rFonts w:ascii="Times New Roman" w:hAnsi="Times New Roman"/>
          <w:sz w:val="24"/>
          <w:szCs w:val="24"/>
        </w:rPr>
        <w:t>emphasises</w:t>
      </w:r>
      <w:proofErr w:type="spellEnd"/>
      <w:r w:rsidR="00821690" w:rsidRPr="00821690">
        <w:rPr>
          <w:rFonts w:ascii="Times New Roman" w:hAnsi="Times New Roman"/>
          <w:sz w:val="24"/>
          <w:szCs w:val="24"/>
        </w:rPr>
        <w:t xml:space="preserve"> the importance of reducing health inequalities through action on social determinants such as education, employment and housing (Marmot, 2010). </w:t>
      </w:r>
      <w:r w:rsidR="00370DC1" w:rsidRPr="00370DC1">
        <w:rPr>
          <w:rFonts w:ascii="Times New Roman" w:hAnsi="Times New Roman"/>
          <w:sz w:val="24"/>
          <w:szCs w:val="24"/>
        </w:rPr>
        <w:t>However, the implementation of such policies is often constrained by political priorities and resource limitations.</w:t>
      </w:r>
      <w:r w:rsidR="00370DC1">
        <w:rPr>
          <w:rFonts w:ascii="Times New Roman" w:hAnsi="Times New Roman"/>
          <w:sz w:val="24"/>
          <w:szCs w:val="24"/>
        </w:rPr>
        <w:t xml:space="preserve"> </w:t>
      </w:r>
      <w:r w:rsidR="00B45718" w:rsidRPr="00B45718">
        <w:rPr>
          <w:rFonts w:ascii="Times New Roman" w:hAnsi="Times New Roman"/>
          <w:sz w:val="24"/>
          <w:szCs w:val="24"/>
        </w:rPr>
        <w:t>This demonstrates the importance of structural intervention in addressing health inequalities.</w:t>
      </w:r>
      <w:r w:rsidR="00B45718" w:rsidRPr="00B45718">
        <w:rPr>
          <w:rFonts w:ascii="Times New Roman" w:hAnsi="Times New Roman"/>
          <w:sz w:val="24"/>
          <w:szCs w:val="24"/>
        </w:rPr>
        <w:br/>
      </w:r>
      <w:r w:rsidR="00B45718" w:rsidRPr="00B45718">
        <w:rPr>
          <w:rFonts w:ascii="Times New Roman" w:hAnsi="Times New Roman"/>
          <w:b/>
          <w:bCs/>
          <w:sz w:val="24"/>
          <w:szCs w:val="24"/>
        </w:rPr>
        <w:t>Economic disadvantage also influences environmental exposure, reinforcing the interconnected nature of health determinants.</w:t>
      </w:r>
      <w:r w:rsidR="00B45718" w:rsidRPr="00B45718">
        <w:rPr>
          <w:rFonts w:ascii="Times New Roman" w:hAnsi="Times New Roman"/>
          <w:sz w:val="24"/>
          <w:szCs w:val="24"/>
        </w:rPr>
        <w:br/>
        <w:t>The next section considers environmental factors.</w:t>
      </w:r>
    </w:p>
    <w:p w14:paraId="19E9513C" w14:textId="77777777" w:rsidR="002C1F94" w:rsidRPr="00CE4D7D" w:rsidRDefault="00CF126E">
      <w:pPr>
        <w:pStyle w:val="Heading1"/>
        <w:rPr>
          <w:rFonts w:ascii="Times New Roman" w:hAnsi="Times New Roman" w:cs="Times New Roman"/>
        </w:rPr>
      </w:pPr>
      <w:r w:rsidRPr="00CE4D7D">
        <w:rPr>
          <w:rFonts w:ascii="Times New Roman" w:hAnsi="Times New Roman" w:cs="Times New Roman"/>
        </w:rPr>
        <w:lastRenderedPageBreak/>
        <w:t>5. Environmental Factors</w:t>
      </w:r>
    </w:p>
    <w:p w14:paraId="50BD8E85" w14:textId="3999EBF0" w:rsidR="009169D8" w:rsidRPr="009169D8" w:rsidRDefault="00AC1BF2" w:rsidP="009169D8">
      <w:pPr>
        <w:rPr>
          <w:rFonts w:ascii="Times New Roman" w:hAnsi="Times New Roman"/>
          <w:sz w:val="24"/>
          <w:szCs w:val="24"/>
        </w:rPr>
      </w:pPr>
      <w:r w:rsidRPr="00AC1BF2">
        <w:rPr>
          <w:rFonts w:ascii="Times New Roman" w:hAnsi="Times New Roman"/>
          <w:sz w:val="24"/>
          <w:szCs w:val="24"/>
        </w:rPr>
        <w:t xml:space="preserve">Environmental health determinants comprise housing quality, air pollution, </w:t>
      </w:r>
      <w:proofErr w:type="spellStart"/>
      <w:r w:rsidR="00D10F88" w:rsidRPr="00D10F88">
        <w:rPr>
          <w:rFonts w:ascii="Times New Roman" w:hAnsi="Times New Roman"/>
          <w:sz w:val="24"/>
          <w:szCs w:val="24"/>
        </w:rPr>
        <w:t>neighbourhood</w:t>
      </w:r>
      <w:proofErr w:type="spellEnd"/>
      <w:r w:rsidR="00D10F88">
        <w:rPr>
          <w:rFonts w:ascii="Times New Roman" w:hAnsi="Times New Roman"/>
          <w:sz w:val="24"/>
          <w:szCs w:val="24"/>
        </w:rPr>
        <w:t xml:space="preserve"> </w:t>
      </w:r>
      <w:r w:rsidRPr="00AC1BF2">
        <w:rPr>
          <w:rFonts w:ascii="Times New Roman" w:hAnsi="Times New Roman"/>
          <w:sz w:val="24"/>
          <w:szCs w:val="24"/>
        </w:rPr>
        <w:t>safety, access to green space and the wider built environment (</w:t>
      </w:r>
      <w:proofErr w:type="spellStart"/>
      <w:r w:rsidRPr="00AC1BF2">
        <w:rPr>
          <w:rFonts w:ascii="Times New Roman" w:hAnsi="Times New Roman"/>
          <w:sz w:val="24"/>
          <w:szCs w:val="24"/>
        </w:rPr>
        <w:t>Blaxter</w:t>
      </w:r>
      <w:proofErr w:type="spellEnd"/>
      <w:r w:rsidRPr="00AC1BF2">
        <w:rPr>
          <w:rFonts w:ascii="Times New Roman" w:hAnsi="Times New Roman"/>
          <w:sz w:val="24"/>
          <w:szCs w:val="24"/>
        </w:rPr>
        <w:t xml:space="preserve">, 2010; </w:t>
      </w:r>
      <w:r w:rsidRPr="00120704">
        <w:rPr>
          <w:rFonts w:ascii="Times New Roman" w:hAnsi="Times New Roman" w:cs="Times New Roman"/>
          <w:sz w:val="24"/>
          <w:szCs w:val="24"/>
        </w:rPr>
        <w:t>Solar and Irwin, 2010). These are life-long influences on physical and mental health and tend to be closely connected to social and economic inequalities. The following section evaluates life course interventions.</w:t>
      </w:r>
      <w:r w:rsidR="009169D8" w:rsidRPr="00120704">
        <w:rPr>
          <w:rFonts w:ascii="Times New Roman" w:hAnsi="Times New Roman" w:cs="Times New Roman"/>
          <w:sz w:val="24"/>
          <w:szCs w:val="24"/>
        </w:rPr>
        <w:t xml:space="preserve"> </w:t>
      </w:r>
      <w:r w:rsidR="007F4A31" w:rsidRPr="00120704">
        <w:rPr>
          <w:rFonts w:ascii="Times New Roman" w:hAnsi="Times New Roman" w:cs="Times New Roman"/>
          <w:sz w:val="24"/>
          <w:szCs w:val="24"/>
        </w:rPr>
        <w:t>However, environmental interventions alone may be insufficient without addressing underlying socioeconomic inequalities, which continue to shape exposure to risk.</w:t>
      </w:r>
      <w:r w:rsidR="00120704" w:rsidRPr="00120704">
        <w:rPr>
          <w:rFonts w:ascii="Times New Roman" w:hAnsi="Times New Roman" w:cs="Times New Roman"/>
          <w:sz w:val="24"/>
          <w:szCs w:val="24"/>
        </w:rPr>
        <w:t xml:space="preserve"> </w:t>
      </w:r>
      <w:r w:rsidR="0047233B" w:rsidRPr="0047233B">
        <w:rPr>
          <w:rFonts w:ascii="Times New Roman" w:hAnsi="Times New Roman" w:cs="Times New Roman"/>
          <w:sz w:val="24"/>
          <w:szCs w:val="24"/>
        </w:rPr>
        <w:t>This suggests that environmental interventions must be combined</w:t>
      </w:r>
      <w:r w:rsidR="0047233B">
        <w:rPr>
          <w:rFonts w:ascii="Times New Roman" w:hAnsi="Times New Roman" w:cs="Times New Roman"/>
          <w:sz w:val="24"/>
          <w:szCs w:val="24"/>
        </w:rPr>
        <w:t xml:space="preserve"> </w:t>
      </w:r>
      <w:r w:rsidR="00120704" w:rsidRPr="00120704">
        <w:rPr>
          <w:rFonts w:ascii="Times New Roman" w:hAnsi="Times New Roman" w:cs="Times New Roman"/>
          <w:sz w:val="24"/>
          <w:szCs w:val="24"/>
        </w:rPr>
        <w:t>with broader social and economic policies to achieve sustained improvements in population health.</w:t>
      </w:r>
      <w:r w:rsidR="005A5B77" w:rsidRPr="005A5B77">
        <w:t xml:space="preserve"> </w:t>
      </w:r>
      <w:r w:rsidR="005A5B77" w:rsidRPr="005A5B77">
        <w:rPr>
          <w:rFonts w:ascii="Times New Roman" w:hAnsi="Times New Roman" w:cs="Times New Roman"/>
          <w:sz w:val="24"/>
          <w:szCs w:val="24"/>
        </w:rPr>
        <w:t>This reinforces the idea that environmental risk is socially patterned rather than randomly distributed.</w:t>
      </w:r>
    </w:p>
    <w:p w14:paraId="58555ED0" w14:textId="6E3C4466" w:rsidR="00906CE3" w:rsidRDefault="00906CE3" w:rsidP="001D0249">
      <w:pPr>
        <w:rPr>
          <w:rFonts w:ascii="Times New Roman" w:hAnsi="Times New Roman"/>
          <w:sz w:val="24"/>
          <w:szCs w:val="24"/>
        </w:rPr>
      </w:pPr>
      <w:r>
        <w:rPr>
          <w:rFonts w:ascii="Times New Roman" w:hAnsi="Times New Roman"/>
          <w:noProof/>
          <w:sz w:val="24"/>
          <w:szCs w:val="24"/>
        </w:rPr>
        <w:drawing>
          <wp:inline distT="0" distB="0" distL="0" distR="0" wp14:anchorId="72F57420" wp14:editId="1152B589">
            <wp:extent cx="3864484" cy="3562350"/>
            <wp:effectExtent l="0" t="0" r="3175" b="0"/>
            <wp:docPr id="17577878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787847" name="Picture 1757787847"/>
                    <pic:cNvPicPr/>
                  </pic:nvPicPr>
                  <pic:blipFill>
                    <a:blip r:embed="rId9"/>
                    <a:stretch>
                      <a:fillRect/>
                    </a:stretch>
                  </pic:blipFill>
                  <pic:spPr>
                    <a:xfrm>
                      <a:off x="0" y="0"/>
                      <a:ext cx="3873821" cy="3570957"/>
                    </a:xfrm>
                    <a:prstGeom prst="rect">
                      <a:avLst/>
                    </a:prstGeom>
                  </pic:spPr>
                </pic:pic>
              </a:graphicData>
            </a:graphic>
          </wp:inline>
        </w:drawing>
      </w:r>
      <w:r w:rsidR="001D0249">
        <w:rPr>
          <w:rFonts w:ascii="Times New Roman" w:hAnsi="Times New Roman"/>
          <w:sz w:val="24"/>
          <w:szCs w:val="24"/>
        </w:rPr>
        <w:t xml:space="preserve">       </w:t>
      </w:r>
    </w:p>
    <w:p w14:paraId="69DAAF34" w14:textId="4B500825" w:rsidR="001D0249" w:rsidRPr="001D0249" w:rsidRDefault="001D0249" w:rsidP="001D0249">
      <w:pPr>
        <w:rPr>
          <w:rFonts w:ascii="Times New Roman" w:hAnsi="Times New Roman"/>
          <w:sz w:val="24"/>
          <w:szCs w:val="24"/>
        </w:rPr>
      </w:pPr>
      <w:r>
        <w:rPr>
          <w:rFonts w:ascii="Times New Roman" w:hAnsi="Times New Roman"/>
          <w:sz w:val="24"/>
          <w:szCs w:val="24"/>
        </w:rPr>
        <w:t xml:space="preserve"> </w:t>
      </w:r>
      <w:r w:rsidRPr="001D0249">
        <w:rPr>
          <w:rFonts w:ascii="Times New Roman" w:hAnsi="Times New Roman"/>
          <w:b/>
          <w:bCs/>
          <w:sz w:val="24"/>
          <w:szCs w:val="24"/>
        </w:rPr>
        <w:t>Figure 3</w:t>
      </w:r>
      <w:r w:rsidRPr="001D0249">
        <w:rPr>
          <w:rFonts w:ascii="Times New Roman" w:hAnsi="Times New Roman"/>
          <w:sz w:val="24"/>
          <w:szCs w:val="24"/>
        </w:rPr>
        <w:t xml:space="preserve">: Environmental determinants of health, including housing, pollution and green space.  </w:t>
      </w:r>
    </w:p>
    <w:p w14:paraId="2911BC21" w14:textId="0580478B" w:rsidR="001D0249" w:rsidRDefault="001D0249" w:rsidP="001D0249">
      <w:pPr>
        <w:rPr>
          <w:rFonts w:ascii="Times New Roman" w:hAnsi="Times New Roman"/>
          <w:sz w:val="24"/>
          <w:szCs w:val="24"/>
        </w:rPr>
      </w:pPr>
      <w:r w:rsidRPr="001D0249">
        <w:rPr>
          <w:rFonts w:ascii="Times New Roman" w:hAnsi="Times New Roman"/>
          <w:sz w:val="24"/>
          <w:szCs w:val="24"/>
        </w:rPr>
        <w:t>Source: Author generated / adapted from literature</w:t>
      </w:r>
    </w:p>
    <w:p w14:paraId="755275A4" w14:textId="0452789C" w:rsidR="00C4356D" w:rsidRPr="00D443E4" w:rsidRDefault="00556133" w:rsidP="00C4356D">
      <w:pPr>
        <w:rPr>
          <w:rFonts w:ascii="Times New Roman" w:hAnsi="Times New Roman"/>
          <w:b/>
          <w:bCs/>
          <w:color w:val="1F497D" w:themeColor="text2"/>
          <w:sz w:val="24"/>
          <w:szCs w:val="24"/>
        </w:rPr>
      </w:pPr>
      <w:r w:rsidRPr="00D443E4">
        <w:rPr>
          <w:rFonts w:ascii="Times New Roman" w:hAnsi="Times New Roman" w:cs="Times New Roman"/>
          <w:b/>
          <w:bCs/>
          <w:color w:val="1F497D" w:themeColor="text2"/>
          <w:sz w:val="24"/>
          <w:szCs w:val="24"/>
        </w:rPr>
        <w:t>5</w:t>
      </w:r>
      <w:r w:rsidR="00286D85" w:rsidRPr="00D443E4">
        <w:rPr>
          <w:rFonts w:ascii="Times New Roman" w:hAnsi="Times New Roman" w:cs="Times New Roman"/>
          <w:b/>
          <w:bCs/>
          <w:color w:val="1F497D" w:themeColor="text2"/>
          <w:sz w:val="24"/>
          <w:szCs w:val="24"/>
        </w:rPr>
        <w:t xml:space="preserve">.1 </w:t>
      </w:r>
      <w:r w:rsidR="00C4356D" w:rsidRPr="00D443E4">
        <w:rPr>
          <w:rFonts w:ascii="Times New Roman" w:hAnsi="Times New Roman"/>
          <w:b/>
          <w:bCs/>
          <w:color w:val="1F497D" w:themeColor="text2"/>
          <w:sz w:val="24"/>
          <w:szCs w:val="24"/>
        </w:rPr>
        <w:t>Housing</w:t>
      </w:r>
    </w:p>
    <w:p w14:paraId="77781886" w14:textId="0F7C67A7" w:rsidR="00C4356D" w:rsidRPr="00C4356D" w:rsidRDefault="00C4356D" w:rsidP="00C4356D">
      <w:pPr>
        <w:rPr>
          <w:sz w:val="24"/>
          <w:szCs w:val="24"/>
        </w:rPr>
      </w:pPr>
      <w:r w:rsidRPr="00C4356D">
        <w:rPr>
          <w:rFonts w:ascii="Times New Roman" w:hAnsi="Times New Roman"/>
          <w:sz w:val="24"/>
          <w:szCs w:val="24"/>
        </w:rPr>
        <w:t>Housing is a leading environmental determinant of health (</w:t>
      </w:r>
      <w:proofErr w:type="spellStart"/>
      <w:r w:rsidRPr="00C4356D">
        <w:rPr>
          <w:rFonts w:ascii="Times New Roman" w:hAnsi="Times New Roman"/>
          <w:sz w:val="24"/>
          <w:szCs w:val="24"/>
        </w:rPr>
        <w:t>Blaxter</w:t>
      </w:r>
      <w:proofErr w:type="spellEnd"/>
      <w:r w:rsidRPr="00C4356D">
        <w:rPr>
          <w:rFonts w:ascii="Times New Roman" w:hAnsi="Times New Roman"/>
          <w:sz w:val="24"/>
          <w:szCs w:val="24"/>
        </w:rPr>
        <w:t xml:space="preserve">, 2010; Shaw, 2004). Poor housing conditions such as dampness, overcrowding, cold temperatures and poor ventilation are linked to respiratory illness, infection, stress and reduced wellbeing (Marmot and Wilkinson, 2006). This is important for public health practice, as improving housing conditions can reduce long-term healthcare demand and inequalities. Poor housing in children can also have detrimental effects on sleep, educational concentration and development (Graham, 2007). Poor housing can put older people at risk of accidents, isolation and decreased independence. Housing is therefore not only a social issue but also a significant public health concern (Wilkinson, 1996). </w:t>
      </w:r>
      <w:r w:rsidR="00A72763" w:rsidRPr="00A72763">
        <w:rPr>
          <w:rFonts w:ascii="Times New Roman" w:hAnsi="Times New Roman"/>
          <w:sz w:val="24"/>
          <w:szCs w:val="24"/>
        </w:rPr>
        <w:t xml:space="preserve">It also demonstrates how environmental disadvantages can impact health at different stages across the </w:t>
      </w:r>
      <w:proofErr w:type="gramStart"/>
      <w:r w:rsidR="00A72763" w:rsidRPr="00A72763">
        <w:rPr>
          <w:rFonts w:ascii="Times New Roman" w:hAnsi="Times New Roman"/>
          <w:sz w:val="24"/>
          <w:szCs w:val="24"/>
        </w:rPr>
        <w:t>life course</w:t>
      </w:r>
      <w:proofErr w:type="gramEnd"/>
      <w:r w:rsidR="00A72763" w:rsidRPr="00A72763">
        <w:rPr>
          <w:rFonts w:ascii="Times New Roman" w:hAnsi="Times New Roman"/>
          <w:sz w:val="24"/>
          <w:szCs w:val="24"/>
        </w:rPr>
        <w:t>.</w:t>
      </w:r>
      <w:r w:rsidR="001F32B5">
        <w:rPr>
          <w:rFonts w:ascii="Times New Roman" w:hAnsi="Times New Roman"/>
          <w:sz w:val="24"/>
          <w:szCs w:val="24"/>
        </w:rPr>
        <w:t xml:space="preserve"> </w:t>
      </w:r>
      <w:r w:rsidRPr="00C4356D">
        <w:rPr>
          <w:rFonts w:ascii="Times New Roman" w:hAnsi="Times New Roman"/>
          <w:sz w:val="24"/>
          <w:szCs w:val="24"/>
        </w:rPr>
        <w:t>However, poor housing conditions are often linked to poverty, demonstrating how environmental and economic factors are closely connected (Solar and Irwin, 2010).</w:t>
      </w:r>
      <w:r w:rsidRPr="00C4356D">
        <w:rPr>
          <w:sz w:val="24"/>
          <w:szCs w:val="24"/>
        </w:rPr>
        <w:t xml:space="preserve"> </w:t>
      </w:r>
      <w:r w:rsidRPr="00C4356D">
        <w:rPr>
          <w:rFonts w:ascii="Times New Roman" w:hAnsi="Times New Roman"/>
          <w:sz w:val="24"/>
          <w:szCs w:val="24"/>
        </w:rPr>
        <w:t>This highlights the importance of housing policy as a key area for intervention to improve population health outcomes.</w:t>
      </w:r>
    </w:p>
    <w:p w14:paraId="0FD0A523" w14:textId="71E7F9D4" w:rsidR="00237772" w:rsidRPr="00F66AA7" w:rsidRDefault="00F66AA7" w:rsidP="00237772">
      <w:pPr>
        <w:rPr>
          <w:rFonts w:ascii="Times New Roman" w:hAnsi="Times New Roman"/>
          <w:b/>
          <w:bCs/>
          <w:color w:val="1F497D" w:themeColor="text2"/>
          <w:sz w:val="24"/>
          <w:szCs w:val="24"/>
        </w:rPr>
      </w:pPr>
      <w:r w:rsidRPr="00F66AA7">
        <w:rPr>
          <w:rFonts w:ascii="Times New Roman" w:hAnsi="Times New Roman"/>
          <w:b/>
          <w:bCs/>
          <w:color w:val="1F497D" w:themeColor="text2"/>
          <w:sz w:val="24"/>
          <w:szCs w:val="24"/>
        </w:rPr>
        <w:t xml:space="preserve">5.2 </w:t>
      </w:r>
      <w:r w:rsidR="00237772" w:rsidRPr="00F66AA7">
        <w:rPr>
          <w:rFonts w:ascii="Times New Roman" w:hAnsi="Times New Roman"/>
          <w:b/>
          <w:bCs/>
          <w:color w:val="1F497D" w:themeColor="text2"/>
          <w:sz w:val="24"/>
          <w:szCs w:val="24"/>
        </w:rPr>
        <w:t>Pollution and Environmental Risk</w:t>
      </w:r>
    </w:p>
    <w:p w14:paraId="525BE91C" w14:textId="16997F5F" w:rsidR="00237772" w:rsidRPr="00237772" w:rsidRDefault="00237772" w:rsidP="00237772">
      <w:pPr>
        <w:rPr>
          <w:rFonts w:ascii="Times New Roman" w:hAnsi="Times New Roman"/>
          <w:sz w:val="24"/>
          <w:szCs w:val="24"/>
        </w:rPr>
      </w:pPr>
      <w:r w:rsidRPr="00237772">
        <w:rPr>
          <w:rFonts w:ascii="Times New Roman" w:hAnsi="Times New Roman"/>
          <w:sz w:val="24"/>
          <w:szCs w:val="24"/>
        </w:rPr>
        <w:t>Air pollution exposure has also been associated with respiratory disease, cardiovascular illness and reduced life expectancy (Marmot and Wilkinson, 2006). Crucially, exposure to environmental hazards is commonly socially patterned, where lower-income communities are more likely to be located near busy roads, industrial areas or poorly maintained housing. This illustrates the notion of environmental inequality; whereby disadvantaged groups are disproportionately exposed to harmful environments. Such repeated exposure to these risks can contribute to cumulative health disadvantage over time from a life course perspective. This suggests that environmental risks are not equally distributed, with disadvantaged groups facing greater exposure.</w:t>
      </w:r>
      <w:r w:rsidR="00EF2B95" w:rsidRPr="00EF2B95">
        <w:t xml:space="preserve"> </w:t>
      </w:r>
      <w:r w:rsidR="00EF2B95" w:rsidRPr="00EF2B95">
        <w:rPr>
          <w:rFonts w:ascii="Times New Roman" w:hAnsi="Times New Roman"/>
          <w:sz w:val="24"/>
          <w:szCs w:val="24"/>
        </w:rPr>
        <w:t>This reinforces the need for environmental policy interventions to address health inequalities at a population level</w:t>
      </w:r>
      <w:r w:rsidR="00EF2B95">
        <w:rPr>
          <w:rFonts w:ascii="Times New Roman" w:hAnsi="Times New Roman"/>
          <w:sz w:val="24"/>
          <w:szCs w:val="24"/>
        </w:rPr>
        <w:t>.</w:t>
      </w:r>
    </w:p>
    <w:p w14:paraId="5560E74B" w14:textId="1576993D" w:rsidR="00D443E4" w:rsidRPr="00F66AA7" w:rsidRDefault="00F66AA7" w:rsidP="00D443E4">
      <w:pPr>
        <w:rPr>
          <w:rFonts w:ascii="Times New Roman" w:hAnsi="Times New Roman"/>
          <w:b/>
          <w:bCs/>
          <w:color w:val="1F497D" w:themeColor="text2"/>
          <w:sz w:val="24"/>
          <w:szCs w:val="24"/>
        </w:rPr>
      </w:pPr>
      <w:r w:rsidRPr="00F66AA7">
        <w:rPr>
          <w:rFonts w:ascii="Times New Roman" w:hAnsi="Times New Roman"/>
          <w:b/>
          <w:bCs/>
          <w:color w:val="1F497D" w:themeColor="text2"/>
          <w:sz w:val="24"/>
          <w:szCs w:val="24"/>
        </w:rPr>
        <w:t xml:space="preserve">5.3 </w:t>
      </w:r>
      <w:r w:rsidR="00D443E4" w:rsidRPr="00F66AA7">
        <w:rPr>
          <w:rFonts w:ascii="Times New Roman" w:hAnsi="Times New Roman"/>
          <w:b/>
          <w:bCs/>
          <w:color w:val="1F497D" w:themeColor="text2"/>
          <w:sz w:val="24"/>
          <w:szCs w:val="24"/>
        </w:rPr>
        <w:t>Green Space Healthy Environments</w:t>
      </w:r>
    </w:p>
    <w:p w14:paraId="01961BB7" w14:textId="4FC53295" w:rsidR="00D443E4" w:rsidRPr="0089007F" w:rsidRDefault="00D443E4" w:rsidP="00D443E4">
      <w:pPr>
        <w:rPr>
          <w:sz w:val="24"/>
          <w:szCs w:val="24"/>
        </w:rPr>
      </w:pPr>
      <w:r w:rsidRPr="0089007F">
        <w:rPr>
          <w:rFonts w:ascii="Times New Roman" w:hAnsi="Times New Roman"/>
          <w:sz w:val="24"/>
          <w:szCs w:val="24"/>
        </w:rPr>
        <w:t xml:space="preserve">Numerous environmental factors are not harmful </w:t>
      </w:r>
      <w:proofErr w:type="gramStart"/>
      <w:r w:rsidRPr="0089007F">
        <w:rPr>
          <w:rFonts w:ascii="Times New Roman" w:hAnsi="Times New Roman"/>
          <w:sz w:val="24"/>
          <w:szCs w:val="24"/>
        </w:rPr>
        <w:t>in</w:t>
      </w:r>
      <w:proofErr w:type="gramEnd"/>
      <w:r w:rsidRPr="0089007F">
        <w:rPr>
          <w:rFonts w:ascii="Times New Roman" w:hAnsi="Times New Roman"/>
          <w:sz w:val="24"/>
          <w:szCs w:val="24"/>
        </w:rPr>
        <w:t xml:space="preserve"> themselves. Access to parks, green areas, safe pathways and recreational facilities can promote physical activity, reduce stress and improve mental wellbeing. Dahlgren and Whitehead (2021) propose that healthy environments can support wellbeing in sensible and purposeful ways. These benefits are not equally distributed, however. Wealthier communities are better resourced and provide safer, greener </w:t>
      </w:r>
      <w:proofErr w:type="spellStart"/>
      <w:r w:rsidRPr="0089007F">
        <w:rPr>
          <w:rFonts w:ascii="Times New Roman" w:hAnsi="Times New Roman"/>
          <w:sz w:val="24"/>
          <w:szCs w:val="24"/>
        </w:rPr>
        <w:t>neighbourhoods</w:t>
      </w:r>
      <w:proofErr w:type="spellEnd"/>
      <w:r w:rsidRPr="0089007F">
        <w:rPr>
          <w:rFonts w:ascii="Times New Roman" w:hAnsi="Times New Roman"/>
          <w:sz w:val="24"/>
          <w:szCs w:val="24"/>
        </w:rPr>
        <w:t xml:space="preserve"> whereas deprived areas often face fewer opportunities for healthy living.</w:t>
      </w:r>
      <w:r w:rsidRPr="0089007F">
        <w:rPr>
          <w:sz w:val="24"/>
          <w:szCs w:val="24"/>
        </w:rPr>
        <w:t xml:space="preserve"> </w:t>
      </w:r>
      <w:r w:rsidRPr="0089007F">
        <w:rPr>
          <w:rFonts w:ascii="Times New Roman" w:hAnsi="Times New Roman"/>
          <w:sz w:val="24"/>
          <w:szCs w:val="24"/>
        </w:rPr>
        <w:t xml:space="preserve">This demonstrates that environmental health is closely linked to social justice and public policy; however, unequal access reinforces existing health inequalities. So, there may also be far-reaching benefits to address these environmental conditions, although this needs structural intervention rather than relying solely on individual </w:t>
      </w:r>
      <w:proofErr w:type="spellStart"/>
      <w:r w:rsidRPr="0089007F">
        <w:rPr>
          <w:rFonts w:ascii="Times New Roman" w:hAnsi="Times New Roman"/>
          <w:sz w:val="24"/>
          <w:szCs w:val="24"/>
        </w:rPr>
        <w:t>behaviour</w:t>
      </w:r>
      <w:proofErr w:type="spellEnd"/>
      <w:r w:rsidRPr="0089007F">
        <w:rPr>
          <w:rFonts w:ascii="Times New Roman" w:hAnsi="Times New Roman"/>
          <w:sz w:val="24"/>
          <w:szCs w:val="24"/>
        </w:rPr>
        <w:t xml:space="preserve"> change. However, access to healthy environments is uneven, reinforcing existing social and health inequalities.</w:t>
      </w:r>
    </w:p>
    <w:p w14:paraId="589E1802" w14:textId="3A3ED2B2" w:rsidR="00267746" w:rsidRPr="00656798" w:rsidRDefault="00D443E4">
      <w:pPr>
        <w:rPr>
          <w:sz w:val="24"/>
          <w:szCs w:val="24"/>
        </w:rPr>
        <w:sectPr w:rsidR="00267746" w:rsidRPr="00656798" w:rsidSect="00FC59B3">
          <w:pgSz w:w="12242" w:h="28917"/>
          <w:pgMar w:top="1440" w:right="1797" w:bottom="1440" w:left="1797" w:header="720" w:footer="720" w:gutter="0"/>
          <w:cols w:space="720"/>
          <w:docGrid w:linePitch="360"/>
        </w:sectPr>
      </w:pPr>
      <w:r w:rsidRPr="0089007F">
        <w:rPr>
          <w:rFonts w:ascii="Times New Roman" w:hAnsi="Times New Roman"/>
          <w:b/>
          <w:bCs/>
          <w:sz w:val="24"/>
          <w:szCs w:val="24"/>
        </w:rPr>
        <w:t>Link to next section:</w:t>
      </w:r>
      <w:r w:rsidRPr="0089007F">
        <w:rPr>
          <w:rFonts w:ascii="Times New Roman" w:hAnsi="Times New Roman"/>
          <w:sz w:val="24"/>
          <w:szCs w:val="24"/>
        </w:rPr>
        <w:br/>
        <w:t>Following identification of the leading social, economic, and environmental determinants of health, the report now explores whether the life course interventions are appropriate and effective</w:t>
      </w:r>
      <w:r w:rsidR="00C1760E">
        <w:rPr>
          <w:rFonts w:ascii="Times New Roman" w:hAnsi="Times New Roman"/>
          <w:sz w:val="24"/>
          <w:szCs w:val="24"/>
        </w:rPr>
        <w:t>.</w:t>
      </w:r>
    </w:p>
    <w:p w14:paraId="359A8E4E" w14:textId="77777777" w:rsidR="002C1F94" w:rsidRDefault="00CF126E">
      <w:pPr>
        <w:pStyle w:val="Heading1"/>
        <w:rPr>
          <w:rFonts w:ascii="Times New Roman" w:hAnsi="Times New Roman" w:cs="Times New Roman"/>
        </w:rPr>
      </w:pPr>
      <w:r w:rsidRPr="00CE4D7D">
        <w:rPr>
          <w:rFonts w:ascii="Times New Roman" w:hAnsi="Times New Roman" w:cs="Times New Roman"/>
        </w:rPr>
        <w:lastRenderedPageBreak/>
        <w:t>6. Life Course Interventions</w:t>
      </w:r>
    </w:p>
    <w:p w14:paraId="266BE80D" w14:textId="73EE2A22" w:rsidR="00FB1637" w:rsidRPr="000E1212" w:rsidRDefault="000E1212" w:rsidP="00FB1637">
      <w:pPr>
        <w:rPr>
          <w:sz w:val="24"/>
          <w:szCs w:val="24"/>
        </w:rPr>
      </w:pPr>
      <w:r w:rsidRPr="000E1212">
        <w:rPr>
          <w:rFonts w:ascii="Times New Roman" w:hAnsi="Times New Roman"/>
          <w:sz w:val="24"/>
          <w:szCs w:val="24"/>
        </w:rPr>
        <w:t>Life course interventions focus on addressing factors at different life stages to enhance health. Early interventions, such as maternal care and early education, can be particularly successful in shaping long-term health (Glanz, Rimer and Viswanath, 2015).</w:t>
      </w:r>
      <w:r w:rsidRPr="000E1212">
        <w:rPr>
          <w:rFonts w:ascii="Times New Roman" w:eastAsia="Times New Roman" w:hAnsi="Times New Roman"/>
          <w:sz w:val="24"/>
          <w:szCs w:val="24"/>
          <w:lang w:eastAsia="en-GB"/>
        </w:rPr>
        <w:t xml:space="preserve"> </w:t>
      </w:r>
      <w:r w:rsidRPr="000E1212">
        <w:rPr>
          <w:rFonts w:ascii="Times New Roman" w:hAnsi="Times New Roman"/>
          <w:sz w:val="24"/>
          <w:szCs w:val="24"/>
        </w:rPr>
        <w:t>However, they are only effective if access is available and long-term investment is maintained. Barriers to these services might prevent certain disadvantaged groups from accessing these services, lessening the effectiveness of these efforts. Wellbeing can also be enhanced by adult interventions, for example by encouraging healthy lifestyles. But these strategies frequently fail to respond to structural obstacles like poverty and limited access to resources. Interventions support independence in later life and improve quality of life but are constrained by funding and availability of services (Baggott, 2015).</w:t>
      </w:r>
      <w:r w:rsidR="00EF5647" w:rsidRPr="00EF5647">
        <w:t xml:space="preserve"> </w:t>
      </w:r>
      <w:r w:rsidR="00EF5647" w:rsidRPr="00EF5647">
        <w:rPr>
          <w:rFonts w:ascii="Times New Roman" w:hAnsi="Times New Roman"/>
          <w:sz w:val="24"/>
          <w:szCs w:val="24"/>
        </w:rPr>
        <w:t xml:space="preserve">This indicates that </w:t>
      </w:r>
      <w:proofErr w:type="gramStart"/>
      <w:r w:rsidR="00EF5647" w:rsidRPr="00EF5647">
        <w:rPr>
          <w:rFonts w:ascii="Times New Roman" w:hAnsi="Times New Roman"/>
          <w:sz w:val="24"/>
          <w:szCs w:val="24"/>
        </w:rPr>
        <w:t>interventions</w:t>
      </w:r>
      <w:proofErr w:type="gramEnd"/>
      <w:r w:rsidR="00EF5647" w:rsidRPr="00EF5647">
        <w:rPr>
          <w:rFonts w:ascii="Times New Roman" w:hAnsi="Times New Roman"/>
          <w:sz w:val="24"/>
          <w:szCs w:val="24"/>
        </w:rPr>
        <w:t xml:space="preserve"> alone are insufficient</w:t>
      </w:r>
      <w:r w:rsidR="0053403F">
        <w:rPr>
          <w:rFonts w:ascii="Times New Roman" w:hAnsi="Times New Roman"/>
          <w:sz w:val="24"/>
          <w:szCs w:val="24"/>
        </w:rPr>
        <w:t xml:space="preserve"> </w:t>
      </w:r>
      <w:r w:rsidRPr="000E1212">
        <w:rPr>
          <w:rFonts w:ascii="Times New Roman" w:hAnsi="Times New Roman"/>
          <w:sz w:val="24"/>
          <w:szCs w:val="24"/>
        </w:rPr>
        <w:t>unless we have a broader policy framework. This highlights that life course interventions alone are insufficient without addressing wider structural inequalities.</w:t>
      </w:r>
      <w:r w:rsidRPr="000E1212">
        <w:rPr>
          <w:sz w:val="24"/>
          <w:szCs w:val="24"/>
        </w:rPr>
        <w:t xml:space="preserve"> </w:t>
      </w:r>
      <w:r w:rsidRPr="000E1212">
        <w:rPr>
          <w:rFonts w:ascii="Times New Roman" w:hAnsi="Times New Roman"/>
          <w:sz w:val="24"/>
          <w:szCs w:val="24"/>
        </w:rPr>
        <w:t>Therefore, effective health improvement requires a combination of individual interventions and wider structural policy change.</w:t>
      </w:r>
    </w:p>
    <w:p w14:paraId="0552170A" w14:textId="77777777" w:rsidR="002C1F94" w:rsidRPr="00CE4D7D" w:rsidRDefault="00CF126E">
      <w:pPr>
        <w:pStyle w:val="Heading2"/>
        <w:rPr>
          <w:rFonts w:ascii="Times New Roman" w:hAnsi="Times New Roman" w:cs="Times New Roman"/>
        </w:rPr>
      </w:pPr>
      <w:r w:rsidRPr="00CE4D7D">
        <w:rPr>
          <w:rFonts w:ascii="Times New Roman" w:hAnsi="Times New Roman" w:cs="Times New Roman"/>
        </w:rPr>
        <w:t>6.1 Early Years</w:t>
      </w:r>
    </w:p>
    <w:p w14:paraId="394A7FCC" w14:textId="59D7159C" w:rsidR="002C1F94" w:rsidRPr="00105B04" w:rsidRDefault="00105B04">
      <w:pPr>
        <w:rPr>
          <w:rFonts w:ascii="Times New Roman" w:hAnsi="Times New Roman"/>
          <w:sz w:val="24"/>
          <w:szCs w:val="24"/>
        </w:rPr>
      </w:pPr>
      <w:r w:rsidRPr="00105B04">
        <w:rPr>
          <w:rFonts w:ascii="Times New Roman" w:hAnsi="Times New Roman"/>
          <w:sz w:val="24"/>
          <w:szCs w:val="24"/>
        </w:rPr>
        <w:t xml:space="preserve">Early life interventions, including antenatal care, maternal health support, breastfeeding promotion, childhood immunization and early years education, are extensively accepted as contributing to long-term health outcomes (Glanz, Rimer and Viswanath, 2015). These interventions are also crucial as they focus on </w:t>
      </w:r>
      <w:proofErr w:type="gramStart"/>
      <w:r w:rsidRPr="00105B04">
        <w:rPr>
          <w:rFonts w:ascii="Times New Roman" w:hAnsi="Times New Roman"/>
          <w:sz w:val="24"/>
          <w:szCs w:val="24"/>
        </w:rPr>
        <w:t>particular developmental</w:t>
      </w:r>
      <w:proofErr w:type="gramEnd"/>
      <w:r w:rsidRPr="00105B04">
        <w:rPr>
          <w:rFonts w:ascii="Times New Roman" w:hAnsi="Times New Roman"/>
          <w:sz w:val="24"/>
          <w:szCs w:val="24"/>
        </w:rPr>
        <w:t xml:space="preserve"> stages of life when health trajectories are being formed. For instance, good maternal health can reduce the odds of adverse birth outcomes while early years education may help children with cognitive, emotional and social development. This means that early intervention is one of the most powerful pathways for reducing health inequalities across the long term.</w:t>
      </w:r>
    </w:p>
    <w:p w14:paraId="7A15928B" w14:textId="77777777" w:rsidR="002C1F94" w:rsidRPr="00CE4D7D" w:rsidRDefault="00CF126E">
      <w:pPr>
        <w:pStyle w:val="Heading2"/>
        <w:rPr>
          <w:rFonts w:ascii="Times New Roman" w:hAnsi="Times New Roman" w:cs="Times New Roman"/>
        </w:rPr>
      </w:pPr>
      <w:r w:rsidRPr="00CE4D7D">
        <w:rPr>
          <w:rFonts w:ascii="Times New Roman" w:hAnsi="Times New Roman" w:cs="Times New Roman"/>
        </w:rPr>
        <w:t>6.2 Adulthood</w:t>
      </w:r>
    </w:p>
    <w:p w14:paraId="28A3CBBE" w14:textId="1FEB2483" w:rsidR="002C1F94" w:rsidRPr="00423164" w:rsidRDefault="00D52315">
      <w:pPr>
        <w:rPr>
          <w:rFonts w:ascii="Times New Roman" w:hAnsi="Times New Roman"/>
          <w:sz w:val="24"/>
          <w:szCs w:val="24"/>
        </w:rPr>
      </w:pPr>
      <w:r w:rsidRPr="00D52315">
        <w:rPr>
          <w:rFonts w:ascii="Times New Roman" w:hAnsi="Times New Roman"/>
          <w:sz w:val="24"/>
          <w:szCs w:val="24"/>
        </w:rPr>
        <w:t xml:space="preserve">In adulthood, the interventions tend to help with quitting smoking, healthy eating, physical activity and decreasing alcohol consumption. Such interventions may reduce the burden of chronic disease and improve long-term wellbeing (Green and Tones, 2018). However, their effectiveness is often limited if we don’t address structural barriers. That is, healthy eating might not apply in settings where people cannot afford nutritious food or live in a place with few healthy options. It demonstrates that </w:t>
      </w:r>
      <w:proofErr w:type="spellStart"/>
      <w:r w:rsidRPr="00D52315">
        <w:rPr>
          <w:rFonts w:ascii="Times New Roman" w:hAnsi="Times New Roman"/>
          <w:sz w:val="24"/>
          <w:szCs w:val="24"/>
        </w:rPr>
        <w:t>behaviour</w:t>
      </w:r>
      <w:proofErr w:type="spellEnd"/>
      <w:r w:rsidRPr="00D52315">
        <w:rPr>
          <w:rFonts w:ascii="Times New Roman" w:hAnsi="Times New Roman"/>
          <w:sz w:val="24"/>
          <w:szCs w:val="24"/>
        </w:rPr>
        <w:t>-change measures by themselves may be insufficient without wider policy intervention in poverty, housing and access.</w:t>
      </w:r>
    </w:p>
    <w:p w14:paraId="2ECC0B92" w14:textId="77777777" w:rsidR="002C1F94" w:rsidRPr="00CE4D7D" w:rsidRDefault="00CF126E">
      <w:pPr>
        <w:pStyle w:val="Heading2"/>
        <w:rPr>
          <w:rFonts w:ascii="Times New Roman" w:hAnsi="Times New Roman" w:cs="Times New Roman"/>
        </w:rPr>
      </w:pPr>
      <w:r w:rsidRPr="00CE4D7D">
        <w:rPr>
          <w:rFonts w:ascii="Times New Roman" w:hAnsi="Times New Roman" w:cs="Times New Roman"/>
        </w:rPr>
        <w:t>6.3 Later Life</w:t>
      </w:r>
    </w:p>
    <w:p w14:paraId="282F68A2" w14:textId="055A0AC2" w:rsidR="00656798" w:rsidRPr="00565141" w:rsidRDefault="00423164">
      <w:pPr>
        <w:rPr>
          <w:rFonts w:ascii="Times New Roman" w:hAnsi="Times New Roman"/>
          <w:sz w:val="24"/>
          <w:szCs w:val="24"/>
        </w:rPr>
        <w:sectPr w:rsidR="00656798" w:rsidRPr="00565141" w:rsidSect="00224869">
          <w:pgSz w:w="12242" w:h="18711"/>
          <w:pgMar w:top="1440" w:right="1797" w:bottom="1440" w:left="1797" w:header="720" w:footer="720" w:gutter="0"/>
          <w:cols w:space="720"/>
          <w:docGrid w:linePitch="360"/>
        </w:sectPr>
      </w:pPr>
      <w:r w:rsidRPr="00423164">
        <w:rPr>
          <w:rFonts w:ascii="Times New Roman" w:hAnsi="Times New Roman"/>
          <w:sz w:val="24"/>
          <w:szCs w:val="24"/>
        </w:rPr>
        <w:t xml:space="preserve">Interventions for falls prevention, rehabilitation services, chronic disease management and social support </w:t>
      </w:r>
      <w:proofErr w:type="spellStart"/>
      <w:r w:rsidR="0034064B" w:rsidRPr="0034064B">
        <w:rPr>
          <w:rFonts w:ascii="Times New Roman" w:hAnsi="Times New Roman"/>
          <w:sz w:val="24"/>
          <w:szCs w:val="24"/>
        </w:rPr>
        <w:t>programmes</w:t>
      </w:r>
      <w:proofErr w:type="spellEnd"/>
      <w:r w:rsidR="0034064B">
        <w:rPr>
          <w:rFonts w:ascii="Times New Roman" w:hAnsi="Times New Roman"/>
          <w:sz w:val="24"/>
          <w:szCs w:val="24"/>
        </w:rPr>
        <w:t xml:space="preserve"> </w:t>
      </w:r>
      <w:r w:rsidRPr="00423164">
        <w:rPr>
          <w:rFonts w:ascii="Times New Roman" w:hAnsi="Times New Roman"/>
          <w:sz w:val="24"/>
          <w:szCs w:val="24"/>
        </w:rPr>
        <w:t xml:space="preserve">in older people are crucial </w:t>
      </w:r>
      <w:r w:rsidR="00B72B45" w:rsidRPr="00423164">
        <w:rPr>
          <w:rFonts w:ascii="Times New Roman" w:hAnsi="Times New Roman"/>
          <w:sz w:val="24"/>
          <w:szCs w:val="24"/>
        </w:rPr>
        <w:t>for</w:t>
      </w:r>
      <w:r w:rsidRPr="00423164">
        <w:rPr>
          <w:rFonts w:ascii="Times New Roman" w:hAnsi="Times New Roman"/>
          <w:sz w:val="24"/>
          <w:szCs w:val="24"/>
        </w:rPr>
        <w:t xml:space="preserve"> older adults to protect independence and quality of life. These are well-suited interventions in ageing populations and represent the life course principle where health needs change, meaning they are of special significance in the case of the ageing population. However, success of course life interventions is frequently reliant on the extent to which they are being implemented with fidelity. As Baggott (2015) has also argued, public health policy is often limited by short‐term political priorities, funding, and fragmented services. On the other hand, systemic and </w:t>
      </w:r>
      <w:proofErr w:type="spellStart"/>
      <w:r w:rsidR="002B63AB" w:rsidRPr="002B63AB">
        <w:rPr>
          <w:rFonts w:ascii="Times New Roman" w:hAnsi="Times New Roman"/>
          <w:sz w:val="24"/>
          <w:szCs w:val="24"/>
        </w:rPr>
        <w:t>organisational</w:t>
      </w:r>
      <w:proofErr w:type="spellEnd"/>
      <w:r w:rsidR="002B63AB">
        <w:rPr>
          <w:rFonts w:ascii="Times New Roman" w:hAnsi="Times New Roman"/>
          <w:sz w:val="24"/>
          <w:szCs w:val="24"/>
        </w:rPr>
        <w:t xml:space="preserve"> </w:t>
      </w:r>
      <w:r w:rsidRPr="00423164">
        <w:rPr>
          <w:rFonts w:ascii="Times New Roman" w:hAnsi="Times New Roman"/>
          <w:sz w:val="24"/>
          <w:szCs w:val="24"/>
        </w:rPr>
        <w:t>barriers may reduce the impact of life course interventions as they are highly applicable in theory. Generally, life course interventions are most effective when they are preventative, sustained and underpinned by broader structural policy change.</w:t>
      </w:r>
    </w:p>
    <w:p w14:paraId="38398657" w14:textId="7278D33E" w:rsidR="00FB1637" w:rsidRPr="00FB1637" w:rsidRDefault="00CF126E" w:rsidP="00FB1637">
      <w:pPr>
        <w:pStyle w:val="Heading1"/>
        <w:rPr>
          <w:rFonts w:ascii="Times New Roman" w:hAnsi="Times New Roman" w:cs="Times New Roman"/>
        </w:rPr>
      </w:pPr>
      <w:r w:rsidRPr="00CE4D7D">
        <w:rPr>
          <w:rFonts w:ascii="Times New Roman" w:hAnsi="Times New Roman" w:cs="Times New Roman"/>
        </w:rPr>
        <w:lastRenderedPageBreak/>
        <w:t>7. Conclusion</w:t>
      </w:r>
    </w:p>
    <w:p w14:paraId="6A5B6B79" w14:textId="65C9F57A" w:rsidR="00565141" w:rsidRPr="00A17300" w:rsidRDefault="00BC0678">
      <w:pPr>
        <w:rPr>
          <w:sz w:val="24"/>
          <w:szCs w:val="24"/>
        </w:rPr>
        <w:sectPr w:rsidR="00565141" w:rsidRPr="00A17300" w:rsidSect="00A1622B">
          <w:pgSz w:w="12242" w:h="9072"/>
          <w:pgMar w:top="1440" w:right="1797" w:bottom="1440" w:left="1797" w:header="720" w:footer="720" w:gutter="0"/>
          <w:cols w:space="720"/>
          <w:docGrid w:linePitch="360"/>
        </w:sectPr>
      </w:pPr>
      <w:r w:rsidRPr="00BC0678">
        <w:rPr>
          <w:rFonts w:ascii="Times New Roman" w:hAnsi="Times New Roman"/>
          <w:sz w:val="24"/>
          <w:szCs w:val="24"/>
        </w:rPr>
        <w:t>This report has critically examined the life course approach to health and wellbeing, highlighting the complex interaction of multiple determinants.</w:t>
      </w:r>
      <w:r w:rsidRPr="00BC0678">
        <w:rPr>
          <w:rFonts w:ascii="Times New Roman" w:hAnsi="Times New Roman"/>
          <w:sz w:val="24"/>
          <w:szCs w:val="24"/>
        </w:rPr>
        <w:br/>
        <w:t>It has demonstrated that health is influenced by social, economic and environmental factors across the life course (Marmot, 2015; Dahlgren and Whitehead, 2006).</w:t>
      </w:r>
      <w:r w:rsidR="00187D07">
        <w:rPr>
          <w:rFonts w:ascii="Times New Roman" w:hAnsi="Times New Roman"/>
          <w:sz w:val="24"/>
          <w:szCs w:val="24"/>
        </w:rPr>
        <w:t xml:space="preserve"> </w:t>
      </w:r>
      <w:r w:rsidR="00B22E00" w:rsidRPr="00B22E00">
        <w:rPr>
          <w:rFonts w:ascii="Times New Roman" w:hAnsi="Times New Roman"/>
          <w:sz w:val="24"/>
          <w:szCs w:val="24"/>
        </w:rPr>
        <w:t xml:space="preserve">Health inequalities arise not only from individual </w:t>
      </w:r>
      <w:proofErr w:type="spellStart"/>
      <w:r w:rsidR="00B22E00" w:rsidRPr="00B22E00">
        <w:rPr>
          <w:rFonts w:ascii="Times New Roman" w:hAnsi="Times New Roman"/>
          <w:sz w:val="24"/>
          <w:szCs w:val="24"/>
        </w:rPr>
        <w:t>behaviour</w:t>
      </w:r>
      <w:proofErr w:type="spellEnd"/>
      <w:r w:rsidR="00B22E00" w:rsidRPr="00B22E00">
        <w:rPr>
          <w:rFonts w:ascii="Times New Roman" w:hAnsi="Times New Roman"/>
          <w:sz w:val="24"/>
          <w:szCs w:val="24"/>
        </w:rPr>
        <w:t xml:space="preserve"> but from broader structural conditions (Wilkinson and Pickett, 2010). These inequalities develop and accumulate over time, as explained by the life course approach (Kuh et al., 2003). Although interventions can improve health outcomes, </w:t>
      </w:r>
      <w:r w:rsidR="00F311F3" w:rsidRPr="00F311F3">
        <w:rPr>
          <w:rFonts w:ascii="Times New Roman" w:hAnsi="Times New Roman"/>
          <w:sz w:val="24"/>
          <w:szCs w:val="24"/>
        </w:rPr>
        <w:t>their effectiveness is often constrained by wider social and economic barriers</w:t>
      </w:r>
      <w:r w:rsidR="00F311F3">
        <w:rPr>
          <w:rFonts w:ascii="Times New Roman" w:hAnsi="Times New Roman"/>
          <w:sz w:val="24"/>
          <w:szCs w:val="24"/>
        </w:rPr>
        <w:t xml:space="preserve"> </w:t>
      </w:r>
      <w:r w:rsidR="00B22E00" w:rsidRPr="00B22E00">
        <w:rPr>
          <w:rFonts w:ascii="Times New Roman" w:hAnsi="Times New Roman"/>
          <w:sz w:val="24"/>
          <w:szCs w:val="24"/>
        </w:rPr>
        <w:t>(Baggott, 2015). Therefore, improving population health requires long-term, preventative strategies supported by structural and policy change to reduce inequalities (Marmot, 2010).</w:t>
      </w:r>
      <w:r w:rsidR="00B22E00" w:rsidRPr="00B22E00">
        <w:rPr>
          <w:sz w:val="24"/>
          <w:szCs w:val="24"/>
        </w:rPr>
        <w:t xml:space="preserve"> </w:t>
      </w:r>
      <w:r w:rsidR="00B22E00" w:rsidRPr="00B22E00">
        <w:rPr>
          <w:rFonts w:ascii="Times New Roman" w:hAnsi="Times New Roman"/>
          <w:sz w:val="24"/>
          <w:szCs w:val="24"/>
        </w:rPr>
        <w:t>However, the effectiveness of the life course approach is ultimately constrained by political, economic and structural barriers, highlighting the need for long-term, systemic policy reform.</w:t>
      </w:r>
      <w:r w:rsidR="00B22E00" w:rsidRPr="00B22E00">
        <w:rPr>
          <w:rFonts w:ascii="Times New Roman" w:eastAsia="Times New Roman" w:hAnsi="Times New Roman"/>
          <w:sz w:val="24"/>
          <w:szCs w:val="24"/>
          <w:lang w:eastAsia="en-GB"/>
        </w:rPr>
        <w:t xml:space="preserve"> </w:t>
      </w:r>
      <w:r w:rsidR="001C09DD" w:rsidRPr="001C09DD">
        <w:rPr>
          <w:rFonts w:ascii="Times New Roman" w:eastAsia="Times New Roman" w:hAnsi="Times New Roman"/>
          <w:sz w:val="24"/>
          <w:szCs w:val="24"/>
          <w:lang w:eastAsia="en-GB"/>
        </w:rPr>
        <w:t>Overall, reducing health inequalities requires a sustained, multi-sector approach that addresses both structural determinants and individual-level interventions across the life course.</w:t>
      </w:r>
      <w:r w:rsidR="00A1622B" w:rsidRPr="00A1622B">
        <w:t xml:space="preserve"> </w:t>
      </w:r>
      <w:r w:rsidR="00A1622B" w:rsidRPr="00A1622B">
        <w:rPr>
          <w:rFonts w:ascii="Times New Roman" w:eastAsia="Times New Roman" w:hAnsi="Times New Roman"/>
          <w:sz w:val="24"/>
          <w:szCs w:val="24"/>
          <w:lang w:eastAsia="en-GB"/>
        </w:rPr>
        <w:t>Ultimately, the effectiveness of the life course approach depends on sustained political commitment and structural reform</w:t>
      </w:r>
      <w:r w:rsidR="00A1622B">
        <w:rPr>
          <w:rFonts w:ascii="Times New Roman" w:eastAsia="Times New Roman" w:hAnsi="Times New Roman"/>
          <w:sz w:val="24"/>
          <w:szCs w:val="24"/>
          <w:lang w:eastAsia="en-GB"/>
        </w:rPr>
        <w:t>.</w:t>
      </w:r>
    </w:p>
    <w:p w14:paraId="57315DDE" w14:textId="12EF49A5" w:rsidR="00F703EF" w:rsidRPr="00CE4D7D" w:rsidRDefault="00CF126E" w:rsidP="00F703EF">
      <w:pPr>
        <w:pStyle w:val="Heading1"/>
        <w:rPr>
          <w:rFonts w:ascii="Times New Roman" w:hAnsi="Times New Roman" w:cs="Times New Roman"/>
        </w:rPr>
      </w:pPr>
      <w:r w:rsidRPr="00CE4D7D">
        <w:rPr>
          <w:rFonts w:ascii="Times New Roman" w:hAnsi="Times New Roman" w:cs="Times New Roman"/>
        </w:rPr>
        <w:lastRenderedPageBreak/>
        <w:t>8</w:t>
      </w:r>
      <w:r w:rsidR="00F703EF">
        <w:rPr>
          <w:rFonts w:ascii="Times New Roman" w:hAnsi="Times New Roman" w:cs="Times New Roman"/>
        </w:rPr>
        <w:t xml:space="preserve">. </w:t>
      </w:r>
      <w:r w:rsidR="00F703EF" w:rsidRPr="00CE4D7D">
        <w:rPr>
          <w:rFonts w:ascii="Times New Roman" w:hAnsi="Times New Roman" w:cs="Times New Roman"/>
        </w:rPr>
        <w:t>Recommendations</w:t>
      </w:r>
    </w:p>
    <w:p w14:paraId="1BEB02EA" w14:textId="221C2A13" w:rsidR="00F703EF" w:rsidRPr="00B81464" w:rsidRDefault="00F703EF" w:rsidP="00F703EF">
      <w:pPr>
        <w:rPr>
          <w:rFonts w:ascii="Times New Roman" w:hAnsi="Times New Roman"/>
          <w:b/>
          <w:bCs/>
          <w:sz w:val="24"/>
          <w:szCs w:val="24"/>
        </w:rPr>
      </w:pPr>
      <w:r w:rsidRPr="00B81464">
        <w:rPr>
          <w:rFonts w:ascii="Times New Roman" w:hAnsi="Times New Roman"/>
          <w:b/>
          <w:bCs/>
          <w:sz w:val="24"/>
          <w:szCs w:val="24"/>
        </w:rPr>
        <w:t>Policy</w:t>
      </w:r>
      <w:r w:rsidR="009912CE">
        <w:rPr>
          <w:rFonts w:ascii="Times New Roman" w:hAnsi="Times New Roman"/>
          <w:b/>
          <w:bCs/>
          <w:sz w:val="24"/>
          <w:szCs w:val="24"/>
        </w:rPr>
        <w:t xml:space="preserve"> </w:t>
      </w:r>
      <w:r w:rsidR="009912CE" w:rsidRPr="009912CE">
        <w:rPr>
          <w:rFonts w:ascii="Times New Roman" w:hAnsi="Times New Roman"/>
          <w:b/>
          <w:bCs/>
          <w:sz w:val="24"/>
          <w:szCs w:val="24"/>
        </w:rPr>
        <w:t>Recommendations</w:t>
      </w:r>
    </w:p>
    <w:p w14:paraId="21DB88C0" w14:textId="77777777" w:rsidR="00F703EF" w:rsidRPr="00B81464" w:rsidRDefault="00F703EF" w:rsidP="00F703EF">
      <w:pPr>
        <w:pStyle w:val="ListParagraph"/>
        <w:numPr>
          <w:ilvl w:val="0"/>
          <w:numId w:val="11"/>
        </w:numPr>
        <w:suppressAutoHyphens/>
        <w:autoSpaceDN w:val="0"/>
        <w:spacing w:after="160"/>
        <w:rPr>
          <w:rFonts w:ascii="Times New Roman" w:hAnsi="Times New Roman"/>
          <w:sz w:val="24"/>
          <w:szCs w:val="24"/>
        </w:rPr>
      </w:pPr>
      <w:r w:rsidRPr="00B81464">
        <w:rPr>
          <w:rFonts w:ascii="Times New Roman" w:hAnsi="Times New Roman"/>
          <w:sz w:val="24"/>
          <w:szCs w:val="24"/>
        </w:rPr>
        <w:t xml:space="preserve">Government policy should </w:t>
      </w:r>
      <w:proofErr w:type="spellStart"/>
      <w:r w:rsidRPr="00032617">
        <w:rPr>
          <w:rFonts w:ascii="Times New Roman" w:hAnsi="Times New Roman"/>
          <w:sz w:val="24"/>
          <w:szCs w:val="24"/>
        </w:rPr>
        <w:t>prioritise</w:t>
      </w:r>
      <w:proofErr w:type="spellEnd"/>
      <w:r w:rsidRPr="00032617">
        <w:rPr>
          <w:rFonts w:ascii="Times New Roman" w:hAnsi="Times New Roman"/>
          <w:sz w:val="24"/>
          <w:szCs w:val="24"/>
        </w:rPr>
        <w:t xml:space="preserve"> sustained investment</w:t>
      </w:r>
      <w:r>
        <w:rPr>
          <w:rFonts w:ascii="Times New Roman" w:hAnsi="Times New Roman"/>
          <w:sz w:val="24"/>
          <w:szCs w:val="24"/>
        </w:rPr>
        <w:t xml:space="preserve"> </w:t>
      </w:r>
      <w:r w:rsidRPr="00B81464">
        <w:rPr>
          <w:rFonts w:ascii="Times New Roman" w:hAnsi="Times New Roman"/>
          <w:sz w:val="24"/>
          <w:szCs w:val="24"/>
        </w:rPr>
        <w:t>in early years support, as evidence shows this can reduce long-term health inequalities.</w:t>
      </w:r>
    </w:p>
    <w:p w14:paraId="7E19FAFF" w14:textId="77777777" w:rsidR="00F703EF" w:rsidRPr="00B81464" w:rsidRDefault="00F703EF" w:rsidP="00F703EF">
      <w:pPr>
        <w:pStyle w:val="ListParagraph"/>
        <w:numPr>
          <w:ilvl w:val="0"/>
          <w:numId w:val="11"/>
        </w:numPr>
        <w:suppressAutoHyphens/>
        <w:autoSpaceDN w:val="0"/>
        <w:spacing w:after="160"/>
        <w:rPr>
          <w:rFonts w:ascii="Times New Roman" w:hAnsi="Times New Roman"/>
          <w:sz w:val="24"/>
          <w:szCs w:val="24"/>
        </w:rPr>
      </w:pPr>
      <w:r w:rsidRPr="00B81464">
        <w:rPr>
          <w:rFonts w:ascii="Times New Roman" w:hAnsi="Times New Roman"/>
          <w:sz w:val="24"/>
          <w:szCs w:val="24"/>
        </w:rPr>
        <w:t xml:space="preserve">Bolster policies aimed at reducing poverty, income inequality and insecure employment. </w:t>
      </w:r>
    </w:p>
    <w:p w14:paraId="45BF1341" w14:textId="5E71E7A6" w:rsidR="00F703EF" w:rsidRPr="00B81464" w:rsidRDefault="00F703EF" w:rsidP="00F703EF">
      <w:pPr>
        <w:pStyle w:val="ListParagraph"/>
        <w:numPr>
          <w:ilvl w:val="0"/>
          <w:numId w:val="11"/>
        </w:numPr>
        <w:suppressAutoHyphens/>
        <w:autoSpaceDN w:val="0"/>
        <w:spacing w:after="160"/>
        <w:rPr>
          <w:rFonts w:ascii="Times New Roman" w:hAnsi="Times New Roman"/>
          <w:sz w:val="24"/>
          <w:szCs w:val="24"/>
        </w:rPr>
      </w:pPr>
      <w:r w:rsidRPr="00B81464">
        <w:rPr>
          <w:rFonts w:ascii="Times New Roman" w:hAnsi="Times New Roman"/>
          <w:sz w:val="24"/>
          <w:szCs w:val="24"/>
        </w:rPr>
        <w:t>I</w:t>
      </w:r>
      <w:r w:rsidR="00645DC0" w:rsidRPr="00645DC0">
        <w:rPr>
          <w:rFonts w:ascii="Times New Roman" w:hAnsi="Times New Roman"/>
          <w:sz w:val="24"/>
          <w:szCs w:val="24"/>
        </w:rPr>
        <w:t>mprove housing conditions in low-income communities to reduce respiratory illness and long-term health inequalities associated with poor living environments.</w:t>
      </w:r>
    </w:p>
    <w:p w14:paraId="4E527FF3" w14:textId="2A7DB6AB" w:rsidR="00F703EF" w:rsidRPr="00B81464" w:rsidRDefault="00E01A25" w:rsidP="00F703EF">
      <w:pPr>
        <w:pStyle w:val="ListParagraph"/>
        <w:numPr>
          <w:ilvl w:val="0"/>
          <w:numId w:val="11"/>
        </w:numPr>
        <w:suppressAutoHyphens/>
        <w:autoSpaceDN w:val="0"/>
        <w:spacing w:after="160"/>
        <w:rPr>
          <w:rFonts w:ascii="Times New Roman" w:hAnsi="Times New Roman"/>
          <w:sz w:val="24"/>
          <w:szCs w:val="24"/>
        </w:rPr>
      </w:pPr>
      <w:r w:rsidRPr="00E01A25">
        <w:rPr>
          <w:rFonts w:ascii="Times New Roman" w:hAnsi="Times New Roman"/>
          <w:sz w:val="24"/>
          <w:szCs w:val="24"/>
        </w:rPr>
        <w:t xml:space="preserve">Governments should increase investment in healthy </w:t>
      </w:r>
      <w:proofErr w:type="spellStart"/>
      <w:r w:rsidRPr="00E01A25">
        <w:rPr>
          <w:rFonts w:ascii="Times New Roman" w:hAnsi="Times New Roman"/>
          <w:sz w:val="24"/>
          <w:szCs w:val="24"/>
        </w:rPr>
        <w:t>neighbourhoods</w:t>
      </w:r>
      <w:proofErr w:type="spellEnd"/>
      <w:r w:rsidRPr="00E01A25">
        <w:rPr>
          <w:rFonts w:ascii="Times New Roman" w:hAnsi="Times New Roman"/>
          <w:sz w:val="24"/>
          <w:szCs w:val="24"/>
        </w:rPr>
        <w:t>, including access to green spaces and safe environments</w:t>
      </w:r>
      <w:r w:rsidR="00F703EF" w:rsidRPr="00B81464">
        <w:rPr>
          <w:rFonts w:ascii="Times New Roman" w:hAnsi="Times New Roman"/>
          <w:sz w:val="24"/>
          <w:szCs w:val="24"/>
        </w:rPr>
        <w:t>.</w:t>
      </w:r>
    </w:p>
    <w:p w14:paraId="4E03773A" w14:textId="2B12ECFC" w:rsidR="00F703EF" w:rsidRPr="00B81464" w:rsidRDefault="00F703EF" w:rsidP="00F703EF">
      <w:pPr>
        <w:rPr>
          <w:rFonts w:ascii="Times New Roman" w:hAnsi="Times New Roman"/>
          <w:b/>
          <w:bCs/>
          <w:sz w:val="24"/>
          <w:szCs w:val="24"/>
        </w:rPr>
      </w:pPr>
      <w:r w:rsidRPr="00B81464">
        <w:rPr>
          <w:rFonts w:ascii="Times New Roman" w:hAnsi="Times New Roman"/>
          <w:b/>
          <w:bCs/>
          <w:sz w:val="24"/>
          <w:szCs w:val="24"/>
        </w:rPr>
        <w:t>Practice</w:t>
      </w:r>
      <w:r w:rsidR="009912CE">
        <w:rPr>
          <w:rFonts w:ascii="Times New Roman" w:hAnsi="Times New Roman"/>
          <w:b/>
          <w:bCs/>
          <w:sz w:val="24"/>
          <w:szCs w:val="24"/>
        </w:rPr>
        <w:t xml:space="preserve"> </w:t>
      </w:r>
      <w:r w:rsidR="009912CE" w:rsidRPr="009912CE">
        <w:rPr>
          <w:rFonts w:ascii="Times New Roman" w:hAnsi="Times New Roman"/>
          <w:b/>
          <w:bCs/>
          <w:sz w:val="24"/>
          <w:szCs w:val="24"/>
        </w:rPr>
        <w:t>Recommendations</w:t>
      </w:r>
    </w:p>
    <w:p w14:paraId="7601BFC3" w14:textId="77777777" w:rsidR="00F703EF" w:rsidRPr="00B81464" w:rsidRDefault="00F703EF" w:rsidP="00F703EF">
      <w:pPr>
        <w:pStyle w:val="ListParagraph"/>
        <w:numPr>
          <w:ilvl w:val="0"/>
          <w:numId w:val="11"/>
        </w:numPr>
        <w:suppressAutoHyphens/>
        <w:autoSpaceDN w:val="0"/>
        <w:spacing w:after="160"/>
        <w:rPr>
          <w:rFonts w:ascii="Times New Roman" w:hAnsi="Times New Roman"/>
          <w:sz w:val="24"/>
          <w:szCs w:val="24"/>
        </w:rPr>
      </w:pPr>
      <w:r w:rsidRPr="00B81464">
        <w:rPr>
          <w:rFonts w:ascii="Times New Roman" w:hAnsi="Times New Roman"/>
          <w:sz w:val="24"/>
          <w:szCs w:val="24"/>
        </w:rPr>
        <w:t xml:space="preserve">Health professionals should adopt a holistic, </w:t>
      </w:r>
      <w:r w:rsidRPr="00025923">
        <w:rPr>
          <w:rFonts w:ascii="Times New Roman" w:hAnsi="Times New Roman"/>
          <w:sz w:val="24"/>
          <w:szCs w:val="24"/>
        </w:rPr>
        <w:t>person-</w:t>
      </w:r>
      <w:proofErr w:type="spellStart"/>
      <w:r w:rsidRPr="00025923">
        <w:rPr>
          <w:rFonts w:ascii="Times New Roman" w:hAnsi="Times New Roman"/>
          <w:sz w:val="24"/>
          <w:szCs w:val="24"/>
        </w:rPr>
        <w:t>centred</w:t>
      </w:r>
      <w:proofErr w:type="spellEnd"/>
      <w:r>
        <w:rPr>
          <w:rFonts w:ascii="Times New Roman" w:hAnsi="Times New Roman"/>
          <w:sz w:val="24"/>
          <w:szCs w:val="24"/>
        </w:rPr>
        <w:t xml:space="preserve"> </w:t>
      </w:r>
      <w:r w:rsidRPr="00B81464">
        <w:rPr>
          <w:rFonts w:ascii="Times New Roman" w:hAnsi="Times New Roman"/>
          <w:sz w:val="24"/>
          <w:szCs w:val="24"/>
        </w:rPr>
        <w:t>approach that considers social, economic and environmental determinants of health.</w:t>
      </w:r>
    </w:p>
    <w:p w14:paraId="3C2697EC" w14:textId="77777777" w:rsidR="00F703EF" w:rsidRPr="00B81464" w:rsidRDefault="00F703EF" w:rsidP="00F703EF">
      <w:pPr>
        <w:pStyle w:val="ListParagraph"/>
        <w:numPr>
          <w:ilvl w:val="0"/>
          <w:numId w:val="11"/>
        </w:numPr>
        <w:suppressAutoHyphens/>
        <w:autoSpaceDN w:val="0"/>
        <w:spacing w:after="160"/>
        <w:rPr>
          <w:rFonts w:ascii="Times New Roman" w:hAnsi="Times New Roman"/>
          <w:sz w:val="24"/>
          <w:szCs w:val="24"/>
        </w:rPr>
      </w:pPr>
      <w:r w:rsidRPr="00B81464">
        <w:rPr>
          <w:rFonts w:ascii="Times New Roman" w:hAnsi="Times New Roman"/>
          <w:sz w:val="24"/>
          <w:szCs w:val="24"/>
        </w:rPr>
        <w:t>Enhance access to preventative services for individuals through all life stages, especially for the most vulnerable and disadvantaged groups.</w:t>
      </w:r>
    </w:p>
    <w:p w14:paraId="2F9F0AC8" w14:textId="0BB3D60B" w:rsidR="00F703EF" w:rsidRPr="00B81464" w:rsidRDefault="00F703EF" w:rsidP="00F703EF">
      <w:pPr>
        <w:pStyle w:val="ListParagraph"/>
        <w:numPr>
          <w:ilvl w:val="0"/>
          <w:numId w:val="11"/>
        </w:numPr>
        <w:suppressAutoHyphens/>
        <w:autoSpaceDN w:val="0"/>
        <w:spacing w:after="160"/>
        <w:rPr>
          <w:rFonts w:ascii="Times New Roman" w:hAnsi="Times New Roman"/>
          <w:sz w:val="24"/>
          <w:szCs w:val="24"/>
        </w:rPr>
      </w:pPr>
      <w:r w:rsidRPr="00B81464">
        <w:rPr>
          <w:rFonts w:ascii="Times New Roman" w:hAnsi="Times New Roman"/>
          <w:sz w:val="24"/>
          <w:szCs w:val="24"/>
        </w:rPr>
        <w:t>Foster stronger collaboration between health care, education, housing and social care provision</w:t>
      </w:r>
      <w:r w:rsidR="00233CE0">
        <w:rPr>
          <w:rFonts w:ascii="Times New Roman" w:hAnsi="Times New Roman"/>
          <w:sz w:val="24"/>
          <w:szCs w:val="24"/>
        </w:rPr>
        <w:t>.</w:t>
      </w:r>
    </w:p>
    <w:p w14:paraId="036D7087" w14:textId="7BB387B1" w:rsidR="00F703EF" w:rsidRPr="00B81464" w:rsidRDefault="00F703EF" w:rsidP="00F703EF">
      <w:pPr>
        <w:rPr>
          <w:rFonts w:ascii="Times New Roman" w:hAnsi="Times New Roman"/>
          <w:b/>
          <w:bCs/>
          <w:sz w:val="24"/>
          <w:szCs w:val="24"/>
        </w:rPr>
      </w:pPr>
      <w:r w:rsidRPr="00B81464">
        <w:rPr>
          <w:rFonts w:ascii="Times New Roman" w:hAnsi="Times New Roman"/>
          <w:b/>
          <w:bCs/>
          <w:sz w:val="24"/>
          <w:szCs w:val="24"/>
        </w:rPr>
        <w:t>Education</w:t>
      </w:r>
      <w:r w:rsidR="009912CE">
        <w:rPr>
          <w:rFonts w:ascii="Times New Roman" w:hAnsi="Times New Roman"/>
          <w:b/>
          <w:bCs/>
          <w:sz w:val="24"/>
          <w:szCs w:val="24"/>
        </w:rPr>
        <w:t xml:space="preserve"> </w:t>
      </w:r>
      <w:r w:rsidR="009912CE" w:rsidRPr="009912CE">
        <w:rPr>
          <w:rFonts w:ascii="Times New Roman" w:hAnsi="Times New Roman"/>
          <w:b/>
          <w:bCs/>
          <w:sz w:val="24"/>
          <w:szCs w:val="24"/>
        </w:rPr>
        <w:t>Recommendations</w:t>
      </w:r>
    </w:p>
    <w:p w14:paraId="1882A4AA" w14:textId="77777777" w:rsidR="00F703EF" w:rsidRPr="00B81464" w:rsidRDefault="00F703EF" w:rsidP="00F703EF">
      <w:pPr>
        <w:pStyle w:val="ListParagraph"/>
        <w:numPr>
          <w:ilvl w:val="0"/>
          <w:numId w:val="11"/>
        </w:numPr>
        <w:suppressAutoHyphens/>
        <w:autoSpaceDN w:val="0"/>
        <w:spacing w:after="160"/>
        <w:rPr>
          <w:rFonts w:ascii="Times New Roman" w:hAnsi="Times New Roman"/>
          <w:sz w:val="24"/>
          <w:szCs w:val="24"/>
        </w:rPr>
      </w:pPr>
      <w:r w:rsidRPr="00B81464">
        <w:rPr>
          <w:rFonts w:ascii="Times New Roman" w:hAnsi="Times New Roman"/>
          <w:sz w:val="24"/>
          <w:szCs w:val="24"/>
        </w:rPr>
        <w:t xml:space="preserve">Increase public health education and health literacy </w:t>
      </w:r>
      <w:proofErr w:type="spellStart"/>
      <w:r w:rsidRPr="0034064B">
        <w:rPr>
          <w:rFonts w:ascii="Times New Roman" w:hAnsi="Times New Roman"/>
          <w:sz w:val="24"/>
          <w:szCs w:val="24"/>
        </w:rPr>
        <w:t>programmes</w:t>
      </w:r>
      <w:proofErr w:type="spellEnd"/>
      <w:r>
        <w:rPr>
          <w:rFonts w:ascii="Times New Roman" w:hAnsi="Times New Roman"/>
          <w:sz w:val="24"/>
          <w:szCs w:val="24"/>
        </w:rPr>
        <w:t xml:space="preserve"> </w:t>
      </w:r>
      <w:r w:rsidRPr="00B81464">
        <w:rPr>
          <w:rFonts w:ascii="Times New Roman" w:hAnsi="Times New Roman"/>
          <w:sz w:val="24"/>
          <w:szCs w:val="24"/>
        </w:rPr>
        <w:t>in schools and communities.</w:t>
      </w:r>
    </w:p>
    <w:p w14:paraId="66F3DB62" w14:textId="77777777" w:rsidR="00F703EF" w:rsidRPr="00B81464" w:rsidRDefault="00F703EF" w:rsidP="00F703EF">
      <w:pPr>
        <w:pStyle w:val="ListParagraph"/>
        <w:numPr>
          <w:ilvl w:val="0"/>
          <w:numId w:val="11"/>
        </w:numPr>
        <w:suppressAutoHyphens/>
        <w:autoSpaceDN w:val="0"/>
        <w:spacing w:after="160"/>
        <w:rPr>
          <w:rFonts w:ascii="Times New Roman" w:hAnsi="Times New Roman"/>
          <w:sz w:val="24"/>
          <w:szCs w:val="24"/>
        </w:rPr>
      </w:pPr>
      <w:r w:rsidRPr="00B81464">
        <w:rPr>
          <w:rFonts w:ascii="Times New Roman" w:hAnsi="Times New Roman"/>
          <w:sz w:val="24"/>
          <w:szCs w:val="24"/>
        </w:rPr>
        <w:t>Provide training for professionals in health and social care on the life course approach and broader determinants of health.</w:t>
      </w:r>
    </w:p>
    <w:p w14:paraId="34341F56" w14:textId="71F8A0C2" w:rsidR="00F703EF" w:rsidRPr="00B81464" w:rsidRDefault="00F703EF" w:rsidP="00F703EF">
      <w:pPr>
        <w:rPr>
          <w:rFonts w:ascii="Times New Roman" w:hAnsi="Times New Roman"/>
          <w:b/>
          <w:bCs/>
          <w:sz w:val="24"/>
          <w:szCs w:val="24"/>
        </w:rPr>
      </w:pPr>
      <w:r w:rsidRPr="00B81464">
        <w:rPr>
          <w:rFonts w:ascii="Times New Roman" w:hAnsi="Times New Roman"/>
          <w:b/>
          <w:bCs/>
          <w:sz w:val="24"/>
          <w:szCs w:val="24"/>
        </w:rPr>
        <w:t>Research</w:t>
      </w:r>
      <w:r w:rsidR="009912CE">
        <w:rPr>
          <w:rFonts w:ascii="Times New Roman" w:hAnsi="Times New Roman"/>
          <w:b/>
          <w:bCs/>
          <w:sz w:val="24"/>
          <w:szCs w:val="24"/>
        </w:rPr>
        <w:t xml:space="preserve"> </w:t>
      </w:r>
    </w:p>
    <w:p w14:paraId="4EA2ECD3" w14:textId="77777777" w:rsidR="00F703EF" w:rsidRPr="00B81464" w:rsidRDefault="00F703EF" w:rsidP="00F703EF">
      <w:pPr>
        <w:pStyle w:val="ListParagraph"/>
        <w:numPr>
          <w:ilvl w:val="0"/>
          <w:numId w:val="12"/>
        </w:numPr>
        <w:suppressAutoHyphens/>
        <w:autoSpaceDN w:val="0"/>
        <w:spacing w:after="160"/>
        <w:ind w:left="720"/>
        <w:rPr>
          <w:rFonts w:ascii="Times New Roman" w:hAnsi="Times New Roman"/>
          <w:sz w:val="24"/>
          <w:szCs w:val="24"/>
        </w:rPr>
      </w:pPr>
      <w:r w:rsidRPr="00B81464">
        <w:rPr>
          <w:rFonts w:ascii="Times New Roman" w:hAnsi="Times New Roman"/>
          <w:sz w:val="24"/>
          <w:szCs w:val="24"/>
        </w:rPr>
        <w:t>Perform additional longitudinal studies on the long-term effectiveness of life course interventions.</w:t>
      </w:r>
    </w:p>
    <w:p w14:paraId="22440C69" w14:textId="08F71A3D" w:rsidR="00804D00" w:rsidRPr="00804D00" w:rsidRDefault="00F703EF" w:rsidP="0054719B">
      <w:pPr>
        <w:pStyle w:val="ListParagraph"/>
        <w:numPr>
          <w:ilvl w:val="0"/>
          <w:numId w:val="11"/>
        </w:numPr>
        <w:suppressAutoHyphens/>
        <w:autoSpaceDN w:val="0"/>
        <w:spacing w:after="160"/>
        <w:sectPr w:rsidR="00804D00" w:rsidRPr="00804D00" w:rsidSect="00D02A09">
          <w:pgSz w:w="12242" w:h="13211"/>
          <w:pgMar w:top="1440" w:right="1797" w:bottom="1440" w:left="1797" w:header="720" w:footer="720" w:gutter="0"/>
          <w:cols w:space="720"/>
          <w:docGrid w:linePitch="360"/>
        </w:sectPr>
      </w:pPr>
      <w:r w:rsidRPr="00B81464">
        <w:rPr>
          <w:rFonts w:ascii="Times New Roman" w:hAnsi="Times New Roman"/>
          <w:sz w:val="24"/>
          <w:szCs w:val="24"/>
        </w:rPr>
        <w:t>Examine more holistically how social, economic and environmental inequalities interrelate over the lifespan and</w:t>
      </w:r>
      <w:r w:rsidR="00FA7B0D">
        <w:rPr>
          <w:rFonts w:ascii="Times New Roman" w:hAnsi="Times New Roman"/>
          <w:sz w:val="24"/>
          <w:szCs w:val="24"/>
        </w:rPr>
        <w:t xml:space="preserve"> </w:t>
      </w:r>
      <w:r w:rsidR="00FA7B0D" w:rsidRPr="00FA7B0D">
        <w:rPr>
          <w:rFonts w:ascii="Times New Roman" w:hAnsi="Times New Roman"/>
          <w:sz w:val="24"/>
          <w:szCs w:val="24"/>
        </w:rPr>
        <w:t>affect health outcomes</w:t>
      </w:r>
      <w:r w:rsidR="00FA7B0D">
        <w:rPr>
          <w:rFonts w:ascii="Times New Roman" w:hAnsi="Times New Roman"/>
          <w:sz w:val="24"/>
          <w:szCs w:val="24"/>
        </w:rPr>
        <w:t>.</w:t>
      </w:r>
    </w:p>
    <w:p w14:paraId="0D4649DB" w14:textId="77777777" w:rsidR="002C1F94" w:rsidRPr="00CE4D7D" w:rsidRDefault="00CF126E">
      <w:pPr>
        <w:pStyle w:val="Heading1"/>
        <w:rPr>
          <w:rFonts w:ascii="Times New Roman" w:hAnsi="Times New Roman" w:cs="Times New Roman"/>
        </w:rPr>
      </w:pPr>
      <w:r w:rsidRPr="00CE4D7D">
        <w:rPr>
          <w:rFonts w:ascii="Times New Roman" w:hAnsi="Times New Roman" w:cs="Times New Roman"/>
        </w:rPr>
        <w:lastRenderedPageBreak/>
        <w:t>9. Reference List</w:t>
      </w:r>
    </w:p>
    <w:p w14:paraId="0328ACC1" w14:textId="212E076B" w:rsidR="005060EE" w:rsidRPr="005060EE" w:rsidRDefault="005060EE" w:rsidP="00B231BB">
      <w:pPr>
        <w:ind w:left="360"/>
        <w:rPr>
          <w:rFonts w:ascii="Times New Roman" w:hAnsi="Times New Roman" w:cs="Times New Roman"/>
        </w:rPr>
      </w:pPr>
      <w:r w:rsidRPr="005060EE">
        <w:rPr>
          <w:rFonts w:ascii="Times New Roman" w:hAnsi="Times New Roman" w:cs="Times New Roman"/>
        </w:rPr>
        <w:t>Baggott, R. (2015) Public health: policy and politics. London: Palgrave Macmillan.</w:t>
      </w:r>
    </w:p>
    <w:p w14:paraId="7A34FF24" w14:textId="47EA3EF2" w:rsidR="005060EE" w:rsidRPr="005060EE" w:rsidRDefault="005060EE" w:rsidP="00B231BB">
      <w:pPr>
        <w:ind w:left="360"/>
        <w:rPr>
          <w:rFonts w:ascii="Times New Roman" w:hAnsi="Times New Roman" w:cs="Times New Roman"/>
        </w:rPr>
      </w:pPr>
      <w:r w:rsidRPr="005060EE">
        <w:rPr>
          <w:rFonts w:ascii="Times New Roman" w:hAnsi="Times New Roman" w:cs="Times New Roman"/>
        </w:rPr>
        <w:t>Bambra, C. (2011) Work, worklessness and the political economy of health inequalities. Journal of Epidemiology and Community Health, 65(9), pp. 746–750.</w:t>
      </w:r>
    </w:p>
    <w:p w14:paraId="01B7777E" w14:textId="757095EB" w:rsidR="005060EE" w:rsidRPr="005060EE" w:rsidRDefault="005060EE" w:rsidP="00B231BB">
      <w:pPr>
        <w:ind w:left="360"/>
        <w:rPr>
          <w:rFonts w:ascii="Times New Roman" w:hAnsi="Times New Roman" w:cs="Times New Roman"/>
        </w:rPr>
      </w:pPr>
      <w:r w:rsidRPr="005060EE">
        <w:rPr>
          <w:rFonts w:ascii="Times New Roman" w:hAnsi="Times New Roman" w:cs="Times New Roman"/>
        </w:rPr>
        <w:t>Bartley, M. (2017) Health inequality. Cambridge: Polity Press.</w:t>
      </w:r>
    </w:p>
    <w:p w14:paraId="39C3225E" w14:textId="1CCB5EBB" w:rsidR="005060EE" w:rsidRPr="005060EE" w:rsidRDefault="005060EE" w:rsidP="00B231BB">
      <w:pPr>
        <w:ind w:left="360"/>
        <w:rPr>
          <w:rFonts w:ascii="Times New Roman" w:hAnsi="Times New Roman" w:cs="Times New Roman"/>
        </w:rPr>
      </w:pPr>
      <w:r w:rsidRPr="005060EE">
        <w:rPr>
          <w:rFonts w:ascii="Times New Roman" w:hAnsi="Times New Roman" w:cs="Times New Roman"/>
        </w:rPr>
        <w:t>Ben-Shlomo, Y. and Kuh, D. (2002) A life course approach to chronic disease epidemiology. Oxford: Oxford University Press.</w:t>
      </w:r>
    </w:p>
    <w:p w14:paraId="387DE659" w14:textId="7BA9CB9C" w:rsidR="005060EE" w:rsidRPr="005060EE" w:rsidRDefault="005060EE" w:rsidP="00B231BB">
      <w:pPr>
        <w:ind w:left="360"/>
        <w:rPr>
          <w:rFonts w:ascii="Times New Roman" w:hAnsi="Times New Roman" w:cs="Times New Roman"/>
        </w:rPr>
      </w:pPr>
      <w:r w:rsidRPr="005060EE">
        <w:rPr>
          <w:rFonts w:ascii="Times New Roman" w:hAnsi="Times New Roman" w:cs="Times New Roman"/>
        </w:rPr>
        <w:t>Berkman, L.F. and Kawachi, I. (2000) Social epidemiology. Oxford: Oxford University Press.</w:t>
      </w:r>
    </w:p>
    <w:p w14:paraId="3AA9DA56" w14:textId="0A72480D" w:rsidR="005060EE" w:rsidRPr="005060EE" w:rsidRDefault="005060EE" w:rsidP="00B231BB">
      <w:pPr>
        <w:ind w:left="360"/>
        <w:rPr>
          <w:rFonts w:ascii="Times New Roman" w:hAnsi="Times New Roman" w:cs="Times New Roman"/>
        </w:rPr>
      </w:pPr>
      <w:r w:rsidRPr="005060EE">
        <w:rPr>
          <w:rFonts w:ascii="Times New Roman" w:hAnsi="Times New Roman" w:cs="Times New Roman"/>
        </w:rPr>
        <w:t xml:space="preserve">Black, D. et al. (1980) Inequalities in health: report of </w:t>
      </w:r>
      <w:proofErr w:type="gramStart"/>
      <w:r w:rsidRPr="005060EE">
        <w:rPr>
          <w:rFonts w:ascii="Times New Roman" w:hAnsi="Times New Roman" w:cs="Times New Roman"/>
        </w:rPr>
        <w:t>a research</w:t>
      </w:r>
      <w:proofErr w:type="gramEnd"/>
      <w:r w:rsidRPr="005060EE">
        <w:rPr>
          <w:rFonts w:ascii="Times New Roman" w:hAnsi="Times New Roman" w:cs="Times New Roman"/>
        </w:rPr>
        <w:t xml:space="preserve"> working group. London: DHSS.</w:t>
      </w:r>
    </w:p>
    <w:p w14:paraId="5D89EF8C" w14:textId="6BB7DB12" w:rsidR="005060EE" w:rsidRPr="005060EE" w:rsidRDefault="005060EE" w:rsidP="00B231BB">
      <w:pPr>
        <w:ind w:left="360"/>
        <w:rPr>
          <w:rFonts w:ascii="Times New Roman" w:hAnsi="Times New Roman" w:cs="Times New Roman"/>
        </w:rPr>
      </w:pPr>
      <w:proofErr w:type="spellStart"/>
      <w:r w:rsidRPr="005060EE">
        <w:rPr>
          <w:rFonts w:ascii="Times New Roman" w:hAnsi="Times New Roman" w:cs="Times New Roman"/>
        </w:rPr>
        <w:t>Blaxter</w:t>
      </w:r>
      <w:proofErr w:type="spellEnd"/>
      <w:r w:rsidRPr="005060EE">
        <w:rPr>
          <w:rFonts w:ascii="Times New Roman" w:hAnsi="Times New Roman" w:cs="Times New Roman"/>
        </w:rPr>
        <w:t>, M. (2010) Health. Cambridge: Polity Press.</w:t>
      </w:r>
    </w:p>
    <w:p w14:paraId="133C149E" w14:textId="37B4D987" w:rsidR="005060EE" w:rsidRPr="005060EE" w:rsidRDefault="005060EE" w:rsidP="00B231BB">
      <w:pPr>
        <w:ind w:left="360"/>
        <w:rPr>
          <w:rFonts w:ascii="Times New Roman" w:hAnsi="Times New Roman" w:cs="Times New Roman"/>
        </w:rPr>
      </w:pPr>
      <w:r w:rsidRPr="005060EE">
        <w:rPr>
          <w:rFonts w:ascii="Times New Roman" w:hAnsi="Times New Roman" w:cs="Times New Roman"/>
        </w:rPr>
        <w:t>Bourdieu, P. (1986) The forms of capital. In: Richardson, J. (ed.) Handbook of theory and research for the sociology of education. New York: Greenwood.</w:t>
      </w:r>
    </w:p>
    <w:p w14:paraId="3EFC7264" w14:textId="330253C3" w:rsidR="005060EE" w:rsidRPr="005060EE" w:rsidRDefault="005060EE" w:rsidP="00B231BB">
      <w:pPr>
        <w:ind w:left="360"/>
        <w:rPr>
          <w:rFonts w:ascii="Times New Roman" w:hAnsi="Times New Roman" w:cs="Times New Roman"/>
        </w:rPr>
      </w:pPr>
      <w:r w:rsidRPr="005060EE">
        <w:rPr>
          <w:rFonts w:ascii="Times New Roman" w:hAnsi="Times New Roman" w:cs="Times New Roman"/>
        </w:rPr>
        <w:t xml:space="preserve">Cockerham, W.C. (2021) Medical </w:t>
      </w:r>
      <w:proofErr w:type="gramStart"/>
      <w:r w:rsidRPr="005060EE">
        <w:rPr>
          <w:rFonts w:ascii="Times New Roman" w:hAnsi="Times New Roman" w:cs="Times New Roman"/>
        </w:rPr>
        <w:t>sociology</w:t>
      </w:r>
      <w:proofErr w:type="gramEnd"/>
      <w:r w:rsidRPr="005060EE">
        <w:rPr>
          <w:rFonts w:ascii="Times New Roman" w:hAnsi="Times New Roman" w:cs="Times New Roman"/>
        </w:rPr>
        <w:t xml:space="preserve">. 15th </w:t>
      </w:r>
      <w:proofErr w:type="spellStart"/>
      <w:r w:rsidRPr="005060EE">
        <w:rPr>
          <w:rFonts w:ascii="Times New Roman" w:hAnsi="Times New Roman" w:cs="Times New Roman"/>
        </w:rPr>
        <w:t>edn</w:t>
      </w:r>
      <w:proofErr w:type="spellEnd"/>
      <w:r w:rsidRPr="005060EE">
        <w:rPr>
          <w:rFonts w:ascii="Times New Roman" w:hAnsi="Times New Roman" w:cs="Times New Roman"/>
        </w:rPr>
        <w:t>. London: Routledge.</w:t>
      </w:r>
    </w:p>
    <w:p w14:paraId="7905D246" w14:textId="096FDBB5" w:rsidR="005060EE" w:rsidRPr="005060EE" w:rsidRDefault="005060EE" w:rsidP="00B231BB">
      <w:pPr>
        <w:ind w:left="360"/>
        <w:rPr>
          <w:rFonts w:ascii="Times New Roman" w:hAnsi="Times New Roman" w:cs="Times New Roman"/>
        </w:rPr>
      </w:pPr>
      <w:r w:rsidRPr="005060EE">
        <w:rPr>
          <w:rFonts w:ascii="Times New Roman" w:hAnsi="Times New Roman" w:cs="Times New Roman"/>
        </w:rPr>
        <w:t>Cutler, D.M. and Lleras-Muney, A. (2006) Education and health: evaluating theories and evidence. National Bureau of Economic Research Working Paper.</w:t>
      </w:r>
    </w:p>
    <w:p w14:paraId="6F615D63" w14:textId="624F6E70" w:rsidR="005060EE" w:rsidRPr="005060EE" w:rsidRDefault="005060EE" w:rsidP="004A3A39">
      <w:pPr>
        <w:ind w:left="360"/>
        <w:rPr>
          <w:rFonts w:ascii="Times New Roman" w:hAnsi="Times New Roman" w:cs="Times New Roman"/>
        </w:rPr>
      </w:pPr>
      <w:r w:rsidRPr="005060EE">
        <w:rPr>
          <w:rFonts w:ascii="Times New Roman" w:hAnsi="Times New Roman" w:cs="Times New Roman"/>
        </w:rPr>
        <w:t>Dahlgren, G. and Whitehead, M. (2006) Levelling up (part 1): a discussion paper on European strategies for tackling social inequities in health. Copenhagen: World Health Organization.</w:t>
      </w:r>
    </w:p>
    <w:p w14:paraId="4E260555" w14:textId="6C312285" w:rsidR="005060EE" w:rsidRPr="005060EE" w:rsidRDefault="005060EE" w:rsidP="004A3A39">
      <w:pPr>
        <w:ind w:left="360"/>
        <w:rPr>
          <w:rFonts w:ascii="Times New Roman" w:hAnsi="Times New Roman" w:cs="Times New Roman"/>
        </w:rPr>
      </w:pPr>
      <w:r w:rsidRPr="005060EE">
        <w:rPr>
          <w:rFonts w:ascii="Times New Roman" w:hAnsi="Times New Roman" w:cs="Times New Roman"/>
        </w:rPr>
        <w:t>Dahlgren, G. and Whitehead, M. (2021) European strategies for tackling social inequities in health. Copenhagen: World Health Organization.</w:t>
      </w:r>
    </w:p>
    <w:p w14:paraId="6A0BDAF3" w14:textId="04E2E453" w:rsidR="005060EE" w:rsidRPr="005060EE" w:rsidRDefault="005060EE" w:rsidP="004A3A39">
      <w:pPr>
        <w:ind w:left="360"/>
        <w:rPr>
          <w:rFonts w:ascii="Times New Roman" w:hAnsi="Times New Roman" w:cs="Times New Roman"/>
        </w:rPr>
      </w:pPr>
      <w:r w:rsidRPr="005060EE">
        <w:rPr>
          <w:rFonts w:ascii="Times New Roman" w:hAnsi="Times New Roman" w:cs="Times New Roman"/>
        </w:rPr>
        <w:t>Friedli, L. (2009) Mental health, resilience and inequalities. Copenhagen: World Health Organization.</w:t>
      </w:r>
    </w:p>
    <w:p w14:paraId="7A87D26E" w14:textId="48263908" w:rsidR="005060EE" w:rsidRPr="005060EE" w:rsidRDefault="005060EE" w:rsidP="004A3A39">
      <w:pPr>
        <w:ind w:left="360"/>
        <w:rPr>
          <w:rFonts w:ascii="Times New Roman" w:hAnsi="Times New Roman" w:cs="Times New Roman"/>
        </w:rPr>
      </w:pPr>
      <w:r w:rsidRPr="005060EE">
        <w:rPr>
          <w:rFonts w:ascii="Times New Roman" w:hAnsi="Times New Roman" w:cs="Times New Roman"/>
        </w:rPr>
        <w:t xml:space="preserve">Glanz, K., Rimer, B.K. and Viswanath, K. (2015) Health </w:t>
      </w:r>
      <w:proofErr w:type="spellStart"/>
      <w:r w:rsidRPr="005060EE">
        <w:rPr>
          <w:rFonts w:ascii="Times New Roman" w:hAnsi="Times New Roman" w:cs="Times New Roman"/>
        </w:rPr>
        <w:t>behaviour</w:t>
      </w:r>
      <w:proofErr w:type="spellEnd"/>
      <w:r w:rsidRPr="005060EE">
        <w:rPr>
          <w:rFonts w:ascii="Times New Roman" w:hAnsi="Times New Roman" w:cs="Times New Roman"/>
        </w:rPr>
        <w:t xml:space="preserve">: theory, research, and practice. 5th </w:t>
      </w:r>
      <w:proofErr w:type="spellStart"/>
      <w:proofErr w:type="gramStart"/>
      <w:r w:rsidRPr="005060EE">
        <w:rPr>
          <w:rFonts w:ascii="Times New Roman" w:hAnsi="Times New Roman" w:cs="Times New Roman"/>
        </w:rPr>
        <w:t>edn</w:t>
      </w:r>
      <w:proofErr w:type="spellEnd"/>
      <w:proofErr w:type="gramEnd"/>
      <w:r w:rsidRPr="005060EE">
        <w:rPr>
          <w:rFonts w:ascii="Times New Roman" w:hAnsi="Times New Roman" w:cs="Times New Roman"/>
        </w:rPr>
        <w:t>. San Francisco: Jossey-Bass.</w:t>
      </w:r>
    </w:p>
    <w:p w14:paraId="7E15A89E" w14:textId="433E42A1" w:rsidR="005060EE" w:rsidRPr="005060EE" w:rsidRDefault="005060EE" w:rsidP="004A3A39">
      <w:pPr>
        <w:ind w:left="360"/>
        <w:rPr>
          <w:rFonts w:ascii="Times New Roman" w:hAnsi="Times New Roman" w:cs="Times New Roman"/>
        </w:rPr>
      </w:pPr>
      <w:r w:rsidRPr="005060EE">
        <w:rPr>
          <w:rFonts w:ascii="Times New Roman" w:hAnsi="Times New Roman" w:cs="Times New Roman"/>
        </w:rPr>
        <w:t xml:space="preserve">Graham, H. (2007) Understanding health inequalities. 2nd </w:t>
      </w:r>
      <w:proofErr w:type="spellStart"/>
      <w:proofErr w:type="gramStart"/>
      <w:r w:rsidRPr="005060EE">
        <w:rPr>
          <w:rFonts w:ascii="Times New Roman" w:hAnsi="Times New Roman" w:cs="Times New Roman"/>
        </w:rPr>
        <w:t>edn</w:t>
      </w:r>
      <w:proofErr w:type="spellEnd"/>
      <w:proofErr w:type="gramEnd"/>
      <w:r w:rsidRPr="005060EE">
        <w:rPr>
          <w:rFonts w:ascii="Times New Roman" w:hAnsi="Times New Roman" w:cs="Times New Roman"/>
        </w:rPr>
        <w:t>. Maidenhead: Open University Press.</w:t>
      </w:r>
    </w:p>
    <w:p w14:paraId="3EF6B234" w14:textId="62D0B601" w:rsidR="005060EE" w:rsidRPr="005060EE" w:rsidRDefault="005060EE" w:rsidP="004A3A39">
      <w:pPr>
        <w:ind w:left="360"/>
        <w:rPr>
          <w:rFonts w:ascii="Times New Roman" w:hAnsi="Times New Roman" w:cs="Times New Roman"/>
        </w:rPr>
      </w:pPr>
      <w:r w:rsidRPr="005060EE">
        <w:rPr>
          <w:rFonts w:ascii="Times New Roman" w:hAnsi="Times New Roman" w:cs="Times New Roman"/>
        </w:rPr>
        <w:t xml:space="preserve">Green, J. and Tones, K. (2018) Health promotion: planning and strategies. 4th </w:t>
      </w:r>
      <w:proofErr w:type="spellStart"/>
      <w:proofErr w:type="gramStart"/>
      <w:r w:rsidRPr="005060EE">
        <w:rPr>
          <w:rFonts w:ascii="Times New Roman" w:hAnsi="Times New Roman" w:cs="Times New Roman"/>
        </w:rPr>
        <w:t>edn</w:t>
      </w:r>
      <w:proofErr w:type="spellEnd"/>
      <w:proofErr w:type="gramEnd"/>
      <w:r w:rsidRPr="005060EE">
        <w:rPr>
          <w:rFonts w:ascii="Times New Roman" w:hAnsi="Times New Roman" w:cs="Times New Roman"/>
        </w:rPr>
        <w:t>. London: Sage.</w:t>
      </w:r>
    </w:p>
    <w:p w14:paraId="62ABBBA1" w14:textId="09D0D880" w:rsidR="005060EE" w:rsidRPr="005060EE" w:rsidRDefault="005060EE" w:rsidP="004A3A39">
      <w:pPr>
        <w:ind w:left="360"/>
        <w:rPr>
          <w:rFonts w:ascii="Times New Roman" w:hAnsi="Times New Roman" w:cs="Times New Roman"/>
        </w:rPr>
      </w:pPr>
      <w:r w:rsidRPr="005060EE">
        <w:rPr>
          <w:rFonts w:ascii="Times New Roman" w:hAnsi="Times New Roman" w:cs="Times New Roman"/>
        </w:rPr>
        <w:lastRenderedPageBreak/>
        <w:t>Holt-</w:t>
      </w:r>
      <w:proofErr w:type="spellStart"/>
      <w:r w:rsidRPr="005060EE">
        <w:rPr>
          <w:rFonts w:ascii="Times New Roman" w:hAnsi="Times New Roman" w:cs="Times New Roman"/>
        </w:rPr>
        <w:t>Lunstad</w:t>
      </w:r>
      <w:proofErr w:type="spellEnd"/>
      <w:r w:rsidRPr="005060EE">
        <w:rPr>
          <w:rFonts w:ascii="Times New Roman" w:hAnsi="Times New Roman" w:cs="Times New Roman"/>
        </w:rPr>
        <w:t>, J. (2018) Loneliness and social isolation as risk factors for mortality. Current Directions in Psychological Science, 27(2), pp. 75–81.</w:t>
      </w:r>
    </w:p>
    <w:p w14:paraId="3BDC6970" w14:textId="24C54305" w:rsidR="005060EE" w:rsidRPr="005060EE" w:rsidRDefault="005060EE" w:rsidP="004A3A39">
      <w:pPr>
        <w:ind w:left="360"/>
        <w:rPr>
          <w:rFonts w:ascii="Times New Roman" w:hAnsi="Times New Roman" w:cs="Times New Roman"/>
        </w:rPr>
      </w:pPr>
      <w:r w:rsidRPr="005060EE">
        <w:rPr>
          <w:rFonts w:ascii="Times New Roman" w:hAnsi="Times New Roman" w:cs="Times New Roman"/>
        </w:rPr>
        <w:t xml:space="preserve">Kuh, D., Ben-Shlomo, Y., Lynch, J., Hallqvist, J. and Power, C. (2003) Life course epidemiology. 2nd </w:t>
      </w:r>
      <w:proofErr w:type="spellStart"/>
      <w:proofErr w:type="gramStart"/>
      <w:r w:rsidRPr="005060EE">
        <w:rPr>
          <w:rFonts w:ascii="Times New Roman" w:hAnsi="Times New Roman" w:cs="Times New Roman"/>
        </w:rPr>
        <w:t>edn</w:t>
      </w:r>
      <w:proofErr w:type="spellEnd"/>
      <w:proofErr w:type="gramEnd"/>
      <w:r w:rsidRPr="005060EE">
        <w:rPr>
          <w:rFonts w:ascii="Times New Roman" w:hAnsi="Times New Roman" w:cs="Times New Roman"/>
        </w:rPr>
        <w:t>. Oxford: Oxford University Press.</w:t>
      </w:r>
    </w:p>
    <w:p w14:paraId="6ACC5FFD" w14:textId="6A49AE07" w:rsidR="005060EE" w:rsidRPr="005060EE" w:rsidRDefault="005060EE" w:rsidP="004A3A39">
      <w:pPr>
        <w:ind w:left="360"/>
        <w:rPr>
          <w:rFonts w:ascii="Times New Roman" w:hAnsi="Times New Roman" w:cs="Times New Roman"/>
        </w:rPr>
      </w:pPr>
      <w:r w:rsidRPr="005060EE">
        <w:rPr>
          <w:rFonts w:ascii="Times New Roman" w:hAnsi="Times New Roman" w:cs="Times New Roman"/>
        </w:rPr>
        <w:t>Marmot, M. (2010) Fair society, healthy lives: the Marmot review. London: UCL Institute of Health Equity.</w:t>
      </w:r>
    </w:p>
    <w:p w14:paraId="281C8C56" w14:textId="05C7FEEC" w:rsidR="005060EE" w:rsidRPr="005060EE" w:rsidRDefault="005060EE" w:rsidP="004A3A39">
      <w:pPr>
        <w:ind w:left="360"/>
        <w:rPr>
          <w:rFonts w:ascii="Times New Roman" w:hAnsi="Times New Roman" w:cs="Times New Roman"/>
        </w:rPr>
      </w:pPr>
      <w:r w:rsidRPr="005060EE">
        <w:rPr>
          <w:rFonts w:ascii="Times New Roman" w:hAnsi="Times New Roman" w:cs="Times New Roman"/>
        </w:rPr>
        <w:t>Marmot, M. (2015) The health gap: the challenge of an unequal world. London: Bloomsbury.</w:t>
      </w:r>
    </w:p>
    <w:p w14:paraId="497480DD" w14:textId="1ABB0AB2" w:rsidR="005060EE" w:rsidRPr="005060EE" w:rsidRDefault="005060EE" w:rsidP="004A3A39">
      <w:pPr>
        <w:ind w:left="360"/>
        <w:rPr>
          <w:rFonts w:ascii="Times New Roman" w:hAnsi="Times New Roman" w:cs="Times New Roman"/>
        </w:rPr>
      </w:pPr>
      <w:r w:rsidRPr="005060EE">
        <w:rPr>
          <w:rFonts w:ascii="Times New Roman" w:hAnsi="Times New Roman" w:cs="Times New Roman"/>
        </w:rPr>
        <w:t xml:space="preserve">Marmot, M. and Wilkinson, R.G. (eds.) (2006) Social determinants of health. 2nd </w:t>
      </w:r>
      <w:proofErr w:type="spellStart"/>
      <w:proofErr w:type="gramStart"/>
      <w:r w:rsidRPr="005060EE">
        <w:rPr>
          <w:rFonts w:ascii="Times New Roman" w:hAnsi="Times New Roman" w:cs="Times New Roman"/>
        </w:rPr>
        <w:t>edn</w:t>
      </w:r>
      <w:proofErr w:type="spellEnd"/>
      <w:proofErr w:type="gramEnd"/>
      <w:r w:rsidRPr="005060EE">
        <w:rPr>
          <w:rFonts w:ascii="Times New Roman" w:hAnsi="Times New Roman" w:cs="Times New Roman"/>
        </w:rPr>
        <w:t>. Oxford: Oxford University Press.</w:t>
      </w:r>
    </w:p>
    <w:p w14:paraId="7CF1D0C4" w14:textId="7C593A33" w:rsidR="005060EE" w:rsidRPr="005060EE" w:rsidRDefault="005060EE" w:rsidP="004A3A39">
      <w:pPr>
        <w:ind w:left="360"/>
        <w:rPr>
          <w:rFonts w:ascii="Times New Roman" w:hAnsi="Times New Roman" w:cs="Times New Roman"/>
        </w:rPr>
      </w:pPr>
      <w:r w:rsidRPr="005060EE">
        <w:rPr>
          <w:rFonts w:ascii="Times New Roman" w:hAnsi="Times New Roman" w:cs="Times New Roman"/>
        </w:rPr>
        <w:t xml:space="preserve">Naidoo, J. and Wills, J. (2010) Health promotion: foundations for practice. 2nd </w:t>
      </w:r>
      <w:proofErr w:type="spellStart"/>
      <w:proofErr w:type="gramStart"/>
      <w:r w:rsidRPr="005060EE">
        <w:rPr>
          <w:rFonts w:ascii="Times New Roman" w:hAnsi="Times New Roman" w:cs="Times New Roman"/>
        </w:rPr>
        <w:t>edn</w:t>
      </w:r>
      <w:proofErr w:type="spellEnd"/>
      <w:proofErr w:type="gramEnd"/>
      <w:r w:rsidRPr="005060EE">
        <w:rPr>
          <w:rFonts w:ascii="Times New Roman" w:hAnsi="Times New Roman" w:cs="Times New Roman"/>
        </w:rPr>
        <w:t xml:space="preserve">. London: </w:t>
      </w:r>
      <w:proofErr w:type="spellStart"/>
      <w:r w:rsidRPr="005060EE">
        <w:rPr>
          <w:rFonts w:ascii="Times New Roman" w:hAnsi="Times New Roman" w:cs="Times New Roman"/>
        </w:rPr>
        <w:t>Baillière</w:t>
      </w:r>
      <w:proofErr w:type="spellEnd"/>
      <w:r w:rsidRPr="005060EE">
        <w:rPr>
          <w:rFonts w:ascii="Times New Roman" w:hAnsi="Times New Roman" w:cs="Times New Roman"/>
        </w:rPr>
        <w:t xml:space="preserve"> Tindall.</w:t>
      </w:r>
    </w:p>
    <w:p w14:paraId="15578B53" w14:textId="43170EF4" w:rsidR="005060EE" w:rsidRPr="005060EE" w:rsidRDefault="005060EE" w:rsidP="004A3A39">
      <w:pPr>
        <w:ind w:left="360"/>
        <w:rPr>
          <w:rFonts w:ascii="Times New Roman" w:hAnsi="Times New Roman" w:cs="Times New Roman"/>
        </w:rPr>
      </w:pPr>
      <w:r w:rsidRPr="005060EE">
        <w:rPr>
          <w:rFonts w:ascii="Times New Roman" w:hAnsi="Times New Roman" w:cs="Times New Roman"/>
        </w:rPr>
        <w:t xml:space="preserve">Naidoo, J. and Wills, J. (2016) Foundations for health promotion. 4th </w:t>
      </w:r>
      <w:proofErr w:type="spellStart"/>
      <w:proofErr w:type="gramStart"/>
      <w:r w:rsidRPr="005060EE">
        <w:rPr>
          <w:rFonts w:ascii="Times New Roman" w:hAnsi="Times New Roman" w:cs="Times New Roman"/>
        </w:rPr>
        <w:t>edn</w:t>
      </w:r>
      <w:proofErr w:type="spellEnd"/>
      <w:proofErr w:type="gramEnd"/>
      <w:r w:rsidRPr="005060EE">
        <w:rPr>
          <w:rFonts w:ascii="Times New Roman" w:hAnsi="Times New Roman" w:cs="Times New Roman"/>
        </w:rPr>
        <w:t>. London: Elsevier.</w:t>
      </w:r>
    </w:p>
    <w:p w14:paraId="493DD05B" w14:textId="628B5AB9" w:rsidR="005060EE" w:rsidRPr="005060EE" w:rsidRDefault="005060EE" w:rsidP="004A3A39">
      <w:pPr>
        <w:ind w:left="360"/>
        <w:rPr>
          <w:rFonts w:ascii="Times New Roman" w:hAnsi="Times New Roman" w:cs="Times New Roman"/>
        </w:rPr>
      </w:pPr>
      <w:r w:rsidRPr="005060EE">
        <w:rPr>
          <w:rFonts w:ascii="Times New Roman" w:hAnsi="Times New Roman" w:cs="Times New Roman"/>
        </w:rPr>
        <w:t>Popay, J. et al. (2008) Understanding and tackling social exclusion. Bristol: Policy Press.</w:t>
      </w:r>
    </w:p>
    <w:p w14:paraId="35B08C57" w14:textId="5642138F" w:rsidR="005060EE" w:rsidRPr="005060EE" w:rsidRDefault="005060EE" w:rsidP="004A3A39">
      <w:pPr>
        <w:ind w:left="360"/>
        <w:rPr>
          <w:rFonts w:ascii="Times New Roman" w:hAnsi="Times New Roman" w:cs="Times New Roman"/>
        </w:rPr>
      </w:pPr>
      <w:r w:rsidRPr="005060EE">
        <w:rPr>
          <w:rFonts w:ascii="Times New Roman" w:hAnsi="Times New Roman" w:cs="Times New Roman"/>
        </w:rPr>
        <w:t xml:space="preserve">Scambler, G. (2018) Sociology as applied to medicine. 8th </w:t>
      </w:r>
      <w:proofErr w:type="spellStart"/>
      <w:proofErr w:type="gramStart"/>
      <w:r w:rsidRPr="005060EE">
        <w:rPr>
          <w:rFonts w:ascii="Times New Roman" w:hAnsi="Times New Roman" w:cs="Times New Roman"/>
        </w:rPr>
        <w:t>edn</w:t>
      </w:r>
      <w:proofErr w:type="spellEnd"/>
      <w:proofErr w:type="gramEnd"/>
      <w:r w:rsidRPr="005060EE">
        <w:rPr>
          <w:rFonts w:ascii="Times New Roman" w:hAnsi="Times New Roman" w:cs="Times New Roman"/>
        </w:rPr>
        <w:t>. London: Elsevier.</w:t>
      </w:r>
    </w:p>
    <w:p w14:paraId="3D98F0F1" w14:textId="06953BB2" w:rsidR="005060EE" w:rsidRPr="005060EE" w:rsidRDefault="005060EE" w:rsidP="004A3A39">
      <w:pPr>
        <w:ind w:left="360"/>
        <w:rPr>
          <w:rFonts w:ascii="Times New Roman" w:hAnsi="Times New Roman" w:cs="Times New Roman"/>
        </w:rPr>
      </w:pPr>
      <w:r w:rsidRPr="005060EE">
        <w:rPr>
          <w:rFonts w:ascii="Times New Roman" w:hAnsi="Times New Roman" w:cs="Times New Roman"/>
        </w:rPr>
        <w:t>Shaw, M. (2004) Housing and public health. Annual Review of Public Health, 25, pp. 397–418.</w:t>
      </w:r>
    </w:p>
    <w:p w14:paraId="14FF6E15" w14:textId="1C6F601B" w:rsidR="005060EE" w:rsidRPr="005060EE" w:rsidRDefault="005060EE" w:rsidP="004A3A39">
      <w:pPr>
        <w:ind w:left="360"/>
        <w:rPr>
          <w:rFonts w:ascii="Times New Roman" w:hAnsi="Times New Roman" w:cs="Times New Roman"/>
        </w:rPr>
      </w:pPr>
      <w:r w:rsidRPr="005060EE">
        <w:rPr>
          <w:rFonts w:ascii="Times New Roman" w:hAnsi="Times New Roman" w:cs="Times New Roman"/>
        </w:rPr>
        <w:t>Solar, O. and Irwin, A. (2010) A conceptual framework for action on the social determinants of health. Geneva: World Health Organization.</w:t>
      </w:r>
    </w:p>
    <w:p w14:paraId="6FA90F80" w14:textId="29130112" w:rsidR="005060EE" w:rsidRPr="005060EE" w:rsidRDefault="005060EE" w:rsidP="004A3A39">
      <w:pPr>
        <w:ind w:left="360"/>
        <w:rPr>
          <w:rFonts w:ascii="Times New Roman" w:hAnsi="Times New Roman" w:cs="Times New Roman"/>
        </w:rPr>
      </w:pPr>
      <w:r w:rsidRPr="005060EE">
        <w:rPr>
          <w:rFonts w:ascii="Times New Roman" w:hAnsi="Times New Roman" w:cs="Times New Roman"/>
        </w:rPr>
        <w:t>Townsend, P. (1979) Poverty in the United Kingdom. Harmondsworth: Penguin.</w:t>
      </w:r>
    </w:p>
    <w:p w14:paraId="672942D5" w14:textId="3CA7ABC9" w:rsidR="005060EE" w:rsidRPr="005060EE" w:rsidRDefault="005060EE" w:rsidP="004A3A39">
      <w:pPr>
        <w:ind w:left="360"/>
        <w:rPr>
          <w:rFonts w:ascii="Times New Roman" w:hAnsi="Times New Roman" w:cs="Times New Roman"/>
        </w:rPr>
      </w:pPr>
      <w:r w:rsidRPr="005060EE">
        <w:rPr>
          <w:rFonts w:ascii="Times New Roman" w:hAnsi="Times New Roman" w:cs="Times New Roman"/>
        </w:rPr>
        <w:t xml:space="preserve">Tulchinsky, T.H. and </w:t>
      </w:r>
      <w:proofErr w:type="spellStart"/>
      <w:r w:rsidRPr="005060EE">
        <w:rPr>
          <w:rFonts w:ascii="Times New Roman" w:hAnsi="Times New Roman" w:cs="Times New Roman"/>
        </w:rPr>
        <w:t>Varavikova</w:t>
      </w:r>
      <w:proofErr w:type="spellEnd"/>
      <w:r w:rsidRPr="005060EE">
        <w:rPr>
          <w:rFonts w:ascii="Times New Roman" w:hAnsi="Times New Roman" w:cs="Times New Roman"/>
        </w:rPr>
        <w:t xml:space="preserve">, E.A. (2014) The new public health. 3rd </w:t>
      </w:r>
      <w:proofErr w:type="spellStart"/>
      <w:proofErr w:type="gramStart"/>
      <w:r w:rsidRPr="005060EE">
        <w:rPr>
          <w:rFonts w:ascii="Times New Roman" w:hAnsi="Times New Roman" w:cs="Times New Roman"/>
        </w:rPr>
        <w:t>edn</w:t>
      </w:r>
      <w:proofErr w:type="spellEnd"/>
      <w:proofErr w:type="gramEnd"/>
      <w:r w:rsidRPr="005060EE">
        <w:rPr>
          <w:rFonts w:ascii="Times New Roman" w:hAnsi="Times New Roman" w:cs="Times New Roman"/>
        </w:rPr>
        <w:t>. London: Elsevier.</w:t>
      </w:r>
    </w:p>
    <w:p w14:paraId="54002A24" w14:textId="45410F63" w:rsidR="005060EE" w:rsidRPr="005060EE" w:rsidRDefault="005060EE" w:rsidP="004A3A39">
      <w:pPr>
        <w:ind w:left="360"/>
        <w:rPr>
          <w:rFonts w:ascii="Times New Roman" w:hAnsi="Times New Roman" w:cs="Times New Roman"/>
        </w:rPr>
      </w:pPr>
      <w:r w:rsidRPr="005060EE">
        <w:rPr>
          <w:rFonts w:ascii="Times New Roman" w:hAnsi="Times New Roman" w:cs="Times New Roman"/>
        </w:rPr>
        <w:t>UK Government (2023) Health inequalities: reducing inequalities in health. Available at: https://www.gov.uk/government/publications/health-inequalities (Accessed: 12 April 2026).</w:t>
      </w:r>
    </w:p>
    <w:p w14:paraId="12CDBF04" w14:textId="09F9678E" w:rsidR="005060EE" w:rsidRPr="005060EE" w:rsidRDefault="005060EE" w:rsidP="004A3A39">
      <w:pPr>
        <w:ind w:left="360"/>
        <w:rPr>
          <w:rFonts w:ascii="Times New Roman" w:hAnsi="Times New Roman" w:cs="Times New Roman"/>
        </w:rPr>
      </w:pPr>
      <w:r w:rsidRPr="005060EE">
        <w:rPr>
          <w:rFonts w:ascii="Times New Roman" w:hAnsi="Times New Roman" w:cs="Times New Roman"/>
        </w:rPr>
        <w:t>Whitehead, M. (1992) The concepts and principles of equity and health. Copenhagen: World Health Organization.</w:t>
      </w:r>
    </w:p>
    <w:p w14:paraId="134B2A18" w14:textId="4FBA0E85" w:rsidR="005060EE" w:rsidRPr="005060EE" w:rsidRDefault="005060EE" w:rsidP="004A3A39">
      <w:pPr>
        <w:ind w:left="360"/>
        <w:rPr>
          <w:rFonts w:ascii="Times New Roman" w:hAnsi="Times New Roman" w:cs="Times New Roman"/>
        </w:rPr>
      </w:pPr>
      <w:r w:rsidRPr="005060EE">
        <w:rPr>
          <w:rFonts w:ascii="Times New Roman" w:hAnsi="Times New Roman" w:cs="Times New Roman"/>
        </w:rPr>
        <w:t>Wilkinson, R. (1996) Unhealthy societies: the afflictions of inequality. London: Routledge.</w:t>
      </w:r>
    </w:p>
    <w:p w14:paraId="5428B307" w14:textId="323768A2" w:rsidR="005060EE" w:rsidRPr="005060EE" w:rsidRDefault="005060EE" w:rsidP="004A3A39">
      <w:pPr>
        <w:ind w:left="360"/>
        <w:rPr>
          <w:rFonts w:ascii="Times New Roman" w:hAnsi="Times New Roman" w:cs="Times New Roman"/>
        </w:rPr>
      </w:pPr>
      <w:r w:rsidRPr="005060EE">
        <w:rPr>
          <w:rFonts w:ascii="Times New Roman" w:hAnsi="Times New Roman" w:cs="Times New Roman"/>
        </w:rPr>
        <w:t>Wilkinson, R. and Pickett, K. (2010) The spirit level: why equality is better for everyone. London: Penguin.</w:t>
      </w:r>
    </w:p>
    <w:p w14:paraId="5C8C19FE" w14:textId="644CAD4E" w:rsidR="002C1F94" w:rsidRPr="00CE4D7D" w:rsidRDefault="005060EE" w:rsidP="006E4E80">
      <w:pPr>
        <w:ind w:left="360"/>
        <w:rPr>
          <w:rFonts w:ascii="Times New Roman" w:hAnsi="Times New Roman" w:cs="Times New Roman"/>
        </w:rPr>
      </w:pPr>
      <w:r w:rsidRPr="005060EE">
        <w:rPr>
          <w:rFonts w:ascii="Times New Roman" w:hAnsi="Times New Roman" w:cs="Times New Roman"/>
        </w:rPr>
        <w:t>World Health Organization (2025) Social determinants of health. Available at: https://www.who.int/health-topics/social-determinants-of-health (Accessed: 12 April 2026).</w:t>
      </w:r>
    </w:p>
    <w:sectPr w:rsidR="002C1F94" w:rsidRPr="00CE4D7D" w:rsidSect="00D02A09">
      <w:pgSz w:w="12242" w:h="15422"/>
      <w:pgMar w:top="1440" w:right="1797" w:bottom="1440" w:left="179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5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DEC6687"/>
    <w:multiLevelType w:val="multilevel"/>
    <w:tmpl w:val="0AA22552"/>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10" w15:restartNumberingAfterBreak="0">
    <w:nsid w:val="3FD46676"/>
    <w:multiLevelType w:val="hybridMultilevel"/>
    <w:tmpl w:val="AA122364"/>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F2C74A5"/>
    <w:multiLevelType w:val="multilevel"/>
    <w:tmpl w:val="6450CD34"/>
    <w:lvl w:ilvl="0">
      <w:numFmt w:val="bullet"/>
      <w:lvlText w:val=""/>
      <w:lvlJc w:val="left"/>
      <w:pPr>
        <w:ind w:left="720" w:hanging="360"/>
      </w:pPr>
      <w:rPr>
        <w:rFonts w:ascii="Symbol" w:hAnsi="Symbol"/>
      </w:rPr>
    </w:lvl>
    <w:lvl w:ilvl="1">
      <w:numFmt w:val="bullet"/>
      <w:lvlText w:val="•"/>
      <w:lvlJc w:val="left"/>
      <w:pPr>
        <w:ind w:left="1800" w:hanging="720"/>
      </w:pPr>
      <w:rPr>
        <w:rFonts w:ascii="Aptos" w:eastAsia="Aptos" w:hAnsi="Aptos" w:cs="Times New Roman"/>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68306713">
    <w:abstractNumId w:val="8"/>
  </w:num>
  <w:num w:numId="2" w16cid:durableId="504789375">
    <w:abstractNumId w:val="6"/>
  </w:num>
  <w:num w:numId="3" w16cid:durableId="1522667242">
    <w:abstractNumId w:val="5"/>
  </w:num>
  <w:num w:numId="4" w16cid:durableId="1896355621">
    <w:abstractNumId w:val="4"/>
  </w:num>
  <w:num w:numId="5" w16cid:durableId="1354455227">
    <w:abstractNumId w:val="7"/>
  </w:num>
  <w:num w:numId="6" w16cid:durableId="1504248919">
    <w:abstractNumId w:val="3"/>
  </w:num>
  <w:num w:numId="7" w16cid:durableId="627393599">
    <w:abstractNumId w:val="2"/>
  </w:num>
  <w:num w:numId="8" w16cid:durableId="1277640615">
    <w:abstractNumId w:val="1"/>
  </w:num>
  <w:num w:numId="9" w16cid:durableId="653990789">
    <w:abstractNumId w:val="0"/>
  </w:num>
  <w:num w:numId="10" w16cid:durableId="1162624122">
    <w:abstractNumId w:val="10"/>
  </w:num>
  <w:num w:numId="11" w16cid:durableId="1713261812">
    <w:abstractNumId w:val="11"/>
  </w:num>
  <w:num w:numId="12" w16cid:durableId="1978625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59F"/>
    <w:rsid w:val="00025923"/>
    <w:rsid w:val="000265FE"/>
    <w:rsid w:val="00030895"/>
    <w:rsid w:val="00032617"/>
    <w:rsid w:val="00034616"/>
    <w:rsid w:val="0006063C"/>
    <w:rsid w:val="00063019"/>
    <w:rsid w:val="000A2B06"/>
    <w:rsid w:val="000C50A4"/>
    <w:rsid w:val="000D604A"/>
    <w:rsid w:val="000E1212"/>
    <w:rsid w:val="000F2F04"/>
    <w:rsid w:val="000F3300"/>
    <w:rsid w:val="000F72E9"/>
    <w:rsid w:val="00105B04"/>
    <w:rsid w:val="00120704"/>
    <w:rsid w:val="00140F0E"/>
    <w:rsid w:val="00142CCC"/>
    <w:rsid w:val="00145406"/>
    <w:rsid w:val="001457CC"/>
    <w:rsid w:val="0015074B"/>
    <w:rsid w:val="001548EF"/>
    <w:rsid w:val="001567CB"/>
    <w:rsid w:val="00157ED3"/>
    <w:rsid w:val="0016378B"/>
    <w:rsid w:val="00187068"/>
    <w:rsid w:val="00187D07"/>
    <w:rsid w:val="001A506A"/>
    <w:rsid w:val="001C09DD"/>
    <w:rsid w:val="001D0249"/>
    <w:rsid w:val="001F32B5"/>
    <w:rsid w:val="00214C69"/>
    <w:rsid w:val="002224F7"/>
    <w:rsid w:val="00223BE0"/>
    <w:rsid w:val="00224869"/>
    <w:rsid w:val="00231514"/>
    <w:rsid w:val="00233CE0"/>
    <w:rsid w:val="0023660E"/>
    <w:rsid w:val="00237540"/>
    <w:rsid w:val="00237772"/>
    <w:rsid w:val="00264F9A"/>
    <w:rsid w:val="00267746"/>
    <w:rsid w:val="00286D85"/>
    <w:rsid w:val="0029639D"/>
    <w:rsid w:val="0029731E"/>
    <w:rsid w:val="002B63AB"/>
    <w:rsid w:val="002C1F94"/>
    <w:rsid w:val="002D1E2E"/>
    <w:rsid w:val="003022DE"/>
    <w:rsid w:val="00303D97"/>
    <w:rsid w:val="00305D21"/>
    <w:rsid w:val="0032376B"/>
    <w:rsid w:val="003238AE"/>
    <w:rsid w:val="00326F90"/>
    <w:rsid w:val="00337E20"/>
    <w:rsid w:val="0034064B"/>
    <w:rsid w:val="00345427"/>
    <w:rsid w:val="00345B40"/>
    <w:rsid w:val="00370030"/>
    <w:rsid w:val="00370DC1"/>
    <w:rsid w:val="0039544B"/>
    <w:rsid w:val="003E685B"/>
    <w:rsid w:val="003F60AD"/>
    <w:rsid w:val="00423164"/>
    <w:rsid w:val="00432A66"/>
    <w:rsid w:val="00436241"/>
    <w:rsid w:val="004554DC"/>
    <w:rsid w:val="004558AF"/>
    <w:rsid w:val="00456DB6"/>
    <w:rsid w:val="00457C60"/>
    <w:rsid w:val="004612B1"/>
    <w:rsid w:val="0047233B"/>
    <w:rsid w:val="004725D3"/>
    <w:rsid w:val="00474EFF"/>
    <w:rsid w:val="0048529E"/>
    <w:rsid w:val="004A168B"/>
    <w:rsid w:val="004A1CF1"/>
    <w:rsid w:val="004A2EE6"/>
    <w:rsid w:val="004A3A39"/>
    <w:rsid w:val="004B06D2"/>
    <w:rsid w:val="004C2796"/>
    <w:rsid w:val="004C4BFA"/>
    <w:rsid w:val="004D61CC"/>
    <w:rsid w:val="004E0DF7"/>
    <w:rsid w:val="004F17D8"/>
    <w:rsid w:val="004F61D2"/>
    <w:rsid w:val="005060EE"/>
    <w:rsid w:val="0051370E"/>
    <w:rsid w:val="0053403F"/>
    <w:rsid w:val="00542A0E"/>
    <w:rsid w:val="0054719B"/>
    <w:rsid w:val="00551E8A"/>
    <w:rsid w:val="00556133"/>
    <w:rsid w:val="00565141"/>
    <w:rsid w:val="005A0555"/>
    <w:rsid w:val="005A5B77"/>
    <w:rsid w:val="005D406C"/>
    <w:rsid w:val="005D571D"/>
    <w:rsid w:val="005E7085"/>
    <w:rsid w:val="00601742"/>
    <w:rsid w:val="0062217E"/>
    <w:rsid w:val="0063308A"/>
    <w:rsid w:val="00633E87"/>
    <w:rsid w:val="006438AA"/>
    <w:rsid w:val="00645DC0"/>
    <w:rsid w:val="00656798"/>
    <w:rsid w:val="00664080"/>
    <w:rsid w:val="00666C9B"/>
    <w:rsid w:val="00676903"/>
    <w:rsid w:val="006B7111"/>
    <w:rsid w:val="006D2807"/>
    <w:rsid w:val="006E027B"/>
    <w:rsid w:val="006E4E80"/>
    <w:rsid w:val="007112AD"/>
    <w:rsid w:val="00715893"/>
    <w:rsid w:val="00723436"/>
    <w:rsid w:val="007243EC"/>
    <w:rsid w:val="00730123"/>
    <w:rsid w:val="007355C6"/>
    <w:rsid w:val="00740BCB"/>
    <w:rsid w:val="007719EB"/>
    <w:rsid w:val="00773760"/>
    <w:rsid w:val="00786CB2"/>
    <w:rsid w:val="007B119D"/>
    <w:rsid w:val="007B20D7"/>
    <w:rsid w:val="007B4619"/>
    <w:rsid w:val="007C36F9"/>
    <w:rsid w:val="007C5DE6"/>
    <w:rsid w:val="007D3E6B"/>
    <w:rsid w:val="007F4A31"/>
    <w:rsid w:val="007F794B"/>
    <w:rsid w:val="00803792"/>
    <w:rsid w:val="00804D00"/>
    <w:rsid w:val="00810044"/>
    <w:rsid w:val="00821690"/>
    <w:rsid w:val="0083554A"/>
    <w:rsid w:val="00835B74"/>
    <w:rsid w:val="0084000F"/>
    <w:rsid w:val="008530CD"/>
    <w:rsid w:val="0085408B"/>
    <w:rsid w:val="00864468"/>
    <w:rsid w:val="0087193D"/>
    <w:rsid w:val="00873AB8"/>
    <w:rsid w:val="0089007F"/>
    <w:rsid w:val="008938BD"/>
    <w:rsid w:val="008B6E88"/>
    <w:rsid w:val="008C3F92"/>
    <w:rsid w:val="008C66A8"/>
    <w:rsid w:val="008D2F8D"/>
    <w:rsid w:val="008F0B46"/>
    <w:rsid w:val="008F2D04"/>
    <w:rsid w:val="00906CE3"/>
    <w:rsid w:val="009169D8"/>
    <w:rsid w:val="00923A53"/>
    <w:rsid w:val="00936815"/>
    <w:rsid w:val="00942170"/>
    <w:rsid w:val="0096219E"/>
    <w:rsid w:val="00970512"/>
    <w:rsid w:val="009712A1"/>
    <w:rsid w:val="009912CE"/>
    <w:rsid w:val="009A69EF"/>
    <w:rsid w:val="009B291A"/>
    <w:rsid w:val="009F29B2"/>
    <w:rsid w:val="00A1622B"/>
    <w:rsid w:val="00A17300"/>
    <w:rsid w:val="00A259A7"/>
    <w:rsid w:val="00A26457"/>
    <w:rsid w:val="00A35F56"/>
    <w:rsid w:val="00A47E74"/>
    <w:rsid w:val="00A613AF"/>
    <w:rsid w:val="00A72763"/>
    <w:rsid w:val="00A735CA"/>
    <w:rsid w:val="00AA1D8D"/>
    <w:rsid w:val="00AC1BF2"/>
    <w:rsid w:val="00AD181C"/>
    <w:rsid w:val="00AD61E2"/>
    <w:rsid w:val="00AD7437"/>
    <w:rsid w:val="00B22E00"/>
    <w:rsid w:val="00B231BB"/>
    <w:rsid w:val="00B31F91"/>
    <w:rsid w:val="00B45718"/>
    <w:rsid w:val="00B4692F"/>
    <w:rsid w:val="00B47730"/>
    <w:rsid w:val="00B534DC"/>
    <w:rsid w:val="00B72B45"/>
    <w:rsid w:val="00B75E4D"/>
    <w:rsid w:val="00B81464"/>
    <w:rsid w:val="00B95C7D"/>
    <w:rsid w:val="00BA4F16"/>
    <w:rsid w:val="00BB42F3"/>
    <w:rsid w:val="00BC0678"/>
    <w:rsid w:val="00BC3725"/>
    <w:rsid w:val="00BC41AE"/>
    <w:rsid w:val="00BD52F7"/>
    <w:rsid w:val="00BF3039"/>
    <w:rsid w:val="00C11013"/>
    <w:rsid w:val="00C111A6"/>
    <w:rsid w:val="00C12EE8"/>
    <w:rsid w:val="00C164CD"/>
    <w:rsid w:val="00C1760E"/>
    <w:rsid w:val="00C26523"/>
    <w:rsid w:val="00C4356D"/>
    <w:rsid w:val="00C54208"/>
    <w:rsid w:val="00C83A8C"/>
    <w:rsid w:val="00C94671"/>
    <w:rsid w:val="00CB0664"/>
    <w:rsid w:val="00CC1959"/>
    <w:rsid w:val="00CC4907"/>
    <w:rsid w:val="00CE4D7D"/>
    <w:rsid w:val="00D02A09"/>
    <w:rsid w:val="00D10F88"/>
    <w:rsid w:val="00D13FAE"/>
    <w:rsid w:val="00D3393B"/>
    <w:rsid w:val="00D443E4"/>
    <w:rsid w:val="00D52315"/>
    <w:rsid w:val="00D757A5"/>
    <w:rsid w:val="00D84189"/>
    <w:rsid w:val="00D8602B"/>
    <w:rsid w:val="00D93A77"/>
    <w:rsid w:val="00DC3E0F"/>
    <w:rsid w:val="00DC4324"/>
    <w:rsid w:val="00DC6B03"/>
    <w:rsid w:val="00DC78AC"/>
    <w:rsid w:val="00DD329E"/>
    <w:rsid w:val="00DE2ED0"/>
    <w:rsid w:val="00DF2F02"/>
    <w:rsid w:val="00E01A25"/>
    <w:rsid w:val="00E54CE3"/>
    <w:rsid w:val="00E55BC3"/>
    <w:rsid w:val="00E61C4C"/>
    <w:rsid w:val="00E63F5A"/>
    <w:rsid w:val="00E8164F"/>
    <w:rsid w:val="00E912C9"/>
    <w:rsid w:val="00E967F3"/>
    <w:rsid w:val="00EB0A71"/>
    <w:rsid w:val="00EB1DC3"/>
    <w:rsid w:val="00EE249E"/>
    <w:rsid w:val="00EF2B95"/>
    <w:rsid w:val="00EF5647"/>
    <w:rsid w:val="00F13B7D"/>
    <w:rsid w:val="00F311F3"/>
    <w:rsid w:val="00F47069"/>
    <w:rsid w:val="00F5287E"/>
    <w:rsid w:val="00F66AA7"/>
    <w:rsid w:val="00F703EF"/>
    <w:rsid w:val="00F83E4D"/>
    <w:rsid w:val="00FA7B0D"/>
    <w:rsid w:val="00FA7BBD"/>
    <w:rsid w:val="00FB1637"/>
    <w:rsid w:val="00FC46CA"/>
    <w:rsid w:val="00FC59B3"/>
    <w:rsid w:val="00FC693F"/>
    <w:rsid w:val="00FE0CD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6C73F92B-9B2F-44A6-9631-56D56C75E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microsoft.com/office/2007/relationships/hdphoto" Target="media/hdphoto1.wd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1345</TotalTime>
  <Pages>14</Pages>
  <Words>4147</Words>
  <Characters>23640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27732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lucie kollerova</cp:lastModifiedBy>
  <cp:revision>194</cp:revision>
  <dcterms:created xsi:type="dcterms:W3CDTF">2026-04-12T21:04:00Z</dcterms:created>
  <dcterms:modified xsi:type="dcterms:W3CDTF">2026-04-21T18:10:00Z</dcterms:modified>
  <cp:category/>
</cp:coreProperties>
</file>