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96D35A" w14:textId="6A313F40" w:rsidR="00CF5DF7" w:rsidRDefault="001A6345" w:rsidP="00B90E15">
      <w:pPr>
        <w:spacing w:line="480" w:lineRule="auto"/>
        <w:jc w:val="center"/>
        <w:rPr>
          <w:rFonts w:ascii="Arial" w:hAnsi="Arial" w:cs="Arial"/>
          <w:kern w:val="2"/>
          <w:sz w:val="22"/>
          <w:szCs w:val="22"/>
          <w:lang w:eastAsia="zh-CN"/>
          <w14:ligatures w14:val="standardContextual"/>
        </w:rPr>
      </w:pPr>
      <w:r>
        <w:rPr>
          <w:rFonts w:ascii="Arial" w:hAnsi="Arial" w:cs="Arial"/>
          <w:kern w:val="2"/>
          <w:sz w:val="22"/>
          <w:szCs w:val="22"/>
          <w:lang w:eastAsia="zh-CN"/>
          <w14:ligatures w14:val="standardContextual"/>
        </w:rPr>
        <w:t xml:space="preserve">I confirm that I have not used any AI tools in the research and creation of this assignment. I confirm that I have not presented any AI </w:t>
      </w:r>
      <w:r w:rsidR="00BD12C6">
        <w:rPr>
          <w:rFonts w:ascii="Arial" w:hAnsi="Arial" w:cs="Arial"/>
          <w:kern w:val="2"/>
          <w:sz w:val="22"/>
          <w:szCs w:val="22"/>
          <w:lang w:eastAsia="zh-CN"/>
          <w14:ligatures w14:val="standardContextual"/>
        </w:rPr>
        <w:t>generated materials as my own work. I confirm I have copies of my drafts, notes</w:t>
      </w:r>
      <w:r w:rsidR="00FF263F">
        <w:rPr>
          <w:rFonts w:ascii="Arial" w:hAnsi="Arial" w:cs="Arial"/>
          <w:kern w:val="2"/>
          <w:sz w:val="22"/>
          <w:szCs w:val="22"/>
          <w:lang w:eastAsia="zh-CN"/>
          <w14:ligatures w14:val="standardContextual"/>
        </w:rPr>
        <w:t>,</w:t>
      </w:r>
      <w:r w:rsidR="00BD12C6">
        <w:rPr>
          <w:rFonts w:ascii="Arial" w:hAnsi="Arial" w:cs="Arial"/>
          <w:kern w:val="2"/>
          <w:sz w:val="22"/>
          <w:szCs w:val="22"/>
          <w:lang w:eastAsia="zh-CN"/>
          <w14:ligatures w14:val="standardContextual"/>
        </w:rPr>
        <w:t xml:space="preserve"> and other resources I used, which</w:t>
      </w:r>
      <w:r w:rsidR="0069129E">
        <w:rPr>
          <w:rFonts w:ascii="Arial" w:hAnsi="Arial" w:cs="Arial"/>
          <w:kern w:val="2"/>
          <w:sz w:val="22"/>
          <w:szCs w:val="22"/>
          <w:lang w:eastAsia="zh-CN"/>
          <w14:ligatures w14:val="standardContextual"/>
        </w:rPr>
        <w:t xml:space="preserve"> I </w:t>
      </w:r>
      <w:r w:rsidR="008B116B">
        <w:rPr>
          <w:rFonts w:ascii="Arial" w:hAnsi="Arial" w:cs="Arial"/>
          <w:kern w:val="2"/>
          <w:sz w:val="22"/>
          <w:szCs w:val="22"/>
          <w:lang w:eastAsia="zh-CN"/>
          <w14:ligatures w14:val="standardContextual"/>
        </w:rPr>
        <w:t xml:space="preserve">may be asked to provide </w:t>
      </w:r>
      <w:r w:rsidR="0069129E">
        <w:rPr>
          <w:rFonts w:ascii="Arial" w:hAnsi="Arial" w:cs="Arial"/>
          <w:kern w:val="2"/>
          <w:sz w:val="22"/>
          <w:szCs w:val="22"/>
          <w:lang w:eastAsia="zh-CN"/>
          <w14:ligatures w14:val="standardContextual"/>
        </w:rPr>
        <w:t xml:space="preserve">in </w:t>
      </w:r>
      <w:r w:rsidR="008B116B">
        <w:rPr>
          <w:rFonts w:ascii="Arial" w:hAnsi="Arial" w:cs="Arial"/>
          <w:kern w:val="2"/>
          <w:sz w:val="22"/>
          <w:szCs w:val="22"/>
          <w:lang w:eastAsia="zh-CN"/>
          <w14:ligatures w14:val="standardContextual"/>
        </w:rPr>
        <w:t>evidence.</w:t>
      </w:r>
    </w:p>
    <w:p w14:paraId="3648B769" w14:textId="77777777" w:rsidR="00CF5DF7" w:rsidRDefault="00CF5DF7">
      <w:pPr>
        <w:rPr>
          <w:rFonts w:ascii="Arial" w:hAnsi="Arial" w:cs="Arial"/>
          <w:kern w:val="2"/>
          <w:sz w:val="22"/>
          <w:szCs w:val="22"/>
          <w:lang w:eastAsia="zh-CN"/>
          <w14:ligatures w14:val="standardContextual"/>
        </w:rPr>
      </w:pPr>
      <w:r>
        <w:rPr>
          <w:rFonts w:ascii="Arial" w:hAnsi="Arial" w:cs="Arial"/>
          <w:kern w:val="2"/>
          <w:sz w:val="22"/>
          <w:szCs w:val="22"/>
          <w:lang w:eastAsia="zh-CN"/>
          <w14:ligatures w14:val="standardContextual"/>
        </w:rPr>
        <w:br w:type="page"/>
      </w:r>
    </w:p>
    <w:p w14:paraId="29BBE2BD" w14:textId="2936CC4F" w:rsidR="007B4432" w:rsidRPr="00711265" w:rsidRDefault="00AB215E" w:rsidP="008F7FA7">
      <w:pPr>
        <w:spacing w:line="480" w:lineRule="auto"/>
        <w:jc w:val="both"/>
        <w:rPr>
          <w:rFonts w:ascii="Arial" w:hAnsi="Arial" w:cs="Arial"/>
          <w:b/>
          <w:bCs/>
          <w:kern w:val="2"/>
          <w:sz w:val="22"/>
          <w:szCs w:val="22"/>
          <w:lang w:eastAsia="zh-CN"/>
          <w14:ligatures w14:val="standardContextual"/>
        </w:rPr>
      </w:pPr>
      <w:bookmarkStart w:id="0" w:name="_Hlk218459457"/>
      <w:r w:rsidRPr="00711265">
        <w:rPr>
          <w:rFonts w:ascii="Arial" w:hAnsi="Arial" w:cs="Arial"/>
          <w:b/>
          <w:bCs/>
          <w:kern w:val="2"/>
          <w:sz w:val="22"/>
          <w:szCs w:val="22"/>
          <w:lang w:eastAsia="zh-CN"/>
          <w14:ligatures w14:val="standardContextual"/>
        </w:rPr>
        <w:lastRenderedPageBreak/>
        <w:t xml:space="preserve">A review of </w:t>
      </w:r>
      <w:r w:rsidR="00011059" w:rsidRPr="00711265">
        <w:rPr>
          <w:rFonts w:ascii="Arial" w:hAnsi="Arial" w:cs="Arial"/>
          <w:b/>
          <w:bCs/>
          <w:kern w:val="2"/>
          <w:sz w:val="22"/>
          <w:szCs w:val="22"/>
          <w:lang w:eastAsia="zh-CN"/>
          <w14:ligatures w14:val="standardContextual"/>
        </w:rPr>
        <w:t xml:space="preserve">Alexandra Hughes-Johnson and Lyndsey Jenkins (eds.), </w:t>
      </w:r>
      <w:r w:rsidR="00011059" w:rsidRPr="00711265">
        <w:rPr>
          <w:rFonts w:ascii="Arial" w:hAnsi="Arial" w:cs="Arial"/>
          <w:b/>
          <w:bCs/>
          <w:i/>
          <w:iCs/>
          <w:kern w:val="2"/>
          <w:sz w:val="22"/>
          <w:szCs w:val="22"/>
          <w:lang w:eastAsia="zh-CN"/>
          <w14:ligatures w14:val="standardContextual"/>
        </w:rPr>
        <w:t xml:space="preserve">Politics of Women’s Suffrage: Local, National, and International Dimensions </w:t>
      </w:r>
      <w:r w:rsidR="00011059" w:rsidRPr="00711265">
        <w:rPr>
          <w:rFonts w:ascii="Arial" w:hAnsi="Arial" w:cs="Arial"/>
          <w:b/>
          <w:bCs/>
          <w:kern w:val="2"/>
          <w:sz w:val="22"/>
          <w:szCs w:val="22"/>
          <w:lang w:eastAsia="zh-CN"/>
          <w14:ligatures w14:val="standardContextual"/>
        </w:rPr>
        <w:t>(University of London Press, 2021).</w:t>
      </w:r>
      <w:r w:rsidR="0026457A" w:rsidRPr="00711265">
        <w:rPr>
          <w:rFonts w:ascii="Arial" w:hAnsi="Arial" w:cs="Arial"/>
          <w:b/>
          <w:bCs/>
          <w:kern w:val="2"/>
          <w:sz w:val="22"/>
          <w:szCs w:val="22"/>
          <w:lang w:eastAsia="zh-CN"/>
          <w14:ligatures w14:val="standardContextual"/>
        </w:rPr>
        <w:t xml:space="preserve"> </w:t>
      </w:r>
      <w:r w:rsidR="0026457A" w:rsidRPr="00711265">
        <w:rPr>
          <w:rStyle w:val="apple-converted-space"/>
          <w:rFonts w:ascii="Arial" w:eastAsia="Times New Roman" w:hAnsi="Arial" w:cs="Arial"/>
          <w:b/>
          <w:bCs/>
          <w:color w:val="000000"/>
          <w:sz w:val="22"/>
          <w:szCs w:val="22"/>
          <w:shd w:val="clear" w:color="auto" w:fill="FFFFFF"/>
        </w:rPr>
        <w:t> </w:t>
      </w:r>
      <w:r w:rsidR="00F609F5" w:rsidRPr="00711265">
        <w:rPr>
          <w:rFonts w:ascii="Arial" w:eastAsia="Times New Roman" w:hAnsi="Arial" w:cs="Arial"/>
          <w:b/>
          <w:bCs/>
          <w:color w:val="000000"/>
          <w:sz w:val="22"/>
          <w:szCs w:val="22"/>
          <w:shd w:val="clear" w:color="auto" w:fill="FFFFFF"/>
        </w:rPr>
        <w:t>Part</w:t>
      </w:r>
      <w:r w:rsidR="0026457A" w:rsidRPr="00711265">
        <w:rPr>
          <w:rFonts w:ascii="Arial" w:eastAsia="Times New Roman" w:hAnsi="Arial" w:cs="Arial"/>
          <w:b/>
          <w:bCs/>
          <w:color w:val="000000"/>
          <w:sz w:val="22"/>
          <w:szCs w:val="22"/>
          <w:shd w:val="clear" w:color="auto" w:fill="FFFFFF"/>
        </w:rPr>
        <w:t xml:space="preserve"> II</w:t>
      </w:r>
      <w:r w:rsidR="00F609F5" w:rsidRPr="00711265">
        <w:rPr>
          <w:rFonts w:ascii="Arial" w:eastAsia="Times New Roman" w:hAnsi="Arial" w:cs="Arial"/>
          <w:b/>
          <w:bCs/>
          <w:color w:val="000000"/>
          <w:sz w:val="22"/>
          <w:szCs w:val="22"/>
          <w:shd w:val="clear" w:color="auto" w:fill="FFFFFF"/>
        </w:rPr>
        <w:t xml:space="preserve">, Chapter </w:t>
      </w:r>
      <w:r w:rsidR="0026457A" w:rsidRPr="00711265">
        <w:rPr>
          <w:rFonts w:ascii="Arial" w:eastAsia="Times New Roman" w:hAnsi="Arial" w:cs="Arial"/>
          <w:b/>
          <w:bCs/>
          <w:color w:val="000000"/>
          <w:sz w:val="22"/>
          <w:szCs w:val="22"/>
          <w:shd w:val="clear" w:color="auto" w:fill="FFFFFF"/>
        </w:rPr>
        <w:t>6</w:t>
      </w:r>
      <w:r w:rsidR="003E32E0" w:rsidRPr="00711265">
        <w:rPr>
          <w:rFonts w:ascii="Arial" w:eastAsia="Times New Roman" w:hAnsi="Arial" w:cs="Arial"/>
          <w:b/>
          <w:bCs/>
          <w:color w:val="000000"/>
          <w:sz w:val="22"/>
          <w:szCs w:val="22"/>
          <w:shd w:val="clear" w:color="auto" w:fill="FFFFFF"/>
        </w:rPr>
        <w:t xml:space="preserve">. </w:t>
      </w:r>
      <w:bookmarkStart w:id="1" w:name="_Hlk218459726"/>
      <w:r w:rsidR="0026457A" w:rsidRPr="00711265">
        <w:rPr>
          <w:rFonts w:ascii="Arial" w:eastAsia="Times New Roman" w:hAnsi="Arial" w:cs="Arial"/>
          <w:b/>
          <w:bCs/>
          <w:color w:val="000000"/>
          <w:sz w:val="22"/>
          <w:szCs w:val="22"/>
          <w:shd w:val="clear" w:color="auto" w:fill="FFFFFF"/>
        </w:rPr>
        <w:t xml:space="preserve">English girls' schools and women's suffrage </w:t>
      </w:r>
      <w:bookmarkEnd w:id="1"/>
      <w:r w:rsidR="0026457A" w:rsidRPr="00711265">
        <w:rPr>
          <w:rFonts w:ascii="Arial" w:eastAsia="Times New Roman" w:hAnsi="Arial" w:cs="Arial"/>
          <w:b/>
          <w:bCs/>
          <w:color w:val="000000"/>
          <w:sz w:val="22"/>
          <w:szCs w:val="22"/>
          <w:shd w:val="clear" w:color="auto" w:fill="FFFFFF"/>
        </w:rPr>
        <w:t xml:space="preserve">by Helen Sunderland from the </w:t>
      </w:r>
      <w:r w:rsidR="00C666FA" w:rsidRPr="00711265">
        <w:rPr>
          <w:rFonts w:ascii="Arial" w:eastAsia="Times New Roman" w:hAnsi="Arial" w:cs="Arial"/>
          <w:b/>
          <w:bCs/>
          <w:color w:val="000000"/>
          <w:sz w:val="22"/>
          <w:szCs w:val="22"/>
          <w:shd w:val="clear" w:color="auto" w:fill="FFFFFF"/>
        </w:rPr>
        <w:t>U</w:t>
      </w:r>
      <w:r w:rsidR="0026457A" w:rsidRPr="00711265">
        <w:rPr>
          <w:rFonts w:ascii="Arial" w:eastAsia="Times New Roman" w:hAnsi="Arial" w:cs="Arial"/>
          <w:b/>
          <w:bCs/>
          <w:color w:val="000000"/>
          <w:sz w:val="22"/>
          <w:szCs w:val="22"/>
          <w:shd w:val="clear" w:color="auto" w:fill="FFFFFF"/>
        </w:rPr>
        <w:t>ni</w:t>
      </w:r>
      <w:r w:rsidR="00C666FA" w:rsidRPr="00711265">
        <w:rPr>
          <w:rFonts w:ascii="Arial" w:eastAsia="Times New Roman" w:hAnsi="Arial" w:cs="Arial"/>
          <w:b/>
          <w:bCs/>
          <w:color w:val="000000"/>
          <w:sz w:val="22"/>
          <w:szCs w:val="22"/>
          <w:shd w:val="clear" w:color="auto" w:fill="FFFFFF"/>
        </w:rPr>
        <w:t>versity</w:t>
      </w:r>
      <w:r w:rsidR="0026457A" w:rsidRPr="00711265">
        <w:rPr>
          <w:rFonts w:ascii="Arial" w:eastAsia="Times New Roman" w:hAnsi="Arial" w:cs="Arial"/>
          <w:b/>
          <w:bCs/>
          <w:color w:val="000000"/>
          <w:sz w:val="22"/>
          <w:szCs w:val="22"/>
          <w:shd w:val="clear" w:color="auto" w:fill="FFFFFF"/>
        </w:rPr>
        <w:t xml:space="preserve"> of Cambridge</w:t>
      </w:r>
      <w:r w:rsidR="00C666FA" w:rsidRPr="00711265">
        <w:rPr>
          <w:rFonts w:ascii="Arial" w:eastAsia="Times New Roman" w:hAnsi="Arial" w:cs="Arial"/>
          <w:b/>
          <w:bCs/>
          <w:color w:val="000000"/>
          <w:sz w:val="22"/>
          <w:szCs w:val="22"/>
          <w:shd w:val="clear" w:color="auto" w:fill="FFFFFF"/>
        </w:rPr>
        <w:t>,</w:t>
      </w:r>
      <w:r w:rsidR="0026457A" w:rsidRPr="00711265">
        <w:rPr>
          <w:rFonts w:ascii="Arial" w:eastAsia="Times New Roman" w:hAnsi="Arial" w:cs="Arial"/>
          <w:b/>
          <w:bCs/>
          <w:color w:val="000000"/>
          <w:sz w:val="22"/>
          <w:szCs w:val="22"/>
          <w:shd w:val="clear" w:color="auto" w:fill="FFFFFF"/>
        </w:rPr>
        <w:t xml:space="preserve"> pages 163-190</w:t>
      </w:r>
      <w:r w:rsidR="00C666FA" w:rsidRPr="00711265">
        <w:rPr>
          <w:rFonts w:ascii="Arial" w:eastAsia="Times New Roman" w:hAnsi="Arial" w:cs="Arial"/>
          <w:b/>
          <w:bCs/>
          <w:color w:val="000000"/>
          <w:sz w:val="22"/>
          <w:szCs w:val="22"/>
          <w:shd w:val="clear" w:color="auto" w:fill="FFFFFF"/>
        </w:rPr>
        <w:t>.</w:t>
      </w:r>
    </w:p>
    <w:bookmarkEnd w:id="0"/>
    <w:p w14:paraId="35ADC269" w14:textId="77777777" w:rsidR="002C524E" w:rsidRDefault="001865B4" w:rsidP="008F7FA7">
      <w:pPr>
        <w:spacing w:after="0" w:line="480" w:lineRule="auto"/>
        <w:jc w:val="both"/>
        <w:rPr>
          <w:rFonts w:ascii="Arial" w:eastAsia="Calibri" w:hAnsi="Arial" w:cs="Arial"/>
          <w:sz w:val="22"/>
          <w:szCs w:val="22"/>
        </w:rPr>
      </w:pPr>
      <w:r w:rsidRPr="00831754">
        <w:rPr>
          <w:rFonts w:ascii="Arial" w:eastAsia="Calibri" w:hAnsi="Arial" w:cs="Arial"/>
          <w:sz w:val="22"/>
          <w:szCs w:val="22"/>
        </w:rPr>
        <w:t xml:space="preserve">The main argument explored in the chapter is </w:t>
      </w:r>
      <w:r w:rsidR="00AF55D3" w:rsidRPr="00831754">
        <w:rPr>
          <w:rFonts w:ascii="Arial" w:eastAsia="Calibri" w:hAnsi="Arial" w:cs="Arial"/>
          <w:sz w:val="22"/>
          <w:szCs w:val="22"/>
        </w:rPr>
        <w:t>“that schoolgirls, teachers and a growing alumnae community of ‘old girls’ engaged with the discourses and divisions of the women’s suffrage movement in their everyday lives at school.”</w:t>
      </w:r>
      <w:r w:rsidR="00C53512" w:rsidRPr="00831754">
        <w:rPr>
          <w:rStyle w:val="FootnoteReference"/>
          <w:rFonts w:ascii="Arial" w:eastAsia="Calibri" w:hAnsi="Arial" w:cs="Arial"/>
          <w:sz w:val="22"/>
          <w:szCs w:val="22"/>
        </w:rPr>
        <w:footnoteReference w:id="1"/>
      </w:r>
      <w:r w:rsidR="00AD04CF" w:rsidRPr="00831754">
        <w:rPr>
          <w:rFonts w:ascii="Arial" w:eastAsia="Calibri" w:hAnsi="Arial" w:cs="Arial"/>
          <w:sz w:val="22"/>
          <w:szCs w:val="22"/>
        </w:rPr>
        <w:t xml:space="preserve"> There is also further exploration in</w:t>
      </w:r>
      <w:r w:rsidR="00DB1F01" w:rsidRPr="00831754">
        <w:rPr>
          <w:rFonts w:ascii="Arial" w:eastAsia="Calibri" w:hAnsi="Arial" w:cs="Arial"/>
          <w:sz w:val="22"/>
          <w:szCs w:val="22"/>
        </w:rPr>
        <w:t xml:space="preserve">to the effects of age and class throughout. </w:t>
      </w:r>
      <w:r w:rsidR="00CA05FB" w:rsidRPr="00831754">
        <w:rPr>
          <w:rFonts w:ascii="Arial" w:eastAsia="Calibri" w:hAnsi="Arial" w:cs="Arial"/>
          <w:sz w:val="22"/>
          <w:szCs w:val="22"/>
        </w:rPr>
        <w:t xml:space="preserve">This </w:t>
      </w:r>
      <w:r w:rsidR="00E75E05" w:rsidRPr="00831754">
        <w:rPr>
          <w:rFonts w:ascii="Arial" w:eastAsia="Calibri" w:hAnsi="Arial" w:cs="Arial"/>
          <w:sz w:val="22"/>
          <w:szCs w:val="22"/>
        </w:rPr>
        <w:t>“</w:t>
      </w:r>
      <w:r w:rsidR="00A80050" w:rsidRPr="00831754">
        <w:rPr>
          <w:rFonts w:ascii="Arial" w:eastAsia="Calibri" w:hAnsi="Arial" w:cs="Arial"/>
          <w:sz w:val="22"/>
          <w:szCs w:val="22"/>
        </w:rPr>
        <w:t>therefore offers a new perspective on the suffrage activism of teachers and alumnae, highlights schoolgirls’ active participation in the debate and argues that their shared experience of women’s suffrage is key to understanding the girls’ school as an intergenerational political community.</w:t>
      </w:r>
      <w:r w:rsidR="00E75E05" w:rsidRPr="00831754">
        <w:rPr>
          <w:rFonts w:ascii="Arial" w:eastAsia="Calibri" w:hAnsi="Arial" w:cs="Arial"/>
          <w:sz w:val="22"/>
          <w:szCs w:val="22"/>
        </w:rPr>
        <w:t>”</w:t>
      </w:r>
      <w:r w:rsidR="00A80050" w:rsidRPr="00831754">
        <w:rPr>
          <w:rStyle w:val="FootnoteReference"/>
          <w:rFonts w:ascii="Arial" w:eastAsia="Calibri" w:hAnsi="Arial" w:cs="Arial"/>
          <w:sz w:val="22"/>
          <w:szCs w:val="22"/>
        </w:rPr>
        <w:footnoteReference w:id="2"/>
      </w:r>
    </w:p>
    <w:p w14:paraId="5F6DFBCD" w14:textId="77777777" w:rsidR="002C524E" w:rsidRDefault="002C524E" w:rsidP="008F7FA7">
      <w:pPr>
        <w:spacing w:after="0" w:line="480" w:lineRule="auto"/>
        <w:jc w:val="both"/>
        <w:rPr>
          <w:rFonts w:ascii="Arial" w:eastAsia="Calibri" w:hAnsi="Arial" w:cs="Arial"/>
          <w:sz w:val="22"/>
          <w:szCs w:val="22"/>
        </w:rPr>
      </w:pPr>
    </w:p>
    <w:p w14:paraId="088B7C14" w14:textId="6608172D" w:rsidR="00C9173F" w:rsidRDefault="00C9173F" w:rsidP="008F7FA7">
      <w:pPr>
        <w:spacing w:after="0" w:line="480" w:lineRule="auto"/>
        <w:jc w:val="both"/>
        <w:rPr>
          <w:rFonts w:ascii="Arial" w:eastAsia="Calibri" w:hAnsi="Arial" w:cs="Arial"/>
          <w:sz w:val="22"/>
          <w:szCs w:val="22"/>
        </w:rPr>
      </w:pPr>
      <w:r>
        <w:rPr>
          <w:rFonts w:ascii="Arial" w:eastAsia="Calibri" w:hAnsi="Arial" w:cs="Arial"/>
          <w:sz w:val="22"/>
          <w:szCs w:val="22"/>
        </w:rPr>
        <w:t>The main</w:t>
      </w:r>
      <w:r w:rsidR="002F3703">
        <w:rPr>
          <w:rFonts w:ascii="Arial" w:eastAsia="Calibri" w:hAnsi="Arial" w:cs="Arial"/>
          <w:sz w:val="22"/>
          <w:szCs w:val="22"/>
        </w:rPr>
        <w:t xml:space="preserve"> argument and aim of the chapter is to </w:t>
      </w:r>
      <w:r w:rsidR="00ED2317">
        <w:rPr>
          <w:rFonts w:ascii="Arial" w:eastAsia="Calibri" w:hAnsi="Arial" w:cs="Arial"/>
          <w:sz w:val="22"/>
          <w:szCs w:val="22"/>
        </w:rPr>
        <w:t xml:space="preserve">explore girls’ and </w:t>
      </w:r>
      <w:r w:rsidR="00D86E81">
        <w:rPr>
          <w:rFonts w:ascii="Arial" w:eastAsia="Calibri" w:hAnsi="Arial" w:cs="Arial"/>
          <w:sz w:val="22"/>
          <w:szCs w:val="22"/>
        </w:rPr>
        <w:t>women’s</w:t>
      </w:r>
      <w:r w:rsidR="00ED2317">
        <w:rPr>
          <w:rFonts w:ascii="Arial" w:eastAsia="Calibri" w:hAnsi="Arial" w:cs="Arial"/>
          <w:sz w:val="22"/>
          <w:szCs w:val="22"/>
        </w:rPr>
        <w:t xml:space="preserve"> educational roles in the British </w:t>
      </w:r>
      <w:r w:rsidR="00D86E81">
        <w:rPr>
          <w:rFonts w:ascii="Arial" w:eastAsia="Calibri" w:hAnsi="Arial" w:cs="Arial"/>
          <w:sz w:val="22"/>
          <w:szCs w:val="22"/>
        </w:rPr>
        <w:t>women’s</w:t>
      </w:r>
      <w:r w:rsidR="00ED2317">
        <w:rPr>
          <w:rFonts w:ascii="Arial" w:eastAsia="Calibri" w:hAnsi="Arial" w:cs="Arial"/>
          <w:sz w:val="22"/>
          <w:szCs w:val="22"/>
        </w:rPr>
        <w:t xml:space="preserve"> suffrage movement </w:t>
      </w:r>
      <w:r w:rsidR="00DD161F">
        <w:rPr>
          <w:rFonts w:ascii="Arial" w:eastAsia="Calibri" w:hAnsi="Arial" w:cs="Arial"/>
          <w:sz w:val="22"/>
          <w:szCs w:val="22"/>
        </w:rPr>
        <w:t>from a new perspective</w:t>
      </w:r>
      <w:r w:rsidR="00F66C4D">
        <w:rPr>
          <w:rFonts w:ascii="Arial" w:eastAsia="Calibri" w:hAnsi="Arial" w:cs="Arial"/>
          <w:sz w:val="22"/>
          <w:szCs w:val="22"/>
        </w:rPr>
        <w:t xml:space="preserve">. </w:t>
      </w:r>
    </w:p>
    <w:p w14:paraId="356B358F" w14:textId="2531CA1E" w:rsidR="00284FA6" w:rsidRPr="00427455" w:rsidRDefault="001D4149" w:rsidP="008F7FA7">
      <w:pPr>
        <w:spacing w:after="0" w:line="480" w:lineRule="auto"/>
        <w:jc w:val="both"/>
        <w:rPr>
          <w:rFonts w:ascii="Arial" w:eastAsia="Calibri" w:hAnsi="Arial" w:cs="Arial"/>
          <w:sz w:val="22"/>
          <w:szCs w:val="22"/>
        </w:rPr>
      </w:pPr>
      <w:r w:rsidRPr="00427455">
        <w:rPr>
          <w:rFonts w:ascii="Arial" w:eastAsia="Calibri" w:hAnsi="Arial" w:cs="Arial"/>
          <w:sz w:val="22"/>
          <w:szCs w:val="22"/>
        </w:rPr>
        <w:t xml:space="preserve">The chapter is </w:t>
      </w:r>
      <w:r w:rsidR="00BB7E2C" w:rsidRPr="00427455">
        <w:rPr>
          <w:rFonts w:ascii="Arial" w:eastAsia="Calibri" w:hAnsi="Arial" w:cs="Arial"/>
          <w:sz w:val="22"/>
          <w:szCs w:val="22"/>
        </w:rPr>
        <w:t>divided thematically, with</w:t>
      </w:r>
      <w:r w:rsidR="006951D9" w:rsidRPr="00427455">
        <w:rPr>
          <w:rFonts w:ascii="Arial" w:eastAsia="Calibri" w:hAnsi="Arial" w:cs="Arial"/>
          <w:sz w:val="22"/>
          <w:szCs w:val="22"/>
        </w:rPr>
        <w:t xml:space="preserve"> </w:t>
      </w:r>
      <w:r w:rsidR="00923E52">
        <w:rPr>
          <w:rFonts w:ascii="Arial" w:eastAsia="Calibri" w:hAnsi="Arial" w:cs="Arial"/>
          <w:sz w:val="22"/>
          <w:szCs w:val="22"/>
        </w:rPr>
        <w:t xml:space="preserve">five sections- an introduction, </w:t>
      </w:r>
      <w:r w:rsidR="006951D9" w:rsidRPr="00427455">
        <w:rPr>
          <w:rFonts w:ascii="Arial" w:eastAsia="Calibri" w:hAnsi="Arial" w:cs="Arial"/>
          <w:sz w:val="22"/>
          <w:szCs w:val="22"/>
        </w:rPr>
        <w:t>three main body</w:t>
      </w:r>
      <w:r w:rsidR="00281CEE" w:rsidRPr="00427455">
        <w:rPr>
          <w:rFonts w:ascii="Arial" w:eastAsia="Calibri" w:hAnsi="Arial" w:cs="Arial"/>
          <w:sz w:val="22"/>
          <w:szCs w:val="22"/>
        </w:rPr>
        <w:t xml:space="preserve"> sections</w:t>
      </w:r>
      <w:r w:rsidR="00923E52">
        <w:rPr>
          <w:rFonts w:ascii="Arial" w:eastAsia="Calibri" w:hAnsi="Arial" w:cs="Arial"/>
          <w:sz w:val="22"/>
          <w:szCs w:val="22"/>
        </w:rPr>
        <w:t>, and a conclusion</w:t>
      </w:r>
      <w:r w:rsidR="00281CEE" w:rsidRPr="00427455">
        <w:rPr>
          <w:rFonts w:ascii="Arial" w:eastAsia="Calibri" w:hAnsi="Arial" w:cs="Arial"/>
          <w:sz w:val="22"/>
          <w:szCs w:val="22"/>
        </w:rPr>
        <w:t xml:space="preserve">. </w:t>
      </w:r>
      <w:r w:rsidR="006951D9" w:rsidRPr="00427455">
        <w:rPr>
          <w:rFonts w:ascii="Arial" w:eastAsia="Calibri" w:hAnsi="Arial" w:cs="Arial"/>
          <w:sz w:val="22"/>
          <w:szCs w:val="22"/>
        </w:rPr>
        <w:t>The i</w:t>
      </w:r>
      <w:r w:rsidR="00755B23" w:rsidRPr="00427455">
        <w:rPr>
          <w:rFonts w:ascii="Arial" w:eastAsia="Calibri" w:hAnsi="Arial" w:cs="Arial"/>
          <w:sz w:val="22"/>
          <w:szCs w:val="22"/>
        </w:rPr>
        <w:t>ntro</w:t>
      </w:r>
      <w:r w:rsidR="00532601" w:rsidRPr="00427455">
        <w:rPr>
          <w:rFonts w:ascii="Arial" w:eastAsia="Calibri" w:hAnsi="Arial" w:cs="Arial"/>
          <w:sz w:val="22"/>
          <w:szCs w:val="22"/>
        </w:rPr>
        <w:t>duction</w:t>
      </w:r>
      <w:r w:rsidR="00755B23" w:rsidRPr="00427455">
        <w:rPr>
          <w:rFonts w:ascii="Arial" w:eastAsia="Calibri" w:hAnsi="Arial" w:cs="Arial"/>
          <w:sz w:val="22"/>
          <w:szCs w:val="22"/>
        </w:rPr>
        <w:t xml:space="preserve"> of </w:t>
      </w:r>
      <w:r w:rsidR="00532601" w:rsidRPr="00427455">
        <w:rPr>
          <w:rFonts w:ascii="Arial" w:eastAsia="Calibri" w:hAnsi="Arial" w:cs="Arial"/>
          <w:sz w:val="22"/>
          <w:szCs w:val="22"/>
        </w:rPr>
        <w:t xml:space="preserve">the </w:t>
      </w:r>
      <w:r w:rsidR="00755B23" w:rsidRPr="00427455">
        <w:rPr>
          <w:rFonts w:ascii="Arial" w:eastAsia="Calibri" w:hAnsi="Arial" w:cs="Arial"/>
          <w:sz w:val="22"/>
          <w:szCs w:val="22"/>
        </w:rPr>
        <w:t xml:space="preserve">chapter </w:t>
      </w:r>
      <w:r w:rsidR="006951D9" w:rsidRPr="00427455">
        <w:rPr>
          <w:rFonts w:ascii="Arial" w:eastAsia="Calibri" w:hAnsi="Arial" w:cs="Arial"/>
          <w:sz w:val="22"/>
          <w:szCs w:val="22"/>
        </w:rPr>
        <w:t xml:space="preserve">includes </w:t>
      </w:r>
      <w:r w:rsidR="00755B23" w:rsidRPr="00427455">
        <w:rPr>
          <w:rFonts w:ascii="Arial" w:eastAsia="Calibri" w:hAnsi="Arial" w:cs="Arial"/>
          <w:sz w:val="22"/>
          <w:szCs w:val="22"/>
        </w:rPr>
        <w:t>p</w:t>
      </w:r>
      <w:r w:rsidR="00D2033E" w:rsidRPr="00427455">
        <w:rPr>
          <w:rFonts w:ascii="Arial" w:eastAsia="Calibri" w:hAnsi="Arial" w:cs="Arial"/>
          <w:sz w:val="22"/>
          <w:szCs w:val="22"/>
        </w:rPr>
        <w:t xml:space="preserve">olitical </w:t>
      </w:r>
      <w:r w:rsidR="002D7D38" w:rsidRPr="00427455">
        <w:rPr>
          <w:rFonts w:ascii="Arial" w:eastAsia="Calibri" w:hAnsi="Arial" w:cs="Arial"/>
          <w:sz w:val="22"/>
          <w:szCs w:val="22"/>
        </w:rPr>
        <w:t>expression, age, literature</w:t>
      </w:r>
      <w:r w:rsidR="00E5135F">
        <w:rPr>
          <w:rFonts w:ascii="Arial" w:eastAsia="Calibri" w:hAnsi="Arial" w:cs="Arial"/>
          <w:sz w:val="22"/>
          <w:szCs w:val="22"/>
        </w:rPr>
        <w:t xml:space="preserve"> and the</w:t>
      </w:r>
      <w:r w:rsidR="00532601" w:rsidRPr="00427455">
        <w:rPr>
          <w:rFonts w:ascii="Arial" w:eastAsia="Calibri" w:hAnsi="Arial" w:cs="Arial"/>
          <w:sz w:val="22"/>
          <w:szCs w:val="22"/>
        </w:rPr>
        <w:t xml:space="preserve"> </w:t>
      </w:r>
      <w:r w:rsidR="006951D9" w:rsidRPr="00427455">
        <w:rPr>
          <w:rFonts w:ascii="Arial" w:eastAsia="Calibri" w:hAnsi="Arial" w:cs="Arial"/>
          <w:sz w:val="22"/>
          <w:szCs w:val="22"/>
        </w:rPr>
        <w:t xml:space="preserve">overall </w:t>
      </w:r>
      <w:r w:rsidR="00532601" w:rsidRPr="00427455">
        <w:rPr>
          <w:rFonts w:ascii="Arial" w:eastAsia="Calibri" w:hAnsi="Arial" w:cs="Arial"/>
          <w:sz w:val="22"/>
          <w:szCs w:val="22"/>
        </w:rPr>
        <w:t>chapter structure</w:t>
      </w:r>
      <w:r w:rsidR="00557974">
        <w:rPr>
          <w:rFonts w:ascii="Arial" w:eastAsia="Calibri" w:hAnsi="Arial" w:cs="Arial"/>
          <w:sz w:val="22"/>
          <w:szCs w:val="22"/>
        </w:rPr>
        <w:t>. T</w:t>
      </w:r>
      <w:r w:rsidR="00992B36" w:rsidRPr="00427455">
        <w:rPr>
          <w:rFonts w:ascii="Arial" w:eastAsia="Calibri" w:hAnsi="Arial" w:cs="Arial"/>
          <w:sz w:val="22"/>
          <w:szCs w:val="22"/>
        </w:rPr>
        <w:t xml:space="preserve">he </w:t>
      </w:r>
      <w:r w:rsidR="00F41E48" w:rsidRPr="00427455">
        <w:rPr>
          <w:rFonts w:ascii="Arial" w:eastAsia="Calibri" w:hAnsi="Arial" w:cs="Arial"/>
          <w:sz w:val="22"/>
          <w:szCs w:val="22"/>
        </w:rPr>
        <w:t xml:space="preserve">three main sections are that </w:t>
      </w:r>
      <w:r w:rsidR="004A66C6" w:rsidRPr="00427455">
        <w:rPr>
          <w:rFonts w:ascii="Arial" w:eastAsia="Calibri" w:hAnsi="Arial" w:cs="Arial"/>
          <w:sz w:val="22"/>
          <w:szCs w:val="22"/>
        </w:rPr>
        <w:t xml:space="preserve">the </w:t>
      </w:r>
      <w:r w:rsidR="00992B36" w:rsidRPr="00427455">
        <w:rPr>
          <w:rFonts w:ascii="Arial" w:eastAsia="Calibri" w:hAnsi="Arial" w:cs="Arial"/>
          <w:sz w:val="22"/>
          <w:szCs w:val="22"/>
        </w:rPr>
        <w:t>first</w:t>
      </w:r>
      <w:r w:rsidR="004A66C6" w:rsidRPr="00427455">
        <w:rPr>
          <w:rFonts w:ascii="Arial" w:eastAsia="Calibri" w:hAnsi="Arial" w:cs="Arial"/>
          <w:sz w:val="22"/>
          <w:szCs w:val="22"/>
        </w:rPr>
        <w:t xml:space="preserve"> show</w:t>
      </w:r>
      <w:r w:rsidR="00F41E48" w:rsidRPr="00427455">
        <w:rPr>
          <w:rFonts w:ascii="Arial" w:eastAsia="Calibri" w:hAnsi="Arial" w:cs="Arial"/>
          <w:sz w:val="22"/>
          <w:szCs w:val="22"/>
        </w:rPr>
        <w:t>s</w:t>
      </w:r>
      <w:r w:rsidR="004A66C6" w:rsidRPr="00427455">
        <w:rPr>
          <w:rFonts w:ascii="Arial" w:eastAsia="Calibri" w:hAnsi="Arial" w:cs="Arial"/>
          <w:sz w:val="22"/>
          <w:szCs w:val="22"/>
        </w:rPr>
        <w:t xml:space="preserve"> </w:t>
      </w:r>
      <w:r w:rsidR="009F5840">
        <w:rPr>
          <w:rFonts w:ascii="Arial" w:eastAsia="Calibri" w:hAnsi="Arial" w:cs="Arial"/>
          <w:sz w:val="22"/>
          <w:szCs w:val="22"/>
        </w:rPr>
        <w:t xml:space="preserve">more </w:t>
      </w:r>
      <w:r w:rsidR="004A66C6" w:rsidRPr="00427455">
        <w:rPr>
          <w:rFonts w:ascii="Arial" w:eastAsia="Calibri" w:hAnsi="Arial" w:cs="Arial"/>
          <w:sz w:val="22"/>
          <w:szCs w:val="22"/>
        </w:rPr>
        <w:t>subtle strategies used by teachers</w:t>
      </w:r>
      <w:r w:rsidR="007757D5" w:rsidRPr="00427455">
        <w:rPr>
          <w:rFonts w:ascii="Arial" w:eastAsia="Calibri" w:hAnsi="Arial" w:cs="Arial"/>
          <w:sz w:val="22"/>
          <w:szCs w:val="22"/>
        </w:rPr>
        <w:t xml:space="preserve"> to </w:t>
      </w:r>
      <w:r w:rsidR="002C524E">
        <w:rPr>
          <w:rFonts w:ascii="Arial" w:eastAsia="Calibri" w:hAnsi="Arial" w:cs="Arial"/>
          <w:sz w:val="22"/>
          <w:szCs w:val="22"/>
        </w:rPr>
        <w:t>support</w:t>
      </w:r>
      <w:r w:rsidR="00BF1E2A" w:rsidRPr="00427455">
        <w:rPr>
          <w:rFonts w:ascii="Arial" w:eastAsia="Calibri" w:hAnsi="Arial" w:cs="Arial"/>
          <w:sz w:val="22"/>
          <w:szCs w:val="22"/>
        </w:rPr>
        <w:t xml:space="preserve"> the movement with a lower risk to their reputations. </w:t>
      </w:r>
      <w:r w:rsidR="00F41E48" w:rsidRPr="00427455">
        <w:rPr>
          <w:rFonts w:ascii="Arial" w:eastAsia="Calibri" w:hAnsi="Arial" w:cs="Arial"/>
          <w:sz w:val="22"/>
          <w:szCs w:val="22"/>
        </w:rPr>
        <w:t xml:space="preserve">The second </w:t>
      </w:r>
      <w:r w:rsidR="00CC60EB" w:rsidRPr="00427455">
        <w:rPr>
          <w:rFonts w:ascii="Arial" w:eastAsia="Calibri" w:hAnsi="Arial" w:cs="Arial"/>
          <w:sz w:val="22"/>
          <w:szCs w:val="22"/>
        </w:rPr>
        <w:t xml:space="preserve">shows how teachers </w:t>
      </w:r>
      <w:r w:rsidR="00EA0080" w:rsidRPr="00427455">
        <w:rPr>
          <w:rFonts w:ascii="Arial" w:eastAsia="Calibri" w:hAnsi="Arial" w:cs="Arial"/>
          <w:sz w:val="22"/>
          <w:szCs w:val="22"/>
        </w:rPr>
        <w:t>encouraged the movement more overtly</w:t>
      </w:r>
      <w:r w:rsidR="004175A2" w:rsidRPr="00427455">
        <w:rPr>
          <w:rFonts w:ascii="Arial" w:eastAsia="Calibri" w:hAnsi="Arial" w:cs="Arial"/>
          <w:sz w:val="22"/>
          <w:szCs w:val="22"/>
        </w:rPr>
        <w:t xml:space="preserve">, and the last shows how the girls themselves </w:t>
      </w:r>
      <w:r w:rsidR="002804D6" w:rsidRPr="00427455">
        <w:rPr>
          <w:rFonts w:ascii="Arial" w:eastAsia="Calibri" w:hAnsi="Arial" w:cs="Arial"/>
          <w:sz w:val="22"/>
          <w:szCs w:val="22"/>
        </w:rPr>
        <w:t xml:space="preserve">became involved. </w:t>
      </w:r>
    </w:p>
    <w:p w14:paraId="24641E6B" w14:textId="13D82F35" w:rsidR="00DB266C" w:rsidRPr="00427455" w:rsidRDefault="00DB266C" w:rsidP="008F7FA7">
      <w:pPr>
        <w:spacing w:after="0" w:line="480" w:lineRule="auto"/>
        <w:jc w:val="both"/>
        <w:rPr>
          <w:rFonts w:ascii="Arial" w:eastAsia="Calibri" w:hAnsi="Arial" w:cs="Arial"/>
          <w:sz w:val="22"/>
          <w:szCs w:val="22"/>
        </w:rPr>
      </w:pPr>
      <w:r w:rsidRPr="00427455">
        <w:rPr>
          <w:rFonts w:ascii="Arial" w:eastAsia="Calibri" w:hAnsi="Arial" w:cs="Arial"/>
          <w:sz w:val="22"/>
          <w:szCs w:val="22"/>
        </w:rPr>
        <w:t xml:space="preserve">Geographically, there is a focus on </w:t>
      </w:r>
      <w:r w:rsidR="00B17C85" w:rsidRPr="00427455">
        <w:rPr>
          <w:rFonts w:ascii="Arial" w:eastAsia="Calibri" w:hAnsi="Arial" w:cs="Arial"/>
          <w:sz w:val="22"/>
          <w:szCs w:val="22"/>
        </w:rPr>
        <w:t xml:space="preserve">key urban areas in England </w:t>
      </w:r>
      <w:r w:rsidR="00BD75C4" w:rsidRPr="00427455">
        <w:rPr>
          <w:rFonts w:ascii="Arial" w:eastAsia="Calibri" w:hAnsi="Arial" w:cs="Arial"/>
          <w:sz w:val="22"/>
          <w:szCs w:val="22"/>
        </w:rPr>
        <w:t xml:space="preserve">with large </w:t>
      </w:r>
      <w:r w:rsidR="00700300" w:rsidRPr="00427455">
        <w:rPr>
          <w:rFonts w:ascii="Arial" w:eastAsia="Calibri" w:hAnsi="Arial" w:cs="Arial"/>
          <w:sz w:val="22"/>
          <w:szCs w:val="22"/>
        </w:rPr>
        <w:t>girls’ schools</w:t>
      </w:r>
      <w:r w:rsidR="00371AE5" w:rsidRPr="00427455">
        <w:rPr>
          <w:rFonts w:ascii="Arial" w:eastAsia="Calibri" w:hAnsi="Arial" w:cs="Arial"/>
          <w:sz w:val="22"/>
          <w:szCs w:val="22"/>
        </w:rPr>
        <w:t>.</w:t>
      </w:r>
      <w:r w:rsidR="00C45431">
        <w:rPr>
          <w:rFonts w:ascii="Arial" w:eastAsia="Calibri" w:hAnsi="Arial" w:cs="Arial"/>
          <w:sz w:val="22"/>
          <w:szCs w:val="22"/>
        </w:rPr>
        <w:t xml:space="preserve"> Some other areas </w:t>
      </w:r>
      <w:r w:rsidR="00397FEE">
        <w:rPr>
          <w:rFonts w:ascii="Arial" w:eastAsia="Calibri" w:hAnsi="Arial" w:cs="Arial"/>
          <w:sz w:val="22"/>
          <w:szCs w:val="22"/>
        </w:rPr>
        <w:t>around the United Kingdom and Ireland are mentioned periodically.</w:t>
      </w:r>
    </w:p>
    <w:p w14:paraId="74047CA2" w14:textId="63B093DE" w:rsidR="005E2236" w:rsidRDefault="004A0E75" w:rsidP="008F7FA7">
      <w:pPr>
        <w:spacing w:after="0" w:line="480" w:lineRule="auto"/>
        <w:jc w:val="both"/>
        <w:rPr>
          <w:rFonts w:ascii="Arial" w:eastAsia="Calibri" w:hAnsi="Arial" w:cs="Arial"/>
          <w:sz w:val="22"/>
          <w:szCs w:val="22"/>
        </w:rPr>
      </w:pPr>
      <w:r w:rsidRPr="00427455">
        <w:rPr>
          <w:rFonts w:ascii="Arial" w:eastAsia="Calibri" w:hAnsi="Arial" w:cs="Arial"/>
          <w:sz w:val="22"/>
          <w:szCs w:val="22"/>
        </w:rPr>
        <w:t>A range of primary sources were used for the re</w:t>
      </w:r>
      <w:r w:rsidR="0090225D" w:rsidRPr="00427455">
        <w:rPr>
          <w:rFonts w:ascii="Arial" w:eastAsia="Calibri" w:hAnsi="Arial" w:cs="Arial"/>
          <w:sz w:val="22"/>
          <w:szCs w:val="22"/>
        </w:rPr>
        <w:t xml:space="preserve">search of the chapter, such as </w:t>
      </w:r>
      <w:r w:rsidR="00EB1861" w:rsidRPr="00427455">
        <w:rPr>
          <w:rFonts w:ascii="Arial" w:eastAsia="Calibri" w:hAnsi="Arial" w:cs="Arial"/>
          <w:sz w:val="22"/>
          <w:szCs w:val="22"/>
        </w:rPr>
        <w:t xml:space="preserve">school magazines. </w:t>
      </w:r>
    </w:p>
    <w:p w14:paraId="068CFEE7" w14:textId="76C19844" w:rsidR="00B42B11" w:rsidRPr="00427455" w:rsidRDefault="00B42B11" w:rsidP="008F7FA7">
      <w:pPr>
        <w:spacing w:after="0" w:line="480" w:lineRule="auto"/>
        <w:jc w:val="both"/>
        <w:rPr>
          <w:rFonts w:ascii="Arial" w:eastAsia="Calibri" w:hAnsi="Arial" w:cs="Arial"/>
          <w:sz w:val="22"/>
          <w:szCs w:val="22"/>
        </w:rPr>
      </w:pPr>
      <w:r>
        <w:rPr>
          <w:rFonts w:ascii="Arial" w:eastAsia="Calibri" w:hAnsi="Arial" w:cs="Arial"/>
          <w:sz w:val="22"/>
          <w:szCs w:val="22"/>
        </w:rPr>
        <w:lastRenderedPageBreak/>
        <w:t xml:space="preserve">The </w:t>
      </w:r>
      <w:r w:rsidR="00BD7E5B">
        <w:rPr>
          <w:rFonts w:ascii="Arial" w:eastAsia="Calibri" w:hAnsi="Arial" w:cs="Arial"/>
          <w:sz w:val="22"/>
          <w:szCs w:val="22"/>
        </w:rPr>
        <w:t xml:space="preserve">time period focused on is largely the late nineteenth century and early </w:t>
      </w:r>
      <w:r w:rsidR="00E33552">
        <w:rPr>
          <w:rFonts w:ascii="Arial" w:eastAsia="Calibri" w:hAnsi="Arial" w:cs="Arial"/>
          <w:sz w:val="22"/>
          <w:szCs w:val="22"/>
        </w:rPr>
        <w:t xml:space="preserve">twentieth century, mainly as this is when the </w:t>
      </w:r>
      <w:r w:rsidR="00D3101B">
        <w:rPr>
          <w:rFonts w:ascii="Arial" w:eastAsia="Calibri" w:hAnsi="Arial" w:cs="Arial"/>
          <w:sz w:val="22"/>
          <w:szCs w:val="22"/>
        </w:rPr>
        <w:t xml:space="preserve">movement started and </w:t>
      </w:r>
      <w:r w:rsidR="00B05715">
        <w:rPr>
          <w:rFonts w:ascii="Arial" w:eastAsia="Calibri" w:hAnsi="Arial" w:cs="Arial"/>
          <w:sz w:val="22"/>
          <w:szCs w:val="22"/>
        </w:rPr>
        <w:t xml:space="preserve">then </w:t>
      </w:r>
      <w:r w:rsidR="00D3101B">
        <w:rPr>
          <w:rFonts w:ascii="Arial" w:eastAsia="Calibri" w:hAnsi="Arial" w:cs="Arial"/>
          <w:sz w:val="22"/>
          <w:szCs w:val="22"/>
        </w:rPr>
        <w:t xml:space="preserve">‘ended’ in </w:t>
      </w:r>
      <w:r w:rsidR="00E045A0">
        <w:rPr>
          <w:rFonts w:ascii="Arial" w:eastAsia="Calibri" w:hAnsi="Arial" w:cs="Arial"/>
          <w:sz w:val="22"/>
          <w:szCs w:val="22"/>
        </w:rPr>
        <w:t>1918 w</w:t>
      </w:r>
      <w:r w:rsidR="00B05715">
        <w:rPr>
          <w:rFonts w:ascii="Arial" w:eastAsia="Calibri" w:hAnsi="Arial" w:cs="Arial"/>
          <w:sz w:val="22"/>
          <w:szCs w:val="22"/>
        </w:rPr>
        <w:t>hen some women were given the vote.</w:t>
      </w:r>
    </w:p>
    <w:p w14:paraId="0A515E04" w14:textId="43696561" w:rsidR="002E1EBB" w:rsidRPr="00B80AA7" w:rsidRDefault="002E1EBB" w:rsidP="008F7FA7">
      <w:pPr>
        <w:spacing w:after="0" w:line="480" w:lineRule="auto"/>
        <w:jc w:val="both"/>
        <w:rPr>
          <w:rFonts w:ascii="Arial" w:eastAsia="Calibri" w:hAnsi="Arial" w:cs="Arial"/>
          <w:sz w:val="22"/>
          <w:szCs w:val="22"/>
          <w:u w:val="single"/>
        </w:rPr>
      </w:pPr>
    </w:p>
    <w:p w14:paraId="27FB8F77" w14:textId="77777777" w:rsidR="00C534DD" w:rsidRDefault="00C534DD" w:rsidP="008F7FA7">
      <w:pPr>
        <w:spacing w:after="0" w:line="480" w:lineRule="auto"/>
        <w:jc w:val="both"/>
        <w:rPr>
          <w:rFonts w:ascii="Arial" w:eastAsia="Calibri" w:hAnsi="Arial" w:cs="Arial"/>
          <w:sz w:val="22"/>
          <w:szCs w:val="22"/>
        </w:rPr>
      </w:pPr>
      <w:r>
        <w:rPr>
          <w:rFonts w:ascii="Arial" w:eastAsia="Calibri" w:hAnsi="Arial" w:cs="Arial"/>
          <w:sz w:val="22"/>
          <w:szCs w:val="22"/>
        </w:rPr>
        <w:t>The chapter is w</w:t>
      </w:r>
      <w:r w:rsidRPr="00427455">
        <w:rPr>
          <w:rFonts w:ascii="Arial" w:eastAsia="Calibri" w:hAnsi="Arial" w:cs="Arial"/>
          <w:sz w:val="22"/>
          <w:szCs w:val="22"/>
        </w:rPr>
        <w:t>ritten by Helen Sunderland, a British twenty-first century historian. She completed her doctoral research the same year the edited collection was published.</w:t>
      </w:r>
      <w:r w:rsidRPr="00427455">
        <w:rPr>
          <w:rStyle w:val="FootnoteReference"/>
          <w:rFonts w:ascii="Arial" w:eastAsia="Calibri" w:hAnsi="Arial" w:cs="Arial"/>
          <w:sz w:val="22"/>
          <w:szCs w:val="22"/>
        </w:rPr>
        <w:footnoteReference w:id="3"/>
      </w:r>
      <w:r>
        <w:rPr>
          <w:rFonts w:ascii="Arial" w:eastAsia="Calibri" w:hAnsi="Arial" w:cs="Arial"/>
          <w:sz w:val="22"/>
          <w:szCs w:val="22"/>
        </w:rPr>
        <w:t xml:space="preserve"> This is obviously around 100 years after the time period she is exploring, meaning that what information is available to research and rely on depends on what was documented at the time. </w:t>
      </w:r>
    </w:p>
    <w:p w14:paraId="0AC4C88D" w14:textId="59B0F958" w:rsidR="0098216A" w:rsidRPr="00427455" w:rsidRDefault="0098216A" w:rsidP="008F7FA7">
      <w:pPr>
        <w:spacing w:after="0" w:line="480" w:lineRule="auto"/>
        <w:jc w:val="both"/>
        <w:rPr>
          <w:rFonts w:ascii="Arial" w:eastAsia="Calibri" w:hAnsi="Arial" w:cs="Arial"/>
          <w:sz w:val="22"/>
          <w:szCs w:val="22"/>
        </w:rPr>
      </w:pPr>
      <w:r>
        <w:rPr>
          <w:rFonts w:ascii="Arial" w:eastAsia="Calibri" w:hAnsi="Arial" w:cs="Arial"/>
          <w:sz w:val="22"/>
          <w:szCs w:val="22"/>
        </w:rPr>
        <w:t>The author does focus their work on the links between politics and childhood</w:t>
      </w:r>
      <w:r w:rsidR="00315340">
        <w:rPr>
          <w:rFonts w:ascii="Arial" w:eastAsia="Calibri" w:hAnsi="Arial" w:cs="Arial"/>
          <w:sz w:val="22"/>
          <w:szCs w:val="22"/>
        </w:rPr>
        <w:t xml:space="preserve"> education,</w:t>
      </w:r>
      <w:r w:rsidR="005D6BFA">
        <w:rPr>
          <w:rStyle w:val="FootnoteReference"/>
          <w:rFonts w:ascii="Arial" w:eastAsia="Calibri" w:hAnsi="Arial" w:cs="Arial"/>
          <w:sz w:val="22"/>
          <w:szCs w:val="22"/>
        </w:rPr>
        <w:footnoteReference w:id="4"/>
      </w:r>
      <w:r w:rsidR="00315340">
        <w:rPr>
          <w:rFonts w:ascii="Arial" w:eastAsia="Calibri" w:hAnsi="Arial" w:cs="Arial"/>
          <w:sz w:val="22"/>
          <w:szCs w:val="22"/>
        </w:rPr>
        <w:t xml:space="preserve"> meaning that this chapter is within their area of expertise and therefore likely to be well researched</w:t>
      </w:r>
      <w:r w:rsidR="00A8611C">
        <w:rPr>
          <w:rFonts w:ascii="Arial" w:eastAsia="Calibri" w:hAnsi="Arial" w:cs="Arial"/>
          <w:sz w:val="22"/>
          <w:szCs w:val="22"/>
        </w:rPr>
        <w:t xml:space="preserve"> by the author</w:t>
      </w:r>
      <w:r w:rsidR="00315340">
        <w:rPr>
          <w:rFonts w:ascii="Arial" w:eastAsia="Calibri" w:hAnsi="Arial" w:cs="Arial"/>
          <w:sz w:val="22"/>
          <w:szCs w:val="22"/>
        </w:rPr>
        <w:t xml:space="preserve">. </w:t>
      </w:r>
    </w:p>
    <w:p w14:paraId="00492311" w14:textId="56F911BC" w:rsidR="00B94004" w:rsidRDefault="0043670B" w:rsidP="008F7FA7">
      <w:pPr>
        <w:spacing w:after="0" w:line="480" w:lineRule="auto"/>
        <w:jc w:val="both"/>
        <w:rPr>
          <w:rFonts w:ascii="Arial" w:eastAsia="Calibri" w:hAnsi="Arial" w:cs="Arial"/>
          <w:sz w:val="22"/>
          <w:szCs w:val="22"/>
        </w:rPr>
      </w:pPr>
      <w:r w:rsidRPr="00427455">
        <w:rPr>
          <w:rFonts w:ascii="Arial" w:eastAsia="Calibri" w:hAnsi="Arial" w:cs="Arial"/>
          <w:sz w:val="22"/>
          <w:szCs w:val="22"/>
        </w:rPr>
        <w:t xml:space="preserve">Using such a varied range of sources benefits the chapter as it </w:t>
      </w:r>
      <w:r w:rsidR="001359C2" w:rsidRPr="00427455">
        <w:rPr>
          <w:rFonts w:ascii="Arial" w:eastAsia="Calibri" w:hAnsi="Arial" w:cs="Arial"/>
          <w:sz w:val="22"/>
          <w:szCs w:val="22"/>
        </w:rPr>
        <w:t xml:space="preserve">“enables an exploration of how age and class influenced </w:t>
      </w:r>
      <w:r w:rsidR="003A4041" w:rsidRPr="00427455">
        <w:rPr>
          <w:rFonts w:ascii="Arial" w:eastAsia="Calibri" w:hAnsi="Arial" w:cs="Arial"/>
          <w:sz w:val="22"/>
          <w:szCs w:val="22"/>
        </w:rPr>
        <w:t>schoolgirls’ engagement with the suffrage question.</w:t>
      </w:r>
      <w:r w:rsidR="001359C2" w:rsidRPr="00427455">
        <w:rPr>
          <w:rFonts w:ascii="Arial" w:eastAsia="Calibri" w:hAnsi="Arial" w:cs="Arial"/>
          <w:sz w:val="22"/>
          <w:szCs w:val="22"/>
        </w:rPr>
        <w:t>”</w:t>
      </w:r>
      <w:r w:rsidR="003A4041" w:rsidRPr="00427455">
        <w:rPr>
          <w:rStyle w:val="FootnoteReference"/>
          <w:rFonts w:ascii="Arial" w:eastAsia="Calibri" w:hAnsi="Arial" w:cs="Arial"/>
          <w:sz w:val="22"/>
          <w:szCs w:val="22"/>
        </w:rPr>
        <w:footnoteReference w:id="5"/>
      </w:r>
      <w:r w:rsidR="00CC09E6" w:rsidRPr="00427455">
        <w:rPr>
          <w:rFonts w:ascii="Arial" w:eastAsia="Calibri" w:hAnsi="Arial" w:cs="Arial"/>
          <w:sz w:val="22"/>
          <w:szCs w:val="22"/>
        </w:rPr>
        <w:t xml:space="preserve"> The range of </w:t>
      </w:r>
      <w:r w:rsidR="00D81D01" w:rsidRPr="00427455">
        <w:rPr>
          <w:rFonts w:ascii="Arial" w:eastAsia="Calibri" w:hAnsi="Arial" w:cs="Arial"/>
          <w:sz w:val="22"/>
          <w:szCs w:val="22"/>
        </w:rPr>
        <w:t>sources</w:t>
      </w:r>
      <w:r w:rsidR="00CC09E6" w:rsidRPr="00427455">
        <w:rPr>
          <w:rFonts w:ascii="Arial" w:eastAsia="Calibri" w:hAnsi="Arial" w:cs="Arial"/>
          <w:sz w:val="22"/>
          <w:szCs w:val="22"/>
        </w:rPr>
        <w:t xml:space="preserve"> allows for a fuller picture to be identified</w:t>
      </w:r>
      <w:r w:rsidR="00D81D01" w:rsidRPr="00427455">
        <w:rPr>
          <w:rFonts w:ascii="Arial" w:eastAsia="Calibri" w:hAnsi="Arial" w:cs="Arial"/>
          <w:sz w:val="22"/>
          <w:szCs w:val="22"/>
        </w:rPr>
        <w:t xml:space="preserve"> and therefore </w:t>
      </w:r>
      <w:r w:rsidR="006E5449" w:rsidRPr="00427455">
        <w:rPr>
          <w:rFonts w:ascii="Arial" w:eastAsia="Calibri" w:hAnsi="Arial" w:cs="Arial"/>
          <w:sz w:val="22"/>
          <w:szCs w:val="22"/>
        </w:rPr>
        <w:t xml:space="preserve">give a more accurate argument of the discussed history. </w:t>
      </w:r>
      <w:r w:rsidR="00F776DE">
        <w:rPr>
          <w:rFonts w:ascii="Arial" w:eastAsia="Calibri" w:hAnsi="Arial" w:cs="Arial"/>
          <w:sz w:val="22"/>
          <w:szCs w:val="22"/>
        </w:rPr>
        <w:t xml:space="preserve">The author </w:t>
      </w:r>
      <w:r w:rsidR="00451D26">
        <w:rPr>
          <w:rFonts w:ascii="Arial" w:eastAsia="Calibri" w:hAnsi="Arial" w:cs="Arial"/>
          <w:sz w:val="22"/>
          <w:szCs w:val="22"/>
        </w:rPr>
        <w:t>shows the depth and breadth of their</w:t>
      </w:r>
      <w:r w:rsidR="00A54CED">
        <w:rPr>
          <w:rFonts w:ascii="Arial" w:eastAsia="Calibri" w:hAnsi="Arial" w:cs="Arial"/>
          <w:sz w:val="22"/>
          <w:szCs w:val="22"/>
        </w:rPr>
        <w:t xml:space="preserve"> </w:t>
      </w:r>
      <w:r w:rsidR="00451D26">
        <w:rPr>
          <w:rFonts w:ascii="Arial" w:eastAsia="Calibri" w:hAnsi="Arial" w:cs="Arial"/>
          <w:sz w:val="22"/>
          <w:szCs w:val="22"/>
        </w:rPr>
        <w:t xml:space="preserve">research on the chosen topic </w:t>
      </w:r>
      <w:r w:rsidR="00925F25">
        <w:rPr>
          <w:rFonts w:ascii="Arial" w:eastAsia="Calibri" w:hAnsi="Arial" w:cs="Arial"/>
          <w:sz w:val="22"/>
          <w:szCs w:val="22"/>
        </w:rPr>
        <w:t>through this wide</w:t>
      </w:r>
      <w:r w:rsidR="00345D24">
        <w:rPr>
          <w:rFonts w:ascii="Arial" w:eastAsia="Calibri" w:hAnsi="Arial" w:cs="Arial"/>
          <w:sz w:val="22"/>
          <w:szCs w:val="22"/>
        </w:rPr>
        <w:t xml:space="preserve"> selection of primary sources such as </w:t>
      </w:r>
      <w:r w:rsidR="0061002D">
        <w:rPr>
          <w:rFonts w:ascii="Arial" w:eastAsia="Calibri" w:hAnsi="Arial" w:cs="Arial"/>
          <w:sz w:val="22"/>
          <w:szCs w:val="22"/>
        </w:rPr>
        <w:t xml:space="preserve">old </w:t>
      </w:r>
      <w:r w:rsidR="007F50FE">
        <w:rPr>
          <w:rFonts w:ascii="Arial" w:eastAsia="Calibri" w:hAnsi="Arial" w:cs="Arial"/>
          <w:sz w:val="22"/>
          <w:szCs w:val="22"/>
        </w:rPr>
        <w:t>magazines</w:t>
      </w:r>
      <w:r w:rsidR="00A24E03">
        <w:rPr>
          <w:rFonts w:ascii="Arial" w:eastAsia="Calibri" w:hAnsi="Arial" w:cs="Arial"/>
          <w:sz w:val="22"/>
          <w:szCs w:val="22"/>
        </w:rPr>
        <w:t>,</w:t>
      </w:r>
      <w:r w:rsidR="00BA496E">
        <w:rPr>
          <w:rStyle w:val="FootnoteReference"/>
          <w:rFonts w:ascii="Arial" w:eastAsia="Calibri" w:hAnsi="Arial" w:cs="Arial"/>
          <w:sz w:val="22"/>
          <w:szCs w:val="22"/>
        </w:rPr>
        <w:footnoteReference w:id="6"/>
      </w:r>
      <w:r w:rsidR="00A24E03">
        <w:rPr>
          <w:rFonts w:ascii="Arial" w:eastAsia="Calibri" w:hAnsi="Arial" w:cs="Arial"/>
          <w:sz w:val="22"/>
          <w:szCs w:val="22"/>
        </w:rPr>
        <w:t xml:space="preserve"> membership lists</w:t>
      </w:r>
      <w:r w:rsidR="00B93EF8">
        <w:rPr>
          <w:rFonts w:ascii="Arial" w:eastAsia="Calibri" w:hAnsi="Arial" w:cs="Arial"/>
          <w:sz w:val="22"/>
          <w:szCs w:val="22"/>
        </w:rPr>
        <w:t>,</w:t>
      </w:r>
      <w:r w:rsidR="00293739">
        <w:rPr>
          <w:rStyle w:val="FootnoteReference"/>
          <w:rFonts w:ascii="Arial" w:eastAsia="Calibri" w:hAnsi="Arial" w:cs="Arial"/>
          <w:sz w:val="22"/>
          <w:szCs w:val="22"/>
        </w:rPr>
        <w:footnoteReference w:id="7"/>
      </w:r>
      <w:r w:rsidR="00590DC2">
        <w:rPr>
          <w:rFonts w:ascii="Arial" w:eastAsia="Calibri" w:hAnsi="Arial" w:cs="Arial"/>
          <w:sz w:val="22"/>
          <w:szCs w:val="22"/>
        </w:rPr>
        <w:t xml:space="preserve"> </w:t>
      </w:r>
      <w:r w:rsidR="00345D24">
        <w:rPr>
          <w:rFonts w:ascii="Arial" w:eastAsia="Calibri" w:hAnsi="Arial" w:cs="Arial"/>
          <w:sz w:val="22"/>
          <w:szCs w:val="22"/>
        </w:rPr>
        <w:t xml:space="preserve">and </w:t>
      </w:r>
      <w:r w:rsidR="00590DC2">
        <w:rPr>
          <w:rFonts w:ascii="Arial" w:eastAsia="Calibri" w:hAnsi="Arial" w:cs="Arial"/>
          <w:sz w:val="22"/>
          <w:szCs w:val="22"/>
        </w:rPr>
        <w:t>poems</w:t>
      </w:r>
      <w:r w:rsidR="00345D24">
        <w:rPr>
          <w:rFonts w:ascii="Arial" w:eastAsia="Calibri" w:hAnsi="Arial" w:cs="Arial"/>
          <w:sz w:val="22"/>
          <w:szCs w:val="22"/>
        </w:rPr>
        <w:t>.</w:t>
      </w:r>
      <w:r w:rsidR="00C9641F">
        <w:rPr>
          <w:rStyle w:val="FootnoteReference"/>
          <w:rFonts w:ascii="Arial" w:eastAsia="Calibri" w:hAnsi="Arial" w:cs="Arial"/>
          <w:sz w:val="22"/>
          <w:szCs w:val="22"/>
        </w:rPr>
        <w:footnoteReference w:id="8"/>
      </w:r>
    </w:p>
    <w:p w14:paraId="11B4BFE7" w14:textId="7F4A8EAD" w:rsidR="00D704CB" w:rsidRDefault="00C452D9" w:rsidP="008F7FA7">
      <w:pPr>
        <w:spacing w:after="0" w:line="480" w:lineRule="auto"/>
        <w:jc w:val="both"/>
        <w:rPr>
          <w:rFonts w:ascii="Arial" w:eastAsia="Calibri" w:hAnsi="Arial" w:cs="Arial"/>
          <w:sz w:val="22"/>
          <w:szCs w:val="22"/>
        </w:rPr>
      </w:pPr>
      <w:r>
        <w:rPr>
          <w:rFonts w:ascii="Arial" w:eastAsia="Calibri" w:hAnsi="Arial" w:cs="Arial"/>
          <w:sz w:val="22"/>
          <w:szCs w:val="22"/>
        </w:rPr>
        <w:t>Including examples of speci</w:t>
      </w:r>
      <w:r w:rsidR="000A1D5C">
        <w:rPr>
          <w:rFonts w:ascii="Arial" w:eastAsia="Calibri" w:hAnsi="Arial" w:cs="Arial"/>
          <w:sz w:val="22"/>
          <w:szCs w:val="22"/>
        </w:rPr>
        <w:t xml:space="preserve">fic suffragist </w:t>
      </w:r>
      <w:r w:rsidR="006F14D6">
        <w:rPr>
          <w:rFonts w:ascii="Arial" w:eastAsia="Calibri" w:hAnsi="Arial" w:cs="Arial"/>
          <w:sz w:val="22"/>
          <w:szCs w:val="22"/>
        </w:rPr>
        <w:t>actions</w:t>
      </w:r>
      <w:r w:rsidR="00167FDE">
        <w:rPr>
          <w:rStyle w:val="FootnoteReference"/>
          <w:rFonts w:ascii="Arial" w:eastAsia="Calibri" w:hAnsi="Arial" w:cs="Arial"/>
          <w:sz w:val="22"/>
          <w:szCs w:val="22"/>
        </w:rPr>
        <w:footnoteReference w:id="9"/>
      </w:r>
      <w:r w:rsidR="006F14D6">
        <w:rPr>
          <w:rFonts w:ascii="Arial" w:eastAsia="Calibri" w:hAnsi="Arial" w:cs="Arial"/>
          <w:sz w:val="22"/>
          <w:szCs w:val="22"/>
        </w:rPr>
        <w:t xml:space="preserve"> </w:t>
      </w:r>
      <w:r w:rsidR="00403736">
        <w:rPr>
          <w:rFonts w:ascii="Arial" w:eastAsia="Calibri" w:hAnsi="Arial" w:cs="Arial"/>
          <w:sz w:val="22"/>
          <w:szCs w:val="22"/>
        </w:rPr>
        <w:t xml:space="preserve">creates a more realistic sense of the </w:t>
      </w:r>
      <w:r w:rsidR="00167FDE">
        <w:rPr>
          <w:rFonts w:ascii="Arial" w:eastAsia="Calibri" w:hAnsi="Arial" w:cs="Arial"/>
          <w:sz w:val="22"/>
          <w:szCs w:val="22"/>
        </w:rPr>
        <w:t>women’s</w:t>
      </w:r>
      <w:r w:rsidR="00403736">
        <w:rPr>
          <w:rFonts w:ascii="Arial" w:eastAsia="Calibri" w:hAnsi="Arial" w:cs="Arial"/>
          <w:sz w:val="22"/>
          <w:szCs w:val="22"/>
        </w:rPr>
        <w:t xml:space="preserve"> stories and </w:t>
      </w:r>
      <w:r w:rsidR="00167FDE">
        <w:rPr>
          <w:rFonts w:ascii="Arial" w:eastAsia="Calibri" w:hAnsi="Arial" w:cs="Arial"/>
          <w:sz w:val="22"/>
          <w:szCs w:val="22"/>
        </w:rPr>
        <w:t xml:space="preserve">motivations towards the overall movement. </w:t>
      </w:r>
      <w:r w:rsidR="00A23CBF">
        <w:rPr>
          <w:rFonts w:ascii="Arial" w:eastAsia="Calibri" w:hAnsi="Arial" w:cs="Arial"/>
          <w:sz w:val="22"/>
          <w:szCs w:val="22"/>
        </w:rPr>
        <w:t xml:space="preserve">Including their names furthers this and also </w:t>
      </w:r>
      <w:r w:rsidR="008D2C60">
        <w:rPr>
          <w:rFonts w:ascii="Arial" w:eastAsia="Calibri" w:hAnsi="Arial" w:cs="Arial"/>
          <w:sz w:val="22"/>
          <w:szCs w:val="22"/>
        </w:rPr>
        <w:t xml:space="preserve">gives them a place in </w:t>
      </w:r>
      <w:r w:rsidR="00A6605C">
        <w:rPr>
          <w:rFonts w:ascii="Arial" w:eastAsia="Calibri" w:hAnsi="Arial" w:cs="Arial"/>
          <w:sz w:val="22"/>
          <w:szCs w:val="22"/>
        </w:rPr>
        <w:t>history that is available to the public and not forgotten in time or hidden away in an archive</w:t>
      </w:r>
      <w:r w:rsidR="00C71A33">
        <w:rPr>
          <w:rFonts w:ascii="Arial" w:eastAsia="Calibri" w:hAnsi="Arial" w:cs="Arial"/>
          <w:sz w:val="22"/>
          <w:szCs w:val="22"/>
        </w:rPr>
        <w:t xml:space="preserve">. This emphasises the importance of </w:t>
      </w:r>
      <w:r w:rsidR="00D440DD">
        <w:rPr>
          <w:rFonts w:ascii="Arial" w:eastAsia="Calibri" w:hAnsi="Arial" w:cs="Arial"/>
          <w:sz w:val="22"/>
          <w:szCs w:val="22"/>
        </w:rPr>
        <w:t xml:space="preserve">lesser-known individuals and their </w:t>
      </w:r>
      <w:r w:rsidR="006B78FC">
        <w:rPr>
          <w:rFonts w:ascii="Arial" w:eastAsia="Calibri" w:hAnsi="Arial" w:cs="Arial"/>
          <w:sz w:val="22"/>
          <w:szCs w:val="22"/>
        </w:rPr>
        <w:t>contributions to famous historical events</w:t>
      </w:r>
      <w:r w:rsidR="004076E4">
        <w:rPr>
          <w:rFonts w:ascii="Arial" w:eastAsia="Calibri" w:hAnsi="Arial" w:cs="Arial"/>
          <w:sz w:val="22"/>
          <w:szCs w:val="22"/>
        </w:rPr>
        <w:t xml:space="preserve">, something which is not </w:t>
      </w:r>
      <w:r w:rsidR="004076E4">
        <w:rPr>
          <w:rFonts w:ascii="Arial" w:eastAsia="Calibri" w:hAnsi="Arial" w:cs="Arial"/>
          <w:sz w:val="22"/>
          <w:szCs w:val="22"/>
        </w:rPr>
        <w:lastRenderedPageBreak/>
        <w:t xml:space="preserve">often included </w:t>
      </w:r>
      <w:r w:rsidR="00EB6D0D">
        <w:rPr>
          <w:rFonts w:ascii="Arial" w:eastAsia="Calibri" w:hAnsi="Arial" w:cs="Arial"/>
          <w:sz w:val="22"/>
          <w:szCs w:val="22"/>
        </w:rPr>
        <w:t>at a more basic level of exploration</w:t>
      </w:r>
      <w:r w:rsidR="006B78FC">
        <w:rPr>
          <w:rFonts w:ascii="Arial" w:eastAsia="Calibri" w:hAnsi="Arial" w:cs="Arial"/>
          <w:sz w:val="22"/>
          <w:szCs w:val="22"/>
        </w:rPr>
        <w:t>.</w:t>
      </w:r>
      <w:r w:rsidR="0015301A">
        <w:rPr>
          <w:rStyle w:val="FootnoteReference"/>
          <w:rFonts w:ascii="Arial" w:eastAsia="Calibri" w:hAnsi="Arial" w:cs="Arial"/>
          <w:sz w:val="22"/>
          <w:szCs w:val="22"/>
        </w:rPr>
        <w:footnoteReference w:id="10"/>
      </w:r>
      <w:r w:rsidR="006B78FC">
        <w:rPr>
          <w:rFonts w:ascii="Arial" w:eastAsia="Calibri" w:hAnsi="Arial" w:cs="Arial"/>
          <w:sz w:val="22"/>
          <w:szCs w:val="22"/>
        </w:rPr>
        <w:t xml:space="preserve"> </w:t>
      </w:r>
      <w:r w:rsidR="006312DA">
        <w:rPr>
          <w:rFonts w:ascii="Arial" w:eastAsia="Calibri" w:hAnsi="Arial" w:cs="Arial"/>
          <w:sz w:val="22"/>
          <w:szCs w:val="22"/>
        </w:rPr>
        <w:t>By making the text more realistic it is often therefore more relatable</w:t>
      </w:r>
      <w:r w:rsidR="00EB6D0D">
        <w:rPr>
          <w:rFonts w:ascii="Arial" w:eastAsia="Calibri" w:hAnsi="Arial" w:cs="Arial"/>
          <w:sz w:val="22"/>
          <w:szCs w:val="22"/>
        </w:rPr>
        <w:t xml:space="preserve"> and </w:t>
      </w:r>
      <w:r w:rsidR="00934FC9">
        <w:rPr>
          <w:rFonts w:ascii="Arial" w:eastAsia="Calibri" w:hAnsi="Arial" w:cs="Arial"/>
          <w:sz w:val="22"/>
          <w:szCs w:val="22"/>
        </w:rPr>
        <w:t>engaging</w:t>
      </w:r>
      <w:r w:rsidR="006312DA">
        <w:rPr>
          <w:rFonts w:ascii="Arial" w:eastAsia="Calibri" w:hAnsi="Arial" w:cs="Arial"/>
          <w:sz w:val="22"/>
          <w:szCs w:val="22"/>
        </w:rPr>
        <w:t xml:space="preserve"> </w:t>
      </w:r>
      <w:r w:rsidR="002460D0">
        <w:rPr>
          <w:rFonts w:ascii="Arial" w:eastAsia="Calibri" w:hAnsi="Arial" w:cs="Arial"/>
          <w:sz w:val="22"/>
          <w:szCs w:val="22"/>
        </w:rPr>
        <w:t xml:space="preserve">to the reader, meaning they are more likely to become invested in the text and continue reading. </w:t>
      </w:r>
      <w:r w:rsidR="00934FC9">
        <w:rPr>
          <w:rFonts w:ascii="Arial" w:eastAsia="Calibri" w:hAnsi="Arial" w:cs="Arial"/>
          <w:sz w:val="22"/>
          <w:szCs w:val="22"/>
        </w:rPr>
        <w:t>This not only benefits the reader but also the author and any other</w:t>
      </w:r>
      <w:r w:rsidR="00D927B1">
        <w:rPr>
          <w:rFonts w:ascii="Arial" w:eastAsia="Calibri" w:hAnsi="Arial" w:cs="Arial"/>
          <w:sz w:val="22"/>
          <w:szCs w:val="22"/>
        </w:rPr>
        <w:t xml:space="preserve">s whose work is mentioned within the text as </w:t>
      </w:r>
      <w:r w:rsidR="00077170">
        <w:rPr>
          <w:rFonts w:ascii="Arial" w:eastAsia="Calibri" w:hAnsi="Arial" w:cs="Arial"/>
          <w:sz w:val="22"/>
          <w:szCs w:val="22"/>
        </w:rPr>
        <w:t>it exposes the reader to further works</w:t>
      </w:r>
      <w:r w:rsidR="008D35FA">
        <w:rPr>
          <w:rFonts w:ascii="Arial" w:eastAsia="Calibri" w:hAnsi="Arial" w:cs="Arial"/>
          <w:sz w:val="22"/>
          <w:szCs w:val="22"/>
        </w:rPr>
        <w:t xml:space="preserve"> and areas of study.</w:t>
      </w:r>
      <w:r w:rsidR="00486875">
        <w:rPr>
          <w:rFonts w:ascii="Arial" w:eastAsia="Calibri" w:hAnsi="Arial" w:cs="Arial"/>
          <w:sz w:val="22"/>
          <w:szCs w:val="22"/>
        </w:rPr>
        <w:t xml:space="preserve"> </w:t>
      </w:r>
      <w:r w:rsidR="006C16B6">
        <w:rPr>
          <w:rFonts w:ascii="Arial" w:eastAsia="Calibri" w:hAnsi="Arial" w:cs="Arial"/>
          <w:sz w:val="22"/>
          <w:szCs w:val="22"/>
        </w:rPr>
        <w:t>These examples</w:t>
      </w:r>
      <w:r w:rsidR="00486875">
        <w:rPr>
          <w:rFonts w:ascii="Arial" w:eastAsia="Calibri" w:hAnsi="Arial" w:cs="Arial"/>
          <w:sz w:val="22"/>
          <w:szCs w:val="22"/>
        </w:rPr>
        <w:t xml:space="preserve"> also highlight the link</w:t>
      </w:r>
      <w:r w:rsidR="00C230C4">
        <w:rPr>
          <w:rFonts w:ascii="Arial" w:eastAsia="Calibri" w:hAnsi="Arial" w:cs="Arial"/>
          <w:sz w:val="22"/>
          <w:szCs w:val="22"/>
        </w:rPr>
        <w:t xml:space="preserve">s that </w:t>
      </w:r>
      <w:r w:rsidR="008D49EA">
        <w:rPr>
          <w:rFonts w:ascii="Arial" w:eastAsia="Calibri" w:hAnsi="Arial" w:cs="Arial"/>
          <w:sz w:val="22"/>
          <w:szCs w:val="22"/>
        </w:rPr>
        <w:t xml:space="preserve">enthusiastic </w:t>
      </w:r>
      <w:r w:rsidR="00C230C4">
        <w:rPr>
          <w:rFonts w:ascii="Arial" w:eastAsia="Calibri" w:hAnsi="Arial" w:cs="Arial"/>
          <w:sz w:val="22"/>
          <w:szCs w:val="22"/>
        </w:rPr>
        <w:t xml:space="preserve">suffragists had with schools and educational environments. </w:t>
      </w:r>
      <w:r w:rsidR="000C1DB1">
        <w:rPr>
          <w:rFonts w:ascii="Arial" w:eastAsia="Calibri" w:hAnsi="Arial" w:cs="Arial"/>
          <w:sz w:val="22"/>
          <w:szCs w:val="22"/>
        </w:rPr>
        <w:t xml:space="preserve">This is especially seen when </w:t>
      </w:r>
      <w:r w:rsidR="006B4C82">
        <w:rPr>
          <w:rFonts w:ascii="Arial" w:eastAsia="Calibri" w:hAnsi="Arial" w:cs="Arial"/>
          <w:sz w:val="22"/>
          <w:szCs w:val="22"/>
        </w:rPr>
        <w:t xml:space="preserve">Sophie Bryant and </w:t>
      </w:r>
      <w:r w:rsidR="000C1DB1">
        <w:rPr>
          <w:rFonts w:ascii="Arial" w:eastAsia="Calibri" w:hAnsi="Arial" w:cs="Arial"/>
          <w:sz w:val="22"/>
          <w:szCs w:val="22"/>
        </w:rPr>
        <w:t>Eleanor Hill</w:t>
      </w:r>
      <w:r w:rsidR="00812E9B">
        <w:rPr>
          <w:rFonts w:ascii="Arial" w:eastAsia="Calibri" w:hAnsi="Arial" w:cs="Arial"/>
          <w:sz w:val="22"/>
          <w:szCs w:val="22"/>
        </w:rPr>
        <w:t xml:space="preserve">’s political activities were shared in the school </w:t>
      </w:r>
      <w:r w:rsidR="0046239A">
        <w:rPr>
          <w:rFonts w:ascii="Arial" w:eastAsia="Calibri" w:hAnsi="Arial" w:cs="Arial"/>
          <w:sz w:val="22"/>
          <w:szCs w:val="22"/>
        </w:rPr>
        <w:t>magazine</w:t>
      </w:r>
      <w:r w:rsidR="002E3947">
        <w:rPr>
          <w:rFonts w:ascii="Arial" w:eastAsia="Calibri" w:hAnsi="Arial" w:cs="Arial"/>
          <w:sz w:val="22"/>
          <w:szCs w:val="22"/>
        </w:rPr>
        <w:t>,</w:t>
      </w:r>
      <w:r w:rsidR="000B3132">
        <w:rPr>
          <w:rStyle w:val="FootnoteReference"/>
          <w:rFonts w:ascii="Arial" w:eastAsia="Calibri" w:hAnsi="Arial" w:cs="Arial"/>
          <w:sz w:val="22"/>
          <w:szCs w:val="22"/>
        </w:rPr>
        <w:footnoteReference w:id="11"/>
      </w:r>
      <w:r w:rsidR="0046239A">
        <w:rPr>
          <w:rFonts w:ascii="Arial" w:eastAsia="Calibri" w:hAnsi="Arial" w:cs="Arial"/>
          <w:sz w:val="22"/>
          <w:szCs w:val="22"/>
        </w:rPr>
        <w:t xml:space="preserve"> </w:t>
      </w:r>
      <w:r w:rsidR="000A11EC">
        <w:rPr>
          <w:rFonts w:ascii="Arial" w:eastAsia="Calibri" w:hAnsi="Arial" w:cs="Arial"/>
          <w:sz w:val="22"/>
          <w:szCs w:val="22"/>
        </w:rPr>
        <w:t xml:space="preserve">which can be assumed to be done so in support of their actions and also </w:t>
      </w:r>
      <w:r w:rsidR="000B3132">
        <w:rPr>
          <w:rFonts w:ascii="Arial" w:eastAsia="Calibri" w:hAnsi="Arial" w:cs="Arial"/>
          <w:sz w:val="22"/>
          <w:szCs w:val="22"/>
        </w:rPr>
        <w:t>educate the pupils on the world around them and the current political climate</w:t>
      </w:r>
      <w:r w:rsidR="006B4C82">
        <w:rPr>
          <w:rFonts w:ascii="Arial" w:eastAsia="Calibri" w:hAnsi="Arial" w:cs="Arial"/>
          <w:sz w:val="22"/>
          <w:szCs w:val="22"/>
        </w:rPr>
        <w:t>.</w:t>
      </w:r>
      <w:r w:rsidR="00EB17DF">
        <w:rPr>
          <w:rFonts w:ascii="Arial" w:eastAsia="Calibri" w:hAnsi="Arial" w:cs="Arial"/>
          <w:sz w:val="22"/>
          <w:szCs w:val="22"/>
        </w:rPr>
        <w:t xml:space="preserve"> In being so transparent about the </w:t>
      </w:r>
      <w:r w:rsidR="00E80E98">
        <w:rPr>
          <w:rFonts w:ascii="Arial" w:eastAsia="Calibri" w:hAnsi="Arial" w:cs="Arial"/>
          <w:sz w:val="22"/>
          <w:szCs w:val="22"/>
        </w:rPr>
        <w:t xml:space="preserve">actions, this would likely have increased the trust and respect that the pupils had towards </w:t>
      </w:r>
      <w:r w:rsidR="00655DB5">
        <w:rPr>
          <w:rFonts w:ascii="Arial" w:eastAsia="Calibri" w:hAnsi="Arial" w:cs="Arial"/>
          <w:sz w:val="22"/>
          <w:szCs w:val="22"/>
        </w:rPr>
        <w:t xml:space="preserve">the </w:t>
      </w:r>
      <w:r w:rsidR="002E3947">
        <w:rPr>
          <w:rFonts w:ascii="Arial" w:eastAsia="Calibri" w:hAnsi="Arial" w:cs="Arial"/>
          <w:sz w:val="22"/>
          <w:szCs w:val="22"/>
        </w:rPr>
        <w:t>women and</w:t>
      </w:r>
      <w:r w:rsidR="00655DB5">
        <w:rPr>
          <w:rFonts w:ascii="Arial" w:eastAsia="Calibri" w:hAnsi="Arial" w:cs="Arial"/>
          <w:sz w:val="22"/>
          <w:szCs w:val="22"/>
        </w:rPr>
        <w:t xml:space="preserve"> therefore may have increased the likelihood of the pupils also supporting the movement.</w:t>
      </w:r>
      <w:r w:rsidR="00037154">
        <w:rPr>
          <w:rFonts w:ascii="Arial" w:eastAsia="Calibri" w:hAnsi="Arial" w:cs="Arial"/>
          <w:sz w:val="22"/>
          <w:szCs w:val="22"/>
        </w:rPr>
        <w:t xml:space="preserve"> </w:t>
      </w:r>
      <w:r w:rsidR="00037154" w:rsidRPr="00E1719E">
        <w:rPr>
          <w:rFonts w:ascii="Arial" w:eastAsia="Calibri" w:hAnsi="Arial" w:cs="Arial"/>
          <w:sz w:val="22"/>
          <w:szCs w:val="22"/>
        </w:rPr>
        <w:t xml:space="preserve">This supports the author’s aim of showing </w:t>
      </w:r>
      <w:r w:rsidR="006F11EA" w:rsidRPr="00E1719E">
        <w:rPr>
          <w:rFonts w:ascii="Arial" w:eastAsia="Calibri" w:hAnsi="Arial" w:cs="Arial"/>
          <w:sz w:val="22"/>
          <w:szCs w:val="22"/>
        </w:rPr>
        <w:t xml:space="preserve">a new perspective as </w:t>
      </w:r>
      <w:r w:rsidR="00D2032D" w:rsidRPr="00E1719E">
        <w:rPr>
          <w:rFonts w:ascii="Arial" w:eastAsia="Calibri" w:hAnsi="Arial" w:cs="Arial"/>
          <w:sz w:val="22"/>
          <w:szCs w:val="22"/>
        </w:rPr>
        <w:t xml:space="preserve">often </w:t>
      </w:r>
      <w:r w:rsidR="00E028E8" w:rsidRPr="00E1719E">
        <w:rPr>
          <w:rFonts w:ascii="Arial" w:eastAsia="Calibri" w:hAnsi="Arial" w:cs="Arial"/>
          <w:sz w:val="22"/>
          <w:szCs w:val="22"/>
        </w:rPr>
        <w:t xml:space="preserve">in pop culture, the suffrage movement often shows the women </w:t>
      </w:r>
      <w:r w:rsidR="00D2032D" w:rsidRPr="00E1719E">
        <w:rPr>
          <w:rFonts w:ascii="Arial" w:eastAsia="Calibri" w:hAnsi="Arial" w:cs="Arial"/>
          <w:sz w:val="22"/>
          <w:szCs w:val="22"/>
        </w:rPr>
        <w:t>already involved, but not how they began to support it.</w:t>
      </w:r>
    </w:p>
    <w:p w14:paraId="32069228" w14:textId="442E3E9E" w:rsidR="00940088" w:rsidRDefault="00F9735B" w:rsidP="008F7FA7">
      <w:pPr>
        <w:spacing w:after="0" w:line="480" w:lineRule="auto"/>
        <w:jc w:val="both"/>
        <w:rPr>
          <w:rFonts w:ascii="Arial" w:eastAsia="Calibri" w:hAnsi="Arial" w:cs="Arial"/>
          <w:sz w:val="22"/>
          <w:szCs w:val="22"/>
        </w:rPr>
      </w:pPr>
      <w:r>
        <w:rPr>
          <w:rFonts w:ascii="Arial" w:eastAsia="Calibri" w:hAnsi="Arial" w:cs="Arial"/>
          <w:sz w:val="22"/>
          <w:szCs w:val="22"/>
        </w:rPr>
        <w:t>Highlighting the spaces that old girls</w:t>
      </w:r>
      <w:r w:rsidR="006971E6">
        <w:rPr>
          <w:rFonts w:ascii="Arial" w:eastAsia="Calibri" w:hAnsi="Arial" w:cs="Arial"/>
          <w:sz w:val="22"/>
          <w:szCs w:val="22"/>
        </w:rPr>
        <w:t xml:space="preserve"> held shows how there were multiple benefits from these for both the suffrage movement, but also in other areas of their lives as well.</w:t>
      </w:r>
      <w:r w:rsidR="003002BC">
        <w:rPr>
          <w:rStyle w:val="FootnoteReference"/>
          <w:rFonts w:ascii="Arial" w:eastAsia="Calibri" w:hAnsi="Arial" w:cs="Arial"/>
          <w:sz w:val="22"/>
          <w:szCs w:val="22"/>
        </w:rPr>
        <w:footnoteReference w:id="12"/>
      </w:r>
      <w:r w:rsidR="00E23EB0">
        <w:rPr>
          <w:rFonts w:ascii="Arial" w:eastAsia="Calibri" w:hAnsi="Arial" w:cs="Arial"/>
          <w:sz w:val="22"/>
          <w:szCs w:val="22"/>
        </w:rPr>
        <w:t xml:space="preserve"> </w:t>
      </w:r>
      <w:r w:rsidR="00662C16">
        <w:rPr>
          <w:rFonts w:ascii="Arial" w:eastAsia="Calibri" w:hAnsi="Arial" w:cs="Arial"/>
          <w:sz w:val="22"/>
          <w:szCs w:val="22"/>
        </w:rPr>
        <w:t xml:space="preserve">This shows that their </w:t>
      </w:r>
      <w:r w:rsidR="00C00BD9">
        <w:rPr>
          <w:rFonts w:ascii="Arial" w:eastAsia="Calibri" w:hAnsi="Arial" w:cs="Arial"/>
          <w:sz w:val="22"/>
          <w:szCs w:val="22"/>
        </w:rPr>
        <w:t xml:space="preserve">lives had more aspects to them than just the movement, making it more </w:t>
      </w:r>
      <w:r w:rsidR="00E21723">
        <w:rPr>
          <w:rFonts w:ascii="Arial" w:eastAsia="Calibri" w:hAnsi="Arial" w:cs="Arial"/>
          <w:sz w:val="22"/>
          <w:szCs w:val="22"/>
        </w:rPr>
        <w:t xml:space="preserve">realistic and relatable to the reader. </w:t>
      </w:r>
      <w:r w:rsidR="00E23EB0">
        <w:rPr>
          <w:rFonts w:ascii="Arial" w:eastAsia="Calibri" w:hAnsi="Arial" w:cs="Arial"/>
          <w:sz w:val="22"/>
          <w:szCs w:val="22"/>
        </w:rPr>
        <w:t>The</w:t>
      </w:r>
      <w:r w:rsidR="00BC2E5C">
        <w:rPr>
          <w:rFonts w:ascii="Arial" w:eastAsia="Calibri" w:hAnsi="Arial" w:cs="Arial"/>
          <w:sz w:val="22"/>
          <w:szCs w:val="22"/>
        </w:rPr>
        <w:t>se spaces</w:t>
      </w:r>
      <w:r w:rsidR="00E23EB0">
        <w:rPr>
          <w:rFonts w:ascii="Arial" w:eastAsia="Calibri" w:hAnsi="Arial" w:cs="Arial"/>
          <w:sz w:val="22"/>
          <w:szCs w:val="22"/>
        </w:rPr>
        <w:t xml:space="preserve"> benefited the movement as</w:t>
      </w:r>
      <w:r w:rsidR="0002426E">
        <w:rPr>
          <w:rFonts w:ascii="Arial" w:eastAsia="Calibri" w:hAnsi="Arial" w:cs="Arial"/>
          <w:sz w:val="22"/>
          <w:szCs w:val="22"/>
        </w:rPr>
        <w:t xml:space="preserve"> </w:t>
      </w:r>
      <w:r w:rsidR="00877A20">
        <w:rPr>
          <w:rFonts w:ascii="Arial" w:eastAsia="Calibri" w:hAnsi="Arial" w:cs="Arial"/>
          <w:sz w:val="22"/>
          <w:szCs w:val="22"/>
        </w:rPr>
        <w:t xml:space="preserve">it led to </w:t>
      </w:r>
      <w:r w:rsidR="00BC2E5C">
        <w:rPr>
          <w:rFonts w:ascii="Arial" w:eastAsia="Calibri" w:hAnsi="Arial" w:cs="Arial"/>
          <w:sz w:val="22"/>
          <w:szCs w:val="22"/>
        </w:rPr>
        <w:t xml:space="preserve">suffragists networking and sharing ideas throughout these spaces. </w:t>
      </w:r>
      <w:r w:rsidR="00BC2E5C" w:rsidRPr="00E1719E">
        <w:rPr>
          <w:rFonts w:ascii="Arial" w:eastAsia="Calibri" w:hAnsi="Arial" w:cs="Arial"/>
          <w:sz w:val="22"/>
          <w:szCs w:val="22"/>
        </w:rPr>
        <w:t>T</w:t>
      </w:r>
      <w:r w:rsidR="00A45E10" w:rsidRPr="00E1719E">
        <w:rPr>
          <w:rFonts w:ascii="Arial" w:eastAsia="Calibri" w:hAnsi="Arial" w:cs="Arial"/>
          <w:sz w:val="22"/>
          <w:szCs w:val="22"/>
        </w:rPr>
        <w:t xml:space="preserve">his </w:t>
      </w:r>
      <w:r w:rsidR="00A118E0" w:rsidRPr="00E1719E">
        <w:rPr>
          <w:rFonts w:ascii="Arial" w:eastAsia="Calibri" w:hAnsi="Arial" w:cs="Arial"/>
          <w:sz w:val="22"/>
          <w:szCs w:val="22"/>
        </w:rPr>
        <w:t xml:space="preserve">supports the authors idea of the chapter offering a new perspective </w:t>
      </w:r>
      <w:r w:rsidR="00442C48" w:rsidRPr="00E1719E">
        <w:rPr>
          <w:rFonts w:ascii="Arial" w:eastAsia="Calibri" w:hAnsi="Arial" w:cs="Arial"/>
          <w:sz w:val="22"/>
          <w:szCs w:val="22"/>
        </w:rPr>
        <w:t xml:space="preserve">as a lot of work on the movement focuses on fully adult </w:t>
      </w:r>
      <w:r w:rsidR="00691205" w:rsidRPr="00E1719E">
        <w:rPr>
          <w:rFonts w:ascii="Arial" w:eastAsia="Calibri" w:hAnsi="Arial" w:cs="Arial"/>
          <w:sz w:val="22"/>
          <w:szCs w:val="22"/>
        </w:rPr>
        <w:t xml:space="preserve">women </w:t>
      </w:r>
      <w:r w:rsidR="0002426E" w:rsidRPr="00E1719E">
        <w:rPr>
          <w:rFonts w:ascii="Arial" w:eastAsia="Calibri" w:hAnsi="Arial" w:cs="Arial"/>
          <w:sz w:val="22"/>
          <w:szCs w:val="22"/>
        </w:rPr>
        <w:t>dedicating</w:t>
      </w:r>
      <w:r w:rsidR="00691205" w:rsidRPr="00E1719E">
        <w:rPr>
          <w:rFonts w:ascii="Arial" w:eastAsia="Calibri" w:hAnsi="Arial" w:cs="Arial"/>
          <w:sz w:val="22"/>
          <w:szCs w:val="22"/>
        </w:rPr>
        <w:t xml:space="preserve"> every waking hour </w:t>
      </w:r>
      <w:r w:rsidR="0002426E" w:rsidRPr="00E1719E">
        <w:rPr>
          <w:rFonts w:ascii="Arial" w:eastAsia="Calibri" w:hAnsi="Arial" w:cs="Arial"/>
          <w:sz w:val="22"/>
          <w:szCs w:val="22"/>
        </w:rPr>
        <w:t>to the movement.</w:t>
      </w:r>
      <w:r w:rsidR="0002426E">
        <w:rPr>
          <w:rFonts w:ascii="Arial" w:eastAsia="Calibri" w:hAnsi="Arial" w:cs="Arial"/>
          <w:sz w:val="22"/>
          <w:szCs w:val="22"/>
        </w:rPr>
        <w:t xml:space="preserve"> </w:t>
      </w:r>
    </w:p>
    <w:p w14:paraId="0D8FF264" w14:textId="77777777" w:rsidR="00106FDE" w:rsidRDefault="00106FDE" w:rsidP="008F7FA7">
      <w:pPr>
        <w:spacing w:after="0" w:line="480" w:lineRule="auto"/>
        <w:jc w:val="both"/>
        <w:rPr>
          <w:rFonts w:ascii="Arial" w:eastAsia="Calibri" w:hAnsi="Arial" w:cs="Arial"/>
          <w:sz w:val="22"/>
          <w:szCs w:val="22"/>
        </w:rPr>
      </w:pPr>
      <w:r>
        <w:rPr>
          <w:rFonts w:ascii="Arial" w:eastAsia="Calibri" w:hAnsi="Arial" w:cs="Arial"/>
          <w:sz w:val="22"/>
          <w:szCs w:val="22"/>
        </w:rPr>
        <w:t xml:space="preserve">The exploration of the impact of and on girls’ and women’s ages throughout the British women’s suffrage movement is seen throughout the chapter, showing that the author has </w:t>
      </w:r>
      <w:r>
        <w:rPr>
          <w:rFonts w:ascii="Arial" w:eastAsia="Calibri" w:hAnsi="Arial" w:cs="Arial"/>
          <w:sz w:val="22"/>
          <w:szCs w:val="22"/>
        </w:rPr>
        <w:lastRenderedPageBreak/>
        <w:t>given it some detailed thought. It is seen in the section about more covert feminism from teachers, where the author lays out that female university students were exposed to more political scenes at that age and location, than they had been whilst in lower education.</w:t>
      </w:r>
      <w:r>
        <w:rPr>
          <w:rStyle w:val="FootnoteReference"/>
          <w:rFonts w:ascii="Arial" w:eastAsia="Calibri" w:hAnsi="Arial" w:cs="Arial"/>
          <w:sz w:val="22"/>
          <w:szCs w:val="22"/>
        </w:rPr>
        <w:footnoteReference w:id="13"/>
      </w:r>
      <w:r>
        <w:rPr>
          <w:rFonts w:ascii="Arial" w:eastAsia="Calibri" w:hAnsi="Arial" w:cs="Arial"/>
          <w:sz w:val="22"/>
          <w:szCs w:val="22"/>
        </w:rPr>
        <w:t xml:space="preserve"> This suggests the author’s support of the view that with age comes more opportunities. This could also link to ideas of innocence at a younger age, especially when militant suffrage came into play. However, the author also suggests that the younger girls were more impressionable, and therefore more valuable to adults who had stronger political views. This is once seen is the same section when discussing how women against the movement were often older,</w:t>
      </w:r>
      <w:r>
        <w:rPr>
          <w:rStyle w:val="FootnoteReference"/>
          <w:rFonts w:ascii="Arial" w:eastAsia="Calibri" w:hAnsi="Arial" w:cs="Arial"/>
          <w:sz w:val="22"/>
          <w:szCs w:val="22"/>
        </w:rPr>
        <w:footnoteReference w:id="14"/>
      </w:r>
      <w:r>
        <w:rPr>
          <w:rFonts w:ascii="Arial" w:eastAsia="Calibri" w:hAnsi="Arial" w:cs="Arial"/>
          <w:sz w:val="22"/>
          <w:szCs w:val="22"/>
        </w:rPr>
        <w:t xml:space="preserve"> suggesting those who were younger were influenced by adults in support of the movement. This is also seen in the last section about girls’ involvement when exploring school plays and the role of police violence against women in the movement,</w:t>
      </w:r>
      <w:r>
        <w:rPr>
          <w:rStyle w:val="FootnoteReference"/>
          <w:rFonts w:ascii="Arial" w:eastAsia="Calibri" w:hAnsi="Arial" w:cs="Arial"/>
          <w:sz w:val="22"/>
          <w:szCs w:val="22"/>
        </w:rPr>
        <w:footnoteReference w:id="15"/>
      </w:r>
      <w:r>
        <w:rPr>
          <w:rFonts w:ascii="Arial" w:eastAsia="Calibri" w:hAnsi="Arial" w:cs="Arial"/>
          <w:sz w:val="22"/>
          <w:szCs w:val="22"/>
        </w:rPr>
        <w:t xml:space="preserve"> but contradicts the last point by suggesting that exposing the girls to such material could mean they were less impressionable and innocent as it wouldn’t traumatise them.</w:t>
      </w:r>
    </w:p>
    <w:p w14:paraId="11F1F970" w14:textId="73E5AD80" w:rsidR="0074125C" w:rsidRDefault="0074125C" w:rsidP="008F7FA7">
      <w:pPr>
        <w:spacing w:after="0" w:line="480" w:lineRule="auto"/>
        <w:jc w:val="both"/>
        <w:rPr>
          <w:rFonts w:ascii="Arial" w:eastAsia="Calibri" w:hAnsi="Arial" w:cs="Arial"/>
          <w:sz w:val="22"/>
          <w:szCs w:val="22"/>
        </w:rPr>
      </w:pPr>
      <w:r>
        <w:rPr>
          <w:rFonts w:ascii="Arial" w:eastAsia="Calibri" w:hAnsi="Arial" w:cs="Arial"/>
          <w:sz w:val="22"/>
          <w:szCs w:val="22"/>
        </w:rPr>
        <w:t>The exploration of the impact of girls’ and women’s social classes throughout the British women’s suffrage movement is seen throughout the chapter, showing again that the author has given it some detailed thought. It is seen in the section about covert teachers when discussing the limits that societal expectations put on the movement. This was seen to mostly impact the middle-class as more overt feminism could damage reputations.</w:t>
      </w:r>
      <w:r>
        <w:rPr>
          <w:rStyle w:val="FootnoteReference"/>
          <w:rFonts w:ascii="Arial" w:eastAsia="Calibri" w:hAnsi="Arial" w:cs="Arial"/>
          <w:sz w:val="22"/>
          <w:szCs w:val="22"/>
        </w:rPr>
        <w:footnoteReference w:id="16"/>
      </w:r>
      <w:r>
        <w:rPr>
          <w:rFonts w:ascii="Arial" w:eastAsia="Calibri" w:hAnsi="Arial" w:cs="Arial"/>
          <w:sz w:val="22"/>
          <w:szCs w:val="22"/>
        </w:rPr>
        <w:t xml:space="preserve"> This shows the author has fully considered all sides and impacts of the argument as it shows the negatives to being middle-class, which is often seen to be one of the most privileged. The author showing this consideration is furthered by discussing how a working-class school made the movement accessible to its pupils through performance, rather than through written work.</w:t>
      </w:r>
      <w:r>
        <w:rPr>
          <w:rStyle w:val="FootnoteReference"/>
          <w:rFonts w:ascii="Arial" w:eastAsia="Calibri" w:hAnsi="Arial" w:cs="Arial"/>
          <w:sz w:val="22"/>
          <w:szCs w:val="22"/>
        </w:rPr>
        <w:footnoteReference w:id="17"/>
      </w:r>
      <w:r>
        <w:rPr>
          <w:rFonts w:ascii="Arial" w:eastAsia="Calibri" w:hAnsi="Arial" w:cs="Arial"/>
          <w:sz w:val="22"/>
          <w:szCs w:val="22"/>
        </w:rPr>
        <w:t xml:space="preserve"> This is likely due to a lower literacy rate amongst the </w:t>
      </w:r>
      <w:r w:rsidR="005F0F65">
        <w:rPr>
          <w:rFonts w:ascii="Arial" w:eastAsia="Calibri" w:hAnsi="Arial" w:cs="Arial"/>
          <w:sz w:val="22"/>
          <w:szCs w:val="22"/>
        </w:rPr>
        <w:t>pupils but</w:t>
      </w:r>
      <w:r>
        <w:rPr>
          <w:rFonts w:ascii="Arial" w:eastAsia="Calibri" w:hAnsi="Arial" w:cs="Arial"/>
          <w:sz w:val="22"/>
          <w:szCs w:val="22"/>
        </w:rPr>
        <w:t xml:space="preserve"> at least does show them to be worthy of </w:t>
      </w:r>
      <w:r>
        <w:rPr>
          <w:rFonts w:ascii="Arial" w:eastAsia="Calibri" w:hAnsi="Arial" w:cs="Arial"/>
          <w:sz w:val="22"/>
          <w:szCs w:val="22"/>
        </w:rPr>
        <w:lastRenderedPageBreak/>
        <w:t>the cause. However,</w:t>
      </w:r>
      <w:r w:rsidR="0060056C">
        <w:rPr>
          <w:rFonts w:ascii="Arial" w:eastAsia="Calibri" w:hAnsi="Arial" w:cs="Arial"/>
          <w:sz w:val="22"/>
          <w:szCs w:val="22"/>
        </w:rPr>
        <w:t xml:space="preserve"> </w:t>
      </w:r>
      <w:r w:rsidR="004113F4">
        <w:rPr>
          <w:rFonts w:ascii="Arial" w:eastAsia="Calibri" w:hAnsi="Arial" w:cs="Arial"/>
          <w:sz w:val="22"/>
          <w:szCs w:val="22"/>
        </w:rPr>
        <w:t xml:space="preserve">the other view of this is also discussed </w:t>
      </w:r>
      <w:r w:rsidR="00F634F7">
        <w:rPr>
          <w:rFonts w:ascii="Arial" w:eastAsia="Calibri" w:hAnsi="Arial" w:cs="Arial"/>
          <w:sz w:val="22"/>
          <w:szCs w:val="22"/>
        </w:rPr>
        <w:t>a</w:t>
      </w:r>
      <w:r w:rsidR="00F65712">
        <w:rPr>
          <w:rFonts w:ascii="Arial" w:eastAsia="Calibri" w:hAnsi="Arial" w:cs="Arial"/>
          <w:sz w:val="22"/>
          <w:szCs w:val="22"/>
        </w:rPr>
        <w:t xml:space="preserve">s </w:t>
      </w:r>
      <w:r w:rsidR="00F634F7">
        <w:rPr>
          <w:rFonts w:ascii="Arial" w:eastAsia="Calibri" w:hAnsi="Arial" w:cs="Arial"/>
          <w:sz w:val="22"/>
          <w:szCs w:val="22"/>
        </w:rPr>
        <w:t xml:space="preserve">some </w:t>
      </w:r>
      <w:r w:rsidR="00E657DD">
        <w:rPr>
          <w:rFonts w:ascii="Arial" w:eastAsia="Calibri" w:hAnsi="Arial" w:cs="Arial"/>
          <w:sz w:val="22"/>
          <w:szCs w:val="22"/>
        </w:rPr>
        <w:t>suffragist</w:t>
      </w:r>
      <w:r w:rsidR="0053056A">
        <w:rPr>
          <w:rFonts w:ascii="Arial" w:eastAsia="Calibri" w:hAnsi="Arial" w:cs="Arial"/>
          <w:sz w:val="22"/>
          <w:szCs w:val="22"/>
        </w:rPr>
        <w:t>s believed that “women should not be classed with paupers and lunatics</w:t>
      </w:r>
      <w:r w:rsidR="00B47034">
        <w:rPr>
          <w:rFonts w:ascii="Arial" w:eastAsia="Calibri" w:hAnsi="Arial" w:cs="Arial"/>
          <w:sz w:val="22"/>
          <w:szCs w:val="22"/>
        </w:rPr>
        <w:t>.</w:t>
      </w:r>
      <w:r w:rsidR="0053056A">
        <w:rPr>
          <w:rFonts w:ascii="Arial" w:eastAsia="Calibri" w:hAnsi="Arial" w:cs="Arial"/>
          <w:sz w:val="22"/>
          <w:szCs w:val="22"/>
        </w:rPr>
        <w:t>”</w:t>
      </w:r>
      <w:r w:rsidR="00B47034">
        <w:rPr>
          <w:rStyle w:val="FootnoteReference"/>
          <w:rFonts w:ascii="Arial" w:eastAsia="Calibri" w:hAnsi="Arial" w:cs="Arial"/>
          <w:sz w:val="22"/>
          <w:szCs w:val="22"/>
        </w:rPr>
        <w:footnoteReference w:id="18"/>
      </w:r>
      <w:r w:rsidR="00B47034">
        <w:rPr>
          <w:rFonts w:ascii="Arial" w:eastAsia="Calibri" w:hAnsi="Arial" w:cs="Arial"/>
          <w:sz w:val="22"/>
          <w:szCs w:val="22"/>
        </w:rPr>
        <w:t xml:space="preserve"> </w:t>
      </w:r>
    </w:p>
    <w:p w14:paraId="7A4C37EC" w14:textId="77777777" w:rsidR="00927222" w:rsidRDefault="00927222" w:rsidP="008F7FA7">
      <w:pPr>
        <w:spacing w:after="0" w:line="480" w:lineRule="auto"/>
        <w:jc w:val="both"/>
        <w:rPr>
          <w:rFonts w:ascii="Arial" w:eastAsia="Calibri" w:hAnsi="Arial" w:cs="Arial"/>
          <w:sz w:val="22"/>
          <w:szCs w:val="22"/>
        </w:rPr>
      </w:pPr>
    </w:p>
    <w:p w14:paraId="059E07C9" w14:textId="77777777" w:rsidR="00927222" w:rsidRPr="00427455" w:rsidRDefault="00927222" w:rsidP="008F7FA7">
      <w:pPr>
        <w:spacing w:after="0" w:line="480" w:lineRule="auto"/>
        <w:jc w:val="both"/>
        <w:rPr>
          <w:rFonts w:ascii="Arial" w:eastAsia="Calibri" w:hAnsi="Arial" w:cs="Arial"/>
          <w:sz w:val="22"/>
          <w:szCs w:val="22"/>
        </w:rPr>
      </w:pPr>
      <w:r w:rsidRPr="00427455">
        <w:rPr>
          <w:rFonts w:ascii="Arial" w:eastAsia="Calibri" w:hAnsi="Arial" w:cs="Arial"/>
          <w:sz w:val="22"/>
          <w:szCs w:val="22"/>
        </w:rPr>
        <w:t>The author critiques the view that “women teachers’ political activity [extends] beyond the classroom”</w:t>
      </w:r>
      <w:r w:rsidRPr="00427455">
        <w:rPr>
          <w:rStyle w:val="FootnoteReference"/>
          <w:rFonts w:ascii="Arial" w:eastAsia="Calibri" w:hAnsi="Arial" w:cs="Arial"/>
          <w:sz w:val="22"/>
          <w:szCs w:val="22"/>
        </w:rPr>
        <w:footnoteReference w:id="19"/>
      </w:r>
      <w:r w:rsidRPr="00427455">
        <w:rPr>
          <w:rFonts w:ascii="Arial" w:eastAsia="Calibri" w:hAnsi="Arial" w:cs="Arial"/>
          <w:sz w:val="22"/>
          <w:szCs w:val="22"/>
        </w:rPr>
        <w:t xml:space="preserve"> as she believes it to overlook political ideas circulating within schools.</w:t>
      </w:r>
    </w:p>
    <w:p w14:paraId="1A9D5D33" w14:textId="77777777" w:rsidR="00927222" w:rsidRPr="00427455" w:rsidRDefault="00927222" w:rsidP="008F7FA7">
      <w:pPr>
        <w:spacing w:after="0" w:line="480" w:lineRule="auto"/>
        <w:jc w:val="both"/>
        <w:rPr>
          <w:rFonts w:ascii="Arial" w:eastAsia="Calibri" w:hAnsi="Arial" w:cs="Arial"/>
          <w:sz w:val="22"/>
          <w:szCs w:val="22"/>
        </w:rPr>
      </w:pPr>
      <w:r w:rsidRPr="00427455">
        <w:rPr>
          <w:rFonts w:ascii="Arial" w:eastAsia="Calibri" w:hAnsi="Arial" w:cs="Arial"/>
          <w:sz w:val="22"/>
          <w:szCs w:val="22"/>
        </w:rPr>
        <w:t>The author supports the research into “contemporary fears about suffragist teachers corrupting supposedly impressionable schoolgirls” as she believes it to show the depth of “the suffrage debate in everyday spaces”.</w:t>
      </w:r>
      <w:r w:rsidRPr="00427455">
        <w:rPr>
          <w:rStyle w:val="FootnoteReference"/>
          <w:rFonts w:ascii="Arial" w:eastAsia="Calibri" w:hAnsi="Arial" w:cs="Arial"/>
          <w:sz w:val="22"/>
          <w:szCs w:val="22"/>
        </w:rPr>
        <w:footnoteReference w:id="20"/>
      </w:r>
    </w:p>
    <w:p w14:paraId="220D2354" w14:textId="77777777" w:rsidR="00927222" w:rsidRPr="00427455" w:rsidRDefault="00927222" w:rsidP="008F7FA7">
      <w:pPr>
        <w:spacing w:after="0" w:line="480" w:lineRule="auto"/>
        <w:jc w:val="both"/>
        <w:rPr>
          <w:rFonts w:ascii="Arial" w:eastAsia="Calibri" w:hAnsi="Arial" w:cs="Arial"/>
          <w:sz w:val="22"/>
          <w:szCs w:val="22"/>
        </w:rPr>
      </w:pPr>
      <w:r w:rsidRPr="00427455">
        <w:rPr>
          <w:rFonts w:ascii="Arial" w:eastAsia="Calibri" w:hAnsi="Arial" w:cs="Arial"/>
          <w:sz w:val="22"/>
          <w:szCs w:val="22"/>
        </w:rPr>
        <w:t>The author recognises that some research has been done into the mixed participation, but also recognises that there is further to be done.</w:t>
      </w:r>
      <w:r w:rsidRPr="00427455">
        <w:rPr>
          <w:rStyle w:val="FootnoteReference"/>
          <w:rFonts w:ascii="Arial" w:eastAsia="Calibri" w:hAnsi="Arial" w:cs="Arial"/>
          <w:sz w:val="22"/>
          <w:szCs w:val="22"/>
        </w:rPr>
        <w:footnoteReference w:id="21"/>
      </w:r>
      <w:r w:rsidRPr="00427455">
        <w:rPr>
          <w:rFonts w:ascii="Arial" w:eastAsia="Calibri" w:hAnsi="Arial" w:cs="Arial"/>
          <w:sz w:val="22"/>
          <w:szCs w:val="22"/>
        </w:rPr>
        <w:t xml:space="preserve"> This again suggests the author’s desire for gaining a fuller picture. </w:t>
      </w:r>
    </w:p>
    <w:p w14:paraId="6D111106" w14:textId="77777777" w:rsidR="00927222" w:rsidRPr="00427455" w:rsidRDefault="00927222" w:rsidP="008F7FA7">
      <w:pPr>
        <w:spacing w:after="0" w:line="480" w:lineRule="auto"/>
        <w:jc w:val="both"/>
        <w:rPr>
          <w:rFonts w:ascii="Arial" w:eastAsia="Calibri" w:hAnsi="Arial" w:cs="Arial"/>
          <w:sz w:val="22"/>
          <w:szCs w:val="22"/>
        </w:rPr>
      </w:pPr>
      <w:r w:rsidRPr="00427455">
        <w:rPr>
          <w:rFonts w:ascii="Arial" w:eastAsia="Calibri" w:hAnsi="Arial" w:cs="Arial"/>
          <w:sz w:val="22"/>
          <w:szCs w:val="22"/>
        </w:rPr>
        <w:t>The author highlights observations on how a suffragette’s age can be used against them to “delegitimize suffragist commitment.”</w:t>
      </w:r>
      <w:r w:rsidRPr="00427455">
        <w:rPr>
          <w:rStyle w:val="FootnoteReference"/>
          <w:rFonts w:ascii="Arial" w:eastAsia="Calibri" w:hAnsi="Arial" w:cs="Arial"/>
          <w:sz w:val="22"/>
          <w:szCs w:val="22"/>
        </w:rPr>
        <w:footnoteReference w:id="22"/>
      </w:r>
      <w:r w:rsidRPr="00427455">
        <w:rPr>
          <w:rFonts w:ascii="Arial" w:eastAsia="Calibri" w:hAnsi="Arial" w:cs="Arial"/>
          <w:sz w:val="22"/>
          <w:szCs w:val="22"/>
        </w:rPr>
        <w:t xml:space="preserve"> </w:t>
      </w:r>
    </w:p>
    <w:p w14:paraId="0558858A" w14:textId="77777777" w:rsidR="00927222" w:rsidRDefault="00927222" w:rsidP="008F7FA7">
      <w:pPr>
        <w:spacing w:after="0" w:line="480" w:lineRule="auto"/>
        <w:jc w:val="both"/>
        <w:rPr>
          <w:rFonts w:ascii="Arial" w:eastAsia="Calibri" w:hAnsi="Arial" w:cs="Arial"/>
          <w:sz w:val="22"/>
          <w:szCs w:val="22"/>
        </w:rPr>
      </w:pPr>
      <w:r w:rsidRPr="00427455">
        <w:rPr>
          <w:rFonts w:ascii="Arial" w:eastAsia="Calibri" w:hAnsi="Arial" w:cs="Arial"/>
          <w:sz w:val="22"/>
          <w:szCs w:val="22"/>
        </w:rPr>
        <w:t>The author supports the research done to show how scholarly contributions enhance literary cultures.</w:t>
      </w:r>
      <w:r w:rsidRPr="00427455">
        <w:rPr>
          <w:rStyle w:val="FootnoteReference"/>
          <w:rFonts w:ascii="Arial" w:eastAsia="Calibri" w:hAnsi="Arial" w:cs="Arial"/>
          <w:sz w:val="22"/>
          <w:szCs w:val="22"/>
        </w:rPr>
        <w:footnoteReference w:id="23"/>
      </w:r>
    </w:p>
    <w:p w14:paraId="3427C7A7" w14:textId="77777777" w:rsidR="00927222" w:rsidRDefault="00927222" w:rsidP="008F7FA7">
      <w:pPr>
        <w:spacing w:after="0" w:line="480" w:lineRule="auto"/>
        <w:jc w:val="both"/>
        <w:rPr>
          <w:rFonts w:ascii="Arial" w:eastAsia="Calibri" w:hAnsi="Arial" w:cs="Arial"/>
          <w:sz w:val="22"/>
          <w:szCs w:val="22"/>
        </w:rPr>
      </w:pPr>
    </w:p>
    <w:p w14:paraId="5A8FD4BE" w14:textId="3ACEB2D9" w:rsidR="00D704CB" w:rsidRDefault="003643D4" w:rsidP="008F7FA7">
      <w:pPr>
        <w:spacing w:after="0" w:line="480" w:lineRule="auto"/>
        <w:jc w:val="both"/>
        <w:rPr>
          <w:rFonts w:ascii="Arial" w:eastAsia="Calibri" w:hAnsi="Arial" w:cs="Arial"/>
          <w:sz w:val="22"/>
          <w:szCs w:val="22"/>
        </w:rPr>
      </w:pPr>
      <w:r>
        <w:rPr>
          <w:rFonts w:ascii="Arial" w:eastAsia="Calibri" w:hAnsi="Arial" w:cs="Arial"/>
          <w:sz w:val="22"/>
          <w:szCs w:val="22"/>
        </w:rPr>
        <w:t xml:space="preserve">One criticism of the chapter is the focus on middle-class girls and the assumption that their views </w:t>
      </w:r>
      <w:r w:rsidR="008164F0">
        <w:rPr>
          <w:rFonts w:ascii="Arial" w:eastAsia="Calibri" w:hAnsi="Arial" w:cs="Arial"/>
          <w:sz w:val="22"/>
          <w:szCs w:val="22"/>
        </w:rPr>
        <w:t xml:space="preserve">were shared by the majority. </w:t>
      </w:r>
      <w:r w:rsidR="0059798D">
        <w:rPr>
          <w:rFonts w:ascii="Arial" w:eastAsia="Calibri" w:hAnsi="Arial" w:cs="Arial"/>
          <w:sz w:val="22"/>
          <w:szCs w:val="22"/>
        </w:rPr>
        <w:t>T</w:t>
      </w:r>
      <w:r w:rsidR="005847B9">
        <w:rPr>
          <w:rFonts w:ascii="Arial" w:eastAsia="Calibri" w:hAnsi="Arial" w:cs="Arial"/>
          <w:sz w:val="22"/>
          <w:szCs w:val="22"/>
        </w:rPr>
        <w:t xml:space="preserve">he Notting Hill High School </w:t>
      </w:r>
      <w:r w:rsidR="0059798D">
        <w:rPr>
          <w:rFonts w:ascii="Arial" w:eastAsia="Calibri" w:hAnsi="Arial" w:cs="Arial"/>
          <w:sz w:val="22"/>
          <w:szCs w:val="22"/>
        </w:rPr>
        <w:t>meeting in November 1910</w:t>
      </w:r>
      <w:r w:rsidR="002D2E9C">
        <w:rPr>
          <w:rStyle w:val="FootnoteReference"/>
          <w:rFonts w:ascii="Arial" w:eastAsia="Calibri" w:hAnsi="Arial" w:cs="Arial"/>
          <w:sz w:val="22"/>
          <w:szCs w:val="22"/>
        </w:rPr>
        <w:footnoteReference w:id="24"/>
      </w:r>
      <w:r w:rsidR="0059798D">
        <w:rPr>
          <w:rFonts w:ascii="Arial" w:eastAsia="Calibri" w:hAnsi="Arial" w:cs="Arial"/>
          <w:sz w:val="22"/>
          <w:szCs w:val="22"/>
        </w:rPr>
        <w:t xml:space="preserve"> shows this as</w:t>
      </w:r>
      <w:r w:rsidR="000B3F9D">
        <w:rPr>
          <w:rFonts w:ascii="Arial" w:eastAsia="Calibri" w:hAnsi="Arial" w:cs="Arial"/>
          <w:sz w:val="22"/>
          <w:szCs w:val="22"/>
        </w:rPr>
        <w:t xml:space="preserve"> it is mentioned that</w:t>
      </w:r>
      <w:r w:rsidR="002D2E9C">
        <w:rPr>
          <w:rFonts w:ascii="Arial" w:eastAsia="Calibri" w:hAnsi="Arial" w:cs="Arial"/>
          <w:sz w:val="22"/>
          <w:szCs w:val="22"/>
        </w:rPr>
        <w:t xml:space="preserve"> no one can be found to argue against the movement. </w:t>
      </w:r>
      <w:r w:rsidR="003F0061" w:rsidRPr="00400F83">
        <w:rPr>
          <w:rFonts w:ascii="Arial" w:eastAsia="Calibri" w:hAnsi="Arial" w:cs="Arial"/>
          <w:sz w:val="22"/>
          <w:szCs w:val="22"/>
        </w:rPr>
        <w:t xml:space="preserve">It can be argued that many working-class women were against the movement so using a school with middle-class pupils may have limited </w:t>
      </w:r>
      <w:r w:rsidR="008C5D57" w:rsidRPr="00400F83">
        <w:rPr>
          <w:rFonts w:ascii="Arial" w:eastAsia="Calibri" w:hAnsi="Arial" w:cs="Arial"/>
          <w:sz w:val="22"/>
          <w:szCs w:val="22"/>
        </w:rPr>
        <w:t>the ability to fully consider both sides of the argument.</w:t>
      </w:r>
      <w:r w:rsidR="00400F83">
        <w:rPr>
          <w:rStyle w:val="FootnoteReference"/>
          <w:rFonts w:ascii="Arial" w:eastAsia="Calibri" w:hAnsi="Arial" w:cs="Arial"/>
          <w:sz w:val="22"/>
          <w:szCs w:val="22"/>
        </w:rPr>
        <w:footnoteReference w:id="25"/>
      </w:r>
      <w:r w:rsidR="008C5D57">
        <w:rPr>
          <w:rFonts w:ascii="Arial" w:eastAsia="Calibri" w:hAnsi="Arial" w:cs="Arial"/>
          <w:sz w:val="22"/>
          <w:szCs w:val="22"/>
        </w:rPr>
        <w:t xml:space="preserve"> </w:t>
      </w:r>
    </w:p>
    <w:p w14:paraId="4FCED8A0" w14:textId="3F247BD6" w:rsidR="00EF3915" w:rsidRDefault="006C5F3C" w:rsidP="008F7FA7">
      <w:pPr>
        <w:spacing w:after="0" w:line="480" w:lineRule="auto"/>
        <w:jc w:val="both"/>
        <w:rPr>
          <w:rFonts w:ascii="Arial" w:eastAsia="Calibri" w:hAnsi="Arial" w:cs="Arial"/>
          <w:sz w:val="22"/>
          <w:szCs w:val="22"/>
        </w:rPr>
      </w:pPr>
      <w:r>
        <w:rPr>
          <w:rFonts w:ascii="Arial" w:eastAsia="Calibri" w:hAnsi="Arial" w:cs="Arial"/>
          <w:sz w:val="22"/>
          <w:szCs w:val="22"/>
        </w:rPr>
        <w:lastRenderedPageBreak/>
        <w:t xml:space="preserve">A second criticism of the </w:t>
      </w:r>
      <w:r w:rsidR="0030322D">
        <w:rPr>
          <w:rFonts w:ascii="Arial" w:eastAsia="Calibri" w:hAnsi="Arial" w:cs="Arial"/>
          <w:sz w:val="22"/>
          <w:szCs w:val="22"/>
        </w:rPr>
        <w:t xml:space="preserve">main argument and aim is the question of to what extent is it a new perspective that the author is exploring. </w:t>
      </w:r>
      <w:r w:rsidR="00AC273F">
        <w:rPr>
          <w:rFonts w:ascii="Arial" w:eastAsia="Calibri" w:hAnsi="Arial" w:cs="Arial"/>
          <w:sz w:val="22"/>
          <w:szCs w:val="22"/>
        </w:rPr>
        <w:t xml:space="preserve">As many other secondary sources are referenced throughout, </w:t>
      </w:r>
      <w:r w:rsidR="00B57F3C">
        <w:rPr>
          <w:rFonts w:ascii="Arial" w:eastAsia="Calibri" w:hAnsi="Arial" w:cs="Arial"/>
          <w:sz w:val="22"/>
          <w:szCs w:val="22"/>
        </w:rPr>
        <w:t xml:space="preserve">this could suggest that </w:t>
      </w:r>
      <w:r w:rsidR="00EF3915">
        <w:rPr>
          <w:rFonts w:ascii="Arial" w:eastAsia="Calibri" w:hAnsi="Arial" w:cs="Arial"/>
          <w:sz w:val="22"/>
          <w:szCs w:val="22"/>
        </w:rPr>
        <w:t xml:space="preserve">it isn’t a completely new area of research. </w:t>
      </w:r>
    </w:p>
    <w:p w14:paraId="32459F2E" w14:textId="54AE0046" w:rsidR="00B94004" w:rsidRDefault="006610A2" w:rsidP="008F7FA7">
      <w:pPr>
        <w:spacing w:after="0" w:line="480" w:lineRule="auto"/>
        <w:jc w:val="both"/>
        <w:rPr>
          <w:rFonts w:ascii="Arial" w:eastAsia="Calibri" w:hAnsi="Arial" w:cs="Arial"/>
          <w:sz w:val="22"/>
          <w:szCs w:val="22"/>
        </w:rPr>
      </w:pPr>
      <w:r>
        <w:rPr>
          <w:rFonts w:ascii="Arial" w:eastAsia="Calibri" w:hAnsi="Arial" w:cs="Arial"/>
          <w:sz w:val="22"/>
          <w:szCs w:val="22"/>
        </w:rPr>
        <w:t>One view that th</w:t>
      </w:r>
      <w:r w:rsidRPr="003068C2">
        <w:rPr>
          <w:rFonts w:ascii="Arial" w:eastAsia="Calibri" w:hAnsi="Arial" w:cs="Arial"/>
          <w:sz w:val="22"/>
          <w:szCs w:val="22"/>
        </w:rPr>
        <w:t>e chapte</w:t>
      </w:r>
      <w:r w:rsidR="003A483D" w:rsidRPr="003068C2">
        <w:rPr>
          <w:rFonts w:ascii="Arial" w:eastAsia="Calibri" w:hAnsi="Arial" w:cs="Arial"/>
          <w:sz w:val="22"/>
          <w:szCs w:val="22"/>
        </w:rPr>
        <w:t xml:space="preserve">r fails to cover is that of any teachers who were </w:t>
      </w:r>
      <w:r w:rsidR="00B94004" w:rsidRPr="003068C2">
        <w:rPr>
          <w:rFonts w:ascii="Arial" w:eastAsia="Calibri" w:hAnsi="Arial" w:cs="Arial"/>
          <w:sz w:val="22"/>
          <w:szCs w:val="22"/>
        </w:rPr>
        <w:t>fully anti-movement</w:t>
      </w:r>
      <w:r w:rsidR="00774978" w:rsidRPr="003068C2">
        <w:rPr>
          <w:rFonts w:ascii="Arial" w:eastAsia="Calibri" w:hAnsi="Arial" w:cs="Arial"/>
          <w:sz w:val="22"/>
          <w:szCs w:val="22"/>
        </w:rPr>
        <w:t>.</w:t>
      </w:r>
      <w:r w:rsidR="003A483D" w:rsidRPr="003068C2">
        <w:rPr>
          <w:rFonts w:ascii="Arial" w:eastAsia="Calibri" w:hAnsi="Arial" w:cs="Arial"/>
          <w:sz w:val="22"/>
          <w:szCs w:val="22"/>
        </w:rPr>
        <w:t xml:space="preserve"> Despite</w:t>
      </w:r>
      <w:r w:rsidR="003A483D">
        <w:rPr>
          <w:rFonts w:ascii="Arial" w:eastAsia="Calibri" w:hAnsi="Arial" w:cs="Arial"/>
          <w:sz w:val="22"/>
          <w:szCs w:val="22"/>
        </w:rPr>
        <w:t xml:space="preserve"> many </w:t>
      </w:r>
      <w:r w:rsidR="00C117DA">
        <w:rPr>
          <w:rFonts w:ascii="Arial" w:eastAsia="Calibri" w:hAnsi="Arial" w:cs="Arial"/>
          <w:sz w:val="22"/>
          <w:szCs w:val="22"/>
        </w:rPr>
        <w:t>other views being included</w:t>
      </w:r>
      <w:r w:rsidR="00AA6BA9">
        <w:rPr>
          <w:rFonts w:ascii="Arial" w:eastAsia="Calibri" w:hAnsi="Arial" w:cs="Arial"/>
          <w:sz w:val="22"/>
          <w:szCs w:val="22"/>
        </w:rPr>
        <w:t xml:space="preserve">, this one stands out </w:t>
      </w:r>
      <w:r w:rsidR="00A00D6A">
        <w:rPr>
          <w:rFonts w:ascii="Arial" w:eastAsia="Calibri" w:hAnsi="Arial" w:cs="Arial"/>
          <w:sz w:val="22"/>
          <w:szCs w:val="22"/>
        </w:rPr>
        <w:t xml:space="preserve">as a perhaps an obvious one to miss out, especially in contrast against the teachers who were </w:t>
      </w:r>
      <w:r w:rsidR="00343BEA">
        <w:rPr>
          <w:rFonts w:ascii="Arial" w:eastAsia="Calibri" w:hAnsi="Arial" w:cs="Arial"/>
          <w:sz w:val="22"/>
          <w:szCs w:val="22"/>
        </w:rPr>
        <w:t xml:space="preserve">in public support of the movement. However, the author is </w:t>
      </w:r>
      <w:r w:rsidR="00DA4DE9">
        <w:rPr>
          <w:rFonts w:ascii="Arial" w:eastAsia="Calibri" w:hAnsi="Arial" w:cs="Arial"/>
          <w:sz w:val="22"/>
          <w:szCs w:val="22"/>
        </w:rPr>
        <w:t xml:space="preserve">somewhat </w:t>
      </w:r>
      <w:r w:rsidR="00343BEA">
        <w:rPr>
          <w:rFonts w:ascii="Arial" w:eastAsia="Calibri" w:hAnsi="Arial" w:cs="Arial"/>
          <w:sz w:val="22"/>
          <w:szCs w:val="22"/>
        </w:rPr>
        <w:t xml:space="preserve">close by discussing those who </w:t>
      </w:r>
      <w:r w:rsidR="00DA4DE9">
        <w:rPr>
          <w:rFonts w:ascii="Arial" w:eastAsia="Calibri" w:hAnsi="Arial" w:cs="Arial"/>
          <w:sz w:val="22"/>
          <w:szCs w:val="22"/>
        </w:rPr>
        <w:t xml:space="preserve">showed a limited support, whether it being their actual view or restrained by </w:t>
      </w:r>
      <w:r w:rsidR="00134A4A">
        <w:rPr>
          <w:rFonts w:ascii="Arial" w:eastAsia="Calibri" w:hAnsi="Arial" w:cs="Arial"/>
          <w:sz w:val="22"/>
          <w:szCs w:val="22"/>
        </w:rPr>
        <w:t>aforementioned societal consequences.</w:t>
      </w:r>
    </w:p>
    <w:p w14:paraId="769CE9C8" w14:textId="77777777" w:rsidR="007E5097" w:rsidRDefault="00F32B8F" w:rsidP="008F7FA7">
      <w:pPr>
        <w:spacing w:after="0" w:line="480" w:lineRule="auto"/>
        <w:jc w:val="both"/>
        <w:rPr>
          <w:rFonts w:ascii="Arial" w:eastAsia="Calibri" w:hAnsi="Arial" w:cs="Arial"/>
          <w:sz w:val="22"/>
          <w:szCs w:val="22"/>
        </w:rPr>
      </w:pPr>
      <w:r>
        <w:rPr>
          <w:rFonts w:ascii="Arial" w:eastAsia="Calibri" w:hAnsi="Arial" w:cs="Arial"/>
          <w:sz w:val="22"/>
          <w:szCs w:val="22"/>
        </w:rPr>
        <w:t>An issue with complete clarity can be seen in the chapter due to the use, or lack of, language</w:t>
      </w:r>
      <w:r w:rsidR="00333ABB">
        <w:rPr>
          <w:rFonts w:ascii="Arial" w:eastAsia="Calibri" w:hAnsi="Arial" w:cs="Arial"/>
          <w:sz w:val="22"/>
          <w:szCs w:val="22"/>
        </w:rPr>
        <w:t>. The introductory paragraph</w:t>
      </w:r>
      <w:r w:rsidR="00E4280B">
        <w:rPr>
          <w:rFonts w:ascii="Arial" w:eastAsia="Calibri" w:hAnsi="Arial" w:cs="Arial"/>
          <w:sz w:val="22"/>
          <w:szCs w:val="22"/>
        </w:rPr>
        <w:t xml:space="preserve"> at the start of the overt teaching section </w:t>
      </w:r>
      <w:r w:rsidR="00031A01">
        <w:rPr>
          <w:rFonts w:ascii="Arial" w:eastAsia="Calibri" w:hAnsi="Arial" w:cs="Arial"/>
          <w:sz w:val="22"/>
          <w:szCs w:val="22"/>
        </w:rPr>
        <w:t xml:space="preserve">discusses similar </w:t>
      </w:r>
      <w:r w:rsidR="00206B40">
        <w:rPr>
          <w:rFonts w:ascii="Arial" w:eastAsia="Calibri" w:hAnsi="Arial" w:cs="Arial"/>
          <w:sz w:val="22"/>
          <w:szCs w:val="22"/>
        </w:rPr>
        <w:t>actions</w:t>
      </w:r>
      <w:r w:rsidR="00031A01">
        <w:rPr>
          <w:rFonts w:ascii="Arial" w:eastAsia="Calibri" w:hAnsi="Arial" w:cs="Arial"/>
          <w:sz w:val="22"/>
          <w:szCs w:val="22"/>
        </w:rPr>
        <w:t xml:space="preserve"> to the covert section</w:t>
      </w:r>
      <w:r w:rsidR="00244883">
        <w:rPr>
          <w:rFonts w:ascii="Arial" w:eastAsia="Calibri" w:hAnsi="Arial" w:cs="Arial"/>
          <w:sz w:val="22"/>
          <w:szCs w:val="22"/>
        </w:rPr>
        <w:t>, such as</w:t>
      </w:r>
      <w:r w:rsidR="00F36C0D">
        <w:rPr>
          <w:rFonts w:ascii="Arial" w:eastAsia="Calibri" w:hAnsi="Arial" w:cs="Arial"/>
          <w:sz w:val="22"/>
          <w:szCs w:val="22"/>
        </w:rPr>
        <w:t xml:space="preserve"> “subtle strategies” and “</w:t>
      </w:r>
      <w:r w:rsidR="00EF39A7">
        <w:rPr>
          <w:rFonts w:ascii="Arial" w:eastAsia="Calibri" w:hAnsi="Arial" w:cs="Arial"/>
          <w:sz w:val="22"/>
          <w:szCs w:val="22"/>
        </w:rPr>
        <w:t>debating societies.</w:t>
      </w:r>
      <w:r w:rsidR="00F36C0D">
        <w:rPr>
          <w:rFonts w:ascii="Arial" w:eastAsia="Calibri" w:hAnsi="Arial" w:cs="Arial"/>
          <w:sz w:val="22"/>
          <w:szCs w:val="22"/>
        </w:rPr>
        <w:t>”</w:t>
      </w:r>
      <w:r w:rsidR="00EF39A7">
        <w:rPr>
          <w:rStyle w:val="FootnoteReference"/>
          <w:rFonts w:ascii="Arial" w:eastAsia="Calibri" w:hAnsi="Arial" w:cs="Arial"/>
          <w:sz w:val="22"/>
          <w:szCs w:val="22"/>
        </w:rPr>
        <w:footnoteReference w:id="26"/>
      </w:r>
      <w:r w:rsidR="00244883">
        <w:rPr>
          <w:rFonts w:ascii="Arial" w:eastAsia="Calibri" w:hAnsi="Arial" w:cs="Arial"/>
          <w:sz w:val="22"/>
          <w:szCs w:val="22"/>
        </w:rPr>
        <w:t xml:space="preserve"> </w:t>
      </w:r>
      <w:r w:rsidR="00F36C0D">
        <w:rPr>
          <w:rFonts w:ascii="Arial" w:eastAsia="Calibri" w:hAnsi="Arial" w:cs="Arial"/>
          <w:sz w:val="22"/>
          <w:szCs w:val="22"/>
        </w:rPr>
        <w:t>This</w:t>
      </w:r>
      <w:r w:rsidR="00031A01">
        <w:rPr>
          <w:rFonts w:ascii="Arial" w:eastAsia="Calibri" w:hAnsi="Arial" w:cs="Arial"/>
          <w:sz w:val="22"/>
          <w:szCs w:val="22"/>
        </w:rPr>
        <w:t xml:space="preserve"> mean</w:t>
      </w:r>
      <w:r w:rsidR="00EF39A7">
        <w:rPr>
          <w:rFonts w:ascii="Arial" w:eastAsia="Calibri" w:hAnsi="Arial" w:cs="Arial"/>
          <w:sz w:val="22"/>
          <w:szCs w:val="22"/>
        </w:rPr>
        <w:t>s</w:t>
      </w:r>
      <w:r w:rsidR="00031A01">
        <w:rPr>
          <w:rFonts w:ascii="Arial" w:eastAsia="Calibri" w:hAnsi="Arial" w:cs="Arial"/>
          <w:sz w:val="22"/>
          <w:szCs w:val="22"/>
        </w:rPr>
        <w:t xml:space="preserve"> that at first the reader is given </w:t>
      </w:r>
      <w:r w:rsidR="00181535">
        <w:rPr>
          <w:rFonts w:ascii="Arial" w:eastAsia="Calibri" w:hAnsi="Arial" w:cs="Arial"/>
          <w:sz w:val="22"/>
          <w:szCs w:val="22"/>
        </w:rPr>
        <w:t>the</w:t>
      </w:r>
      <w:r w:rsidR="00031A01">
        <w:rPr>
          <w:rFonts w:ascii="Arial" w:eastAsia="Calibri" w:hAnsi="Arial" w:cs="Arial"/>
          <w:sz w:val="22"/>
          <w:szCs w:val="22"/>
        </w:rPr>
        <w:t xml:space="preserve"> impression </w:t>
      </w:r>
      <w:r w:rsidR="00F069DB">
        <w:rPr>
          <w:rFonts w:ascii="Arial" w:eastAsia="Calibri" w:hAnsi="Arial" w:cs="Arial"/>
          <w:sz w:val="22"/>
          <w:szCs w:val="22"/>
        </w:rPr>
        <w:t>that the two sections aren’t as contrasting as</w:t>
      </w:r>
      <w:r w:rsidR="00206B40">
        <w:rPr>
          <w:rFonts w:ascii="Arial" w:eastAsia="Calibri" w:hAnsi="Arial" w:cs="Arial"/>
          <w:sz w:val="22"/>
          <w:szCs w:val="22"/>
        </w:rPr>
        <w:t xml:space="preserve"> they were said to be</w:t>
      </w:r>
      <w:r w:rsidR="00181535">
        <w:rPr>
          <w:rFonts w:ascii="Arial" w:eastAsia="Calibri" w:hAnsi="Arial" w:cs="Arial"/>
          <w:sz w:val="22"/>
          <w:szCs w:val="22"/>
        </w:rPr>
        <w:t xml:space="preserve"> in the main introduction</w:t>
      </w:r>
      <w:r w:rsidR="00206B40">
        <w:rPr>
          <w:rFonts w:ascii="Arial" w:eastAsia="Calibri" w:hAnsi="Arial" w:cs="Arial"/>
          <w:sz w:val="22"/>
          <w:szCs w:val="22"/>
        </w:rPr>
        <w:t>.</w:t>
      </w:r>
    </w:p>
    <w:p w14:paraId="42D643B8" w14:textId="77777777" w:rsidR="00021C58" w:rsidRPr="00427455" w:rsidRDefault="00021C58" w:rsidP="008F7FA7">
      <w:pPr>
        <w:spacing w:after="0" w:line="480" w:lineRule="auto"/>
        <w:jc w:val="both"/>
        <w:rPr>
          <w:rFonts w:ascii="Arial" w:eastAsia="Calibri" w:hAnsi="Arial" w:cs="Arial"/>
          <w:sz w:val="22"/>
          <w:szCs w:val="22"/>
        </w:rPr>
      </w:pPr>
    </w:p>
    <w:p w14:paraId="0EFA874F" w14:textId="2AA709DF" w:rsidR="00BE19CD" w:rsidRPr="00427455" w:rsidRDefault="00E357A7" w:rsidP="008F7FA7">
      <w:pPr>
        <w:spacing w:after="0" w:line="480" w:lineRule="auto"/>
        <w:jc w:val="both"/>
        <w:rPr>
          <w:rFonts w:ascii="Arial" w:eastAsia="Calibri" w:hAnsi="Arial" w:cs="Arial"/>
          <w:sz w:val="22"/>
          <w:szCs w:val="22"/>
        </w:rPr>
      </w:pPr>
      <w:r>
        <w:rPr>
          <w:rFonts w:ascii="Arial" w:eastAsia="Calibri" w:hAnsi="Arial" w:cs="Arial"/>
          <w:sz w:val="22"/>
          <w:szCs w:val="22"/>
        </w:rPr>
        <w:t xml:space="preserve">Overall, the chapter explores the impact of girls’ education towards the </w:t>
      </w:r>
      <w:r w:rsidR="00602D7D">
        <w:rPr>
          <w:rFonts w:ascii="Arial" w:eastAsia="Calibri" w:hAnsi="Arial" w:cs="Arial"/>
          <w:sz w:val="22"/>
          <w:szCs w:val="22"/>
        </w:rPr>
        <w:t>British women’s suffrage movement in great detail</w:t>
      </w:r>
      <w:r w:rsidR="009B0AD9">
        <w:rPr>
          <w:rFonts w:ascii="Arial" w:eastAsia="Calibri" w:hAnsi="Arial" w:cs="Arial"/>
          <w:sz w:val="22"/>
          <w:szCs w:val="22"/>
        </w:rPr>
        <w:t xml:space="preserve">, highlighting a multitude of areas within the topic in order to </w:t>
      </w:r>
      <w:r w:rsidR="0006753B">
        <w:rPr>
          <w:rFonts w:ascii="Arial" w:eastAsia="Calibri" w:hAnsi="Arial" w:cs="Arial"/>
          <w:sz w:val="22"/>
          <w:szCs w:val="22"/>
        </w:rPr>
        <w:t>paint the fullest picture possible.</w:t>
      </w:r>
      <w:r w:rsidR="00B74EBC">
        <w:rPr>
          <w:rFonts w:ascii="Arial" w:eastAsia="Calibri" w:hAnsi="Arial" w:cs="Arial"/>
          <w:sz w:val="22"/>
          <w:szCs w:val="22"/>
        </w:rPr>
        <w:t xml:space="preserve"> Overall, the main argument explored is</w:t>
      </w:r>
      <w:r w:rsidR="00413559">
        <w:rPr>
          <w:rFonts w:ascii="Arial" w:eastAsia="Calibri" w:hAnsi="Arial" w:cs="Arial"/>
          <w:sz w:val="22"/>
          <w:szCs w:val="22"/>
        </w:rPr>
        <w:t xml:space="preserve"> highly</w:t>
      </w:r>
      <w:r w:rsidR="00B74EBC">
        <w:rPr>
          <w:rFonts w:ascii="Arial" w:eastAsia="Calibri" w:hAnsi="Arial" w:cs="Arial"/>
          <w:sz w:val="22"/>
          <w:szCs w:val="22"/>
        </w:rPr>
        <w:t xml:space="preserve"> </w:t>
      </w:r>
      <w:r w:rsidR="00CB50D1">
        <w:rPr>
          <w:rFonts w:ascii="Arial" w:eastAsia="Calibri" w:hAnsi="Arial" w:cs="Arial"/>
          <w:sz w:val="22"/>
          <w:szCs w:val="22"/>
        </w:rPr>
        <w:t>convincing</w:t>
      </w:r>
      <w:r w:rsidR="00B74EBC">
        <w:rPr>
          <w:rFonts w:ascii="Arial" w:eastAsia="Calibri" w:hAnsi="Arial" w:cs="Arial"/>
          <w:sz w:val="22"/>
          <w:szCs w:val="22"/>
        </w:rPr>
        <w:t xml:space="preserve"> </w:t>
      </w:r>
      <w:r w:rsidR="00B30BA8">
        <w:rPr>
          <w:rFonts w:ascii="Arial" w:eastAsia="Calibri" w:hAnsi="Arial" w:cs="Arial"/>
          <w:sz w:val="22"/>
          <w:szCs w:val="22"/>
        </w:rPr>
        <w:t>due to this variety</w:t>
      </w:r>
      <w:r w:rsidR="00B74EBC">
        <w:rPr>
          <w:rFonts w:ascii="Arial" w:eastAsia="Calibri" w:hAnsi="Arial" w:cs="Arial"/>
          <w:sz w:val="22"/>
          <w:szCs w:val="22"/>
        </w:rPr>
        <w:t>.</w:t>
      </w:r>
      <w:r w:rsidR="00B30BA8">
        <w:rPr>
          <w:rFonts w:ascii="Arial" w:eastAsia="Calibri" w:hAnsi="Arial" w:cs="Arial"/>
          <w:sz w:val="22"/>
          <w:szCs w:val="22"/>
        </w:rPr>
        <w:t xml:space="preserve"> Those w</w:t>
      </w:r>
      <w:r w:rsidR="00CA4361">
        <w:rPr>
          <w:rFonts w:ascii="Arial" w:eastAsia="Calibri" w:hAnsi="Arial" w:cs="Arial"/>
          <w:sz w:val="22"/>
          <w:szCs w:val="22"/>
        </w:rPr>
        <w:t xml:space="preserve">ho many benefit from reading it </w:t>
      </w:r>
      <w:r w:rsidR="007C6FEB">
        <w:rPr>
          <w:rFonts w:ascii="Arial" w:eastAsia="Calibri" w:hAnsi="Arial" w:cs="Arial"/>
          <w:sz w:val="22"/>
          <w:szCs w:val="22"/>
        </w:rPr>
        <w:t xml:space="preserve">could </w:t>
      </w:r>
      <w:r w:rsidR="006A566C">
        <w:rPr>
          <w:rFonts w:ascii="Arial" w:eastAsia="Calibri" w:hAnsi="Arial" w:cs="Arial"/>
          <w:sz w:val="22"/>
          <w:szCs w:val="22"/>
        </w:rPr>
        <w:t>include</w:t>
      </w:r>
      <w:r w:rsidR="002D6247">
        <w:rPr>
          <w:rFonts w:ascii="Arial" w:eastAsia="Calibri" w:hAnsi="Arial" w:cs="Arial"/>
          <w:sz w:val="22"/>
          <w:szCs w:val="22"/>
        </w:rPr>
        <w:t xml:space="preserve"> but isn’t limited to;</w:t>
      </w:r>
      <w:r w:rsidR="007C6FEB">
        <w:rPr>
          <w:rFonts w:ascii="Arial" w:eastAsia="Calibri" w:hAnsi="Arial" w:cs="Arial"/>
          <w:sz w:val="22"/>
          <w:szCs w:val="22"/>
        </w:rPr>
        <w:t xml:space="preserve"> </w:t>
      </w:r>
      <w:r w:rsidR="00AD56A0">
        <w:rPr>
          <w:rFonts w:ascii="Arial" w:eastAsia="Calibri" w:hAnsi="Arial" w:cs="Arial"/>
          <w:sz w:val="22"/>
          <w:szCs w:val="22"/>
        </w:rPr>
        <w:t xml:space="preserve">historians looking at similar topics, politicians looking at the </w:t>
      </w:r>
      <w:r w:rsidR="006A566C">
        <w:rPr>
          <w:rFonts w:ascii="Arial" w:eastAsia="Calibri" w:hAnsi="Arial" w:cs="Arial"/>
          <w:sz w:val="22"/>
          <w:szCs w:val="22"/>
        </w:rPr>
        <w:t>impact of the movement,</w:t>
      </w:r>
      <w:r w:rsidR="002D6247">
        <w:rPr>
          <w:rFonts w:ascii="Arial" w:eastAsia="Calibri" w:hAnsi="Arial" w:cs="Arial"/>
          <w:sz w:val="22"/>
          <w:szCs w:val="22"/>
        </w:rPr>
        <w:t xml:space="preserve"> and</w:t>
      </w:r>
      <w:r w:rsidR="006A566C">
        <w:rPr>
          <w:rFonts w:ascii="Arial" w:eastAsia="Calibri" w:hAnsi="Arial" w:cs="Arial"/>
          <w:sz w:val="22"/>
          <w:szCs w:val="22"/>
        </w:rPr>
        <w:t xml:space="preserve"> anyone generally interested </w:t>
      </w:r>
      <w:r w:rsidR="003A52C9">
        <w:rPr>
          <w:rFonts w:ascii="Arial" w:eastAsia="Calibri" w:hAnsi="Arial" w:cs="Arial"/>
          <w:sz w:val="22"/>
          <w:szCs w:val="22"/>
        </w:rPr>
        <w:t>in women’s right</w:t>
      </w:r>
      <w:r w:rsidR="002D6247">
        <w:rPr>
          <w:rFonts w:ascii="Arial" w:eastAsia="Calibri" w:hAnsi="Arial" w:cs="Arial"/>
          <w:sz w:val="22"/>
          <w:szCs w:val="22"/>
        </w:rPr>
        <w:t>s</w:t>
      </w:r>
      <w:r w:rsidR="003A52C9">
        <w:rPr>
          <w:rFonts w:ascii="Arial" w:eastAsia="Calibri" w:hAnsi="Arial" w:cs="Arial"/>
          <w:sz w:val="22"/>
          <w:szCs w:val="22"/>
        </w:rPr>
        <w:t xml:space="preserve"> and/or political and education history. </w:t>
      </w:r>
    </w:p>
    <w:p w14:paraId="1E00543A" w14:textId="3E8ABC84" w:rsidR="00E74831" w:rsidRDefault="00E74831">
      <w:pPr>
        <w:rPr>
          <w:rFonts w:ascii="Arial" w:eastAsia="Calibri" w:hAnsi="Arial" w:cs="Arial"/>
          <w:sz w:val="22"/>
          <w:szCs w:val="22"/>
        </w:rPr>
      </w:pPr>
      <w:r>
        <w:rPr>
          <w:rFonts w:ascii="Arial" w:eastAsia="Calibri" w:hAnsi="Arial" w:cs="Arial"/>
          <w:sz w:val="22"/>
          <w:szCs w:val="22"/>
        </w:rPr>
        <w:br w:type="page"/>
      </w:r>
    </w:p>
    <w:p w14:paraId="6B6EE612" w14:textId="1ABA0291" w:rsidR="00021C58" w:rsidRDefault="00E74831" w:rsidP="008F7FA7">
      <w:pPr>
        <w:spacing w:after="0" w:line="480" w:lineRule="auto"/>
        <w:jc w:val="both"/>
        <w:rPr>
          <w:rFonts w:ascii="Arial" w:eastAsia="Calibri" w:hAnsi="Arial" w:cs="Arial"/>
          <w:sz w:val="22"/>
          <w:szCs w:val="22"/>
          <w:u w:val="single"/>
        </w:rPr>
      </w:pPr>
      <w:r w:rsidRPr="00E74831">
        <w:rPr>
          <w:rFonts w:ascii="Arial" w:eastAsia="Calibri" w:hAnsi="Arial" w:cs="Arial"/>
          <w:sz w:val="22"/>
          <w:szCs w:val="22"/>
          <w:u w:val="single"/>
        </w:rPr>
        <w:lastRenderedPageBreak/>
        <w:t>Bibliography:</w:t>
      </w:r>
    </w:p>
    <w:p w14:paraId="77DB3982" w14:textId="77777777" w:rsidR="00F126F1" w:rsidRDefault="00F126F1" w:rsidP="005B0205">
      <w:pPr>
        <w:spacing w:after="0" w:line="240" w:lineRule="auto"/>
        <w:rPr>
          <w:sz w:val="22"/>
          <w:szCs w:val="22"/>
        </w:rPr>
      </w:pPr>
      <w:r w:rsidRPr="00712353">
        <w:rPr>
          <w:sz w:val="22"/>
          <w:szCs w:val="22"/>
        </w:rPr>
        <w:t xml:space="preserve">(1911) </w:t>
      </w:r>
      <w:r w:rsidRPr="00712353">
        <w:rPr>
          <w:i/>
          <w:iCs/>
          <w:sz w:val="22"/>
          <w:szCs w:val="22"/>
        </w:rPr>
        <w:t xml:space="preserve">A Brief Review of the Women’s Suffrage Movement Since its Beginning in 1832. </w:t>
      </w:r>
      <w:r w:rsidRPr="00712353">
        <w:rPr>
          <w:sz w:val="22"/>
          <w:szCs w:val="22"/>
        </w:rPr>
        <w:t xml:space="preserve">London: Vacher &amp; Sons, Ltd. Available at: </w:t>
      </w:r>
      <w:hyperlink r:id="rId8" w:history="1">
        <w:r w:rsidRPr="00712353">
          <w:rPr>
            <w:rStyle w:val="Hyperlink"/>
            <w:sz w:val="22"/>
            <w:szCs w:val="22"/>
          </w:rPr>
          <w:t xml:space="preserve">Brief Review Of The </w:t>
        </w:r>
        <w:proofErr w:type="spellStart"/>
        <w:r w:rsidRPr="00712353">
          <w:rPr>
            <w:rStyle w:val="Hyperlink"/>
            <w:sz w:val="22"/>
            <w:szCs w:val="22"/>
          </w:rPr>
          <w:t>Womens</w:t>
        </w:r>
        <w:proofErr w:type="spellEnd"/>
        <w:r w:rsidRPr="00712353">
          <w:rPr>
            <w:rStyle w:val="Hyperlink"/>
            <w:sz w:val="22"/>
            <w:szCs w:val="22"/>
          </w:rPr>
          <w:t xml:space="preserve"> Suffrage Movement : Free Download, Borrow, and Streaming : Internet Archive</w:t>
        </w:r>
      </w:hyperlink>
      <w:r w:rsidRPr="00712353">
        <w:rPr>
          <w:sz w:val="22"/>
          <w:szCs w:val="22"/>
        </w:rPr>
        <w:t xml:space="preserve"> (Accessed: 04 January 2026).</w:t>
      </w:r>
    </w:p>
    <w:p w14:paraId="42276BE1" w14:textId="77777777" w:rsidR="00F126F1" w:rsidRDefault="00F126F1" w:rsidP="005B0205">
      <w:pPr>
        <w:spacing w:after="0" w:line="240" w:lineRule="auto"/>
        <w:rPr>
          <w:sz w:val="22"/>
          <w:szCs w:val="22"/>
        </w:rPr>
      </w:pPr>
    </w:p>
    <w:p w14:paraId="610D4911" w14:textId="77777777" w:rsidR="00F126F1" w:rsidRDefault="00F126F1" w:rsidP="005B0205">
      <w:pPr>
        <w:spacing w:after="0" w:line="240" w:lineRule="auto"/>
        <w:rPr>
          <w:sz w:val="22"/>
          <w:szCs w:val="22"/>
        </w:rPr>
      </w:pPr>
      <w:r w:rsidRPr="00712353">
        <w:rPr>
          <w:sz w:val="22"/>
          <w:szCs w:val="22"/>
        </w:rPr>
        <w:t>Bush, J. </w:t>
      </w:r>
      <w:r w:rsidRPr="00712353">
        <w:rPr>
          <w:i/>
          <w:iCs/>
          <w:sz w:val="22"/>
          <w:szCs w:val="22"/>
        </w:rPr>
        <w:t>Women Against the Vote: Female Anti-Suffragism in Britain</w:t>
      </w:r>
      <w:r w:rsidRPr="00712353">
        <w:rPr>
          <w:sz w:val="22"/>
          <w:szCs w:val="22"/>
        </w:rPr>
        <w:t xml:space="preserve"> (Oxford, 2007; online </w:t>
      </w:r>
      <w:proofErr w:type="spellStart"/>
      <w:r w:rsidRPr="00712353">
        <w:rPr>
          <w:sz w:val="22"/>
          <w:szCs w:val="22"/>
        </w:rPr>
        <w:t>edn</w:t>
      </w:r>
      <w:proofErr w:type="spellEnd"/>
      <w:r w:rsidRPr="00712353">
        <w:rPr>
          <w:sz w:val="22"/>
          <w:szCs w:val="22"/>
        </w:rPr>
        <w:t xml:space="preserve">, Oxford Academic, 1 Jan. 2008). Available at: </w:t>
      </w:r>
      <w:hyperlink r:id="rId9" w:history="1">
        <w:r w:rsidRPr="00712353">
          <w:rPr>
            <w:rStyle w:val="Hyperlink"/>
            <w:sz w:val="22"/>
            <w:szCs w:val="22"/>
          </w:rPr>
          <w:t>https://doi.org/10.1093/acprof:oso/9780199248773.001.0001</w:t>
        </w:r>
      </w:hyperlink>
      <w:r w:rsidRPr="00712353">
        <w:rPr>
          <w:sz w:val="22"/>
          <w:szCs w:val="22"/>
        </w:rPr>
        <w:t xml:space="preserve"> (Accessed: 04 January 2026)</w:t>
      </w:r>
      <w:r>
        <w:rPr>
          <w:sz w:val="22"/>
          <w:szCs w:val="22"/>
        </w:rPr>
        <w:t xml:space="preserve">. </w:t>
      </w:r>
    </w:p>
    <w:p w14:paraId="36109C9A" w14:textId="77777777" w:rsidR="00F126F1" w:rsidRDefault="00F126F1" w:rsidP="005B0205">
      <w:pPr>
        <w:spacing w:after="0" w:line="240" w:lineRule="auto"/>
        <w:rPr>
          <w:sz w:val="22"/>
          <w:szCs w:val="22"/>
        </w:rPr>
      </w:pPr>
    </w:p>
    <w:p w14:paraId="4F717201" w14:textId="77777777" w:rsidR="00F126F1" w:rsidRDefault="00F126F1" w:rsidP="005B0205">
      <w:pPr>
        <w:spacing w:after="0" w:line="240" w:lineRule="auto"/>
        <w:rPr>
          <w:sz w:val="22"/>
          <w:szCs w:val="22"/>
        </w:rPr>
      </w:pPr>
      <w:r w:rsidRPr="00712353">
        <w:rPr>
          <w:sz w:val="22"/>
          <w:szCs w:val="22"/>
        </w:rPr>
        <w:t xml:space="preserve">Sunderland, H. (2021) ‘English girls' schools and women's suffrage’, in Hughes-Johnson, A. and Jenkins, L. (eds.) </w:t>
      </w:r>
      <w:r w:rsidRPr="00712353">
        <w:rPr>
          <w:i/>
          <w:iCs/>
          <w:sz w:val="22"/>
          <w:szCs w:val="22"/>
        </w:rPr>
        <w:t xml:space="preserve">Politics of Women’s Suffrage: Local, National, and International Dimensions. </w:t>
      </w:r>
      <w:r w:rsidRPr="00712353">
        <w:rPr>
          <w:sz w:val="22"/>
          <w:szCs w:val="22"/>
        </w:rPr>
        <w:t>University of London Press</w:t>
      </w:r>
      <w:r w:rsidRPr="00712353">
        <w:rPr>
          <w:sz w:val="22"/>
          <w:szCs w:val="22"/>
        </w:rPr>
        <w:t>.</w:t>
      </w:r>
    </w:p>
    <w:p w14:paraId="0DC1EAC7" w14:textId="77777777" w:rsidR="00F126F1" w:rsidRDefault="00F126F1" w:rsidP="005B0205">
      <w:pPr>
        <w:spacing w:after="0" w:line="240" w:lineRule="auto"/>
        <w:rPr>
          <w:sz w:val="22"/>
          <w:szCs w:val="22"/>
        </w:rPr>
      </w:pPr>
    </w:p>
    <w:p w14:paraId="757C0DDD" w14:textId="4E2F75AA" w:rsidR="00F126F1" w:rsidRDefault="00F126F1" w:rsidP="005B0205">
      <w:pPr>
        <w:spacing w:after="0" w:line="240" w:lineRule="auto"/>
        <w:rPr>
          <w:sz w:val="22"/>
          <w:szCs w:val="22"/>
        </w:rPr>
      </w:pPr>
      <w:r w:rsidRPr="00712353">
        <w:rPr>
          <w:sz w:val="22"/>
          <w:szCs w:val="22"/>
        </w:rPr>
        <w:t xml:space="preserve">University of Oxford (2025) Faculty of History. Available at: </w:t>
      </w:r>
      <w:hyperlink r:id="rId10" w:anchor=":~:text=My%20doctoral%20research%2C%20completed%20in,in%20England%2C%201870%2D1918." w:history="1">
        <w:r w:rsidRPr="00712353">
          <w:rPr>
            <w:rStyle w:val="Hyperlink"/>
            <w:sz w:val="22"/>
            <w:szCs w:val="22"/>
          </w:rPr>
          <w:t>Dr Helen Sunderland | Faculty of History</w:t>
        </w:r>
      </w:hyperlink>
      <w:r w:rsidRPr="00712353">
        <w:rPr>
          <w:sz w:val="22"/>
          <w:szCs w:val="22"/>
        </w:rPr>
        <w:t xml:space="preserve"> (Accessed: 04 January 2026).</w:t>
      </w:r>
    </w:p>
    <w:p w14:paraId="32A4EF02" w14:textId="77777777" w:rsidR="00712353" w:rsidRDefault="00712353" w:rsidP="005B0205">
      <w:pPr>
        <w:spacing w:after="0" w:line="240" w:lineRule="auto"/>
        <w:rPr>
          <w:sz w:val="22"/>
          <w:szCs w:val="22"/>
        </w:rPr>
      </w:pPr>
    </w:p>
    <w:p w14:paraId="3B0A26A7" w14:textId="77777777" w:rsidR="00712353" w:rsidRPr="00712353" w:rsidRDefault="00712353" w:rsidP="005B0205">
      <w:pPr>
        <w:spacing w:after="0" w:line="240" w:lineRule="auto"/>
        <w:rPr>
          <w:sz w:val="22"/>
          <w:szCs w:val="22"/>
        </w:rPr>
      </w:pPr>
    </w:p>
    <w:p w14:paraId="61C43F7F" w14:textId="77777777" w:rsidR="006402C1" w:rsidRDefault="006402C1" w:rsidP="005B0205">
      <w:pPr>
        <w:spacing w:after="0" w:line="240" w:lineRule="auto"/>
      </w:pPr>
    </w:p>
    <w:p w14:paraId="586C34FD" w14:textId="77777777" w:rsidR="006402C1" w:rsidRPr="00E74831" w:rsidRDefault="006402C1" w:rsidP="005B0205">
      <w:pPr>
        <w:spacing w:after="0" w:line="240" w:lineRule="auto"/>
        <w:rPr>
          <w:rFonts w:ascii="Arial" w:eastAsia="Calibri" w:hAnsi="Arial" w:cs="Arial"/>
          <w:sz w:val="22"/>
          <w:szCs w:val="22"/>
          <w:u w:val="single"/>
        </w:rPr>
      </w:pPr>
    </w:p>
    <w:sectPr w:rsidR="006402C1" w:rsidRPr="00E74831">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171A59" w14:textId="77777777" w:rsidR="00A916CC" w:rsidRDefault="00A916CC" w:rsidP="002E08F8">
      <w:pPr>
        <w:spacing w:after="0" w:line="240" w:lineRule="auto"/>
      </w:pPr>
      <w:r>
        <w:separator/>
      </w:r>
    </w:p>
  </w:endnote>
  <w:endnote w:type="continuationSeparator" w:id="0">
    <w:p w14:paraId="565DC518" w14:textId="77777777" w:rsidR="00A916CC" w:rsidRDefault="00A916CC" w:rsidP="002E08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1798D9" w14:textId="2F9D1F79" w:rsidR="00327473" w:rsidRDefault="001A2ADE" w:rsidP="001A2ADE">
    <w:pPr>
      <w:pStyle w:val="Footer"/>
      <w:tabs>
        <w:tab w:val="clear" w:pos="4513"/>
        <w:tab w:val="clear" w:pos="9026"/>
        <w:tab w:val="left" w:pos="1615"/>
      </w:tabs>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87EC5F" w14:textId="77777777" w:rsidR="00A916CC" w:rsidRDefault="00A916CC" w:rsidP="002E08F8">
      <w:pPr>
        <w:spacing w:after="0" w:line="240" w:lineRule="auto"/>
      </w:pPr>
      <w:r>
        <w:separator/>
      </w:r>
    </w:p>
  </w:footnote>
  <w:footnote w:type="continuationSeparator" w:id="0">
    <w:p w14:paraId="1FAB7514" w14:textId="77777777" w:rsidR="00A916CC" w:rsidRDefault="00A916CC" w:rsidP="002E08F8">
      <w:pPr>
        <w:spacing w:after="0" w:line="240" w:lineRule="auto"/>
      </w:pPr>
      <w:r>
        <w:continuationSeparator/>
      </w:r>
    </w:p>
  </w:footnote>
  <w:footnote w:id="1">
    <w:p w14:paraId="0A6DBEC2" w14:textId="395660B2" w:rsidR="00C53512" w:rsidRDefault="00C53512">
      <w:pPr>
        <w:pStyle w:val="FootnoteText"/>
      </w:pPr>
      <w:r>
        <w:rPr>
          <w:rStyle w:val="FootnoteReference"/>
        </w:rPr>
        <w:footnoteRef/>
      </w:r>
      <w:r>
        <w:t xml:space="preserve"> </w:t>
      </w:r>
      <w:bookmarkStart w:id="2" w:name="_Hlk218412761"/>
      <w:r w:rsidR="006B738F">
        <w:t>Sunderland, H. (2021)</w:t>
      </w:r>
      <w:r w:rsidR="001E6054">
        <w:t xml:space="preserve"> ‘</w:t>
      </w:r>
      <w:r w:rsidR="001E6054" w:rsidRPr="001E6054">
        <w:t>English girls' schools and women's suffrage</w:t>
      </w:r>
      <w:r w:rsidR="001E6054">
        <w:t>’</w:t>
      </w:r>
      <w:r w:rsidR="00485FF9">
        <w:t xml:space="preserve">, in </w:t>
      </w:r>
      <w:r w:rsidR="002D4907">
        <w:t>Hughes-Johnson, A. and Jenkins</w:t>
      </w:r>
      <w:r w:rsidR="00DC3411">
        <w:t>, L. (eds.)</w:t>
      </w:r>
      <w:r w:rsidR="000D72E9">
        <w:t xml:space="preserve"> </w:t>
      </w:r>
      <w:r w:rsidR="000D72E9" w:rsidRPr="000D72E9">
        <w:rPr>
          <w:i/>
          <w:iCs/>
        </w:rPr>
        <w:t>Politics of Women’s Suffrage: Local, National, and International Dimensions</w:t>
      </w:r>
      <w:r w:rsidR="000D72E9">
        <w:rPr>
          <w:i/>
          <w:iCs/>
        </w:rPr>
        <w:t xml:space="preserve">. </w:t>
      </w:r>
      <w:r w:rsidR="000D72E9">
        <w:t>University of London Press</w:t>
      </w:r>
      <w:r w:rsidR="00015FDF">
        <w:t>, p.</w:t>
      </w:r>
      <w:r w:rsidR="002107EB">
        <w:t xml:space="preserve"> 163</w:t>
      </w:r>
      <w:bookmarkEnd w:id="2"/>
      <w:r w:rsidR="00015FDF">
        <w:t>.</w:t>
      </w:r>
    </w:p>
  </w:footnote>
  <w:footnote w:id="2">
    <w:p w14:paraId="240232CE" w14:textId="544AF5BA" w:rsidR="00A80050" w:rsidRDefault="00A80050">
      <w:pPr>
        <w:pStyle w:val="FootnoteText"/>
      </w:pPr>
      <w:r>
        <w:rPr>
          <w:rStyle w:val="FootnoteReference"/>
        </w:rPr>
        <w:footnoteRef/>
      </w:r>
      <w:r>
        <w:t xml:space="preserve"> </w:t>
      </w:r>
      <w:r w:rsidR="001748AD">
        <w:t>Ibid.</w:t>
      </w:r>
      <w:r w:rsidR="00747D47">
        <w:t>,</w:t>
      </w:r>
      <w:r>
        <w:t xml:space="preserve"> 167</w:t>
      </w:r>
    </w:p>
  </w:footnote>
  <w:footnote w:id="3">
    <w:p w14:paraId="78BB8179" w14:textId="33DE09F2" w:rsidR="00C534DD" w:rsidRDefault="00C534DD" w:rsidP="00C534DD">
      <w:pPr>
        <w:pStyle w:val="FootnoteText"/>
      </w:pPr>
      <w:r>
        <w:rPr>
          <w:rStyle w:val="FootnoteReference"/>
        </w:rPr>
        <w:footnoteRef/>
      </w:r>
      <w:r>
        <w:t xml:space="preserve"> </w:t>
      </w:r>
      <w:r w:rsidR="000751D3">
        <w:t>University of Oxford (2025)</w:t>
      </w:r>
      <w:r w:rsidR="009306CE">
        <w:t xml:space="preserve"> Faculty of History. Available at: </w:t>
      </w:r>
      <w:hyperlink r:id="rId1" w:anchor=":~:text=My%20doctoral%20research%2C%20completed%20in,in%20England%2C%201870%2D1918." w:history="1">
        <w:r>
          <w:rPr>
            <w:rStyle w:val="Hyperlink"/>
          </w:rPr>
          <w:t>Dr Helen Sunderland | Faculty of History</w:t>
        </w:r>
      </w:hyperlink>
      <w:r w:rsidR="009306CE">
        <w:t xml:space="preserve"> (Acc</w:t>
      </w:r>
      <w:r w:rsidR="00D06A59">
        <w:t>essed: 04 January 2026</w:t>
      </w:r>
      <w:r w:rsidR="009306CE">
        <w:t>)</w:t>
      </w:r>
      <w:r w:rsidR="00D06A59">
        <w:t>.</w:t>
      </w:r>
    </w:p>
  </w:footnote>
  <w:footnote w:id="4">
    <w:p w14:paraId="448EB84D" w14:textId="4A5C9A7C" w:rsidR="005D6BFA" w:rsidRDefault="005D6BFA">
      <w:pPr>
        <w:pStyle w:val="FootnoteText"/>
      </w:pPr>
      <w:r>
        <w:rPr>
          <w:rStyle w:val="FootnoteReference"/>
        </w:rPr>
        <w:footnoteRef/>
      </w:r>
      <w:r>
        <w:t xml:space="preserve"> </w:t>
      </w:r>
      <w:r w:rsidR="001A2ADE">
        <w:t>Ibid.</w:t>
      </w:r>
    </w:p>
  </w:footnote>
  <w:footnote w:id="5">
    <w:p w14:paraId="0922252E" w14:textId="68657E8E" w:rsidR="003A4041" w:rsidRDefault="003A4041">
      <w:pPr>
        <w:pStyle w:val="FootnoteText"/>
      </w:pPr>
      <w:r>
        <w:rPr>
          <w:rStyle w:val="FootnoteReference"/>
        </w:rPr>
        <w:footnoteRef/>
      </w:r>
      <w:r>
        <w:t xml:space="preserve"> </w:t>
      </w:r>
      <w:bookmarkStart w:id="3" w:name="_Hlk218413259"/>
      <w:r w:rsidR="00D06A59">
        <w:t>Sunderland, H. (2021) ‘</w:t>
      </w:r>
      <w:r w:rsidR="00D06A59" w:rsidRPr="001E6054">
        <w:t>English girls' schools and women's suffrage</w:t>
      </w:r>
      <w:r w:rsidR="00D06A59">
        <w:t xml:space="preserve">’, in Hughes-Johnson, A. and Jenkins, L. (eds.) </w:t>
      </w:r>
      <w:r w:rsidR="00D06A59" w:rsidRPr="000D72E9">
        <w:rPr>
          <w:i/>
          <w:iCs/>
        </w:rPr>
        <w:t>Politics of Women’s Suffrage: Local, National, and International Dimensions</w:t>
      </w:r>
      <w:r w:rsidR="00D06A59">
        <w:rPr>
          <w:i/>
          <w:iCs/>
        </w:rPr>
        <w:t xml:space="preserve">. </w:t>
      </w:r>
      <w:r w:rsidR="00D06A59">
        <w:t>University of London Press, p. 1</w:t>
      </w:r>
      <w:r>
        <w:t>6</w:t>
      </w:r>
      <w:r w:rsidR="00CC09E6">
        <w:t>6</w:t>
      </w:r>
      <w:bookmarkEnd w:id="3"/>
    </w:p>
  </w:footnote>
  <w:footnote w:id="6">
    <w:p w14:paraId="3660DBFB" w14:textId="2CAED9DC" w:rsidR="00BA496E" w:rsidRDefault="00BA496E">
      <w:pPr>
        <w:pStyle w:val="FootnoteText"/>
      </w:pPr>
      <w:r>
        <w:rPr>
          <w:rStyle w:val="FootnoteReference"/>
        </w:rPr>
        <w:footnoteRef/>
      </w:r>
      <w:r>
        <w:t xml:space="preserve"> </w:t>
      </w:r>
      <w:r w:rsidR="00C84030">
        <w:t>Ibid.,</w:t>
      </w:r>
      <w:r w:rsidR="00293739">
        <w:t xml:space="preserve"> 173</w:t>
      </w:r>
    </w:p>
  </w:footnote>
  <w:footnote w:id="7">
    <w:p w14:paraId="338651D0" w14:textId="279E6653" w:rsidR="00293739" w:rsidRDefault="00293739">
      <w:pPr>
        <w:pStyle w:val="FootnoteText"/>
      </w:pPr>
      <w:r>
        <w:rPr>
          <w:rStyle w:val="FootnoteReference"/>
        </w:rPr>
        <w:footnoteRef/>
      </w:r>
      <w:r>
        <w:t xml:space="preserve"> </w:t>
      </w:r>
      <w:r w:rsidR="00C84030">
        <w:t>Ibid.,</w:t>
      </w:r>
      <w:r w:rsidR="006F3D44">
        <w:t xml:space="preserve"> </w:t>
      </w:r>
      <w:r>
        <w:t>1</w:t>
      </w:r>
      <w:r w:rsidR="00C9641F">
        <w:t>76</w:t>
      </w:r>
    </w:p>
  </w:footnote>
  <w:footnote w:id="8">
    <w:p w14:paraId="5FCE623F" w14:textId="02C83CF2" w:rsidR="00C9641F" w:rsidRDefault="00C9641F">
      <w:pPr>
        <w:pStyle w:val="FootnoteText"/>
      </w:pPr>
      <w:r>
        <w:rPr>
          <w:rStyle w:val="FootnoteReference"/>
        </w:rPr>
        <w:footnoteRef/>
      </w:r>
      <w:r>
        <w:t xml:space="preserve"> </w:t>
      </w:r>
      <w:r w:rsidR="00C84030">
        <w:t>Ibid.,</w:t>
      </w:r>
      <w:r w:rsidR="006F3D44">
        <w:t xml:space="preserve"> </w:t>
      </w:r>
      <w:r>
        <w:t>1</w:t>
      </w:r>
      <w:r w:rsidR="00DB2795">
        <w:t>86</w:t>
      </w:r>
    </w:p>
  </w:footnote>
  <w:footnote w:id="9">
    <w:p w14:paraId="6212C0E1" w14:textId="56D6CBA1" w:rsidR="00167FDE" w:rsidRDefault="00167FDE">
      <w:pPr>
        <w:pStyle w:val="FootnoteText"/>
      </w:pPr>
      <w:r>
        <w:rPr>
          <w:rStyle w:val="FootnoteReference"/>
        </w:rPr>
        <w:footnoteRef/>
      </w:r>
      <w:r>
        <w:t xml:space="preserve"> </w:t>
      </w:r>
      <w:r w:rsidR="00C84030">
        <w:t>Ibid.,</w:t>
      </w:r>
      <w:r w:rsidR="006F3D44">
        <w:t xml:space="preserve"> </w:t>
      </w:r>
      <w:r>
        <w:t>16</w:t>
      </w:r>
      <w:r w:rsidR="00A23CBF">
        <w:t>8</w:t>
      </w:r>
    </w:p>
  </w:footnote>
  <w:footnote w:id="10">
    <w:p w14:paraId="6A506E84" w14:textId="7E8FEEA7" w:rsidR="0015301A" w:rsidRDefault="0015301A">
      <w:pPr>
        <w:pStyle w:val="FootnoteText"/>
      </w:pPr>
      <w:r>
        <w:rPr>
          <w:rStyle w:val="FootnoteReference"/>
        </w:rPr>
        <w:footnoteRef/>
      </w:r>
      <w:r>
        <w:t xml:space="preserve"> </w:t>
      </w:r>
      <w:r w:rsidR="006B1263">
        <w:t xml:space="preserve">(1911) </w:t>
      </w:r>
      <w:r w:rsidR="00623DC3">
        <w:rPr>
          <w:i/>
          <w:iCs/>
        </w:rPr>
        <w:t xml:space="preserve">A Brief Review of the </w:t>
      </w:r>
      <w:r w:rsidR="00C740E9">
        <w:rPr>
          <w:i/>
          <w:iCs/>
        </w:rPr>
        <w:t>Women’s</w:t>
      </w:r>
      <w:r w:rsidR="00623DC3">
        <w:rPr>
          <w:i/>
          <w:iCs/>
        </w:rPr>
        <w:t xml:space="preserve"> Suffrage</w:t>
      </w:r>
      <w:r w:rsidR="00C740E9">
        <w:rPr>
          <w:i/>
          <w:iCs/>
        </w:rPr>
        <w:t xml:space="preserve"> Movement Since its Beginning in 1832</w:t>
      </w:r>
      <w:r w:rsidR="00CA70E0">
        <w:rPr>
          <w:i/>
          <w:iCs/>
        </w:rPr>
        <w:t xml:space="preserve">. </w:t>
      </w:r>
      <w:r w:rsidR="00F354E8">
        <w:t>London</w:t>
      </w:r>
      <w:r w:rsidR="00CA70E0">
        <w:t xml:space="preserve">: </w:t>
      </w:r>
      <w:r w:rsidR="009C7645">
        <w:t>Vacher &amp; Sons</w:t>
      </w:r>
      <w:r w:rsidR="008E6CE4">
        <w:t>, Ltd.</w:t>
      </w:r>
      <w:r w:rsidR="00623DC3">
        <w:t xml:space="preserve"> </w:t>
      </w:r>
      <w:r w:rsidR="0058282E">
        <w:t xml:space="preserve">Available at: </w:t>
      </w:r>
      <w:hyperlink r:id="rId2" w:history="1">
        <w:r w:rsidR="004D1A03" w:rsidRPr="004D1A03">
          <w:rPr>
            <w:rStyle w:val="Hyperlink"/>
          </w:rPr>
          <w:t xml:space="preserve">Brief Review Of The </w:t>
        </w:r>
        <w:proofErr w:type="spellStart"/>
        <w:r w:rsidR="004D1A03" w:rsidRPr="004D1A03">
          <w:rPr>
            <w:rStyle w:val="Hyperlink"/>
          </w:rPr>
          <w:t>Womens</w:t>
        </w:r>
        <w:proofErr w:type="spellEnd"/>
        <w:r w:rsidR="004D1A03" w:rsidRPr="004D1A03">
          <w:rPr>
            <w:rStyle w:val="Hyperlink"/>
          </w:rPr>
          <w:t xml:space="preserve"> Suffrage Movement : Free Download, Borrow, and Streaming : Internet Archive</w:t>
        </w:r>
      </w:hyperlink>
      <w:r w:rsidR="00266EA6">
        <w:t xml:space="preserve"> (Accessed: 04 </w:t>
      </w:r>
      <w:r w:rsidR="0058282E">
        <w:t>January 2026).</w:t>
      </w:r>
    </w:p>
  </w:footnote>
  <w:footnote w:id="11">
    <w:p w14:paraId="59074FF6" w14:textId="23FCB3A0" w:rsidR="000B3132" w:rsidRDefault="000B3132">
      <w:pPr>
        <w:pStyle w:val="FootnoteText"/>
      </w:pPr>
      <w:r>
        <w:rPr>
          <w:rStyle w:val="FootnoteReference"/>
        </w:rPr>
        <w:footnoteRef/>
      </w:r>
      <w:r>
        <w:t xml:space="preserve"> </w:t>
      </w:r>
      <w:r w:rsidR="000A0299">
        <w:t>Sunderland, H. (2021) ‘</w:t>
      </w:r>
      <w:r w:rsidR="000A0299" w:rsidRPr="001E6054">
        <w:t>English girls' schools and women's suffrage</w:t>
      </w:r>
      <w:r w:rsidR="000A0299">
        <w:t xml:space="preserve">’, in Hughes-Johnson, A. and Jenkins, L. (eds.) </w:t>
      </w:r>
      <w:r w:rsidR="000A0299" w:rsidRPr="000D72E9">
        <w:rPr>
          <w:i/>
          <w:iCs/>
        </w:rPr>
        <w:t>Politics of Women’s Suffrage: Local, National, and International Dimensions</w:t>
      </w:r>
      <w:r w:rsidR="000A0299">
        <w:rPr>
          <w:i/>
          <w:iCs/>
        </w:rPr>
        <w:t xml:space="preserve">. </w:t>
      </w:r>
      <w:r w:rsidR="000A0299">
        <w:t>University of London Press, p.</w:t>
      </w:r>
      <w:r>
        <w:t xml:space="preserve"> 170</w:t>
      </w:r>
    </w:p>
  </w:footnote>
  <w:footnote w:id="12">
    <w:p w14:paraId="2C3EB64A" w14:textId="441448CC" w:rsidR="003002BC" w:rsidRDefault="003002BC">
      <w:pPr>
        <w:pStyle w:val="FootnoteText"/>
      </w:pPr>
      <w:r>
        <w:rPr>
          <w:rStyle w:val="FootnoteReference"/>
        </w:rPr>
        <w:footnoteRef/>
      </w:r>
      <w:r>
        <w:t xml:space="preserve"> </w:t>
      </w:r>
      <w:r w:rsidR="000A0299">
        <w:t xml:space="preserve">Ibid., </w:t>
      </w:r>
      <w:r>
        <w:t>168</w:t>
      </w:r>
    </w:p>
  </w:footnote>
  <w:footnote w:id="13">
    <w:p w14:paraId="66529D2C" w14:textId="3BFF3C1E" w:rsidR="00106FDE" w:rsidRDefault="00106FDE" w:rsidP="00106FDE">
      <w:pPr>
        <w:pStyle w:val="FootnoteText"/>
      </w:pPr>
      <w:r>
        <w:rPr>
          <w:rStyle w:val="FootnoteReference"/>
        </w:rPr>
        <w:footnoteRef/>
      </w:r>
      <w:r>
        <w:t xml:space="preserve"> </w:t>
      </w:r>
      <w:r w:rsidR="00A80641">
        <w:t xml:space="preserve">Ibid., </w:t>
      </w:r>
      <w:r>
        <w:t>171</w:t>
      </w:r>
    </w:p>
  </w:footnote>
  <w:footnote w:id="14">
    <w:p w14:paraId="0A649FB1" w14:textId="44F52F05" w:rsidR="00106FDE" w:rsidRDefault="00106FDE" w:rsidP="00106FDE">
      <w:pPr>
        <w:pStyle w:val="FootnoteText"/>
      </w:pPr>
      <w:r>
        <w:rPr>
          <w:rStyle w:val="FootnoteReference"/>
        </w:rPr>
        <w:footnoteRef/>
      </w:r>
      <w:r>
        <w:t xml:space="preserve"> </w:t>
      </w:r>
      <w:r w:rsidR="005D61B4">
        <w:t xml:space="preserve">Ibid., </w:t>
      </w:r>
      <w:r>
        <w:t>176</w:t>
      </w:r>
    </w:p>
  </w:footnote>
  <w:footnote w:id="15">
    <w:p w14:paraId="514F02B2" w14:textId="0AAD737C" w:rsidR="00106FDE" w:rsidRDefault="00106FDE" w:rsidP="00106FDE">
      <w:pPr>
        <w:pStyle w:val="FootnoteText"/>
      </w:pPr>
      <w:r>
        <w:rPr>
          <w:rStyle w:val="FootnoteReference"/>
        </w:rPr>
        <w:footnoteRef/>
      </w:r>
      <w:r>
        <w:t xml:space="preserve"> </w:t>
      </w:r>
      <w:r w:rsidR="005D61B4">
        <w:t xml:space="preserve">Ibid., </w:t>
      </w:r>
      <w:r>
        <w:t>184</w:t>
      </w:r>
    </w:p>
  </w:footnote>
  <w:footnote w:id="16">
    <w:p w14:paraId="5A0532C7" w14:textId="006BA653" w:rsidR="0074125C" w:rsidRDefault="0074125C" w:rsidP="0074125C">
      <w:pPr>
        <w:pStyle w:val="FootnoteText"/>
      </w:pPr>
      <w:r>
        <w:rPr>
          <w:rStyle w:val="FootnoteReference"/>
        </w:rPr>
        <w:footnoteRef/>
      </w:r>
      <w:r>
        <w:t xml:space="preserve"> </w:t>
      </w:r>
      <w:r w:rsidR="005D61B4">
        <w:t xml:space="preserve">Ibid., </w:t>
      </w:r>
      <w:r>
        <w:t>176</w:t>
      </w:r>
    </w:p>
  </w:footnote>
  <w:footnote w:id="17">
    <w:p w14:paraId="1479F348" w14:textId="52EBEC20" w:rsidR="0074125C" w:rsidRDefault="0074125C" w:rsidP="0074125C">
      <w:pPr>
        <w:pStyle w:val="FootnoteText"/>
      </w:pPr>
      <w:r>
        <w:rPr>
          <w:rStyle w:val="FootnoteReference"/>
        </w:rPr>
        <w:footnoteRef/>
      </w:r>
      <w:r>
        <w:t xml:space="preserve"> </w:t>
      </w:r>
      <w:r w:rsidR="005D61B4">
        <w:t xml:space="preserve">Ibid., </w:t>
      </w:r>
      <w:r>
        <w:t>183</w:t>
      </w:r>
    </w:p>
  </w:footnote>
  <w:footnote w:id="18">
    <w:p w14:paraId="518EF368" w14:textId="289FED66" w:rsidR="00B47034" w:rsidRDefault="00B47034">
      <w:pPr>
        <w:pStyle w:val="FootnoteText"/>
      </w:pPr>
      <w:r>
        <w:rPr>
          <w:rStyle w:val="FootnoteReference"/>
        </w:rPr>
        <w:footnoteRef/>
      </w:r>
      <w:r>
        <w:t xml:space="preserve"> </w:t>
      </w:r>
      <w:r w:rsidR="005D61B4">
        <w:t xml:space="preserve">Ibid., </w:t>
      </w:r>
      <w:r>
        <w:t>180</w:t>
      </w:r>
    </w:p>
  </w:footnote>
  <w:footnote w:id="19">
    <w:p w14:paraId="68485EE7" w14:textId="47FECF03" w:rsidR="00927222" w:rsidRDefault="00927222" w:rsidP="00927222">
      <w:pPr>
        <w:pStyle w:val="FootnoteText"/>
      </w:pPr>
      <w:r>
        <w:rPr>
          <w:rStyle w:val="FootnoteReference"/>
        </w:rPr>
        <w:footnoteRef/>
      </w:r>
      <w:r>
        <w:t xml:space="preserve"> </w:t>
      </w:r>
      <w:r w:rsidR="005D61B4">
        <w:t xml:space="preserve">Ibid., </w:t>
      </w:r>
      <w:r>
        <w:t>164</w:t>
      </w:r>
    </w:p>
  </w:footnote>
  <w:footnote w:id="20">
    <w:p w14:paraId="3B6DBBF4" w14:textId="041E2D1A" w:rsidR="00927222" w:rsidRDefault="00927222" w:rsidP="00927222">
      <w:pPr>
        <w:pStyle w:val="FootnoteText"/>
      </w:pPr>
      <w:r>
        <w:rPr>
          <w:rStyle w:val="FootnoteReference"/>
        </w:rPr>
        <w:footnoteRef/>
      </w:r>
      <w:r>
        <w:t xml:space="preserve"> </w:t>
      </w:r>
      <w:r w:rsidR="005D61B4">
        <w:t xml:space="preserve">Ibid., </w:t>
      </w:r>
      <w:r>
        <w:t>164</w:t>
      </w:r>
    </w:p>
  </w:footnote>
  <w:footnote w:id="21">
    <w:p w14:paraId="7BD05907" w14:textId="3E94D272" w:rsidR="00927222" w:rsidRDefault="00927222" w:rsidP="00927222">
      <w:pPr>
        <w:pStyle w:val="FootnoteText"/>
      </w:pPr>
      <w:r>
        <w:rPr>
          <w:rStyle w:val="FootnoteReference"/>
        </w:rPr>
        <w:footnoteRef/>
      </w:r>
      <w:r>
        <w:t xml:space="preserve"> </w:t>
      </w:r>
      <w:r w:rsidR="005D61B4">
        <w:t xml:space="preserve">Ibid., </w:t>
      </w:r>
      <w:r>
        <w:t>164</w:t>
      </w:r>
    </w:p>
  </w:footnote>
  <w:footnote w:id="22">
    <w:p w14:paraId="02F45623" w14:textId="4457FB60" w:rsidR="00927222" w:rsidRDefault="00927222" w:rsidP="00927222">
      <w:pPr>
        <w:pStyle w:val="FootnoteText"/>
      </w:pPr>
      <w:r>
        <w:rPr>
          <w:rStyle w:val="FootnoteReference"/>
        </w:rPr>
        <w:footnoteRef/>
      </w:r>
      <w:r>
        <w:t xml:space="preserve"> </w:t>
      </w:r>
      <w:r w:rsidR="005D61B4">
        <w:t xml:space="preserve">Ibid., </w:t>
      </w:r>
      <w:r>
        <w:t>165</w:t>
      </w:r>
    </w:p>
  </w:footnote>
  <w:footnote w:id="23">
    <w:p w14:paraId="7299221A" w14:textId="4C83AD2C" w:rsidR="00927222" w:rsidRDefault="00927222" w:rsidP="00927222">
      <w:pPr>
        <w:pStyle w:val="FootnoteText"/>
      </w:pPr>
      <w:r>
        <w:rPr>
          <w:rStyle w:val="FootnoteReference"/>
        </w:rPr>
        <w:footnoteRef/>
      </w:r>
      <w:r>
        <w:t xml:space="preserve"> </w:t>
      </w:r>
      <w:r w:rsidR="005D61B4">
        <w:t xml:space="preserve">Ibid., </w:t>
      </w:r>
      <w:r>
        <w:t>166</w:t>
      </w:r>
    </w:p>
  </w:footnote>
  <w:footnote w:id="24">
    <w:p w14:paraId="00015AE5" w14:textId="00FD04FE" w:rsidR="002D2E9C" w:rsidRPr="00EF39A7" w:rsidRDefault="002D2E9C">
      <w:pPr>
        <w:pStyle w:val="FootnoteText"/>
      </w:pPr>
      <w:r>
        <w:rPr>
          <w:rStyle w:val="FootnoteReference"/>
        </w:rPr>
        <w:footnoteRef/>
      </w:r>
      <w:r>
        <w:t xml:space="preserve"> </w:t>
      </w:r>
      <w:r w:rsidR="005D61B4">
        <w:t xml:space="preserve">Ibid., </w:t>
      </w:r>
      <w:r w:rsidRPr="00EF39A7">
        <w:t>169</w:t>
      </w:r>
    </w:p>
  </w:footnote>
  <w:footnote w:id="25">
    <w:p w14:paraId="26B00334" w14:textId="54C54B17" w:rsidR="00400F83" w:rsidRDefault="00400F83">
      <w:pPr>
        <w:pStyle w:val="FootnoteText"/>
      </w:pPr>
      <w:r>
        <w:rPr>
          <w:rStyle w:val="FootnoteReference"/>
        </w:rPr>
        <w:footnoteRef/>
      </w:r>
      <w:r>
        <w:t xml:space="preserve"> </w:t>
      </w:r>
      <w:r w:rsidRPr="00400F83">
        <w:t xml:space="preserve">Bush, </w:t>
      </w:r>
      <w:r w:rsidR="009B34C6">
        <w:t>J.</w:t>
      </w:r>
      <w:r w:rsidRPr="00400F83">
        <w:t> </w:t>
      </w:r>
      <w:r w:rsidRPr="00400F83">
        <w:rPr>
          <w:i/>
          <w:iCs/>
        </w:rPr>
        <w:t>Women Against the Vote: Female Anti-Suffragism in Britain</w:t>
      </w:r>
      <w:r w:rsidRPr="00400F83">
        <w:t xml:space="preserve"> (Oxford, 2007; online </w:t>
      </w:r>
      <w:proofErr w:type="spellStart"/>
      <w:r w:rsidRPr="00400F83">
        <w:t>edn</w:t>
      </w:r>
      <w:proofErr w:type="spellEnd"/>
      <w:r w:rsidRPr="00400F83">
        <w:t>, Oxford Academic, 1 Jan. 2008)</w:t>
      </w:r>
      <w:r w:rsidR="00A15992">
        <w:t xml:space="preserve">. Available at: </w:t>
      </w:r>
      <w:hyperlink r:id="rId3" w:history="1">
        <w:r w:rsidR="00A15992" w:rsidRPr="00D82344">
          <w:rPr>
            <w:rStyle w:val="Hyperlink"/>
          </w:rPr>
          <w:t>https://doi.org/10.1093/acprof:oso/9780199248773.001.0001</w:t>
        </w:r>
      </w:hyperlink>
      <w:r w:rsidR="00A15992">
        <w:t xml:space="preserve"> (A</w:t>
      </w:r>
      <w:r w:rsidRPr="00400F83">
        <w:t>ccessed</w:t>
      </w:r>
      <w:r w:rsidR="00A15992">
        <w:t>:</w:t>
      </w:r>
      <w:r w:rsidRPr="00400F83">
        <w:t xml:space="preserve"> </w:t>
      </w:r>
      <w:r w:rsidR="00186F51">
        <w:t>04 January</w:t>
      </w:r>
      <w:r w:rsidRPr="00400F83">
        <w:t xml:space="preserve"> 202</w:t>
      </w:r>
      <w:r w:rsidR="00186F51">
        <w:t>6</w:t>
      </w:r>
      <w:r w:rsidR="00A15992">
        <w:t>)</w:t>
      </w:r>
      <w:r w:rsidRPr="00400F83">
        <w:t>.</w:t>
      </w:r>
    </w:p>
  </w:footnote>
  <w:footnote w:id="26">
    <w:p w14:paraId="47470A9D" w14:textId="4B65F4DA" w:rsidR="00EF39A7" w:rsidRDefault="00EF39A7">
      <w:pPr>
        <w:pStyle w:val="FootnoteText"/>
      </w:pPr>
      <w:r w:rsidRPr="00EF39A7">
        <w:rPr>
          <w:rStyle w:val="FootnoteReference"/>
        </w:rPr>
        <w:footnoteRef/>
      </w:r>
      <w:r>
        <w:t xml:space="preserve"> </w:t>
      </w:r>
      <w:r w:rsidR="00B4198A">
        <w:t>Sunderland, H. (2021) ‘</w:t>
      </w:r>
      <w:r w:rsidR="00B4198A" w:rsidRPr="001E6054">
        <w:t>English girls' schools and women's suffrage</w:t>
      </w:r>
      <w:r w:rsidR="00B4198A">
        <w:t xml:space="preserve">’, in Hughes-Johnson, A. and Jenkins, L. (eds.) </w:t>
      </w:r>
      <w:r w:rsidR="00B4198A" w:rsidRPr="000D72E9">
        <w:rPr>
          <w:i/>
          <w:iCs/>
        </w:rPr>
        <w:t>Politics of Women’s Suffrage: Local, National, and International Dimensions</w:t>
      </w:r>
      <w:r w:rsidR="00B4198A">
        <w:rPr>
          <w:i/>
          <w:iCs/>
        </w:rPr>
        <w:t xml:space="preserve">. </w:t>
      </w:r>
      <w:r w:rsidR="00B4198A">
        <w:t xml:space="preserve">University of London Press, p. </w:t>
      </w:r>
      <w:r>
        <w:t>1</w:t>
      </w:r>
      <w:r>
        <w:t>79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F20819" w14:textId="39CD1FA0" w:rsidR="00327473" w:rsidRPr="00327473" w:rsidRDefault="00327473" w:rsidP="00327473">
    <w:pPr>
      <w:spacing w:line="480" w:lineRule="auto"/>
      <w:jc w:val="both"/>
      <w:rPr>
        <w:rFonts w:ascii="Arial" w:hAnsi="Arial" w:cs="Arial"/>
        <w:b/>
        <w:bCs/>
        <w:kern w:val="2"/>
        <w:sz w:val="22"/>
        <w:szCs w:val="22"/>
        <w:lang w:eastAsia="zh-CN"/>
        <w14:ligatures w14:val="standardContextu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D87831"/>
    <w:multiLevelType w:val="hybridMultilevel"/>
    <w:tmpl w:val="ECF8A9F4"/>
    <w:lvl w:ilvl="0" w:tplc="7C6836EA">
      <w:start w:val="1"/>
      <w:numFmt w:val="bullet"/>
      <w:lvlText w:val="·"/>
      <w:lvlJc w:val="left"/>
      <w:pPr>
        <w:ind w:left="720" w:hanging="360"/>
      </w:pPr>
      <w:rPr>
        <w:rFonts w:ascii="Symbol" w:hAnsi="Symbol" w:hint="default"/>
      </w:rPr>
    </w:lvl>
    <w:lvl w:ilvl="1" w:tplc="3774D6A0">
      <w:start w:val="1"/>
      <w:numFmt w:val="bullet"/>
      <w:lvlText w:val="o"/>
      <w:lvlJc w:val="left"/>
      <w:pPr>
        <w:ind w:left="1440" w:hanging="360"/>
      </w:pPr>
      <w:rPr>
        <w:rFonts w:ascii="Courier New" w:hAnsi="Courier New" w:hint="default"/>
      </w:rPr>
    </w:lvl>
    <w:lvl w:ilvl="2" w:tplc="56485FD0">
      <w:start w:val="1"/>
      <w:numFmt w:val="bullet"/>
      <w:lvlText w:val=""/>
      <w:lvlJc w:val="left"/>
      <w:pPr>
        <w:ind w:left="2160" w:hanging="360"/>
      </w:pPr>
      <w:rPr>
        <w:rFonts w:ascii="Wingdings" w:hAnsi="Wingdings" w:hint="default"/>
      </w:rPr>
    </w:lvl>
    <w:lvl w:ilvl="3" w:tplc="4A701474">
      <w:start w:val="1"/>
      <w:numFmt w:val="bullet"/>
      <w:lvlText w:val=""/>
      <w:lvlJc w:val="left"/>
      <w:pPr>
        <w:ind w:left="2880" w:hanging="360"/>
      </w:pPr>
      <w:rPr>
        <w:rFonts w:ascii="Symbol" w:hAnsi="Symbol" w:hint="default"/>
      </w:rPr>
    </w:lvl>
    <w:lvl w:ilvl="4" w:tplc="2B9C87E2">
      <w:start w:val="1"/>
      <w:numFmt w:val="bullet"/>
      <w:lvlText w:val="o"/>
      <w:lvlJc w:val="left"/>
      <w:pPr>
        <w:ind w:left="3600" w:hanging="360"/>
      </w:pPr>
      <w:rPr>
        <w:rFonts w:ascii="Courier New" w:hAnsi="Courier New" w:hint="default"/>
      </w:rPr>
    </w:lvl>
    <w:lvl w:ilvl="5" w:tplc="7F6CE744">
      <w:start w:val="1"/>
      <w:numFmt w:val="bullet"/>
      <w:lvlText w:val=""/>
      <w:lvlJc w:val="left"/>
      <w:pPr>
        <w:ind w:left="4320" w:hanging="360"/>
      </w:pPr>
      <w:rPr>
        <w:rFonts w:ascii="Wingdings" w:hAnsi="Wingdings" w:hint="default"/>
      </w:rPr>
    </w:lvl>
    <w:lvl w:ilvl="6" w:tplc="D7965478">
      <w:start w:val="1"/>
      <w:numFmt w:val="bullet"/>
      <w:lvlText w:val=""/>
      <w:lvlJc w:val="left"/>
      <w:pPr>
        <w:ind w:left="5040" w:hanging="360"/>
      </w:pPr>
      <w:rPr>
        <w:rFonts w:ascii="Symbol" w:hAnsi="Symbol" w:hint="default"/>
      </w:rPr>
    </w:lvl>
    <w:lvl w:ilvl="7" w:tplc="FFB8B96C">
      <w:start w:val="1"/>
      <w:numFmt w:val="bullet"/>
      <w:lvlText w:val="o"/>
      <w:lvlJc w:val="left"/>
      <w:pPr>
        <w:ind w:left="5760" w:hanging="360"/>
      </w:pPr>
      <w:rPr>
        <w:rFonts w:ascii="Courier New" w:hAnsi="Courier New" w:hint="default"/>
      </w:rPr>
    </w:lvl>
    <w:lvl w:ilvl="8" w:tplc="EBFA8ED0">
      <w:start w:val="1"/>
      <w:numFmt w:val="bullet"/>
      <w:lvlText w:val=""/>
      <w:lvlJc w:val="left"/>
      <w:pPr>
        <w:ind w:left="6480" w:hanging="360"/>
      </w:pPr>
      <w:rPr>
        <w:rFonts w:ascii="Wingdings" w:hAnsi="Wingdings" w:hint="default"/>
      </w:rPr>
    </w:lvl>
  </w:abstractNum>
  <w:num w:numId="1" w16cid:durableId="18149060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5258FA"/>
    <w:rsid w:val="00004A5C"/>
    <w:rsid w:val="00011059"/>
    <w:rsid w:val="00015FDF"/>
    <w:rsid w:val="00021C58"/>
    <w:rsid w:val="0002426E"/>
    <w:rsid w:val="00027614"/>
    <w:rsid w:val="00030FF9"/>
    <w:rsid w:val="00031A01"/>
    <w:rsid w:val="00037154"/>
    <w:rsid w:val="00050764"/>
    <w:rsid w:val="000536A2"/>
    <w:rsid w:val="00054ECB"/>
    <w:rsid w:val="0006753B"/>
    <w:rsid w:val="000751D3"/>
    <w:rsid w:val="00077170"/>
    <w:rsid w:val="000A0299"/>
    <w:rsid w:val="000A11EC"/>
    <w:rsid w:val="000A1D5C"/>
    <w:rsid w:val="000B3132"/>
    <w:rsid w:val="000B3F9D"/>
    <w:rsid w:val="000B6DEA"/>
    <w:rsid w:val="000C1DB1"/>
    <w:rsid w:val="000C4BC9"/>
    <w:rsid w:val="000D72E9"/>
    <w:rsid w:val="000E767B"/>
    <w:rsid w:val="00106FDE"/>
    <w:rsid w:val="00107A6E"/>
    <w:rsid w:val="00114D0B"/>
    <w:rsid w:val="00115737"/>
    <w:rsid w:val="001219D9"/>
    <w:rsid w:val="00127934"/>
    <w:rsid w:val="00134A4A"/>
    <w:rsid w:val="001359C2"/>
    <w:rsid w:val="00141F12"/>
    <w:rsid w:val="0015282C"/>
    <w:rsid w:val="0015301A"/>
    <w:rsid w:val="00167FDE"/>
    <w:rsid w:val="001748AD"/>
    <w:rsid w:val="00181535"/>
    <w:rsid w:val="001865B4"/>
    <w:rsid w:val="00186F51"/>
    <w:rsid w:val="001A2ADE"/>
    <w:rsid w:val="001A6345"/>
    <w:rsid w:val="001A7557"/>
    <w:rsid w:val="001B7D61"/>
    <w:rsid w:val="001C0655"/>
    <w:rsid w:val="001D4149"/>
    <w:rsid w:val="001D426B"/>
    <w:rsid w:val="001D7554"/>
    <w:rsid w:val="001E2C2C"/>
    <w:rsid w:val="001E6054"/>
    <w:rsid w:val="00206B40"/>
    <w:rsid w:val="002107EB"/>
    <w:rsid w:val="0021739C"/>
    <w:rsid w:val="00224DD0"/>
    <w:rsid w:val="00230EA0"/>
    <w:rsid w:val="00242D87"/>
    <w:rsid w:val="00244883"/>
    <w:rsid w:val="002460D0"/>
    <w:rsid w:val="0026457A"/>
    <w:rsid w:val="00266EA6"/>
    <w:rsid w:val="002677EF"/>
    <w:rsid w:val="0027020A"/>
    <w:rsid w:val="00273266"/>
    <w:rsid w:val="002804D6"/>
    <w:rsid w:val="00281CEE"/>
    <w:rsid w:val="002841F1"/>
    <w:rsid w:val="00284FA6"/>
    <w:rsid w:val="002909DF"/>
    <w:rsid w:val="00293739"/>
    <w:rsid w:val="00295DCD"/>
    <w:rsid w:val="002A0A05"/>
    <w:rsid w:val="002B4CA9"/>
    <w:rsid w:val="002B4D21"/>
    <w:rsid w:val="002C524E"/>
    <w:rsid w:val="002D2E9C"/>
    <w:rsid w:val="002D36EA"/>
    <w:rsid w:val="002D430F"/>
    <w:rsid w:val="002D4907"/>
    <w:rsid w:val="002D4EB9"/>
    <w:rsid w:val="002D6247"/>
    <w:rsid w:val="002D7D38"/>
    <w:rsid w:val="002E08F8"/>
    <w:rsid w:val="002E1EBB"/>
    <w:rsid w:val="002E3947"/>
    <w:rsid w:val="002F3703"/>
    <w:rsid w:val="002F5866"/>
    <w:rsid w:val="003002BC"/>
    <w:rsid w:val="0030322D"/>
    <w:rsid w:val="003068C2"/>
    <w:rsid w:val="003148F4"/>
    <w:rsid w:val="00315340"/>
    <w:rsid w:val="00327473"/>
    <w:rsid w:val="003303D0"/>
    <w:rsid w:val="00330975"/>
    <w:rsid w:val="00333ABB"/>
    <w:rsid w:val="0034083C"/>
    <w:rsid w:val="00343BEA"/>
    <w:rsid w:val="003453BD"/>
    <w:rsid w:val="00345D24"/>
    <w:rsid w:val="00347790"/>
    <w:rsid w:val="00355A4F"/>
    <w:rsid w:val="00357B35"/>
    <w:rsid w:val="003643D4"/>
    <w:rsid w:val="00370EC4"/>
    <w:rsid w:val="00371AE5"/>
    <w:rsid w:val="00374BF7"/>
    <w:rsid w:val="003826A3"/>
    <w:rsid w:val="00392AA8"/>
    <w:rsid w:val="00397FEE"/>
    <w:rsid w:val="003A4041"/>
    <w:rsid w:val="003A483D"/>
    <w:rsid w:val="003A52C9"/>
    <w:rsid w:val="003A6FA1"/>
    <w:rsid w:val="003C2DFB"/>
    <w:rsid w:val="003E32E0"/>
    <w:rsid w:val="003E702E"/>
    <w:rsid w:val="003F0061"/>
    <w:rsid w:val="003F305B"/>
    <w:rsid w:val="00400F83"/>
    <w:rsid w:val="00403736"/>
    <w:rsid w:val="004076E4"/>
    <w:rsid w:val="004113F4"/>
    <w:rsid w:val="00413559"/>
    <w:rsid w:val="004175A2"/>
    <w:rsid w:val="00421679"/>
    <w:rsid w:val="00425E21"/>
    <w:rsid w:val="00427455"/>
    <w:rsid w:val="0043670B"/>
    <w:rsid w:val="004426D7"/>
    <w:rsid w:val="00442C48"/>
    <w:rsid w:val="00443B47"/>
    <w:rsid w:val="00451D26"/>
    <w:rsid w:val="0045416E"/>
    <w:rsid w:val="0046239A"/>
    <w:rsid w:val="00480BF7"/>
    <w:rsid w:val="00485FF9"/>
    <w:rsid w:val="00486875"/>
    <w:rsid w:val="00494FD6"/>
    <w:rsid w:val="004A0E75"/>
    <w:rsid w:val="004A66C6"/>
    <w:rsid w:val="004B506F"/>
    <w:rsid w:val="004D1A03"/>
    <w:rsid w:val="004E7FDA"/>
    <w:rsid w:val="004F20FF"/>
    <w:rsid w:val="00525258"/>
    <w:rsid w:val="0053056A"/>
    <w:rsid w:val="00532601"/>
    <w:rsid w:val="005404B4"/>
    <w:rsid w:val="00557974"/>
    <w:rsid w:val="00564682"/>
    <w:rsid w:val="005728C9"/>
    <w:rsid w:val="0058282E"/>
    <w:rsid w:val="00582DE4"/>
    <w:rsid w:val="005847B9"/>
    <w:rsid w:val="00590DC2"/>
    <w:rsid w:val="00597601"/>
    <w:rsid w:val="0059798D"/>
    <w:rsid w:val="005A6C39"/>
    <w:rsid w:val="005B0205"/>
    <w:rsid w:val="005B0406"/>
    <w:rsid w:val="005B12B7"/>
    <w:rsid w:val="005B1485"/>
    <w:rsid w:val="005C190E"/>
    <w:rsid w:val="005D0DA0"/>
    <w:rsid w:val="005D1E87"/>
    <w:rsid w:val="005D61B4"/>
    <w:rsid w:val="005D6BFA"/>
    <w:rsid w:val="005E2236"/>
    <w:rsid w:val="005F0F65"/>
    <w:rsid w:val="0060056C"/>
    <w:rsid w:val="00602D7D"/>
    <w:rsid w:val="006078BB"/>
    <w:rsid w:val="0061002D"/>
    <w:rsid w:val="00613FBF"/>
    <w:rsid w:val="00614A34"/>
    <w:rsid w:val="00616088"/>
    <w:rsid w:val="00623DC3"/>
    <w:rsid w:val="006312DA"/>
    <w:rsid w:val="00636DCB"/>
    <w:rsid w:val="006402C1"/>
    <w:rsid w:val="0065437A"/>
    <w:rsid w:val="00655DB5"/>
    <w:rsid w:val="00660A68"/>
    <w:rsid w:val="006610A2"/>
    <w:rsid w:val="00661186"/>
    <w:rsid w:val="00662C16"/>
    <w:rsid w:val="0066499A"/>
    <w:rsid w:val="00665E6F"/>
    <w:rsid w:val="006675BA"/>
    <w:rsid w:val="006714B6"/>
    <w:rsid w:val="00681330"/>
    <w:rsid w:val="0068393A"/>
    <w:rsid w:val="00691205"/>
    <w:rsid w:val="0069129E"/>
    <w:rsid w:val="00692184"/>
    <w:rsid w:val="006951D9"/>
    <w:rsid w:val="00696D74"/>
    <w:rsid w:val="006971E6"/>
    <w:rsid w:val="006A566C"/>
    <w:rsid w:val="006B1263"/>
    <w:rsid w:val="006B4C82"/>
    <w:rsid w:val="006B62C9"/>
    <w:rsid w:val="006B738F"/>
    <w:rsid w:val="006B78FC"/>
    <w:rsid w:val="006C16B6"/>
    <w:rsid w:val="006C2665"/>
    <w:rsid w:val="006C5F3C"/>
    <w:rsid w:val="006D0FD1"/>
    <w:rsid w:val="006E45D4"/>
    <w:rsid w:val="006E5449"/>
    <w:rsid w:val="006E58B8"/>
    <w:rsid w:val="006F11EA"/>
    <w:rsid w:val="006F14D6"/>
    <w:rsid w:val="006F3D44"/>
    <w:rsid w:val="006F6BA7"/>
    <w:rsid w:val="00700300"/>
    <w:rsid w:val="00703AAC"/>
    <w:rsid w:val="007101DD"/>
    <w:rsid w:val="00711265"/>
    <w:rsid w:val="00712353"/>
    <w:rsid w:val="00720FE9"/>
    <w:rsid w:val="00722F38"/>
    <w:rsid w:val="00727A22"/>
    <w:rsid w:val="0074125C"/>
    <w:rsid w:val="007413BF"/>
    <w:rsid w:val="007418ED"/>
    <w:rsid w:val="00747D47"/>
    <w:rsid w:val="00755B23"/>
    <w:rsid w:val="00761DB3"/>
    <w:rsid w:val="00774978"/>
    <w:rsid w:val="007757D5"/>
    <w:rsid w:val="007823E9"/>
    <w:rsid w:val="007940D5"/>
    <w:rsid w:val="0079585F"/>
    <w:rsid w:val="007A0180"/>
    <w:rsid w:val="007B4432"/>
    <w:rsid w:val="007B6F70"/>
    <w:rsid w:val="007C2D62"/>
    <w:rsid w:val="007C3578"/>
    <w:rsid w:val="007C6FEB"/>
    <w:rsid w:val="007E5097"/>
    <w:rsid w:val="007F37F3"/>
    <w:rsid w:val="007F50FE"/>
    <w:rsid w:val="007F7D22"/>
    <w:rsid w:val="008110D7"/>
    <w:rsid w:val="00812E9B"/>
    <w:rsid w:val="00815FD2"/>
    <w:rsid w:val="008164F0"/>
    <w:rsid w:val="0082448D"/>
    <w:rsid w:val="00831754"/>
    <w:rsid w:val="00842B62"/>
    <w:rsid w:val="00843427"/>
    <w:rsid w:val="008570BB"/>
    <w:rsid w:val="0086032E"/>
    <w:rsid w:val="00865013"/>
    <w:rsid w:val="008773B5"/>
    <w:rsid w:val="00877A20"/>
    <w:rsid w:val="008B116B"/>
    <w:rsid w:val="008B48DC"/>
    <w:rsid w:val="008C5D57"/>
    <w:rsid w:val="008D2C60"/>
    <w:rsid w:val="008D35FA"/>
    <w:rsid w:val="008D49EA"/>
    <w:rsid w:val="008E6CE4"/>
    <w:rsid w:val="008E6E7B"/>
    <w:rsid w:val="008F7FA7"/>
    <w:rsid w:val="0090225D"/>
    <w:rsid w:val="00923E52"/>
    <w:rsid w:val="00925F25"/>
    <w:rsid w:val="00927222"/>
    <w:rsid w:val="009306CE"/>
    <w:rsid w:val="00934FC9"/>
    <w:rsid w:val="009357A2"/>
    <w:rsid w:val="00940088"/>
    <w:rsid w:val="00952228"/>
    <w:rsid w:val="00953A88"/>
    <w:rsid w:val="00963F2D"/>
    <w:rsid w:val="009763DC"/>
    <w:rsid w:val="0098216A"/>
    <w:rsid w:val="00987617"/>
    <w:rsid w:val="00992B36"/>
    <w:rsid w:val="00995C1B"/>
    <w:rsid w:val="009A1D42"/>
    <w:rsid w:val="009A364F"/>
    <w:rsid w:val="009B0AD9"/>
    <w:rsid w:val="009B34C6"/>
    <w:rsid w:val="009C0BE9"/>
    <w:rsid w:val="009C7645"/>
    <w:rsid w:val="009D10A5"/>
    <w:rsid w:val="009D2A0A"/>
    <w:rsid w:val="009D42E7"/>
    <w:rsid w:val="009F5840"/>
    <w:rsid w:val="00A00D6A"/>
    <w:rsid w:val="00A118E0"/>
    <w:rsid w:val="00A15992"/>
    <w:rsid w:val="00A23CBF"/>
    <w:rsid w:val="00A24BFE"/>
    <w:rsid w:val="00A24E03"/>
    <w:rsid w:val="00A40623"/>
    <w:rsid w:val="00A45E10"/>
    <w:rsid w:val="00A54837"/>
    <w:rsid w:val="00A54CED"/>
    <w:rsid w:val="00A57844"/>
    <w:rsid w:val="00A65A4D"/>
    <w:rsid w:val="00A6605C"/>
    <w:rsid w:val="00A80050"/>
    <w:rsid w:val="00A80641"/>
    <w:rsid w:val="00A843C3"/>
    <w:rsid w:val="00A84E46"/>
    <w:rsid w:val="00A8611C"/>
    <w:rsid w:val="00A86A54"/>
    <w:rsid w:val="00A916CC"/>
    <w:rsid w:val="00A935A3"/>
    <w:rsid w:val="00AA248B"/>
    <w:rsid w:val="00AA430D"/>
    <w:rsid w:val="00AA6BA9"/>
    <w:rsid w:val="00AB215E"/>
    <w:rsid w:val="00AB6B4A"/>
    <w:rsid w:val="00AC273F"/>
    <w:rsid w:val="00AD04CF"/>
    <w:rsid w:val="00AD56A0"/>
    <w:rsid w:val="00AD59AA"/>
    <w:rsid w:val="00AE2AC8"/>
    <w:rsid w:val="00AF55D3"/>
    <w:rsid w:val="00AF7639"/>
    <w:rsid w:val="00B05715"/>
    <w:rsid w:val="00B12D60"/>
    <w:rsid w:val="00B17C85"/>
    <w:rsid w:val="00B27DD0"/>
    <w:rsid w:val="00B30BA8"/>
    <w:rsid w:val="00B4198A"/>
    <w:rsid w:val="00B42B11"/>
    <w:rsid w:val="00B47034"/>
    <w:rsid w:val="00B5464D"/>
    <w:rsid w:val="00B57F3C"/>
    <w:rsid w:val="00B74EBC"/>
    <w:rsid w:val="00B80AA7"/>
    <w:rsid w:val="00B858A4"/>
    <w:rsid w:val="00B90E15"/>
    <w:rsid w:val="00B93EF8"/>
    <w:rsid w:val="00B94004"/>
    <w:rsid w:val="00BA496E"/>
    <w:rsid w:val="00BB7E2C"/>
    <w:rsid w:val="00BC1E8D"/>
    <w:rsid w:val="00BC2E5C"/>
    <w:rsid w:val="00BD12C6"/>
    <w:rsid w:val="00BD75C4"/>
    <w:rsid w:val="00BD7E5B"/>
    <w:rsid w:val="00BE19CD"/>
    <w:rsid w:val="00BF1E2A"/>
    <w:rsid w:val="00C00BD9"/>
    <w:rsid w:val="00C031F7"/>
    <w:rsid w:val="00C117DA"/>
    <w:rsid w:val="00C16979"/>
    <w:rsid w:val="00C20309"/>
    <w:rsid w:val="00C230C4"/>
    <w:rsid w:val="00C452D9"/>
    <w:rsid w:val="00C45431"/>
    <w:rsid w:val="00C534DD"/>
    <w:rsid w:val="00C53512"/>
    <w:rsid w:val="00C53D25"/>
    <w:rsid w:val="00C562A8"/>
    <w:rsid w:val="00C666FA"/>
    <w:rsid w:val="00C71A33"/>
    <w:rsid w:val="00C733C9"/>
    <w:rsid w:val="00C740E9"/>
    <w:rsid w:val="00C84030"/>
    <w:rsid w:val="00C9173F"/>
    <w:rsid w:val="00C91C24"/>
    <w:rsid w:val="00C93CD3"/>
    <w:rsid w:val="00C9641F"/>
    <w:rsid w:val="00CA05FB"/>
    <w:rsid w:val="00CA4361"/>
    <w:rsid w:val="00CA70E0"/>
    <w:rsid w:val="00CB0845"/>
    <w:rsid w:val="00CB1B74"/>
    <w:rsid w:val="00CB50D1"/>
    <w:rsid w:val="00CC09E6"/>
    <w:rsid w:val="00CC60EB"/>
    <w:rsid w:val="00CF1BAF"/>
    <w:rsid w:val="00CF5DF7"/>
    <w:rsid w:val="00D03CF7"/>
    <w:rsid w:val="00D06A59"/>
    <w:rsid w:val="00D2032D"/>
    <w:rsid w:val="00D2033E"/>
    <w:rsid w:val="00D3101B"/>
    <w:rsid w:val="00D32C48"/>
    <w:rsid w:val="00D440DD"/>
    <w:rsid w:val="00D65994"/>
    <w:rsid w:val="00D704CB"/>
    <w:rsid w:val="00D74D80"/>
    <w:rsid w:val="00D750CC"/>
    <w:rsid w:val="00D81D01"/>
    <w:rsid w:val="00D86E81"/>
    <w:rsid w:val="00D927B1"/>
    <w:rsid w:val="00DA0B5C"/>
    <w:rsid w:val="00DA4DE9"/>
    <w:rsid w:val="00DB1F01"/>
    <w:rsid w:val="00DB266C"/>
    <w:rsid w:val="00DB2795"/>
    <w:rsid w:val="00DC3411"/>
    <w:rsid w:val="00DC39D3"/>
    <w:rsid w:val="00DC57F7"/>
    <w:rsid w:val="00DC7370"/>
    <w:rsid w:val="00DC7B72"/>
    <w:rsid w:val="00DD161F"/>
    <w:rsid w:val="00DD1B9A"/>
    <w:rsid w:val="00DD5480"/>
    <w:rsid w:val="00DF5B93"/>
    <w:rsid w:val="00DF7E9F"/>
    <w:rsid w:val="00E028E8"/>
    <w:rsid w:val="00E045A0"/>
    <w:rsid w:val="00E1719E"/>
    <w:rsid w:val="00E21723"/>
    <w:rsid w:val="00E23EB0"/>
    <w:rsid w:val="00E33552"/>
    <w:rsid w:val="00E357A7"/>
    <w:rsid w:val="00E40D13"/>
    <w:rsid w:val="00E4280B"/>
    <w:rsid w:val="00E5135F"/>
    <w:rsid w:val="00E57369"/>
    <w:rsid w:val="00E657DD"/>
    <w:rsid w:val="00E74831"/>
    <w:rsid w:val="00E75E05"/>
    <w:rsid w:val="00E80B73"/>
    <w:rsid w:val="00E80E98"/>
    <w:rsid w:val="00E90A09"/>
    <w:rsid w:val="00EA0080"/>
    <w:rsid w:val="00EA0BD3"/>
    <w:rsid w:val="00EA3B6F"/>
    <w:rsid w:val="00EB17DF"/>
    <w:rsid w:val="00EB1861"/>
    <w:rsid w:val="00EB6D0D"/>
    <w:rsid w:val="00ED2317"/>
    <w:rsid w:val="00ED6826"/>
    <w:rsid w:val="00EF3915"/>
    <w:rsid w:val="00EF39A7"/>
    <w:rsid w:val="00F01856"/>
    <w:rsid w:val="00F069DB"/>
    <w:rsid w:val="00F126F1"/>
    <w:rsid w:val="00F2437C"/>
    <w:rsid w:val="00F25DD3"/>
    <w:rsid w:val="00F32B8F"/>
    <w:rsid w:val="00F354E8"/>
    <w:rsid w:val="00F3631D"/>
    <w:rsid w:val="00F36C0D"/>
    <w:rsid w:val="00F41E48"/>
    <w:rsid w:val="00F609F5"/>
    <w:rsid w:val="00F634F7"/>
    <w:rsid w:val="00F65712"/>
    <w:rsid w:val="00F66C4D"/>
    <w:rsid w:val="00F776DE"/>
    <w:rsid w:val="00F82466"/>
    <w:rsid w:val="00F95D5E"/>
    <w:rsid w:val="00F9735B"/>
    <w:rsid w:val="00FA0075"/>
    <w:rsid w:val="00FB767A"/>
    <w:rsid w:val="00FC5959"/>
    <w:rsid w:val="00FF263F"/>
    <w:rsid w:val="1AC3739F"/>
    <w:rsid w:val="565258FA"/>
    <w:rsid w:val="7D6A6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258FA"/>
  <w15:chartTrackingRefBased/>
  <w15:docId w15:val="{06524C2D-FCD5-4848-8296-204CACD4EF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0FD1"/>
    <w:pPr>
      <w:spacing w:line="259" w:lineRule="auto"/>
      <w:ind w:left="720"/>
      <w:contextualSpacing/>
    </w:pPr>
    <w:rPr>
      <w:kern w:val="2"/>
      <w:sz w:val="22"/>
      <w:szCs w:val="22"/>
      <w:lang w:eastAsia="zh-CN"/>
      <w14:ligatures w14:val="standardContextual"/>
    </w:rPr>
  </w:style>
  <w:style w:type="paragraph" w:styleId="Header">
    <w:name w:val="header"/>
    <w:basedOn w:val="Normal"/>
    <w:link w:val="HeaderChar"/>
    <w:uiPriority w:val="99"/>
    <w:unhideWhenUsed/>
    <w:rsid w:val="002E08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8F8"/>
  </w:style>
  <w:style w:type="paragraph" w:styleId="Footer">
    <w:name w:val="footer"/>
    <w:basedOn w:val="Normal"/>
    <w:link w:val="FooterChar"/>
    <w:uiPriority w:val="99"/>
    <w:unhideWhenUsed/>
    <w:rsid w:val="002E08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8F8"/>
  </w:style>
  <w:style w:type="character" w:customStyle="1" w:styleId="apple-converted-space">
    <w:name w:val="apple-converted-space"/>
    <w:basedOn w:val="DefaultParagraphFont"/>
    <w:rsid w:val="005404B4"/>
  </w:style>
  <w:style w:type="paragraph" w:styleId="FootnoteText">
    <w:name w:val="footnote text"/>
    <w:basedOn w:val="Normal"/>
    <w:link w:val="FootnoteTextChar"/>
    <w:uiPriority w:val="99"/>
    <w:semiHidden/>
    <w:unhideWhenUsed/>
    <w:rsid w:val="003A6FA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A6FA1"/>
    <w:rPr>
      <w:sz w:val="20"/>
      <w:szCs w:val="20"/>
    </w:rPr>
  </w:style>
  <w:style w:type="character" w:styleId="FootnoteReference">
    <w:name w:val="footnote reference"/>
    <w:basedOn w:val="DefaultParagraphFont"/>
    <w:uiPriority w:val="99"/>
    <w:semiHidden/>
    <w:unhideWhenUsed/>
    <w:rsid w:val="003A6FA1"/>
    <w:rPr>
      <w:vertAlign w:val="superscript"/>
    </w:rPr>
  </w:style>
  <w:style w:type="character" w:styleId="Hyperlink">
    <w:name w:val="Hyperlink"/>
    <w:basedOn w:val="DefaultParagraphFont"/>
    <w:uiPriority w:val="99"/>
    <w:unhideWhenUsed/>
    <w:rsid w:val="00A54837"/>
    <w:rPr>
      <w:color w:val="0000FF"/>
      <w:u w:val="single"/>
    </w:rPr>
  </w:style>
  <w:style w:type="character" w:styleId="UnresolvedMention">
    <w:name w:val="Unresolved Mention"/>
    <w:basedOn w:val="DefaultParagraphFont"/>
    <w:uiPriority w:val="99"/>
    <w:semiHidden/>
    <w:unhideWhenUsed/>
    <w:rsid w:val="005D6B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org/details/BriefReviewOfTheWomensSuffrageMovement/page/n3/mode/2up"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history.ox.ac.uk/people/dr-helen-sunderland" TargetMode="External"/><Relationship Id="rId4" Type="http://schemas.openxmlformats.org/officeDocument/2006/relationships/settings" Target="settings.xml"/><Relationship Id="rId9" Type="http://schemas.openxmlformats.org/officeDocument/2006/relationships/hyperlink" Target="https://doi.org/10.1093/acprof:oso/9780199248773.001.0001"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doi.org/10.1093/acprof:oso/9780199248773.001.0001" TargetMode="External"/><Relationship Id="rId2" Type="http://schemas.openxmlformats.org/officeDocument/2006/relationships/hyperlink" Target="https://archive.org/details/BriefReviewOfTheWomensSuffrageMovement/page/n3/mode/2up" TargetMode="External"/><Relationship Id="rId1" Type="http://schemas.openxmlformats.org/officeDocument/2006/relationships/hyperlink" Target="https://www.history.ox.ac.uk/people/dr-helen-sunder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F06F4C-6D73-4DC4-B9F5-D2ED1F066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26243</TotalTime>
  <Pages>8</Pages>
  <Words>1830</Words>
  <Characters>10434</Characters>
  <Application>Microsoft Office Word</Application>
  <DocSecurity>0</DocSecurity>
  <Lines>86</Lines>
  <Paragraphs>24</Paragraphs>
  <ScaleCrop>false</ScaleCrop>
  <Company/>
  <LinksUpToDate>false</LinksUpToDate>
  <CharactersWithSpaces>12240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Barrowdale-Smith (2403842)</dc:creator>
  <cp:keywords/>
  <dc:description/>
  <cp:lastModifiedBy>Caitlin Barrowdale-Smith (2403842)</cp:lastModifiedBy>
  <cp:revision>443</cp:revision>
  <dcterms:created xsi:type="dcterms:W3CDTF">2025-12-17T08:50:00Z</dcterms:created>
  <dcterms:modified xsi:type="dcterms:W3CDTF">2026-01-04T23:34:00Z</dcterms:modified>
</cp:coreProperties>
</file>