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9E4FEF2" w:rsidP="69E4FEF2" w:rsidRDefault="69E4FEF2" w14:paraId="6B3A50C7" w14:textId="52C0E815">
      <w:pPr>
        <w:spacing w:beforeAutospacing="1" w:afterAutospacing="1" w:line="360" w:lineRule="auto"/>
        <w:jc w:val="center"/>
        <w:rPr>
          <w:rFonts w:ascii="Arial" w:hAnsi="Arial" w:eastAsia="Arial" w:cs="Arial"/>
          <w:b/>
          <w:bCs/>
          <w:sz w:val="22"/>
          <w:szCs w:val="22"/>
        </w:rPr>
      </w:pPr>
    </w:p>
    <w:p w:rsidR="69E4FEF2" w:rsidP="69E4FEF2" w:rsidRDefault="69E4FEF2" w14:paraId="29FC3805" w14:textId="689064DE">
      <w:pPr>
        <w:spacing w:beforeAutospacing="1" w:afterAutospacing="1" w:line="360" w:lineRule="auto"/>
        <w:jc w:val="center"/>
        <w:rPr>
          <w:rFonts w:ascii="Arial" w:hAnsi="Arial" w:eastAsia="Arial" w:cs="Arial"/>
          <w:b/>
          <w:bCs/>
          <w:sz w:val="22"/>
          <w:szCs w:val="22"/>
        </w:rPr>
      </w:pPr>
    </w:p>
    <w:p w:rsidR="69E4FEF2" w:rsidP="69E4FEF2" w:rsidRDefault="69E4FEF2" w14:paraId="00DDB31B" w14:textId="27A25B2B">
      <w:pPr>
        <w:spacing w:beforeAutospacing="1" w:afterAutospacing="1" w:line="360" w:lineRule="auto"/>
        <w:jc w:val="center"/>
        <w:rPr>
          <w:rFonts w:ascii="Arial" w:hAnsi="Arial" w:eastAsia="Arial" w:cs="Arial"/>
          <w:b/>
          <w:bCs/>
          <w:sz w:val="22"/>
          <w:szCs w:val="22"/>
        </w:rPr>
      </w:pPr>
    </w:p>
    <w:p w:rsidRPr="004717C0" w:rsidR="004717C0" w:rsidP="449E2B72" w:rsidRDefault="45A1D287" w14:paraId="01CCBC86" w14:textId="6D0ADA4B">
      <w:pPr>
        <w:spacing w:before="100" w:beforeAutospacing="1" w:after="100" w:afterAutospacing="1" w:line="360" w:lineRule="auto"/>
        <w:jc w:val="center"/>
        <w:rPr>
          <w:rFonts w:ascii="Arial" w:hAnsi="Arial" w:eastAsia="Arial" w:cs="Arial"/>
          <w:sz w:val="22"/>
          <w:szCs w:val="22"/>
        </w:rPr>
      </w:pPr>
      <w:r w:rsidRPr="449E2B72">
        <w:rPr>
          <w:rFonts w:ascii="Arial" w:hAnsi="Arial" w:eastAsia="Arial" w:cs="Arial"/>
          <w:b/>
          <w:bCs/>
          <w:sz w:val="22"/>
          <w:szCs w:val="22"/>
        </w:rPr>
        <w:t>Name</w:t>
      </w:r>
      <w:r w:rsidRPr="449E2B72">
        <w:rPr>
          <w:rFonts w:ascii="Arial" w:hAnsi="Arial" w:eastAsia="Arial" w:cs="Arial"/>
          <w:sz w:val="22"/>
          <w:szCs w:val="22"/>
        </w:rPr>
        <w:t>: Ioana Alexia Cantaragiu</w:t>
      </w:r>
    </w:p>
    <w:p w:rsidR="6A552A2C" w:rsidP="449E2B72" w:rsidRDefault="6A552A2C" w14:paraId="185DF161" w14:textId="2EF51B09">
      <w:pPr>
        <w:spacing w:beforeAutospacing="1" w:afterAutospacing="1" w:line="360" w:lineRule="auto"/>
        <w:jc w:val="center"/>
        <w:rPr>
          <w:rFonts w:ascii="Arial" w:hAnsi="Arial" w:eastAsia="Arial" w:cs="Arial"/>
          <w:sz w:val="22"/>
          <w:szCs w:val="22"/>
        </w:rPr>
      </w:pPr>
      <w:r w:rsidRPr="449E2B72">
        <w:rPr>
          <w:rFonts w:ascii="Arial" w:hAnsi="Arial" w:eastAsia="Arial" w:cs="Arial"/>
          <w:b/>
          <w:bCs/>
          <w:sz w:val="22"/>
          <w:szCs w:val="22"/>
        </w:rPr>
        <w:t>Student ID:</w:t>
      </w:r>
      <w:r w:rsidRPr="449E2B72">
        <w:rPr>
          <w:rFonts w:ascii="Arial" w:hAnsi="Arial" w:eastAsia="Arial" w:cs="Arial"/>
          <w:sz w:val="22"/>
          <w:szCs w:val="22"/>
        </w:rPr>
        <w:t xml:space="preserve"> 2322692</w:t>
      </w:r>
    </w:p>
    <w:p w:rsidR="45A1D287" w:rsidP="449E2B72" w:rsidRDefault="45A1D287" w14:paraId="59BB28A3" w14:textId="4387E80A">
      <w:pPr>
        <w:spacing w:beforeAutospacing="1" w:afterAutospacing="1" w:line="360" w:lineRule="auto"/>
        <w:jc w:val="center"/>
        <w:rPr>
          <w:rFonts w:ascii="Arial" w:hAnsi="Arial" w:eastAsia="Arial" w:cs="Arial"/>
          <w:sz w:val="22"/>
          <w:szCs w:val="22"/>
        </w:rPr>
      </w:pPr>
      <w:r w:rsidRPr="449E2B72">
        <w:rPr>
          <w:rFonts w:ascii="Arial" w:hAnsi="Arial" w:eastAsia="Arial" w:cs="Arial"/>
          <w:b/>
          <w:bCs/>
          <w:sz w:val="22"/>
          <w:szCs w:val="22"/>
        </w:rPr>
        <w:t xml:space="preserve">Module: </w:t>
      </w:r>
      <w:r w:rsidRPr="449E2B72" w:rsidR="098E3D40">
        <w:rPr>
          <w:rFonts w:ascii="Arial" w:hAnsi="Arial" w:eastAsia="Arial" w:cs="Arial"/>
          <w:sz w:val="22"/>
          <w:szCs w:val="22"/>
        </w:rPr>
        <w:t xml:space="preserve">design thinking and innovation </w:t>
      </w:r>
    </w:p>
    <w:p w:rsidR="098E3D40" w:rsidP="449E2B72" w:rsidRDefault="098E3D40" w14:paraId="0E1ED111" w14:textId="03CEE7D0">
      <w:pPr>
        <w:spacing w:beforeAutospacing="1" w:afterAutospacing="1" w:line="360" w:lineRule="auto"/>
        <w:jc w:val="center"/>
        <w:rPr>
          <w:rFonts w:ascii="Arial" w:hAnsi="Arial" w:eastAsia="Arial" w:cs="Arial"/>
          <w:sz w:val="22"/>
          <w:szCs w:val="22"/>
        </w:rPr>
      </w:pPr>
      <w:r w:rsidRPr="449E2B72">
        <w:rPr>
          <w:rFonts w:ascii="Arial" w:hAnsi="Arial" w:eastAsia="Arial" w:cs="Arial"/>
          <w:b/>
          <w:bCs/>
          <w:sz w:val="22"/>
          <w:szCs w:val="22"/>
        </w:rPr>
        <w:t>Module code</w:t>
      </w:r>
      <w:r w:rsidRPr="449E2B72">
        <w:rPr>
          <w:rFonts w:ascii="Arial" w:hAnsi="Arial" w:eastAsia="Arial" w:cs="Arial"/>
          <w:sz w:val="22"/>
          <w:szCs w:val="22"/>
        </w:rPr>
        <w:t>: LCLM 6002</w:t>
      </w:r>
    </w:p>
    <w:p w:rsidR="098E3D40" w:rsidP="449E2B72" w:rsidRDefault="098E3D40" w14:paraId="0BC07067" w14:textId="2D2B1063">
      <w:pPr>
        <w:spacing w:beforeAutospacing="1" w:afterAutospacing="1" w:line="360" w:lineRule="auto"/>
        <w:jc w:val="center"/>
        <w:rPr>
          <w:rFonts w:ascii="Arial" w:hAnsi="Arial" w:eastAsia="Arial" w:cs="Arial"/>
          <w:sz w:val="22"/>
          <w:szCs w:val="22"/>
        </w:rPr>
      </w:pPr>
      <w:r w:rsidRPr="449E2B72">
        <w:rPr>
          <w:rFonts w:ascii="Arial" w:hAnsi="Arial" w:eastAsia="Arial" w:cs="Arial"/>
          <w:b/>
          <w:bCs/>
          <w:sz w:val="22"/>
          <w:szCs w:val="22"/>
        </w:rPr>
        <w:t xml:space="preserve">Lectures name: </w:t>
      </w:r>
      <w:proofErr w:type="spellStart"/>
      <w:r w:rsidRPr="449E2B72">
        <w:rPr>
          <w:rFonts w:ascii="Arial" w:hAnsi="Arial" w:eastAsia="Arial" w:cs="Arial"/>
          <w:sz w:val="22"/>
          <w:szCs w:val="22"/>
        </w:rPr>
        <w:t>Navid</w:t>
      </w:r>
      <w:proofErr w:type="spellEnd"/>
      <w:r w:rsidRPr="449E2B72">
        <w:rPr>
          <w:rFonts w:ascii="Arial" w:hAnsi="Arial" w:eastAsia="Arial" w:cs="Arial"/>
          <w:sz w:val="22"/>
          <w:szCs w:val="22"/>
        </w:rPr>
        <w:t xml:space="preserve"> </w:t>
      </w:r>
      <w:proofErr w:type="spellStart"/>
      <w:r w:rsidRPr="449E2B72">
        <w:rPr>
          <w:rFonts w:ascii="Arial" w:hAnsi="Arial" w:eastAsia="Arial" w:cs="Arial"/>
          <w:sz w:val="22"/>
          <w:szCs w:val="22"/>
        </w:rPr>
        <w:t>Nasirpourosgoei</w:t>
      </w:r>
      <w:proofErr w:type="spellEnd"/>
    </w:p>
    <w:p w:rsidR="5BCF5ACD" w:rsidP="5BCF5ACD" w:rsidRDefault="5BCF5ACD" w14:paraId="5584F466" w14:textId="170A84DC">
      <w:pPr>
        <w:spacing w:beforeAutospacing="1" w:afterAutospacing="1" w:line="360" w:lineRule="auto"/>
        <w:rPr>
          <w:rFonts w:ascii="Arial" w:hAnsi="Arial" w:eastAsia="Arial" w:cs="Arial"/>
          <w:sz w:val="22"/>
          <w:szCs w:val="22"/>
        </w:rPr>
      </w:pPr>
    </w:p>
    <w:p w:rsidR="5BCF5ACD" w:rsidP="5BCF5ACD" w:rsidRDefault="5BCF5ACD" w14:paraId="3E16899C" w14:textId="394741C8">
      <w:pPr>
        <w:spacing w:beforeAutospacing="1" w:afterAutospacing="1" w:line="360" w:lineRule="auto"/>
        <w:rPr>
          <w:rFonts w:ascii="Arial" w:hAnsi="Arial" w:eastAsia="Arial" w:cs="Arial"/>
          <w:sz w:val="22"/>
          <w:szCs w:val="22"/>
        </w:rPr>
      </w:pPr>
    </w:p>
    <w:p w:rsidR="5BCF5ACD" w:rsidP="5BCF5ACD" w:rsidRDefault="5BCF5ACD" w14:paraId="485B3D5B" w14:textId="6B8B3D1A">
      <w:pPr>
        <w:spacing w:beforeAutospacing="1" w:afterAutospacing="1" w:line="360" w:lineRule="auto"/>
        <w:rPr>
          <w:rFonts w:ascii="Arial" w:hAnsi="Arial" w:eastAsia="Arial" w:cs="Arial"/>
          <w:sz w:val="22"/>
          <w:szCs w:val="22"/>
        </w:rPr>
      </w:pPr>
    </w:p>
    <w:p w:rsidR="5BCF5ACD" w:rsidP="5BCF5ACD" w:rsidRDefault="5BCF5ACD" w14:paraId="29E4A8E8" w14:textId="2C23ECA9">
      <w:pPr>
        <w:spacing w:beforeAutospacing="1" w:afterAutospacing="1" w:line="360" w:lineRule="auto"/>
        <w:rPr>
          <w:rFonts w:ascii="Arial" w:hAnsi="Arial" w:eastAsia="Arial" w:cs="Arial"/>
          <w:sz w:val="22"/>
          <w:szCs w:val="22"/>
        </w:rPr>
      </w:pPr>
    </w:p>
    <w:p w:rsidR="5BCF5ACD" w:rsidP="5BCF5ACD" w:rsidRDefault="5BCF5ACD" w14:paraId="256EF4C8" w14:textId="5E61315F">
      <w:pPr>
        <w:spacing w:beforeAutospacing="1" w:afterAutospacing="1" w:line="360" w:lineRule="auto"/>
        <w:rPr>
          <w:rFonts w:ascii="Arial" w:hAnsi="Arial" w:eastAsia="Arial" w:cs="Arial"/>
          <w:sz w:val="22"/>
          <w:szCs w:val="22"/>
        </w:rPr>
      </w:pPr>
    </w:p>
    <w:p w:rsidR="5BCF5ACD" w:rsidP="5BCF5ACD" w:rsidRDefault="5BCF5ACD" w14:paraId="47F954B2" w14:textId="32235272">
      <w:pPr>
        <w:spacing w:beforeAutospacing="1" w:afterAutospacing="1" w:line="360" w:lineRule="auto"/>
        <w:rPr>
          <w:rFonts w:ascii="Arial" w:hAnsi="Arial" w:eastAsia="Arial" w:cs="Arial"/>
          <w:sz w:val="22"/>
          <w:szCs w:val="22"/>
        </w:rPr>
      </w:pPr>
    </w:p>
    <w:p w:rsidR="5BCF5ACD" w:rsidP="5BCF5ACD" w:rsidRDefault="5BCF5ACD" w14:paraId="0788432E" w14:textId="731EDF3E">
      <w:pPr>
        <w:spacing w:beforeAutospacing="1" w:afterAutospacing="1" w:line="360" w:lineRule="auto"/>
        <w:rPr>
          <w:rFonts w:ascii="Arial" w:hAnsi="Arial" w:eastAsia="Arial" w:cs="Arial"/>
          <w:sz w:val="22"/>
          <w:szCs w:val="22"/>
        </w:rPr>
      </w:pPr>
    </w:p>
    <w:p w:rsidR="5BCF5ACD" w:rsidP="5BCF5ACD" w:rsidRDefault="5BCF5ACD" w14:paraId="3C743248" w14:textId="43E8B602">
      <w:pPr>
        <w:spacing w:beforeAutospacing="1" w:afterAutospacing="1" w:line="360" w:lineRule="auto"/>
        <w:rPr>
          <w:rFonts w:ascii="Arial" w:hAnsi="Arial" w:eastAsia="Arial" w:cs="Arial"/>
          <w:sz w:val="22"/>
          <w:szCs w:val="22"/>
        </w:rPr>
      </w:pPr>
    </w:p>
    <w:p w:rsidR="5BCF5ACD" w:rsidP="5BCF5ACD" w:rsidRDefault="5BCF5ACD" w14:paraId="52764AA8" w14:textId="0D98DD84">
      <w:pPr>
        <w:spacing w:beforeAutospacing="1" w:afterAutospacing="1" w:line="360" w:lineRule="auto"/>
        <w:rPr>
          <w:rFonts w:ascii="Arial" w:hAnsi="Arial" w:eastAsia="Arial" w:cs="Arial"/>
          <w:sz w:val="22"/>
          <w:szCs w:val="22"/>
        </w:rPr>
      </w:pPr>
    </w:p>
    <w:p w:rsidR="5BCF5ACD" w:rsidP="5BCF5ACD" w:rsidRDefault="5BCF5ACD" w14:paraId="6C49B87A" w14:textId="0355F304">
      <w:pPr>
        <w:spacing w:beforeAutospacing="1" w:afterAutospacing="1" w:line="360" w:lineRule="auto"/>
        <w:rPr>
          <w:rFonts w:ascii="Arial" w:hAnsi="Arial" w:eastAsia="Arial" w:cs="Arial"/>
          <w:sz w:val="22"/>
          <w:szCs w:val="22"/>
        </w:rPr>
      </w:pPr>
    </w:p>
    <w:p w:rsidR="5BCF5ACD" w:rsidP="5BCF5ACD" w:rsidRDefault="5BCF5ACD" w14:paraId="3673D5BE" w14:textId="65D20EE4">
      <w:pPr>
        <w:spacing w:beforeAutospacing="1" w:afterAutospacing="1" w:line="360" w:lineRule="auto"/>
        <w:rPr>
          <w:rFonts w:ascii="Arial" w:hAnsi="Arial" w:eastAsia="Arial" w:cs="Arial"/>
          <w:sz w:val="22"/>
          <w:szCs w:val="22"/>
        </w:rPr>
      </w:pPr>
    </w:p>
    <w:p w:rsidR="5BCF5ACD" w:rsidP="5BCF5ACD" w:rsidRDefault="5BCF5ACD" w14:paraId="3009103C" w14:textId="4919E13A">
      <w:pPr>
        <w:spacing w:beforeAutospacing="1" w:afterAutospacing="1" w:line="360" w:lineRule="auto"/>
        <w:rPr>
          <w:rFonts w:ascii="Arial" w:hAnsi="Arial" w:eastAsia="Arial" w:cs="Arial"/>
          <w:sz w:val="22"/>
          <w:szCs w:val="22"/>
        </w:rPr>
      </w:pPr>
    </w:p>
    <w:p w:rsidR="5BCF5ACD" w:rsidP="6E4B1D18" w:rsidRDefault="5BCF5ACD" w14:paraId="088C47A5" w14:textId="1DEE7C1D">
      <w:pPr>
        <w:spacing w:beforeAutospacing="on" w:afterAutospacing="on" w:line="360" w:lineRule="auto"/>
        <w:rPr>
          <w:rFonts w:ascii="Arial" w:hAnsi="Arial" w:eastAsia="Arial" w:cs="Arial"/>
          <w:sz w:val="22"/>
          <w:szCs w:val="22"/>
        </w:rPr>
      </w:pPr>
    </w:p>
    <w:p w:rsidR="6E4B1D18" w:rsidP="6E4B1D18" w:rsidRDefault="6E4B1D18" w14:paraId="6C1BB3F0" w14:textId="7D0D8E86">
      <w:pPr>
        <w:spacing w:beforeAutospacing="on" w:afterAutospacing="on" w:line="360" w:lineRule="auto"/>
        <w:rPr>
          <w:rFonts w:ascii="Arial" w:hAnsi="Arial" w:eastAsia="Arial" w:cs="Arial"/>
          <w:sz w:val="22"/>
          <w:szCs w:val="22"/>
        </w:rPr>
      </w:pPr>
    </w:p>
    <w:p w:rsidR="6E4B1D18" w:rsidP="6E4B1D18" w:rsidRDefault="6E4B1D18" w14:paraId="51FD48B7" w14:textId="253C85DF">
      <w:pPr>
        <w:spacing w:beforeAutospacing="on" w:afterAutospacing="on" w:line="360" w:lineRule="auto"/>
        <w:rPr>
          <w:rFonts w:ascii="Arial" w:hAnsi="Arial" w:eastAsia="Arial" w:cs="Arial"/>
          <w:sz w:val="22"/>
          <w:szCs w:val="22"/>
        </w:rPr>
      </w:pPr>
    </w:p>
    <w:p w:rsidR="6E4B1D18" w:rsidP="6E4B1D18" w:rsidRDefault="6E4B1D18" w14:paraId="53414D71" w14:textId="7E8D401F">
      <w:pPr>
        <w:spacing w:beforeAutospacing="on" w:afterAutospacing="on" w:line="360" w:lineRule="auto"/>
        <w:rPr>
          <w:rFonts w:ascii="Arial" w:hAnsi="Arial" w:eastAsia="Arial" w:cs="Arial"/>
          <w:sz w:val="22"/>
          <w:szCs w:val="22"/>
        </w:rPr>
      </w:pPr>
    </w:p>
    <w:p w:rsidR="5BCF5ACD" w:rsidP="7DB61FED" w:rsidRDefault="5BCF5ACD" w14:paraId="5EB25B87" w14:textId="52A20DFF">
      <w:pPr>
        <w:pStyle w:val="Normal"/>
        <w:spacing w:beforeAutospacing="on" w:afterAutospacing="on" w:line="360" w:lineRule="auto"/>
        <w:rPr>
          <w:rFonts w:ascii="Arial" w:hAnsi="Arial" w:eastAsia="Arial" w:cs="Arial"/>
          <w:sz w:val="22"/>
          <w:szCs w:val="22"/>
        </w:rPr>
      </w:pPr>
    </w:p>
    <w:p w:rsidR="5BCF5ACD" w:rsidP="5BCF5ACD" w:rsidRDefault="5BCF5ACD" w14:paraId="59CA672A" w14:textId="1A685711">
      <w:pPr>
        <w:spacing w:beforeAutospacing="1" w:afterAutospacing="1" w:line="360" w:lineRule="auto"/>
        <w:rPr>
          <w:rFonts w:ascii="Arial" w:hAnsi="Arial" w:eastAsia="Arial" w:cs="Arial"/>
          <w:sz w:val="22"/>
          <w:szCs w:val="22"/>
        </w:rPr>
      </w:pPr>
    </w:p>
    <w:p w:rsidR="2F70880F" w:rsidP="2F70880F" w:rsidRDefault="2F70880F" w14:paraId="64C57920" w14:textId="4BAEF7A9">
      <w:pPr>
        <w:spacing w:beforeAutospacing="1" w:afterAutospacing="1" w:line="360" w:lineRule="auto"/>
        <w:rPr>
          <w:rFonts w:ascii="Arial" w:hAnsi="Arial" w:eastAsia="Arial" w:cs="Arial"/>
          <w:sz w:val="22"/>
          <w:szCs w:val="22"/>
        </w:rPr>
      </w:pPr>
    </w:p>
    <w:sdt>
      <w:sdtPr>
        <w:id w:val="1736983356"/>
        <w:docPartObj>
          <w:docPartGallery w:val="Table of Contents"/>
          <w:docPartUnique/>
        </w:docPartObj>
      </w:sdtPr>
      <w:sdtContent>
        <w:p w:rsidRPr="004717C0" w:rsidR="004717C0" w:rsidP="4EE5807E" w:rsidRDefault="4EE5807E" w14:paraId="3261FD1A" w14:textId="132F09EB">
          <w:pPr>
            <w:pStyle w:val="TOC3"/>
            <w:tabs>
              <w:tab w:val="right" w:leader="dot" w:pos="9015"/>
            </w:tabs>
            <w:spacing w:before="100" w:beforeAutospacing="1" w:afterAutospacing="1" w:line="240" w:lineRule="auto"/>
            <w:rPr>
              <w:rStyle w:val="Hyperlink"/>
            </w:rPr>
          </w:pPr>
          <w:r>
            <w:fldChar w:fldCharType="begin"/>
          </w:r>
          <w:r w:rsidR="004717C0">
            <w:instrText>TOC \o "1-9" \z \u \h</w:instrText>
          </w:r>
          <w:r>
            <w:fldChar w:fldCharType="separate"/>
          </w:r>
          <w:hyperlink w:anchor="_Toc72855841">
            <w:r w:rsidRPr="69E4FEF2" w:rsidR="69E4FEF2">
              <w:rPr>
                <w:rStyle w:val="Hyperlink"/>
              </w:rPr>
              <w:t>1. Introduction to the organisation</w:t>
            </w:r>
            <w:r w:rsidR="004717C0">
              <w:tab/>
            </w:r>
            <w:r w:rsidR="004717C0">
              <w:fldChar w:fldCharType="begin"/>
            </w:r>
            <w:r w:rsidR="004717C0">
              <w:instrText>PAGEREF _Toc72855841 \h</w:instrText>
            </w:r>
            <w:r w:rsidR="004717C0">
              <w:fldChar w:fldCharType="separate"/>
            </w:r>
            <w:r w:rsidRPr="69E4FEF2" w:rsidR="69E4FEF2">
              <w:rPr>
                <w:rStyle w:val="Hyperlink"/>
              </w:rPr>
              <w:t>2</w:t>
            </w:r>
            <w:r w:rsidR="004717C0">
              <w:fldChar w:fldCharType="end"/>
            </w:r>
          </w:hyperlink>
        </w:p>
        <w:p w:rsidRPr="004717C0" w:rsidR="004717C0" w:rsidP="4EE5807E" w:rsidRDefault="69E4FEF2" w14:paraId="0F71E1B5" w14:textId="2FDF49B6">
          <w:pPr>
            <w:pStyle w:val="TOC3"/>
            <w:tabs>
              <w:tab w:val="right" w:leader="dot" w:pos="9015"/>
            </w:tabs>
            <w:spacing w:before="100" w:beforeAutospacing="1" w:afterAutospacing="1" w:line="240" w:lineRule="auto"/>
            <w:rPr>
              <w:rStyle w:val="Hyperlink"/>
            </w:rPr>
          </w:pPr>
          <w:hyperlink w:anchor="_Toc2122815721">
            <w:r w:rsidRPr="69E4FEF2">
              <w:rPr>
                <w:rStyle w:val="Hyperlink"/>
              </w:rPr>
              <w:t>Key consumer and industry trends affecting Tesco</w:t>
            </w:r>
            <w:r w:rsidR="4EE5807E">
              <w:tab/>
            </w:r>
            <w:r w:rsidR="4EE5807E">
              <w:fldChar w:fldCharType="begin"/>
            </w:r>
            <w:r w:rsidR="4EE5807E">
              <w:instrText>PAGEREF _Toc2122815721 \h</w:instrText>
            </w:r>
            <w:r w:rsidR="4EE5807E">
              <w:fldChar w:fldCharType="separate"/>
            </w:r>
            <w:r w:rsidRPr="69E4FEF2">
              <w:rPr>
                <w:rStyle w:val="Hyperlink"/>
              </w:rPr>
              <w:t>3</w:t>
            </w:r>
            <w:r w:rsidR="4EE5807E">
              <w:fldChar w:fldCharType="end"/>
            </w:r>
          </w:hyperlink>
        </w:p>
        <w:p w:rsidRPr="004717C0" w:rsidR="004717C0" w:rsidP="4EE5807E" w:rsidRDefault="69E4FEF2" w14:paraId="31B99A17" w14:textId="08FFF4E5">
          <w:pPr>
            <w:pStyle w:val="TOC4"/>
            <w:tabs>
              <w:tab w:val="right" w:leader="dot" w:pos="9015"/>
            </w:tabs>
            <w:spacing w:before="100" w:beforeAutospacing="1" w:afterAutospacing="1" w:line="240" w:lineRule="auto"/>
            <w:rPr>
              <w:rStyle w:val="Hyperlink"/>
            </w:rPr>
          </w:pPr>
          <w:hyperlink w:anchor="_Toc315159251">
            <w:r w:rsidRPr="69E4FEF2">
              <w:rPr>
                <w:rStyle w:val="Hyperlink"/>
              </w:rPr>
              <w:t>3.2 Customer journey mapping: current state</w:t>
            </w:r>
            <w:r w:rsidR="4EE5807E">
              <w:tab/>
            </w:r>
            <w:r w:rsidR="4EE5807E">
              <w:fldChar w:fldCharType="begin"/>
            </w:r>
            <w:r w:rsidR="4EE5807E">
              <w:instrText>PAGEREF _Toc315159251 \h</w:instrText>
            </w:r>
            <w:r w:rsidR="4EE5807E">
              <w:fldChar w:fldCharType="separate"/>
            </w:r>
            <w:r w:rsidRPr="69E4FEF2">
              <w:rPr>
                <w:rStyle w:val="Hyperlink"/>
              </w:rPr>
              <w:t>7</w:t>
            </w:r>
            <w:r w:rsidR="4EE5807E">
              <w:fldChar w:fldCharType="end"/>
            </w:r>
          </w:hyperlink>
        </w:p>
        <w:p w:rsidRPr="004717C0" w:rsidR="004717C0" w:rsidP="4EE5807E" w:rsidRDefault="69E4FEF2" w14:paraId="27B6CA00" w14:textId="4965BDE0">
          <w:pPr>
            <w:pStyle w:val="TOC4"/>
            <w:tabs>
              <w:tab w:val="right" w:leader="dot" w:pos="9015"/>
            </w:tabs>
            <w:spacing w:before="100" w:beforeAutospacing="1" w:afterAutospacing="1" w:line="240" w:lineRule="auto"/>
            <w:rPr>
              <w:rStyle w:val="Hyperlink"/>
            </w:rPr>
          </w:pPr>
          <w:hyperlink w:anchor="_Toc1450331862">
            <w:r w:rsidRPr="69E4FEF2">
              <w:rPr>
                <w:rStyle w:val="Hyperlink"/>
              </w:rPr>
              <w:t>3.3 Critical evaluation of Tesco’s innovation fit</w:t>
            </w:r>
            <w:r w:rsidR="4EE5807E">
              <w:tab/>
            </w:r>
            <w:r w:rsidR="4EE5807E">
              <w:fldChar w:fldCharType="begin"/>
            </w:r>
            <w:r w:rsidR="4EE5807E">
              <w:instrText>PAGEREF _Toc1450331862 \h</w:instrText>
            </w:r>
            <w:r w:rsidR="4EE5807E">
              <w:fldChar w:fldCharType="separate"/>
            </w:r>
            <w:r w:rsidRPr="69E4FEF2">
              <w:rPr>
                <w:rStyle w:val="Hyperlink"/>
              </w:rPr>
              <w:t>8</w:t>
            </w:r>
            <w:r w:rsidR="4EE5807E">
              <w:fldChar w:fldCharType="end"/>
            </w:r>
          </w:hyperlink>
        </w:p>
        <w:p w:rsidRPr="004717C0" w:rsidR="004717C0" w:rsidP="4EE5807E" w:rsidRDefault="69E4FEF2" w14:paraId="2C846363" w14:textId="250276DC">
          <w:pPr>
            <w:pStyle w:val="TOC4"/>
            <w:tabs>
              <w:tab w:val="right" w:leader="dot" w:pos="9015"/>
            </w:tabs>
            <w:spacing w:before="100" w:beforeAutospacing="1" w:afterAutospacing="1" w:line="240" w:lineRule="auto"/>
            <w:rPr>
              <w:rStyle w:val="Hyperlink"/>
            </w:rPr>
          </w:pPr>
          <w:hyperlink w:anchor="_Toc180600052">
            <w:r w:rsidRPr="69E4FEF2">
              <w:rPr>
                <w:rStyle w:val="Hyperlink"/>
              </w:rPr>
              <w:t>3.4 Stakeholders and capability requirements</w:t>
            </w:r>
            <w:r w:rsidR="4EE5807E">
              <w:tab/>
            </w:r>
            <w:r w:rsidR="4EE5807E">
              <w:fldChar w:fldCharType="begin"/>
            </w:r>
            <w:r w:rsidR="4EE5807E">
              <w:instrText>PAGEREF _Toc180600052 \h</w:instrText>
            </w:r>
            <w:r w:rsidR="4EE5807E">
              <w:fldChar w:fldCharType="separate"/>
            </w:r>
            <w:r w:rsidRPr="69E4FEF2">
              <w:rPr>
                <w:rStyle w:val="Hyperlink"/>
              </w:rPr>
              <w:t>9</w:t>
            </w:r>
            <w:r w:rsidR="4EE5807E">
              <w:fldChar w:fldCharType="end"/>
            </w:r>
          </w:hyperlink>
        </w:p>
        <w:p w:rsidRPr="004717C0" w:rsidR="004717C0" w:rsidP="4EE5807E" w:rsidRDefault="69E4FEF2" w14:paraId="50D791C6" w14:textId="6A61E54B">
          <w:pPr>
            <w:pStyle w:val="TOC4"/>
            <w:tabs>
              <w:tab w:val="right" w:leader="dot" w:pos="9015"/>
            </w:tabs>
            <w:spacing w:before="100" w:beforeAutospacing="1" w:afterAutospacing="1" w:line="240" w:lineRule="auto"/>
            <w:rPr>
              <w:rStyle w:val="Hyperlink"/>
            </w:rPr>
          </w:pPr>
          <w:hyperlink w:anchor="_Toc697942852">
            <w:r w:rsidRPr="69E4FEF2">
              <w:rPr>
                <w:rStyle w:val="Hyperlink"/>
              </w:rPr>
              <w:t>4.1 Initiative overview: Tesco Personal Shopping Companion</w:t>
            </w:r>
            <w:r w:rsidR="4EE5807E">
              <w:tab/>
            </w:r>
            <w:r w:rsidR="4EE5807E">
              <w:fldChar w:fldCharType="begin"/>
            </w:r>
            <w:r w:rsidR="4EE5807E">
              <w:instrText>PAGEREF _Toc697942852 \h</w:instrText>
            </w:r>
            <w:r w:rsidR="4EE5807E">
              <w:fldChar w:fldCharType="separate"/>
            </w:r>
            <w:r w:rsidRPr="69E4FEF2">
              <w:rPr>
                <w:rStyle w:val="Hyperlink"/>
              </w:rPr>
              <w:t>9</w:t>
            </w:r>
            <w:r w:rsidR="4EE5807E">
              <w:fldChar w:fldCharType="end"/>
            </w:r>
          </w:hyperlink>
        </w:p>
        <w:p w:rsidRPr="004717C0" w:rsidR="004717C0" w:rsidP="4EE5807E" w:rsidRDefault="69E4FEF2" w14:paraId="4C2BCB26" w14:textId="7CFAA51C">
          <w:pPr>
            <w:pStyle w:val="TOC4"/>
            <w:tabs>
              <w:tab w:val="right" w:leader="dot" w:pos="9015"/>
            </w:tabs>
            <w:spacing w:before="100" w:beforeAutospacing="1" w:afterAutospacing="1" w:line="240" w:lineRule="auto"/>
            <w:rPr>
              <w:rStyle w:val="Hyperlink"/>
            </w:rPr>
          </w:pPr>
          <w:hyperlink w:anchor="_Toc969297807">
            <w:r w:rsidRPr="69E4FEF2">
              <w:rPr>
                <w:rStyle w:val="Hyperlink"/>
              </w:rPr>
              <w:t>4.2 Enhanced customer journey</w:t>
            </w:r>
            <w:r w:rsidR="4EE5807E">
              <w:tab/>
            </w:r>
            <w:r w:rsidR="4EE5807E">
              <w:fldChar w:fldCharType="begin"/>
            </w:r>
            <w:r w:rsidR="4EE5807E">
              <w:instrText>PAGEREF _Toc969297807 \h</w:instrText>
            </w:r>
            <w:r w:rsidR="4EE5807E">
              <w:fldChar w:fldCharType="separate"/>
            </w:r>
            <w:r w:rsidRPr="69E4FEF2">
              <w:rPr>
                <w:rStyle w:val="Hyperlink"/>
              </w:rPr>
              <w:t>10</w:t>
            </w:r>
            <w:r w:rsidR="4EE5807E">
              <w:fldChar w:fldCharType="end"/>
            </w:r>
          </w:hyperlink>
        </w:p>
        <w:p w:rsidRPr="004717C0" w:rsidR="004717C0" w:rsidP="4EE5807E" w:rsidRDefault="69E4FEF2" w14:paraId="5AB084DC" w14:textId="5D52A264">
          <w:pPr>
            <w:pStyle w:val="TOC4"/>
            <w:tabs>
              <w:tab w:val="right" w:leader="dot" w:pos="9015"/>
            </w:tabs>
            <w:spacing w:before="100" w:beforeAutospacing="1" w:afterAutospacing="1" w:line="240" w:lineRule="auto"/>
            <w:rPr>
              <w:rStyle w:val="Hyperlink"/>
            </w:rPr>
          </w:pPr>
          <w:hyperlink w:anchor="_Toc1858969343">
            <w:r w:rsidRPr="69E4FEF2">
              <w:rPr>
                <w:rStyle w:val="Hyperlink"/>
              </w:rPr>
              <w:t>4.3 Value creation for customers and Tesco</w:t>
            </w:r>
            <w:r w:rsidR="4EE5807E">
              <w:tab/>
            </w:r>
            <w:r w:rsidR="4EE5807E">
              <w:fldChar w:fldCharType="begin"/>
            </w:r>
            <w:r w:rsidR="4EE5807E">
              <w:instrText>PAGEREF _Toc1858969343 \h</w:instrText>
            </w:r>
            <w:r w:rsidR="4EE5807E">
              <w:fldChar w:fldCharType="separate"/>
            </w:r>
            <w:r w:rsidRPr="69E4FEF2">
              <w:rPr>
                <w:rStyle w:val="Hyperlink"/>
              </w:rPr>
              <w:t>11</w:t>
            </w:r>
            <w:r w:rsidR="4EE5807E">
              <w:fldChar w:fldCharType="end"/>
            </w:r>
          </w:hyperlink>
        </w:p>
        <w:p w:rsidRPr="004717C0" w:rsidR="004717C0" w:rsidP="4EE5807E" w:rsidRDefault="69E4FEF2" w14:paraId="21AFA37B" w14:textId="5A9E8726">
          <w:pPr>
            <w:pStyle w:val="TOC4"/>
            <w:tabs>
              <w:tab w:val="right" w:leader="dot" w:pos="9015"/>
            </w:tabs>
            <w:spacing w:before="100" w:beforeAutospacing="1" w:afterAutospacing="1" w:line="240" w:lineRule="auto"/>
            <w:rPr>
              <w:rStyle w:val="Hyperlink"/>
            </w:rPr>
          </w:pPr>
          <w:hyperlink w:anchor="_Toc1259808126">
            <w:r w:rsidRPr="69E4FEF2">
              <w:rPr>
                <w:rStyle w:val="Hyperlink"/>
              </w:rPr>
              <w:t>4.4 Implementation considerations and risks</w:t>
            </w:r>
            <w:r w:rsidR="4EE5807E">
              <w:tab/>
            </w:r>
            <w:r w:rsidR="4EE5807E">
              <w:fldChar w:fldCharType="begin"/>
            </w:r>
            <w:r w:rsidR="4EE5807E">
              <w:instrText>PAGEREF _Toc1259808126 \h</w:instrText>
            </w:r>
            <w:r w:rsidR="4EE5807E">
              <w:fldChar w:fldCharType="separate"/>
            </w:r>
            <w:r w:rsidRPr="69E4FEF2">
              <w:rPr>
                <w:rStyle w:val="Hyperlink"/>
              </w:rPr>
              <w:t>11</w:t>
            </w:r>
            <w:r w:rsidR="4EE5807E">
              <w:fldChar w:fldCharType="end"/>
            </w:r>
          </w:hyperlink>
        </w:p>
        <w:p w:rsidRPr="004717C0" w:rsidR="004717C0" w:rsidP="4EE5807E" w:rsidRDefault="69E4FEF2" w14:paraId="2CDE14A7" w14:textId="5CC44047">
          <w:pPr>
            <w:pStyle w:val="TOC4"/>
            <w:tabs>
              <w:tab w:val="right" w:leader="dot" w:pos="9015"/>
            </w:tabs>
            <w:spacing w:before="100" w:beforeAutospacing="1" w:afterAutospacing="1" w:line="240" w:lineRule="auto"/>
            <w:rPr>
              <w:rStyle w:val="Hyperlink"/>
            </w:rPr>
          </w:pPr>
          <w:hyperlink w:anchor="_Toc1571155361">
            <w:r w:rsidRPr="69E4FEF2">
              <w:rPr>
                <w:rStyle w:val="Hyperlink"/>
              </w:rPr>
              <w:t>4.5 Metrics and evaluation</w:t>
            </w:r>
            <w:r w:rsidR="4EE5807E">
              <w:tab/>
            </w:r>
            <w:r w:rsidR="4EE5807E">
              <w:fldChar w:fldCharType="begin"/>
            </w:r>
            <w:r w:rsidR="4EE5807E">
              <w:instrText>PAGEREF _Toc1571155361 \h</w:instrText>
            </w:r>
            <w:r w:rsidR="4EE5807E">
              <w:fldChar w:fldCharType="separate"/>
            </w:r>
            <w:r w:rsidRPr="69E4FEF2">
              <w:rPr>
                <w:rStyle w:val="Hyperlink"/>
              </w:rPr>
              <w:t>12</w:t>
            </w:r>
            <w:r w:rsidR="4EE5807E">
              <w:fldChar w:fldCharType="end"/>
            </w:r>
          </w:hyperlink>
        </w:p>
        <w:p w:rsidRPr="004717C0" w:rsidR="004717C0" w:rsidP="4EE5807E" w:rsidRDefault="69E4FEF2" w14:paraId="2ACE48C2" w14:textId="1A5A4C35">
          <w:pPr>
            <w:pStyle w:val="TOC2"/>
            <w:tabs>
              <w:tab w:val="right" w:leader="dot" w:pos="9015"/>
            </w:tabs>
            <w:spacing w:before="100" w:beforeAutospacing="1" w:afterAutospacing="1" w:line="240" w:lineRule="auto"/>
            <w:rPr>
              <w:rStyle w:val="Hyperlink"/>
            </w:rPr>
          </w:pPr>
          <w:hyperlink w:anchor="_Toc38586420">
            <w:r w:rsidRPr="69E4FEF2">
              <w:rPr>
                <w:rStyle w:val="Hyperlink"/>
              </w:rPr>
              <w:t>References:</w:t>
            </w:r>
            <w:r w:rsidR="4EE5807E">
              <w:tab/>
            </w:r>
            <w:r w:rsidR="4EE5807E">
              <w:fldChar w:fldCharType="begin"/>
            </w:r>
            <w:r w:rsidR="4EE5807E">
              <w:instrText>PAGEREF _Toc38586420 \h</w:instrText>
            </w:r>
            <w:r w:rsidR="4EE5807E">
              <w:fldChar w:fldCharType="separate"/>
            </w:r>
            <w:r w:rsidRPr="69E4FEF2">
              <w:rPr>
                <w:rStyle w:val="Hyperlink"/>
              </w:rPr>
              <w:t>14</w:t>
            </w:r>
            <w:r w:rsidR="4EE5807E">
              <w:fldChar w:fldCharType="end"/>
            </w:r>
          </w:hyperlink>
          <w:r w:rsidR="4EE5807E">
            <w:fldChar w:fldCharType="end"/>
          </w:r>
        </w:p>
      </w:sdtContent>
    </w:sdt>
    <w:p w:rsidRPr="004717C0" w:rsidR="004717C0" w:rsidP="4EE5807E" w:rsidRDefault="004717C0" w14:paraId="7358E418" w14:textId="2A5C26EC">
      <w:pPr>
        <w:spacing w:before="100" w:beforeAutospacing="1" w:after="100" w:afterAutospacing="1" w:line="360" w:lineRule="auto"/>
        <w:rPr>
          <w:rFonts w:ascii="Arial" w:hAnsi="Arial" w:eastAsia="Arial" w:cs="Arial"/>
          <w:sz w:val="22"/>
          <w:szCs w:val="22"/>
        </w:rPr>
      </w:pPr>
    </w:p>
    <w:p w:rsidRPr="004717C0" w:rsidR="004717C0" w:rsidP="4EE5807E" w:rsidRDefault="004717C0" w14:paraId="62D93152" w14:textId="73A9A66F">
      <w:pPr>
        <w:spacing w:before="100" w:beforeAutospacing="1" w:after="100" w:afterAutospacing="1" w:line="360" w:lineRule="auto"/>
        <w:rPr>
          <w:rFonts w:ascii="Arial" w:hAnsi="Arial" w:eastAsia="Arial" w:cs="Arial"/>
          <w:sz w:val="22"/>
          <w:szCs w:val="22"/>
        </w:rPr>
      </w:pPr>
    </w:p>
    <w:p w:rsidRPr="004717C0" w:rsidR="004717C0" w:rsidP="4EE5807E" w:rsidRDefault="004717C0" w14:paraId="73A67B86" w14:textId="2EEC6E1F">
      <w:pPr>
        <w:spacing w:before="100" w:beforeAutospacing="1" w:after="100" w:afterAutospacing="1" w:line="360" w:lineRule="auto"/>
        <w:rPr>
          <w:rFonts w:ascii="Arial" w:hAnsi="Arial" w:eastAsia="Arial" w:cs="Arial"/>
          <w:sz w:val="22"/>
          <w:szCs w:val="22"/>
        </w:rPr>
      </w:pPr>
    </w:p>
    <w:p w:rsidRPr="004717C0" w:rsidR="004717C0" w:rsidP="4EE5807E" w:rsidRDefault="004717C0" w14:paraId="2AA92DD0" w14:textId="496C4E24">
      <w:pPr>
        <w:spacing w:before="100" w:beforeAutospacing="1" w:after="100" w:afterAutospacing="1" w:line="360" w:lineRule="auto"/>
        <w:rPr>
          <w:rFonts w:ascii="Arial" w:hAnsi="Arial" w:eastAsia="Arial" w:cs="Arial"/>
          <w:sz w:val="22"/>
          <w:szCs w:val="22"/>
        </w:rPr>
      </w:pPr>
    </w:p>
    <w:p w:rsidRPr="004717C0" w:rsidR="004717C0" w:rsidP="4EE5807E" w:rsidRDefault="004717C0" w14:paraId="5830E614" w14:textId="750C8E45">
      <w:pPr>
        <w:spacing w:before="100" w:beforeAutospacing="1" w:after="100" w:afterAutospacing="1" w:line="360" w:lineRule="auto"/>
        <w:rPr>
          <w:rFonts w:ascii="Arial" w:hAnsi="Arial" w:eastAsia="Arial" w:cs="Arial"/>
          <w:sz w:val="22"/>
          <w:szCs w:val="22"/>
        </w:rPr>
      </w:pPr>
    </w:p>
    <w:p w:rsidR="6E4B1D18" w:rsidP="7DB61FED" w:rsidRDefault="6E4B1D18" w14:paraId="135B51F6" w14:textId="32F1F6C7">
      <w:pPr>
        <w:pStyle w:val="Normal"/>
        <w:spacing w:beforeAutospacing="on" w:afterAutospacing="on" w:line="360" w:lineRule="auto"/>
        <w:rPr>
          <w:rFonts w:ascii="Arial" w:hAnsi="Arial" w:eastAsia="Arial" w:cs="Arial"/>
          <w:sz w:val="22"/>
          <w:szCs w:val="22"/>
        </w:rPr>
      </w:pPr>
    </w:p>
    <w:p w:rsidR="69E4FEF2" w:rsidP="69E4FEF2" w:rsidRDefault="69E4FEF2" w14:paraId="72C0EF34" w14:textId="1CB116C0">
      <w:pPr>
        <w:spacing w:beforeAutospacing="1" w:afterAutospacing="1" w:line="360" w:lineRule="auto"/>
        <w:rPr>
          <w:rFonts w:ascii="Arial" w:hAnsi="Arial" w:eastAsia="Arial" w:cs="Arial"/>
          <w:sz w:val="22"/>
          <w:szCs w:val="22"/>
        </w:rPr>
      </w:pPr>
    </w:p>
    <w:p w:rsidRPr="004717C0" w:rsidR="004717C0" w:rsidP="69E4FEF2" w:rsidRDefault="004717C0" w14:paraId="51790D4C" w14:textId="77777777">
      <w:pPr>
        <w:spacing w:before="100" w:beforeAutospacing="1" w:after="100" w:afterAutospacing="1" w:line="360" w:lineRule="auto"/>
        <w:rPr>
          <w:rFonts w:ascii="Arial" w:hAnsi="Arial" w:eastAsia="Arial" w:cs="Arial"/>
          <w:b/>
          <w:bCs/>
          <w:kern w:val="0"/>
          <w:sz w:val="22"/>
          <w:szCs w:val="22"/>
          <w14:ligatures w14:val="none"/>
        </w:rPr>
      </w:pPr>
      <w:r w:rsidRPr="69E4FEF2">
        <w:rPr>
          <w:rFonts w:ascii="Arial" w:hAnsi="Arial" w:eastAsia="Arial" w:cs="Arial"/>
          <w:b/>
          <w:bCs/>
          <w:kern w:val="0"/>
          <w:sz w:val="22"/>
          <w:szCs w:val="22"/>
          <w14:ligatures w14:val="none"/>
        </w:rPr>
        <w:t>Digital Innovation and Transformation Portfolio</w:t>
      </w:r>
    </w:p>
    <w:p w:rsidRPr="004717C0" w:rsidR="004717C0" w:rsidP="6E4B1D18" w:rsidRDefault="58AB89BA" w14:paraId="5DDEC9CA" w14:textId="77777777">
      <w:pPr>
        <w:spacing w:before="100" w:beforeAutospacing="on" w:after="100" w:afterAutospacing="on" w:line="360" w:lineRule="auto"/>
        <w:rPr>
          <w:rFonts w:ascii="Arial" w:hAnsi="Arial" w:eastAsia="Arial" w:cs="Arial"/>
          <w:b w:val="1"/>
          <w:bCs w:val="1"/>
          <w:sz w:val="22"/>
          <w:szCs w:val="22"/>
        </w:rPr>
      </w:pPr>
      <w:r w:rsidRPr="69E4FEF2" w:rsidR="58AB89BA">
        <w:rPr>
          <w:rFonts w:ascii="Arial" w:hAnsi="Arial" w:eastAsia="Arial" w:cs="Arial"/>
          <w:b w:val="1"/>
          <w:bCs w:val="1"/>
          <w:kern w:val="0"/>
          <w:sz w:val="22"/>
          <w:szCs w:val="22"/>
          <w14:ligatures w14:val="none"/>
        </w:rPr>
        <w:t xml:space="preserve">Organisation: Tesco </w:t>
      </w:r>
    </w:p>
    <w:p w:rsidR="6E4B1D18" w:rsidP="6E4B1D18" w:rsidRDefault="6E4B1D18" w14:paraId="14C80432" w14:textId="614418F1">
      <w:pPr>
        <w:spacing w:beforeAutospacing="on" w:afterAutospacing="on" w:line="360" w:lineRule="auto"/>
        <w:rPr>
          <w:rFonts w:ascii="Arial" w:hAnsi="Arial" w:eastAsia="Arial" w:cs="Arial"/>
          <w:b w:val="1"/>
          <w:bCs w:val="1"/>
          <w:sz w:val="22"/>
          <w:szCs w:val="22"/>
        </w:rPr>
      </w:pPr>
    </w:p>
    <w:p w:rsidRPr="004717C0" w:rsidR="004717C0" w:rsidP="69E4FEF2" w:rsidRDefault="004717C0" w14:paraId="152655EB" w14:textId="77777777">
      <w:pPr>
        <w:spacing w:before="100" w:beforeAutospacing="1" w:after="100" w:afterAutospacing="1" w:line="360" w:lineRule="auto"/>
        <w:outlineLvl w:val="2"/>
        <w:rPr>
          <w:rFonts w:ascii="Arial" w:hAnsi="Arial" w:eastAsia="Arial" w:cs="Arial"/>
          <w:b/>
          <w:bCs/>
          <w:kern w:val="0"/>
          <w:sz w:val="22"/>
          <w:szCs w:val="22"/>
          <w14:ligatures w14:val="none"/>
        </w:rPr>
      </w:pPr>
      <w:bookmarkStart w:name="_Toc72855841" w:id="0"/>
      <w:r w:rsidRPr="4EE5807E">
        <w:rPr>
          <w:rFonts w:ascii="Arial" w:hAnsi="Arial" w:eastAsia="Arial" w:cs="Arial"/>
          <w:b/>
          <w:bCs/>
          <w:kern w:val="0"/>
          <w:sz w:val="22"/>
          <w:szCs w:val="22"/>
          <w14:ligatures w14:val="none"/>
        </w:rPr>
        <w:t>1. Introduction to the organisation</w:t>
      </w:r>
      <w:bookmarkEnd w:id="0"/>
    </w:p>
    <w:p w:rsidR="6E4B1D18" w:rsidP="6E4B1D18" w:rsidRDefault="6E4B1D18" w14:paraId="38FDE088" w14:textId="1D3FA70B">
      <w:pPr>
        <w:pStyle w:val="p1"/>
        <w:spacing w:line="360" w:lineRule="auto"/>
        <w:rPr>
          <w:rStyle w:val="s2"/>
          <w:rFonts w:ascii="Arial" w:hAnsi="Arial" w:eastAsia="Arial" w:cs="Arial"/>
          <w:sz w:val="22"/>
          <w:szCs w:val="22"/>
        </w:rPr>
      </w:pPr>
      <w:r w:rsidRPr="7DB61FED" w:rsidR="28EB6D54">
        <w:rPr>
          <w:rStyle w:val="s2"/>
          <w:rFonts w:ascii="Arial" w:hAnsi="Arial" w:eastAsia="Arial" w:cs="Arial"/>
          <w:sz w:val="22"/>
          <w:szCs w:val="22"/>
        </w:rPr>
        <w:t>Tesco</w:t>
      </w:r>
      <w:r w:rsidRPr="7DB61FED" w:rsidR="00D80C9D">
        <w:rPr>
          <w:rStyle w:val="s2"/>
          <w:rFonts w:ascii="Arial" w:hAnsi="Arial" w:eastAsia="Arial" w:cs="Arial"/>
          <w:sz w:val="22"/>
          <w:szCs w:val="22"/>
        </w:rPr>
        <w:t xml:space="preserve"> is one of the largest and most influential grocery retailers </w:t>
      </w:r>
      <w:r w:rsidRPr="7DB61FED" w:rsidR="00D80C9D">
        <w:rPr>
          <w:rStyle w:val="s2"/>
          <w:rFonts w:ascii="Arial" w:hAnsi="Arial" w:eastAsia="Arial" w:cs="Arial"/>
          <w:sz w:val="22"/>
          <w:szCs w:val="22"/>
        </w:rPr>
        <w:t>operating</w:t>
      </w:r>
      <w:r w:rsidRPr="7DB61FED" w:rsidR="00D80C9D">
        <w:rPr>
          <w:rStyle w:val="s2"/>
          <w:rFonts w:ascii="Arial" w:hAnsi="Arial" w:eastAsia="Arial" w:cs="Arial"/>
          <w:sz w:val="22"/>
          <w:szCs w:val="22"/>
        </w:rPr>
        <w:t xml:space="preserve"> in the United Kingdom and plays </w:t>
      </w:r>
      <w:r w:rsidRPr="7DB61FED" w:rsidR="00D80C9D">
        <w:rPr>
          <w:rStyle w:val="s2"/>
          <w:rFonts w:ascii="Arial" w:hAnsi="Arial" w:eastAsia="Arial" w:cs="Arial"/>
          <w:sz w:val="22"/>
          <w:szCs w:val="22"/>
        </w:rPr>
        <w:t>a central role</w:t>
      </w:r>
      <w:r w:rsidRPr="7DB61FED" w:rsidR="00D80C9D">
        <w:rPr>
          <w:rStyle w:val="s2"/>
          <w:rFonts w:ascii="Arial" w:hAnsi="Arial" w:eastAsia="Arial" w:cs="Arial"/>
          <w:sz w:val="22"/>
          <w:szCs w:val="22"/>
        </w:rPr>
        <w:t xml:space="preserve"> in shaping competitive standards within the UK retail sector. Established in 1919, Tesco has evolved from a small market stall operation into a multinational organisation with a strong domestic footprint and a growing emphasis on digital capability, customer experience management, and data-driven decision-making. In the UK, Tesco </w:t>
      </w:r>
      <w:r w:rsidRPr="7DB61FED" w:rsidR="00D80C9D">
        <w:rPr>
          <w:rStyle w:val="s2"/>
          <w:rFonts w:ascii="Arial" w:hAnsi="Arial" w:eastAsia="Arial" w:cs="Arial"/>
          <w:sz w:val="22"/>
          <w:szCs w:val="22"/>
        </w:rPr>
        <w:t>operates</w:t>
      </w:r>
      <w:r w:rsidRPr="7DB61FED" w:rsidR="00D80C9D">
        <w:rPr>
          <w:rStyle w:val="s2"/>
          <w:rFonts w:ascii="Arial" w:hAnsi="Arial" w:eastAsia="Arial" w:cs="Arial"/>
          <w:sz w:val="22"/>
          <w:szCs w:val="22"/>
        </w:rPr>
        <w:t xml:space="preserve"> an extensive network of large-format stores, supermarkets, and convenience outlets, complemented by a well-established online grocery platform and home delivery service. This </w:t>
      </w:r>
      <w:r w:rsidRPr="7DB61FED" w:rsidR="00D80C9D">
        <w:rPr>
          <w:rStyle w:val="s2"/>
          <w:rFonts w:ascii="Arial" w:hAnsi="Arial" w:eastAsia="Arial" w:cs="Arial"/>
          <w:sz w:val="22"/>
          <w:szCs w:val="22"/>
        </w:rPr>
        <w:t>omnichannel</w:t>
      </w:r>
      <w:r w:rsidRPr="7DB61FED" w:rsidR="00D80C9D">
        <w:rPr>
          <w:rStyle w:val="s2"/>
          <w:rFonts w:ascii="Arial" w:hAnsi="Arial" w:eastAsia="Arial" w:cs="Arial"/>
          <w:sz w:val="22"/>
          <w:szCs w:val="22"/>
        </w:rPr>
        <w:t xml:space="preserve"> scale positions Tesco as </w:t>
      </w:r>
      <w:r w:rsidRPr="7DB61FED" w:rsidR="00D80C9D">
        <w:rPr>
          <w:rStyle w:val="s2"/>
          <w:rFonts w:ascii="Arial" w:hAnsi="Arial" w:eastAsia="Arial" w:cs="Arial"/>
          <w:sz w:val="22"/>
          <w:szCs w:val="22"/>
        </w:rPr>
        <w:t>an appropriate</w:t>
      </w:r>
      <w:r w:rsidRPr="7DB61FED" w:rsidR="00D80C9D">
        <w:rPr>
          <w:rStyle w:val="s2"/>
          <w:rFonts w:ascii="Arial" w:hAnsi="Arial" w:eastAsia="Arial" w:cs="Arial"/>
          <w:sz w:val="22"/>
          <w:szCs w:val="22"/>
        </w:rPr>
        <w:t xml:space="preserve"> and relevant organisation for analysing innovation strategy and digital transformation within a complex, low-margin retail environment.</w:t>
      </w:r>
    </w:p>
    <w:p w:rsidR="6E4B1D18" w:rsidP="6E4B1D18" w:rsidRDefault="6E4B1D18" w14:paraId="3CF67FDA" w14:textId="7541B9B2">
      <w:pPr>
        <w:pStyle w:val="p1"/>
        <w:spacing w:line="360" w:lineRule="auto"/>
        <w:rPr>
          <w:rStyle w:val="s2"/>
          <w:rFonts w:ascii="Arial" w:hAnsi="Arial" w:eastAsia="Arial" w:cs="Arial"/>
          <w:sz w:val="22"/>
          <w:szCs w:val="22"/>
        </w:rPr>
      </w:pPr>
      <w:r w:rsidRPr="7DB61FED" w:rsidR="00D80C9D">
        <w:rPr>
          <w:rStyle w:val="s2"/>
          <w:rFonts w:ascii="Arial" w:hAnsi="Arial" w:eastAsia="Arial" w:cs="Arial"/>
          <w:sz w:val="22"/>
          <w:szCs w:val="22"/>
        </w:rPr>
        <w:t xml:space="preserve">The UK grocery retail industry is characterised by intense competition, increasing price sensitivity, and rapidly evolving consumer expectations. Customers now expect convenience, transparency, personalisation, and seamless integration across digital and physical channels. At the same time, traditional supermarkets face sustained pressure from discount retailers and digitally enabled competitors that challenge established business models. In this context, digital innovation has become a strategic necessity rather than a discretionary investment. Retailers such as Tesco must continuously adapt their operating models to </w:t>
      </w:r>
      <w:r w:rsidRPr="7DB61FED" w:rsidR="00D80C9D">
        <w:rPr>
          <w:rStyle w:val="s2"/>
          <w:rFonts w:ascii="Arial" w:hAnsi="Arial" w:eastAsia="Arial" w:cs="Arial"/>
          <w:sz w:val="22"/>
          <w:szCs w:val="22"/>
        </w:rPr>
        <w:t>maintain</w:t>
      </w:r>
      <w:r w:rsidRPr="7DB61FED" w:rsidR="00D80C9D">
        <w:rPr>
          <w:rStyle w:val="s2"/>
          <w:rFonts w:ascii="Arial" w:hAnsi="Arial" w:eastAsia="Arial" w:cs="Arial"/>
          <w:sz w:val="22"/>
          <w:szCs w:val="22"/>
        </w:rPr>
        <w:t xml:space="preserve"> relevance, efficiency, and customer loyalty while managing cost pressures and operational complexity (Porter, 2008; Rogers, 2016).</w:t>
      </w:r>
    </w:p>
    <w:p w:rsidR="6E4B1D18" w:rsidP="6E4B1D18" w:rsidRDefault="6E4B1D18" w14:paraId="4CFF818A" w14:textId="7E27A901">
      <w:pPr>
        <w:pStyle w:val="p1"/>
        <w:spacing w:line="360" w:lineRule="auto"/>
        <w:rPr>
          <w:rStyle w:val="s2"/>
          <w:rFonts w:ascii="Arial" w:hAnsi="Arial" w:eastAsia="Arial" w:cs="Arial"/>
          <w:sz w:val="22"/>
          <w:szCs w:val="22"/>
        </w:rPr>
      </w:pPr>
      <w:r w:rsidRPr="7DB61FED" w:rsidR="00D80C9D">
        <w:rPr>
          <w:rStyle w:val="s2"/>
          <w:rFonts w:ascii="Arial" w:hAnsi="Arial" w:eastAsia="Arial" w:cs="Arial"/>
          <w:sz w:val="22"/>
          <w:szCs w:val="22"/>
        </w:rPr>
        <w:t xml:space="preserve">Tesco has responded to these challenges through sustained investment in technology, analytics, and customer-facing digital platforms. Initiatives such as the </w:t>
      </w:r>
      <w:r w:rsidRPr="7DB61FED" w:rsidR="00D80C9D">
        <w:rPr>
          <w:rStyle w:val="s2"/>
          <w:rFonts w:ascii="Arial" w:hAnsi="Arial" w:eastAsia="Arial" w:cs="Arial"/>
          <w:sz w:val="22"/>
          <w:szCs w:val="22"/>
        </w:rPr>
        <w:t>Clubcard</w:t>
      </w:r>
      <w:r w:rsidRPr="7DB61FED" w:rsidR="00D80C9D">
        <w:rPr>
          <w:rStyle w:val="s2"/>
          <w:rFonts w:ascii="Arial" w:hAnsi="Arial" w:eastAsia="Arial" w:cs="Arial"/>
          <w:sz w:val="22"/>
          <w:szCs w:val="22"/>
        </w:rPr>
        <w:t xml:space="preserve"> loyalty scheme, self-service checkout technologies, mobile application development, and advanced fulfilment systems </w:t>
      </w:r>
      <w:r w:rsidRPr="7DB61FED" w:rsidR="00D80C9D">
        <w:rPr>
          <w:rStyle w:val="s2"/>
          <w:rFonts w:ascii="Arial" w:hAnsi="Arial" w:eastAsia="Arial" w:cs="Arial"/>
          <w:sz w:val="22"/>
          <w:szCs w:val="22"/>
        </w:rPr>
        <w:t>demonstrate</w:t>
      </w:r>
      <w:r w:rsidRPr="7DB61FED" w:rsidR="00D80C9D">
        <w:rPr>
          <w:rStyle w:val="s2"/>
          <w:rFonts w:ascii="Arial" w:hAnsi="Arial" w:eastAsia="Arial" w:cs="Arial"/>
          <w:sz w:val="22"/>
          <w:szCs w:val="22"/>
        </w:rPr>
        <w:t xml:space="preserve"> Tesco’s strategic focus on enhancing customer value while improving operational performance. However, the effectiveness of these initiatives depends not only on technological capability but also on how well innovation aligns with customer needs and integrates across the end-to-end customer journey. As academic research on digital transformation highlights, value is created when technology is embedded within organisational processes and customer experiences rather than implemented in isolation (</w:t>
      </w:r>
      <w:r w:rsidRPr="7DB61FED" w:rsidR="00D80C9D">
        <w:rPr>
          <w:rStyle w:val="s2"/>
          <w:rFonts w:ascii="Arial" w:hAnsi="Arial" w:eastAsia="Arial" w:cs="Arial"/>
          <w:sz w:val="22"/>
          <w:szCs w:val="22"/>
        </w:rPr>
        <w:t>Westerman</w:t>
      </w:r>
      <w:r w:rsidRPr="7DB61FED" w:rsidR="00D80C9D">
        <w:rPr>
          <w:rStyle w:val="s2"/>
          <w:rFonts w:ascii="Arial" w:hAnsi="Arial" w:eastAsia="Arial" w:cs="Arial"/>
          <w:sz w:val="22"/>
          <w:szCs w:val="22"/>
        </w:rPr>
        <w:t xml:space="preserve">, </w:t>
      </w:r>
      <w:r w:rsidRPr="7DB61FED" w:rsidR="00D80C9D">
        <w:rPr>
          <w:rStyle w:val="s2"/>
          <w:rFonts w:ascii="Arial" w:hAnsi="Arial" w:eastAsia="Arial" w:cs="Arial"/>
          <w:sz w:val="22"/>
          <w:szCs w:val="22"/>
        </w:rPr>
        <w:t>Bonnet</w:t>
      </w:r>
      <w:r w:rsidRPr="7DB61FED" w:rsidR="00D80C9D">
        <w:rPr>
          <w:rStyle w:val="s2"/>
          <w:rFonts w:ascii="Arial" w:hAnsi="Arial" w:eastAsia="Arial" w:cs="Arial"/>
          <w:sz w:val="22"/>
          <w:szCs w:val="22"/>
        </w:rPr>
        <w:t xml:space="preserve"> and McAfee, 2014).</w:t>
      </w:r>
    </w:p>
    <w:p w:rsidR="004717C0" w:rsidP="7DB61FED" w:rsidRDefault="004717C0" w14:paraId="5EDFFB38" w14:textId="7054D3C7">
      <w:pPr>
        <w:pStyle w:val="p1"/>
        <w:spacing w:line="360" w:lineRule="auto"/>
        <w:rPr>
          <w:rStyle w:val="s2"/>
          <w:rFonts w:ascii="Arial" w:hAnsi="Arial" w:eastAsia="Arial" w:cs="Arial"/>
          <w:sz w:val="22"/>
          <w:szCs w:val="22"/>
        </w:rPr>
      </w:pPr>
      <w:r w:rsidRPr="7DB61FED" w:rsidR="00D80C9D">
        <w:rPr>
          <w:rStyle w:val="s2"/>
          <w:rFonts w:ascii="Arial" w:hAnsi="Arial" w:eastAsia="Arial" w:cs="Arial"/>
          <w:sz w:val="22"/>
          <w:szCs w:val="22"/>
        </w:rPr>
        <w:t xml:space="preserve">This portfolio applies the Innovation Ambition Matrix to assess how Tesco balances core, adjacent, and transformational innovation initiatives, alongside Customer Journey Mapping to </w:t>
      </w:r>
      <w:r w:rsidRPr="7DB61FED" w:rsidR="00D80C9D">
        <w:rPr>
          <w:rStyle w:val="s2"/>
          <w:rFonts w:ascii="Arial" w:hAnsi="Arial" w:eastAsia="Arial" w:cs="Arial"/>
          <w:sz w:val="22"/>
          <w:szCs w:val="22"/>
        </w:rPr>
        <w:t>identify</w:t>
      </w:r>
      <w:r w:rsidRPr="7DB61FED" w:rsidR="00D80C9D">
        <w:rPr>
          <w:rStyle w:val="s2"/>
          <w:rFonts w:ascii="Arial" w:hAnsi="Arial" w:eastAsia="Arial" w:cs="Arial"/>
          <w:sz w:val="22"/>
          <w:szCs w:val="22"/>
        </w:rPr>
        <w:t xml:space="preserve"> friction points within the current customer experience. Building on this analysis, the portfolio proposes a digital transformation initiative designed to enhance personalisation, reduce customer effort, and improve fulfilment reliability. By linking theory to practice, the portfolio aims to </w:t>
      </w:r>
      <w:r w:rsidRPr="7DB61FED" w:rsidR="00D80C9D">
        <w:rPr>
          <w:rStyle w:val="s2"/>
          <w:rFonts w:ascii="Arial" w:hAnsi="Arial" w:eastAsia="Arial" w:cs="Arial"/>
          <w:sz w:val="22"/>
          <w:szCs w:val="22"/>
        </w:rPr>
        <w:t>demonstrate</w:t>
      </w:r>
      <w:r w:rsidRPr="7DB61FED" w:rsidR="00D80C9D">
        <w:rPr>
          <w:rStyle w:val="s2"/>
          <w:rFonts w:ascii="Arial" w:hAnsi="Arial" w:eastAsia="Arial" w:cs="Arial"/>
          <w:sz w:val="22"/>
          <w:szCs w:val="22"/>
        </w:rPr>
        <w:t xml:space="preserve"> how strategic digital innovation can support Tesco’s long-term competitiveness within the UK grocery retail sector.</w:t>
      </w:r>
    </w:p>
    <w:p w:rsidR="7DB61FED" w:rsidP="7DB61FED" w:rsidRDefault="7DB61FED" w14:paraId="5C97749A" w14:textId="7E5A49C0">
      <w:pPr>
        <w:pStyle w:val="p1"/>
        <w:spacing w:line="360" w:lineRule="auto"/>
        <w:rPr>
          <w:rStyle w:val="s2"/>
          <w:rFonts w:ascii="Arial" w:hAnsi="Arial" w:eastAsia="Arial" w:cs="Arial"/>
          <w:sz w:val="22"/>
          <w:szCs w:val="22"/>
        </w:rPr>
      </w:pPr>
    </w:p>
    <w:p w:rsidR="6E4B1D18" w:rsidP="6E4B1D18" w:rsidRDefault="6E4B1D18" w14:paraId="0F8AE89E" w14:textId="01EEA550">
      <w:pPr>
        <w:spacing w:beforeAutospacing="on" w:afterAutospacing="on" w:line="360" w:lineRule="auto"/>
        <w:outlineLvl w:val="2"/>
        <w:rPr>
          <w:rStyle w:val="TitleChar"/>
          <w:rFonts w:ascii="Arial" w:hAnsi="Arial" w:eastAsia="Arial" w:cs="Arial"/>
          <w:b w:val="1"/>
          <w:bCs w:val="1"/>
          <w:sz w:val="22"/>
          <w:szCs w:val="22"/>
        </w:rPr>
      </w:pPr>
      <w:bookmarkStart w:name="_Toc2122815721" w:id="1"/>
      <w:r w:rsidRPr="7DB61FED" w:rsidR="00385E69">
        <w:rPr>
          <w:rStyle w:val="TitleChar"/>
          <w:rFonts w:ascii="Arial" w:hAnsi="Arial" w:eastAsia="Arial" w:cs="Arial"/>
          <w:b w:val="1"/>
          <w:bCs w:val="1"/>
          <w:sz w:val="22"/>
          <w:szCs w:val="22"/>
        </w:rPr>
        <w:t>Key consumer and industry trends affecting Tesco</w:t>
      </w:r>
      <w:bookmarkEnd w:id="1"/>
    </w:p>
    <w:p w:rsidRPr="00385E69" w:rsidR="00385E69" w:rsidP="6E4B1D18" w:rsidRDefault="00385E69" w14:paraId="197BBE63" w14:textId="15AC0B43">
      <w:pPr>
        <w:spacing w:line="360" w:lineRule="auto"/>
        <w:rPr>
          <w:rFonts w:ascii="Arial" w:hAnsi="Arial" w:eastAsia="Arial" w:cs="Arial"/>
          <w:b w:val="1"/>
          <w:bCs w:val="1"/>
          <w:sz w:val="22"/>
          <w:szCs w:val="22"/>
        </w:rPr>
      </w:pPr>
      <w:r w:rsidRPr="6E4B1D18" w:rsidR="00385E69">
        <w:rPr>
          <w:b w:val="1"/>
          <w:bCs w:val="1"/>
        </w:rPr>
        <w:t xml:space="preserve"> Cost-of-living pressure and value </w:t>
      </w:r>
      <w:r w:rsidRPr="6E4B1D18" w:rsidR="00385E69">
        <w:rPr>
          <w:b w:val="1"/>
          <w:bCs w:val="1"/>
        </w:rPr>
        <w:t>seeking</w:t>
      </w:r>
    </w:p>
    <w:p w:rsidRPr="00385E69" w:rsidR="00385E69" w:rsidP="6E4B1D18" w:rsidRDefault="00385E69" w14:paraId="2AD148FD" w14:textId="77777777">
      <w:pPr>
        <w:spacing w:before="100" w:beforeAutospacing="on" w:after="100" w:afterAutospacing="on" w:line="360" w:lineRule="auto"/>
        <w:rPr>
          <w:rFonts w:ascii="Arial" w:hAnsi="Arial" w:eastAsia="Arial" w:cs="Arial"/>
          <w:kern w:val="0"/>
          <w:sz w:val="22"/>
          <w:szCs w:val="22"/>
          <w14:ligatures w14:val="none"/>
        </w:rPr>
      </w:pPr>
      <w:r w:rsidRPr="4EE5807E" w:rsidR="00385E69">
        <w:rPr>
          <w:rFonts w:ascii="Arial" w:hAnsi="Arial" w:eastAsia="Arial" w:cs="Arial"/>
          <w:kern w:val="0"/>
          <w:sz w:val="22"/>
          <w:szCs w:val="22"/>
          <w14:ligatures w14:val="none"/>
        </w:rPr>
        <w:t>A defining trend in the UK grocery market is sustained consumer sensitivity to price, intensified by cost-of-living pressures and uncertainty about household finances. When budgets tighten, shoppers become more promotion driven, they actively compare retailers, and they trade down to private label or lower-priced pack formats (</w:t>
      </w:r>
      <w:r w:rsidRPr="4EE5807E" w:rsidR="00385E69">
        <w:rPr>
          <w:rFonts w:ascii="Arial" w:hAnsi="Arial" w:eastAsia="Arial" w:cs="Arial"/>
          <w:kern w:val="0"/>
          <w:sz w:val="22"/>
          <w:szCs w:val="22"/>
          <w14:ligatures w14:val="none"/>
        </w:rPr>
        <w:t>Mintel</w:t>
      </w:r>
      <w:r w:rsidRPr="4EE5807E" w:rsidR="00385E69">
        <w:rPr>
          <w:rFonts w:ascii="Arial" w:hAnsi="Arial" w:eastAsia="Arial" w:cs="Arial"/>
          <w:kern w:val="0"/>
          <w:sz w:val="22"/>
          <w:szCs w:val="22"/>
          <w14:ligatures w14:val="none"/>
        </w:rPr>
        <w:t xml:space="preserve">, 2023). For Tesco, the strategic challenge is to protect a “value” position without eroding margins further, while keeping the customer experience simple. Tesco has responded with mechanisms such as </w:t>
      </w:r>
      <w:r w:rsidRPr="4EE5807E" w:rsidR="00385E69">
        <w:rPr>
          <w:rFonts w:ascii="Arial" w:hAnsi="Arial" w:eastAsia="Arial" w:cs="Arial"/>
          <w:kern w:val="0"/>
          <w:sz w:val="22"/>
          <w:szCs w:val="22"/>
          <w14:ligatures w14:val="none"/>
        </w:rPr>
        <w:t>Clubcard</w:t>
      </w:r>
      <w:r w:rsidRPr="4EE5807E" w:rsidR="00385E69">
        <w:rPr>
          <w:rFonts w:ascii="Arial" w:hAnsi="Arial" w:eastAsia="Arial" w:cs="Arial"/>
          <w:kern w:val="0"/>
          <w:sz w:val="22"/>
          <w:szCs w:val="22"/>
          <w14:ligatures w14:val="none"/>
        </w:rPr>
        <w:t xml:space="preserve"> Prices, own-brand ranges and targeted offers that aim to deliver savings to engaged customers. However, heavy promotional environments can create confusion, making customers feel they must “work” to access fair prices. In customer experience terms, value is not just the numeric price; it is the perceived clarity and fairness of the pricing system. This trend increases the importance of transparent digital tools that help customers understand how savings are achieved.</w:t>
      </w:r>
    </w:p>
    <w:p w:rsidR="6E4B1D18" w:rsidP="6E4B1D18" w:rsidRDefault="6E4B1D18" w14:paraId="1BEBF7F1" w14:textId="678C9FBC">
      <w:pPr>
        <w:spacing w:beforeAutospacing="on" w:afterAutospacing="on" w:line="360" w:lineRule="auto"/>
        <w:rPr>
          <w:rFonts w:ascii="Arial" w:hAnsi="Arial" w:eastAsia="Arial" w:cs="Arial"/>
          <w:sz w:val="22"/>
          <w:szCs w:val="22"/>
        </w:rPr>
      </w:pPr>
    </w:p>
    <w:p w:rsidRPr="00385E69" w:rsidR="00385E69" w:rsidP="6E4B1D18" w:rsidRDefault="00385E69" w14:paraId="39E9EE86" w14:textId="77777777">
      <w:pPr>
        <w:spacing w:line="360" w:lineRule="auto"/>
        <w:rPr>
          <w:rFonts w:ascii="Arial" w:hAnsi="Arial" w:eastAsia="Arial" w:cs="Arial"/>
          <w:b w:val="1"/>
          <w:bCs w:val="1"/>
          <w:sz w:val="22"/>
          <w:szCs w:val="22"/>
        </w:rPr>
      </w:pPr>
      <w:r w:rsidRPr="6E4B1D18" w:rsidR="00385E69">
        <w:rPr>
          <w:rFonts w:ascii="Arial" w:hAnsi="Arial" w:eastAsia="Arial" w:cs="Arial"/>
          <w:b w:val="1"/>
          <w:bCs w:val="1"/>
          <w:sz w:val="22"/>
          <w:szCs w:val="22"/>
        </w:rPr>
        <w:t xml:space="preserve"> </w:t>
      </w:r>
      <w:r w:rsidRPr="6E4B1D18" w:rsidR="00385E69">
        <w:rPr>
          <w:rFonts w:ascii="Arial" w:hAnsi="Arial" w:eastAsia="Arial" w:cs="Arial"/>
          <w:b w:val="1"/>
          <w:bCs w:val="1"/>
          <w:sz w:val="22"/>
          <w:szCs w:val="22"/>
        </w:rPr>
        <w:t>Omnichannel</w:t>
      </w:r>
      <w:r w:rsidRPr="6E4B1D18" w:rsidR="00385E69">
        <w:rPr>
          <w:rFonts w:ascii="Arial" w:hAnsi="Arial" w:eastAsia="Arial" w:cs="Arial"/>
          <w:b w:val="1"/>
          <w:bCs w:val="1"/>
          <w:sz w:val="22"/>
          <w:szCs w:val="22"/>
        </w:rPr>
        <w:t xml:space="preserve"> convenience and fulfilment expectations</w:t>
      </w:r>
    </w:p>
    <w:p w:rsidRPr="00385E69" w:rsidR="00385E69" w:rsidP="7DB61FED" w:rsidRDefault="00385E69" w14:paraId="15F8B495" w14:textId="15350066">
      <w:pPr>
        <w:spacing w:before="100" w:beforeAutospacing="on" w:after="100" w:afterAutospacing="on" w:line="360" w:lineRule="auto"/>
        <w:rPr>
          <w:rFonts w:ascii="Arial" w:hAnsi="Arial" w:eastAsia="Arial" w:cs="Arial"/>
          <w:kern w:val="0"/>
          <w:sz w:val="22"/>
          <w:szCs w:val="22"/>
          <w14:ligatures w14:val="none"/>
        </w:rPr>
      </w:pPr>
      <w:r w:rsidRPr="4EE5807E" w:rsidR="00385E69">
        <w:rPr>
          <w:rFonts w:ascii="Arial" w:hAnsi="Arial" w:eastAsia="Arial" w:cs="Arial"/>
          <w:kern w:val="0"/>
          <w:sz w:val="22"/>
          <w:szCs w:val="22"/>
          <w14:ligatures w14:val="none"/>
        </w:rPr>
        <w:t xml:space="preserve">A second trend is the normalisation of </w:t>
      </w:r>
      <w:r w:rsidRPr="4EE5807E" w:rsidR="00385E69">
        <w:rPr>
          <w:rFonts w:ascii="Arial" w:hAnsi="Arial" w:eastAsia="Arial" w:cs="Arial"/>
          <w:kern w:val="0"/>
          <w:sz w:val="22"/>
          <w:szCs w:val="22"/>
          <w14:ligatures w14:val="none"/>
        </w:rPr>
        <w:t>omnichannel</w:t>
      </w:r>
      <w:r w:rsidRPr="4EE5807E" w:rsidR="00385E69">
        <w:rPr>
          <w:rFonts w:ascii="Arial" w:hAnsi="Arial" w:eastAsia="Arial" w:cs="Arial"/>
          <w:kern w:val="0"/>
          <w:sz w:val="22"/>
          <w:szCs w:val="22"/>
          <w14:ligatures w14:val="none"/>
        </w:rPr>
        <w:t xml:space="preserve"> shopping. Consumers increasingly expect to move seamlessly between planning on a mobile device, </w:t>
      </w:r>
      <w:r w:rsidRPr="4EE5807E" w:rsidR="00385E69">
        <w:rPr>
          <w:rFonts w:ascii="Arial" w:hAnsi="Arial" w:eastAsia="Arial" w:cs="Arial"/>
          <w:kern w:val="0"/>
          <w:sz w:val="22"/>
          <w:szCs w:val="22"/>
          <w14:ligatures w14:val="none"/>
        </w:rPr>
        <w:t xml:space="preserve">purchasing</w:t>
      </w:r>
      <w:r w:rsidRPr="4EE5807E" w:rsidR="00385E69">
        <w:rPr>
          <w:rFonts w:ascii="Arial" w:hAnsi="Arial" w:eastAsia="Arial" w:cs="Arial"/>
          <w:kern w:val="0"/>
          <w:sz w:val="22"/>
          <w:szCs w:val="22"/>
          <w14:ligatures w14:val="none"/>
        </w:rPr>
        <w:t xml:space="preserve"> online, topping up in-store, and using delivery or click-and-collect depending on time and need (</w:t>
      </w:r>
      <w:r w:rsidRPr="4EE5807E" w:rsidR="00385E69">
        <w:rPr>
          <w:rFonts w:ascii="Arial" w:hAnsi="Arial" w:eastAsia="Arial" w:cs="Arial"/>
          <w:kern w:val="0"/>
          <w:sz w:val="22"/>
          <w:szCs w:val="22"/>
          <w14:ligatures w14:val="none"/>
        </w:rPr>
        <w:t>Euromonitor</w:t>
      </w:r>
      <w:r w:rsidRPr="4EE5807E" w:rsidR="00385E69">
        <w:rPr>
          <w:rFonts w:ascii="Arial" w:hAnsi="Arial" w:eastAsia="Arial" w:cs="Arial"/>
          <w:kern w:val="0"/>
          <w:sz w:val="22"/>
          <w:szCs w:val="22"/>
          <w14:ligatures w14:val="none"/>
        </w:rPr>
        <w:t xml:space="preserve"> International, 2023). Fulfilment reliability has become a core </w:t>
      </w:r>
      <w:r w:rsidRPr="4EE5807E" w:rsidR="00385E69">
        <w:rPr>
          <w:rFonts w:ascii="Arial" w:hAnsi="Arial" w:eastAsia="Arial" w:cs="Arial"/>
          <w:kern w:val="0"/>
          <w:sz w:val="22"/>
          <w:szCs w:val="22"/>
          <w14:ligatures w14:val="none"/>
        </w:rPr>
        <w:t xml:space="preserve">component</w:t>
      </w:r>
      <w:r w:rsidRPr="4EE5807E" w:rsidR="00385E69">
        <w:rPr>
          <w:rFonts w:ascii="Arial" w:hAnsi="Arial" w:eastAsia="Arial" w:cs="Arial"/>
          <w:kern w:val="0"/>
          <w:sz w:val="22"/>
          <w:szCs w:val="22"/>
          <w14:ligatures w14:val="none"/>
        </w:rPr>
        <w:t xml:space="preserve"> of brand equity: customers judge a retailer on slot availability, delivery punctuality, substitution </w:t>
      </w:r>
      <w:r w:rsidRPr="4EE5807E" w:rsidR="00385E69">
        <w:rPr>
          <w:rFonts w:ascii="Arial" w:hAnsi="Arial" w:eastAsia="Arial" w:cs="Arial"/>
          <w:kern w:val="0"/>
          <w:sz w:val="22"/>
          <w:szCs w:val="22"/>
          <w14:ligatures w14:val="none"/>
        </w:rPr>
        <w:t xml:space="preserve">quality</w:t>
      </w:r>
      <w:r w:rsidRPr="4EE5807E" w:rsidR="00385E69">
        <w:rPr>
          <w:rFonts w:ascii="Arial" w:hAnsi="Arial" w:eastAsia="Arial" w:cs="Arial"/>
          <w:kern w:val="0"/>
          <w:sz w:val="22"/>
          <w:szCs w:val="22"/>
          <w14:ligatures w14:val="none"/>
        </w:rPr>
        <w:t xml:space="preserve"> and the ease of resolving issues. Operations research highlights that </w:t>
      </w:r>
      <w:r w:rsidRPr="4EE5807E" w:rsidR="00385E69">
        <w:rPr>
          <w:rFonts w:ascii="Arial" w:hAnsi="Arial" w:eastAsia="Arial" w:cs="Arial"/>
          <w:kern w:val="0"/>
          <w:sz w:val="22"/>
          <w:szCs w:val="22"/>
          <w14:ligatures w14:val="none"/>
        </w:rPr>
        <w:t>omnichannel</w:t>
      </w:r>
      <w:r w:rsidRPr="4EE5807E" w:rsidR="00385E69">
        <w:rPr>
          <w:rFonts w:ascii="Arial" w:hAnsi="Arial" w:eastAsia="Arial" w:cs="Arial"/>
          <w:kern w:val="0"/>
          <w:sz w:val="22"/>
          <w:szCs w:val="22"/>
          <w14:ligatures w14:val="none"/>
        </w:rPr>
        <w:t xml:space="preserve"> performance depends on integration between inventory visibility, picking processes, last-mile </w:t>
      </w:r>
      <w:r w:rsidRPr="4EE5807E" w:rsidR="00385E69">
        <w:rPr>
          <w:rFonts w:ascii="Arial" w:hAnsi="Arial" w:eastAsia="Arial" w:cs="Arial"/>
          <w:kern w:val="0"/>
          <w:sz w:val="22"/>
          <w:szCs w:val="22"/>
          <w14:ligatures w14:val="none"/>
        </w:rPr>
        <w:t xml:space="preserve">logistics</w:t>
      </w:r>
      <w:r w:rsidRPr="4EE5807E" w:rsidR="00385E69">
        <w:rPr>
          <w:rFonts w:ascii="Arial" w:hAnsi="Arial" w:eastAsia="Arial" w:cs="Arial"/>
          <w:kern w:val="0"/>
          <w:sz w:val="22"/>
          <w:szCs w:val="22"/>
          <w14:ligatures w14:val="none"/>
        </w:rPr>
        <w:t xml:space="preserve"> and customer communication. The implication for Tesco is that digital experience improvements must be coupled with operational execution; otherwise, digital promises can raise expectations that the physical system cannot meet.</w:t>
      </w:r>
    </w:p>
    <w:p w:rsidRPr="00385E69" w:rsidR="00385E69" w:rsidP="6E4B1D18" w:rsidRDefault="00385E69" w14:paraId="01346DDB" w14:textId="45F32653">
      <w:pPr>
        <w:spacing w:line="360" w:lineRule="auto"/>
        <w:rPr>
          <w:rFonts w:ascii="Arial" w:hAnsi="Arial" w:eastAsia="Arial" w:cs="Arial"/>
          <w:b w:val="1"/>
          <w:bCs w:val="1"/>
          <w:sz w:val="22"/>
          <w:szCs w:val="22"/>
        </w:rPr>
      </w:pPr>
      <w:r w:rsidRPr="6E4B1D18" w:rsidR="00385E69">
        <w:rPr>
          <w:rFonts w:ascii="Arial" w:hAnsi="Arial" w:eastAsia="Arial" w:cs="Arial"/>
          <w:b w:val="1"/>
          <w:bCs w:val="1"/>
          <w:sz w:val="22"/>
          <w:szCs w:val="22"/>
        </w:rPr>
        <w:t xml:space="preserve"> Personalisation, data </w:t>
      </w:r>
      <w:r w:rsidRPr="6E4B1D18" w:rsidR="00385E69">
        <w:rPr>
          <w:rFonts w:ascii="Arial" w:hAnsi="Arial" w:eastAsia="Arial" w:cs="Arial"/>
          <w:b w:val="1"/>
          <w:bCs w:val="1"/>
          <w:sz w:val="22"/>
          <w:szCs w:val="22"/>
        </w:rPr>
        <w:t>ethics</w:t>
      </w:r>
      <w:r w:rsidRPr="6E4B1D18" w:rsidR="00385E69">
        <w:rPr>
          <w:rFonts w:ascii="Arial" w:hAnsi="Arial" w:eastAsia="Arial" w:cs="Arial"/>
          <w:b w:val="1"/>
          <w:bCs w:val="1"/>
          <w:sz w:val="22"/>
          <w:szCs w:val="22"/>
        </w:rPr>
        <w:t xml:space="preserve"> and trust</w:t>
      </w:r>
    </w:p>
    <w:p w:rsidRPr="00385E69" w:rsidR="00385E69" w:rsidP="7DB61FED" w:rsidRDefault="00385E69" w14:paraId="3753E14C" w14:textId="601C611C">
      <w:pPr>
        <w:spacing w:before="100" w:beforeAutospacing="on" w:after="100" w:afterAutospacing="on" w:line="360" w:lineRule="auto"/>
        <w:rPr>
          <w:rFonts w:ascii="Arial" w:hAnsi="Arial" w:eastAsia="Arial" w:cs="Arial"/>
          <w:kern w:val="0"/>
          <w:sz w:val="22"/>
          <w:szCs w:val="22"/>
          <w14:ligatures w14:val="none"/>
        </w:rPr>
      </w:pPr>
      <w:r w:rsidRPr="4EE5807E" w:rsidR="00385E69">
        <w:rPr>
          <w:rFonts w:ascii="Arial" w:hAnsi="Arial" w:eastAsia="Arial" w:cs="Arial"/>
          <w:kern w:val="0"/>
          <w:sz w:val="22"/>
          <w:szCs w:val="22"/>
          <w14:ligatures w14:val="none"/>
        </w:rPr>
        <w:t xml:space="preserve">Consumers also increasingly expect personalisation, particularly in promotions and recommendations. Marketing research </w:t>
      </w:r>
      <w:r w:rsidRPr="4EE5807E" w:rsidR="00385E69">
        <w:rPr>
          <w:rFonts w:ascii="Arial" w:hAnsi="Arial" w:eastAsia="Arial" w:cs="Arial"/>
          <w:kern w:val="0"/>
          <w:sz w:val="22"/>
          <w:szCs w:val="22"/>
          <w14:ligatures w14:val="none"/>
        </w:rPr>
        <w:t xml:space="preserve">indicates</w:t>
      </w:r>
      <w:r w:rsidRPr="4EE5807E" w:rsidR="00385E69">
        <w:rPr>
          <w:rFonts w:ascii="Arial" w:hAnsi="Arial" w:eastAsia="Arial" w:cs="Arial"/>
          <w:kern w:val="0"/>
          <w:sz w:val="22"/>
          <w:szCs w:val="22"/>
          <w14:ligatures w14:val="none"/>
        </w:rPr>
        <w:t xml:space="preserve"> that data-driven personalisation can improve relevance and engagement when it reduces search costs and feels helpful rather than intrusive (Davenport et al., 2020). Tesco’s </w:t>
      </w:r>
      <w:r w:rsidRPr="4EE5807E" w:rsidR="00385E69">
        <w:rPr>
          <w:rFonts w:ascii="Arial" w:hAnsi="Arial" w:eastAsia="Arial" w:cs="Arial"/>
          <w:kern w:val="0"/>
          <w:sz w:val="22"/>
          <w:szCs w:val="22"/>
          <w14:ligatures w14:val="none"/>
        </w:rPr>
        <w:t>Clubcard</w:t>
      </w:r>
      <w:r w:rsidRPr="4EE5807E" w:rsidR="00385E69">
        <w:rPr>
          <w:rFonts w:ascii="Arial" w:hAnsi="Arial" w:eastAsia="Arial" w:cs="Arial"/>
          <w:kern w:val="0"/>
          <w:sz w:val="22"/>
          <w:szCs w:val="22"/>
          <w14:ligatures w14:val="none"/>
        </w:rPr>
        <w:t xml:space="preserve"> gives it strong data assets, but the trend also heightens scrutiny </w:t>
      </w:r>
      <w:r w:rsidRPr="4EE5807E" w:rsidR="00385E69">
        <w:rPr>
          <w:rFonts w:ascii="Arial" w:hAnsi="Arial" w:eastAsia="Arial" w:cs="Arial"/>
          <w:kern w:val="0"/>
          <w:sz w:val="22"/>
          <w:szCs w:val="22"/>
          <w14:ligatures w14:val="none"/>
        </w:rPr>
        <w:t xml:space="preserve">regarding</w:t>
      </w:r>
      <w:r w:rsidRPr="4EE5807E" w:rsidR="00385E69">
        <w:rPr>
          <w:rFonts w:ascii="Arial" w:hAnsi="Arial" w:eastAsia="Arial" w:cs="Arial"/>
          <w:kern w:val="0"/>
          <w:sz w:val="22"/>
          <w:szCs w:val="22"/>
          <w14:ligatures w14:val="none"/>
        </w:rPr>
        <w:t xml:space="preserve"> privacy, </w:t>
      </w:r>
      <w:r w:rsidRPr="4EE5807E" w:rsidR="00385E69">
        <w:rPr>
          <w:rFonts w:ascii="Arial" w:hAnsi="Arial" w:eastAsia="Arial" w:cs="Arial"/>
          <w:kern w:val="0"/>
          <w:sz w:val="22"/>
          <w:szCs w:val="22"/>
          <w14:ligatures w14:val="none"/>
        </w:rPr>
        <w:t xml:space="preserve">transparency</w:t>
      </w:r>
      <w:r w:rsidRPr="4EE5807E" w:rsidR="00385E69">
        <w:rPr>
          <w:rFonts w:ascii="Arial" w:hAnsi="Arial" w:eastAsia="Arial" w:cs="Arial"/>
          <w:kern w:val="0"/>
          <w:sz w:val="22"/>
          <w:szCs w:val="22"/>
          <w14:ligatures w14:val="none"/>
        </w:rPr>
        <w:t xml:space="preserve"> and the perceived fairness of algorithmic decisions. Regulators and industry guidance emphasise the need for clear consent, purpose limitation and explainability when personal data is used to shape customer outcomes (ICO, 2023). For Tesco, the challenge is to use data to provide convenience and value while </w:t>
      </w:r>
      <w:r w:rsidRPr="4EE5807E" w:rsidR="00385E69">
        <w:rPr>
          <w:rFonts w:ascii="Arial" w:hAnsi="Arial" w:eastAsia="Arial" w:cs="Arial"/>
          <w:kern w:val="0"/>
          <w:sz w:val="22"/>
          <w:szCs w:val="22"/>
          <w14:ligatures w14:val="none"/>
        </w:rPr>
        <w:t xml:space="preserve">maintaining</w:t>
      </w:r>
      <w:r w:rsidRPr="4EE5807E" w:rsidR="00385E69">
        <w:rPr>
          <w:rFonts w:ascii="Arial" w:hAnsi="Arial" w:eastAsia="Arial" w:cs="Arial"/>
          <w:kern w:val="0"/>
          <w:sz w:val="22"/>
          <w:szCs w:val="22"/>
          <w14:ligatures w14:val="none"/>
        </w:rPr>
        <w:t xml:space="preserve"> trust. If customers believe that algorithms create unfair price discrimination, or that data is used without meaningful control, the loyalty relationship can weaken. This trend therefore supports initiatives that make personalisation explainable, </w:t>
      </w:r>
      <w:r w:rsidRPr="4EE5807E" w:rsidR="00385E69">
        <w:rPr>
          <w:rFonts w:ascii="Arial" w:hAnsi="Arial" w:eastAsia="Arial" w:cs="Arial"/>
          <w:kern w:val="0"/>
          <w:sz w:val="22"/>
          <w:szCs w:val="22"/>
          <w14:ligatures w14:val="none"/>
        </w:rPr>
        <w:t xml:space="preserve">controllable</w:t>
      </w:r>
      <w:r w:rsidRPr="4EE5807E" w:rsidR="00385E69">
        <w:rPr>
          <w:rFonts w:ascii="Arial" w:hAnsi="Arial" w:eastAsia="Arial" w:cs="Arial"/>
          <w:kern w:val="0"/>
          <w:sz w:val="22"/>
          <w:szCs w:val="22"/>
          <w14:ligatures w14:val="none"/>
        </w:rPr>
        <w:t xml:space="preserve"> and visibly beneficial.</w:t>
      </w:r>
    </w:p>
    <w:p w:rsidRPr="00385E69" w:rsidR="00385E69" w:rsidP="6E4B1D18" w:rsidRDefault="00385E69" w14:paraId="27F6DF2D" w14:textId="7D12CDB3">
      <w:pPr>
        <w:spacing w:line="360" w:lineRule="auto"/>
        <w:rPr>
          <w:rFonts w:ascii="Arial" w:hAnsi="Arial" w:eastAsia="Arial" w:cs="Arial"/>
          <w:b w:val="1"/>
          <w:bCs w:val="1"/>
          <w:sz w:val="22"/>
          <w:szCs w:val="22"/>
        </w:rPr>
      </w:pPr>
      <w:r w:rsidRPr="6E4B1D18" w:rsidR="00385E69">
        <w:rPr>
          <w:rFonts w:ascii="Arial" w:hAnsi="Arial" w:eastAsia="Arial" w:cs="Arial"/>
          <w:b w:val="1"/>
          <w:bCs w:val="1"/>
          <w:sz w:val="22"/>
          <w:szCs w:val="22"/>
        </w:rPr>
        <w:t xml:space="preserve"> Sustainability and responsible retailing</w:t>
      </w:r>
    </w:p>
    <w:p w:rsidRPr="00385E69" w:rsidR="00385E69" w:rsidP="7DB61FED" w:rsidRDefault="00385E69" w14:paraId="0CCED618" w14:textId="4BF274D3">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Sustainability has moved from a niche concern to a mainstream expectation, with customers paying more attention to packaging, waste, </w:t>
      </w:r>
      <w:r w:rsidRPr="4EE5807E" w:rsidR="00385E69">
        <w:rPr>
          <w:rFonts w:ascii="Arial" w:hAnsi="Arial" w:eastAsia="Arial" w:cs="Arial"/>
          <w:kern w:val="0"/>
          <w:sz w:val="22"/>
          <w:szCs w:val="22"/>
          <w14:ligatures w14:val="none"/>
        </w:rPr>
        <w:t>sourcing</w:t>
      </w:r>
      <w:r w:rsidRPr="4EE5807E" w:rsidR="00385E69">
        <w:rPr>
          <w:rFonts w:ascii="Arial" w:hAnsi="Arial" w:eastAsia="Arial" w:cs="Arial"/>
          <w:kern w:val="0"/>
          <w:sz w:val="22"/>
          <w:szCs w:val="22"/>
          <w14:ligatures w14:val="none"/>
        </w:rPr>
        <w:t xml:space="preserve"> and emissions. Retailers influence sustainability outcomes through forecasting accuracy, dynamic markdowns, redistribution, packaging </w:t>
      </w:r>
      <w:r w:rsidRPr="4EE5807E" w:rsidR="00385E69">
        <w:rPr>
          <w:rFonts w:ascii="Arial" w:hAnsi="Arial" w:eastAsia="Arial" w:cs="Arial"/>
          <w:kern w:val="0"/>
          <w:sz w:val="22"/>
          <w:szCs w:val="22"/>
          <w14:ligatures w14:val="none"/>
        </w:rPr>
        <w:t>redesign</w:t>
      </w:r>
      <w:r w:rsidRPr="4EE5807E" w:rsidR="00385E69">
        <w:rPr>
          <w:rFonts w:ascii="Arial" w:hAnsi="Arial" w:eastAsia="Arial" w:cs="Arial"/>
          <w:kern w:val="0"/>
          <w:sz w:val="22"/>
          <w:szCs w:val="22"/>
          <w14:ligatures w14:val="none"/>
        </w:rPr>
        <w:t xml:space="preserve"> and supply-chain collaboration. Digital technologies can enable sustainability by improving demand prediction, enabling traceability, and optimising distribution routes, which reduces waste and emissions (McKinsey &amp; Company, 2023). Tesco has </w:t>
      </w:r>
      <w:r w:rsidRPr="4EE5807E" w:rsidR="00385E69">
        <w:rPr>
          <w:rFonts w:ascii="Arial" w:hAnsi="Arial" w:eastAsia="Arial" w:cs="Arial"/>
          <w:kern w:val="0"/>
          <w:sz w:val="22"/>
          <w:szCs w:val="22"/>
          <w14:ligatures w14:val="none"/>
        </w:rPr>
        <w:t>stated</w:t>
      </w:r>
      <w:r w:rsidRPr="4EE5807E" w:rsidR="00385E69">
        <w:rPr>
          <w:rFonts w:ascii="Arial" w:hAnsi="Arial" w:eastAsia="Arial" w:cs="Arial"/>
          <w:kern w:val="0"/>
          <w:sz w:val="22"/>
          <w:szCs w:val="22"/>
          <w14:ligatures w14:val="none"/>
        </w:rPr>
        <w:t xml:space="preserve"> commitments on waste reduction and emissions, so initiatives that reduce waste while improving customer experience can provide dual value. In grocery, food waste is also linked to substitutions and availability: when the system cannot supply what customers planned to buy, waste can increase through rejected substitutions and abandoned baskets. Therefore, a sustainability lens strengthens the case for data-led planning and substitution optimisation.</w:t>
      </w:r>
    </w:p>
    <w:p w:rsidRPr="00385E69" w:rsidR="00385E69" w:rsidP="6E4B1D18" w:rsidRDefault="00385E69" w14:paraId="31F0EE0A" w14:textId="77777777">
      <w:pPr>
        <w:spacing w:line="360" w:lineRule="auto"/>
        <w:rPr>
          <w:rFonts w:ascii="Arial" w:hAnsi="Arial" w:eastAsia="Arial" w:cs="Arial"/>
          <w:b w:val="1"/>
          <w:bCs w:val="1"/>
          <w:sz w:val="22"/>
          <w:szCs w:val="22"/>
        </w:rPr>
      </w:pPr>
      <w:r w:rsidRPr="6E4B1D18" w:rsidR="00385E69">
        <w:rPr>
          <w:rFonts w:ascii="Arial" w:hAnsi="Arial" w:eastAsia="Arial" w:cs="Arial"/>
          <w:b w:val="1"/>
          <w:bCs w:val="1"/>
          <w:sz w:val="22"/>
          <w:szCs w:val="22"/>
        </w:rPr>
        <w:t xml:space="preserve"> Competitive dynamics and fast imitation</w:t>
      </w:r>
    </w:p>
    <w:p w:rsidRPr="00385E69" w:rsidR="00385E69" w:rsidP="4EE5807E" w:rsidRDefault="00385E69" w14:paraId="02E8D146" w14:textId="77777777">
      <w:p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 xml:space="preserve">Finally, the diffusion of retail technologies is rapid. Competitors can imitate self-checkout, scan-and-go and loyalty mechanics, which means differentiation often comes from execution quality and integration across activities rather than any single feature. Strategy research argues that sustained advantage comes from a unique system of activities that fit together, not isolated best practices (Porter, 1996; Porter, 2008). In practical terms, Tesco must align its app experience, offers, fulfilment operations, and service recovery to create a coherent journey that customers find easier, fairer and more reliable than alternatives. This trend favours innovations that integrate across </w:t>
      </w:r>
      <w:proofErr w:type="spellStart"/>
      <w:r w:rsidRPr="4EE5807E">
        <w:rPr>
          <w:rFonts w:ascii="Arial" w:hAnsi="Arial" w:eastAsia="Arial" w:cs="Arial"/>
          <w:kern w:val="0"/>
          <w:sz w:val="22"/>
          <w:szCs w:val="22"/>
          <w14:ligatures w14:val="none"/>
        </w:rPr>
        <w:t>touchpoints</w:t>
      </w:r>
      <w:proofErr w:type="spellEnd"/>
      <w:r w:rsidRPr="4EE5807E">
        <w:rPr>
          <w:rFonts w:ascii="Arial" w:hAnsi="Arial" w:eastAsia="Arial" w:cs="Arial"/>
          <w:kern w:val="0"/>
          <w:sz w:val="22"/>
          <w:szCs w:val="22"/>
          <w14:ligatures w14:val="none"/>
        </w:rPr>
        <w:t xml:space="preserve"> and improve the end-to-end journey rather than point solutions.</w:t>
      </w:r>
    </w:p>
    <w:p w:rsidR="6E4B1D18" w:rsidP="7DB61FED" w:rsidRDefault="6E4B1D18" w14:paraId="3BD33FDE" w14:textId="5F291ACA">
      <w:pPr>
        <w:pStyle w:val="Normal"/>
        <w:spacing w:line="360" w:lineRule="auto"/>
        <w:rPr>
          <w:rFonts w:ascii="Arial" w:hAnsi="Arial" w:eastAsia="Arial" w:cs="Arial"/>
          <w:b w:val="1"/>
          <w:bCs w:val="1"/>
          <w:sz w:val="22"/>
          <w:szCs w:val="22"/>
        </w:rPr>
      </w:pPr>
    </w:p>
    <w:p w:rsidR="4EE5807E" w:rsidP="7DB61FED" w:rsidRDefault="4EE5807E" w14:paraId="6A7431F5" w14:textId="44B8F1F8">
      <w:pPr>
        <w:pStyle w:val="Title"/>
        <w:spacing w:line="360" w:lineRule="auto"/>
        <w:rPr>
          <w:rFonts w:ascii="Arial" w:hAnsi="Arial" w:eastAsia="Arial" w:cs="Arial"/>
          <w:b w:val="1"/>
          <w:bCs w:val="1"/>
          <w:sz w:val="22"/>
          <w:szCs w:val="22"/>
        </w:rPr>
      </w:pPr>
      <w:r w:rsidRPr="7DB61FED" w:rsidR="7385CFED">
        <w:rPr>
          <w:rFonts w:ascii="Arial" w:hAnsi="Arial" w:eastAsia="Arial" w:cs="Arial"/>
          <w:b w:val="1"/>
          <w:bCs w:val="1"/>
          <w:sz w:val="22"/>
          <w:szCs w:val="22"/>
        </w:rPr>
        <w:t>Part 1: Analysis of Tesco’s approach to innovation</w:t>
      </w:r>
    </w:p>
    <w:p w:rsidRPr="00385E69" w:rsidR="00385E69" w:rsidP="6E4B1D18" w:rsidRDefault="00385E69" w14:paraId="520608B6" w14:textId="77777777">
      <w:pPr>
        <w:spacing w:line="360" w:lineRule="auto"/>
        <w:rPr>
          <w:rFonts w:ascii="Arial" w:hAnsi="Arial" w:eastAsia="Arial" w:cs="Arial"/>
          <w:b w:val="1"/>
          <w:bCs w:val="1"/>
          <w:sz w:val="22"/>
          <w:szCs w:val="22"/>
        </w:rPr>
      </w:pPr>
      <w:r w:rsidRPr="6E4B1D18" w:rsidR="00385E69">
        <w:rPr>
          <w:rFonts w:ascii="Arial" w:hAnsi="Arial" w:eastAsia="Arial" w:cs="Arial"/>
          <w:b w:val="1"/>
          <w:bCs w:val="1"/>
          <w:sz w:val="22"/>
          <w:szCs w:val="22"/>
        </w:rPr>
        <w:t>3.1 Innovation Ambition Matrix</w:t>
      </w:r>
    </w:p>
    <w:p w:rsidRPr="00385E69" w:rsidR="00385E69" w:rsidP="4EE5807E" w:rsidRDefault="00385E69" w14:paraId="3FBB36E9" w14:textId="77777777">
      <w:p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The Innovation Ambition Matrix classifies innovation into three categories: core, adjacent and transformational (</w:t>
      </w:r>
      <w:proofErr w:type="spellStart"/>
      <w:r w:rsidRPr="4EE5807E">
        <w:rPr>
          <w:rFonts w:ascii="Arial" w:hAnsi="Arial" w:eastAsia="Arial" w:cs="Arial"/>
          <w:kern w:val="0"/>
          <w:sz w:val="22"/>
          <w:szCs w:val="22"/>
          <w14:ligatures w14:val="none"/>
        </w:rPr>
        <w:t>Nagji</w:t>
      </w:r>
      <w:proofErr w:type="spellEnd"/>
      <w:r w:rsidRPr="4EE5807E">
        <w:rPr>
          <w:rFonts w:ascii="Arial" w:hAnsi="Arial" w:eastAsia="Arial" w:cs="Arial"/>
          <w:kern w:val="0"/>
          <w:sz w:val="22"/>
          <w:szCs w:val="22"/>
          <w14:ligatures w14:val="none"/>
        </w:rPr>
        <w:t xml:space="preserve"> and Tuff, 2012). Applying the matrix to Tesco clarifies how it balances reliability-focused improvements with growth and longer-term bets.</w:t>
      </w:r>
    </w:p>
    <w:p w:rsidRPr="00385E69" w:rsidR="00385E69" w:rsidP="6E4B1D18" w:rsidRDefault="00385E69" w14:textId="088DE1DE" w14:paraId="136DE1A0">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Core innovation at Tesco is extensive and continuous. It includes incremental improvements to store operations, checkout throughput, planogram execution, availability, and digital interface usability. For example, self-checkout enhancements reduce queueing time, while app improvements such as better search, clearer filtering and smoother payments reduce friction for online ordering. Supply-chain and store replenishment analytics are also core innovations because they improve the same underlying model: buying efficiently, distributing effectively, and </w:t>
      </w:r>
      <w:r w:rsidRPr="4EE5807E" w:rsidR="00385E69">
        <w:rPr>
          <w:rFonts w:ascii="Arial" w:hAnsi="Arial" w:eastAsia="Arial" w:cs="Arial"/>
          <w:kern w:val="0"/>
          <w:sz w:val="22"/>
          <w:szCs w:val="22"/>
          <w14:ligatures w14:val="none"/>
        </w:rPr>
        <w:t>maintaining</w:t>
      </w:r>
      <w:r w:rsidRPr="4EE5807E" w:rsidR="00385E69">
        <w:rPr>
          <w:rFonts w:ascii="Arial" w:hAnsi="Arial" w:eastAsia="Arial" w:cs="Arial"/>
          <w:kern w:val="0"/>
          <w:sz w:val="22"/>
          <w:szCs w:val="22"/>
          <w14:ligatures w14:val="none"/>
        </w:rPr>
        <w:t xml:space="preserve"> high on-shelf availability. In a low-margin industry, these improvements support competitiveness by lowering cost-to-serve and reducing customer dissatisfaction linked to missing items.</w:t>
      </w:r>
    </w:p>
    <w:p w:rsidRPr="00385E69" w:rsidR="00385E69" w:rsidP="6E4B1D18" w:rsidRDefault="00385E69" w14:textId="053B2042" w14:paraId="46C89921">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Adjacent innovation involves extending capabilities into new services or channels. Tesco’s development of click-and-collect, expansion of rapid top-up delivery options, and integration of complementary services such as financial products or mobile services can be classified as adjacent. Adjacent innovation </w:t>
      </w:r>
      <w:r w:rsidRPr="4EE5807E" w:rsidR="00385E69">
        <w:rPr>
          <w:rFonts w:ascii="Arial" w:hAnsi="Arial" w:eastAsia="Arial" w:cs="Arial"/>
          <w:kern w:val="0"/>
          <w:sz w:val="22"/>
          <w:szCs w:val="22"/>
          <w14:ligatures w14:val="none"/>
        </w:rPr>
        <w:t>leverages</w:t>
      </w:r>
      <w:r w:rsidRPr="4EE5807E" w:rsidR="00385E69">
        <w:rPr>
          <w:rFonts w:ascii="Arial" w:hAnsi="Arial" w:eastAsia="Arial" w:cs="Arial"/>
          <w:kern w:val="0"/>
          <w:sz w:val="22"/>
          <w:szCs w:val="22"/>
          <w14:ligatures w14:val="none"/>
        </w:rPr>
        <w:t xml:space="preserve"> existing assets, including brand trust, store </w:t>
      </w:r>
      <w:r w:rsidRPr="4EE5807E" w:rsidR="00385E69">
        <w:rPr>
          <w:rFonts w:ascii="Arial" w:hAnsi="Arial" w:eastAsia="Arial" w:cs="Arial"/>
          <w:kern w:val="0"/>
          <w:sz w:val="22"/>
          <w:szCs w:val="22"/>
          <w14:ligatures w14:val="none"/>
        </w:rPr>
        <w:t>networks</w:t>
      </w:r>
      <w:r w:rsidRPr="4EE5807E" w:rsidR="00385E69">
        <w:rPr>
          <w:rFonts w:ascii="Arial" w:hAnsi="Arial" w:eastAsia="Arial" w:cs="Arial"/>
          <w:kern w:val="0"/>
          <w:sz w:val="22"/>
          <w:szCs w:val="22"/>
          <w14:ligatures w14:val="none"/>
        </w:rPr>
        <w:t xml:space="preserve"> and data, while opening </w:t>
      </w:r>
      <w:r w:rsidRPr="4EE5807E" w:rsidR="00385E69">
        <w:rPr>
          <w:rFonts w:ascii="Arial" w:hAnsi="Arial" w:eastAsia="Arial" w:cs="Arial"/>
          <w:kern w:val="0"/>
          <w:sz w:val="22"/>
          <w:szCs w:val="22"/>
          <w14:ligatures w14:val="none"/>
        </w:rPr>
        <w:t>additional</w:t>
      </w:r>
      <w:r w:rsidRPr="4EE5807E" w:rsidR="00385E69">
        <w:rPr>
          <w:rFonts w:ascii="Arial" w:hAnsi="Arial" w:eastAsia="Arial" w:cs="Arial"/>
          <w:kern w:val="0"/>
          <w:sz w:val="22"/>
          <w:szCs w:val="22"/>
          <w14:ligatures w14:val="none"/>
        </w:rPr>
        <w:t xml:space="preserve"> revenue streams and new customer use cases. However, adjacent innovation requires careful prioritisation because it can stretch organisational attention. If adjacent services dilute focus from the core grocery mission, customer experience can suffer. Tesco’s challenge is therefore to select adjacent innovations that reinforce convenience and loyalty rather than distract.</w:t>
      </w:r>
    </w:p>
    <w:p w:rsidRPr="00385E69" w:rsidR="00385E69" w:rsidP="6E4B1D18" w:rsidRDefault="00385E69" w14:textId="370E92DF" w14:paraId="29801B18">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Transformational innovation is where Tesco’s most distinctive potential sits, particularly through advanced analytics, </w:t>
      </w:r>
      <w:r w:rsidRPr="4EE5807E" w:rsidR="00385E69">
        <w:rPr>
          <w:rFonts w:ascii="Arial" w:hAnsi="Arial" w:eastAsia="Arial" w:cs="Arial"/>
          <w:kern w:val="0"/>
          <w:sz w:val="22"/>
          <w:szCs w:val="22"/>
          <w14:ligatures w14:val="none"/>
        </w:rPr>
        <w:t>AI</w:t>
      </w:r>
      <w:r w:rsidRPr="4EE5807E" w:rsidR="00385E69">
        <w:rPr>
          <w:rFonts w:ascii="Arial" w:hAnsi="Arial" w:eastAsia="Arial" w:cs="Arial"/>
          <w:kern w:val="0"/>
          <w:sz w:val="22"/>
          <w:szCs w:val="22"/>
          <w14:ligatures w14:val="none"/>
        </w:rPr>
        <w:t xml:space="preserve"> and automation. Transformational initiatives change how value is created or captured, for example by using loyalty data to move from generic promotions to individually relevant offers, or by deploying automated fulfilment systems that alter service levels and cost structures. Research on digital transformation stresses that technology alone does not create transformation; leadership, governance, and capability building are essential (</w:t>
      </w:r>
      <w:r w:rsidRPr="4EE5807E" w:rsidR="00385E69">
        <w:rPr>
          <w:rFonts w:ascii="Arial" w:hAnsi="Arial" w:eastAsia="Arial" w:cs="Arial"/>
          <w:kern w:val="0"/>
          <w:sz w:val="22"/>
          <w:szCs w:val="22"/>
          <w14:ligatures w14:val="none"/>
        </w:rPr>
        <w:t>Westerman</w:t>
      </w:r>
      <w:r w:rsidRPr="4EE5807E" w:rsidR="00385E69">
        <w:rPr>
          <w:rFonts w:ascii="Arial" w:hAnsi="Arial" w:eastAsia="Arial" w:cs="Arial"/>
          <w:kern w:val="0"/>
          <w:sz w:val="22"/>
          <w:szCs w:val="22"/>
          <w14:ligatures w14:val="none"/>
        </w:rPr>
        <w:t xml:space="preserve">, </w:t>
      </w:r>
      <w:r w:rsidRPr="4EE5807E" w:rsidR="00385E69">
        <w:rPr>
          <w:rFonts w:ascii="Arial" w:hAnsi="Arial" w:eastAsia="Arial" w:cs="Arial"/>
          <w:kern w:val="0"/>
          <w:sz w:val="22"/>
          <w:szCs w:val="22"/>
          <w14:ligatures w14:val="none"/>
        </w:rPr>
        <w:t>Bonnet</w:t>
      </w:r>
      <w:r w:rsidRPr="4EE5807E" w:rsidR="00385E69">
        <w:rPr>
          <w:rFonts w:ascii="Arial" w:hAnsi="Arial" w:eastAsia="Arial" w:cs="Arial"/>
          <w:kern w:val="0"/>
          <w:sz w:val="22"/>
          <w:szCs w:val="22"/>
          <w14:ligatures w14:val="none"/>
        </w:rPr>
        <w:t xml:space="preserve"> and McAfee, 2014). In Tesco’s case, the transformational promise is to make shopping feel effortless and fair through intelligent planning, recommendation, and fulfilment systems. The risk is that algorithms can create perceived unfairness or operational mismatches if data is inaccurate.</w:t>
      </w:r>
    </w:p>
    <w:p w:rsidRPr="00385E69" w:rsidR="00385E69" w:rsidP="69E4FEF2" w:rsidRDefault="00385E69" w14:paraId="0467254C" w14:textId="5A4A189C">
      <w:pPr>
        <w:spacing w:before="100" w:beforeAutospacing="1" w:after="100" w:afterAutospacing="1" w:line="360" w:lineRule="auto"/>
        <w:rPr>
          <w:rFonts w:ascii="Arial" w:hAnsi="Arial" w:eastAsia="Arial" w:cs="Arial"/>
          <w:sz w:val="22"/>
          <w:szCs w:val="22"/>
        </w:rPr>
      </w:pPr>
      <w:r w:rsidRPr="4EE5807E">
        <w:rPr>
          <w:rFonts w:ascii="Arial" w:hAnsi="Arial" w:eastAsia="Arial" w:cs="Arial"/>
          <w:kern w:val="0"/>
          <w:sz w:val="22"/>
          <w:szCs w:val="22"/>
          <w14:ligatures w14:val="none"/>
        </w:rPr>
        <w:t>Overall, Tesco’s innovation portfolio appears weighted toward core and adjacent innovation, reflecting the operational demands of grocery retail. The strategic opportunity is to use transformational capability to improve the most painful parts of the journey, especially planning, substitution and service recovery, where personalisation and automation can materially reduce effort.</w:t>
      </w:r>
    </w:p>
    <w:p w:rsidRPr="00385E69" w:rsidR="00385E69" w:rsidP="69E4FEF2" w:rsidRDefault="00385E69" w14:paraId="56DDE33F" w14:textId="63E5A65F">
      <w:pPr>
        <w:spacing w:before="100" w:beforeAutospacing="1" w:after="100" w:afterAutospacing="1" w:line="360" w:lineRule="auto"/>
        <w:rPr>
          <w:rFonts w:ascii="Arial" w:hAnsi="Arial" w:eastAsia="Arial" w:cs="Arial"/>
          <w:sz w:val="22"/>
          <w:szCs w:val="22"/>
        </w:rPr>
      </w:pPr>
    </w:p>
    <w:tbl>
      <w:tblPr>
        <w:tblStyle w:val="TableGrid"/>
        <w:tblW w:w="0" w:type="auto"/>
        <w:tblLook w:val="06A0" w:firstRow="1" w:lastRow="0" w:firstColumn="1" w:lastColumn="0" w:noHBand="1" w:noVBand="1"/>
      </w:tblPr>
      <w:tblGrid>
        <w:gridCol w:w="2254"/>
        <w:gridCol w:w="2254"/>
        <w:gridCol w:w="2254"/>
        <w:gridCol w:w="2254"/>
      </w:tblGrid>
      <w:tr w:rsidR="69E4FEF2" w:rsidTr="6E4B1D18" w14:paraId="0C7C3773" w14:textId="77777777">
        <w:trPr>
          <w:trHeight w:val="300"/>
        </w:trPr>
        <w:tc>
          <w:tcPr>
            <w:tcW w:w="2254" w:type="dxa"/>
            <w:tcMar/>
          </w:tcPr>
          <w:p w:rsidR="264F28C9" w:rsidP="6E4B1D18" w:rsidRDefault="264F28C9" w14:paraId="64895C4D" w14:textId="5B004AC6">
            <w:pPr>
              <w:spacing w:line="360" w:lineRule="auto"/>
              <w:rPr>
                <w:rFonts w:ascii="Arial" w:hAnsi="Arial" w:eastAsia="Arial" w:cs="Arial"/>
                <w:b w:val="1"/>
                <w:bCs w:val="1"/>
                <w:sz w:val="22"/>
                <w:szCs w:val="22"/>
              </w:rPr>
            </w:pPr>
            <w:r w:rsidRPr="6E4B1D18" w:rsidR="7597A1A2">
              <w:rPr>
                <w:rFonts w:ascii="Arial" w:hAnsi="Arial" w:eastAsia="Arial" w:cs="Arial"/>
                <w:b w:val="1"/>
                <w:bCs w:val="1"/>
                <w:sz w:val="22"/>
                <w:szCs w:val="22"/>
              </w:rPr>
              <w:t xml:space="preserve">Innovation type </w:t>
            </w:r>
          </w:p>
        </w:tc>
        <w:tc>
          <w:tcPr>
            <w:tcW w:w="2254" w:type="dxa"/>
            <w:tcMar/>
          </w:tcPr>
          <w:p w:rsidR="264F28C9" w:rsidP="6E4B1D18" w:rsidRDefault="264F28C9" w14:paraId="0B67BA2E" w14:textId="2955D7FC">
            <w:pPr>
              <w:spacing w:line="360" w:lineRule="auto"/>
              <w:rPr>
                <w:rFonts w:ascii="Arial" w:hAnsi="Arial" w:eastAsia="Arial" w:cs="Arial"/>
                <w:b w:val="1"/>
                <w:bCs w:val="1"/>
                <w:sz w:val="22"/>
                <w:szCs w:val="22"/>
              </w:rPr>
            </w:pPr>
            <w:r w:rsidRPr="6E4B1D18" w:rsidR="7597A1A2">
              <w:rPr>
                <w:rFonts w:ascii="Arial" w:hAnsi="Arial" w:eastAsia="Arial" w:cs="Arial"/>
                <w:b w:val="1"/>
                <w:bCs w:val="1"/>
                <w:sz w:val="22"/>
                <w:szCs w:val="22"/>
              </w:rPr>
              <w:t xml:space="preserve">Focus </w:t>
            </w:r>
          </w:p>
        </w:tc>
        <w:tc>
          <w:tcPr>
            <w:tcW w:w="2254" w:type="dxa"/>
            <w:tcMar/>
          </w:tcPr>
          <w:p w:rsidR="264F28C9" w:rsidP="6E4B1D18" w:rsidRDefault="264F28C9" w14:paraId="52490911" w14:textId="28CF3134">
            <w:pPr>
              <w:spacing w:line="360" w:lineRule="auto"/>
              <w:rPr>
                <w:rFonts w:ascii="Arial" w:hAnsi="Arial" w:eastAsia="Arial" w:cs="Arial"/>
                <w:b w:val="1"/>
                <w:bCs w:val="1"/>
                <w:sz w:val="22"/>
                <w:szCs w:val="22"/>
              </w:rPr>
            </w:pPr>
            <w:r w:rsidRPr="6E4B1D18" w:rsidR="7597A1A2">
              <w:rPr>
                <w:rFonts w:ascii="Arial" w:hAnsi="Arial" w:eastAsia="Arial" w:cs="Arial"/>
                <w:b w:val="1"/>
                <w:bCs w:val="1"/>
                <w:sz w:val="22"/>
                <w:szCs w:val="22"/>
              </w:rPr>
              <w:t xml:space="preserve">Tesco examples </w:t>
            </w:r>
          </w:p>
        </w:tc>
        <w:tc>
          <w:tcPr>
            <w:tcW w:w="2254" w:type="dxa"/>
            <w:tcMar/>
          </w:tcPr>
          <w:p w:rsidR="264F28C9" w:rsidP="6E4B1D18" w:rsidRDefault="264F28C9" w14:paraId="49171A44" w14:textId="1D20A789">
            <w:pPr>
              <w:spacing w:line="360" w:lineRule="auto"/>
              <w:rPr>
                <w:rFonts w:ascii="Arial" w:hAnsi="Arial" w:eastAsia="Arial" w:cs="Arial"/>
                <w:b w:val="1"/>
                <w:bCs w:val="1"/>
                <w:sz w:val="22"/>
                <w:szCs w:val="22"/>
              </w:rPr>
            </w:pPr>
            <w:r w:rsidRPr="6E4B1D18" w:rsidR="7597A1A2">
              <w:rPr>
                <w:rFonts w:ascii="Arial" w:hAnsi="Arial" w:eastAsia="Arial" w:cs="Arial"/>
                <w:b w:val="1"/>
                <w:bCs w:val="1"/>
                <w:sz w:val="22"/>
                <w:szCs w:val="22"/>
              </w:rPr>
              <w:t xml:space="preserve">Strategic purpose </w:t>
            </w:r>
          </w:p>
        </w:tc>
      </w:tr>
      <w:tr w:rsidR="69E4FEF2" w:rsidTr="6E4B1D18" w14:paraId="2FA4AEAD" w14:textId="77777777">
        <w:trPr>
          <w:trHeight w:val="300"/>
        </w:trPr>
        <w:tc>
          <w:tcPr>
            <w:tcW w:w="2254" w:type="dxa"/>
            <w:tcMar/>
          </w:tcPr>
          <w:p w:rsidR="264F28C9" w:rsidP="6E4B1D18" w:rsidRDefault="264F28C9" w14:paraId="6A9850E3" w14:textId="4C618F69">
            <w:pPr>
              <w:spacing w:line="360" w:lineRule="auto"/>
              <w:rPr>
                <w:rFonts w:ascii="Arial" w:hAnsi="Arial" w:eastAsia="Arial" w:cs="Arial"/>
                <w:b w:val="1"/>
                <w:bCs w:val="1"/>
                <w:sz w:val="22"/>
                <w:szCs w:val="22"/>
              </w:rPr>
            </w:pPr>
            <w:r w:rsidRPr="6E4B1D18" w:rsidR="7597A1A2">
              <w:rPr>
                <w:rFonts w:ascii="Arial" w:hAnsi="Arial" w:eastAsia="Arial" w:cs="Arial"/>
                <w:b w:val="1"/>
                <w:bCs w:val="1"/>
                <w:sz w:val="22"/>
                <w:szCs w:val="22"/>
              </w:rPr>
              <w:t xml:space="preserve">Core innovation </w:t>
            </w:r>
          </w:p>
        </w:tc>
        <w:tc>
          <w:tcPr>
            <w:tcW w:w="2254" w:type="dxa"/>
            <w:tcMar/>
          </w:tcPr>
          <w:p w:rsidR="264F28C9" w:rsidP="6E4B1D18" w:rsidRDefault="264F28C9" w14:paraId="726FDDA3" w14:textId="41327246">
            <w:pPr>
              <w:spacing w:line="360" w:lineRule="auto"/>
              <w:rPr>
                <w:rFonts w:ascii="Arial" w:hAnsi="Arial" w:eastAsia="Arial" w:cs="Arial"/>
                <w:sz w:val="22"/>
                <w:szCs w:val="22"/>
              </w:rPr>
            </w:pPr>
            <w:r w:rsidRPr="6E4B1D18" w:rsidR="7597A1A2">
              <w:rPr>
                <w:rFonts w:ascii="Arial" w:hAnsi="Arial" w:eastAsia="Arial" w:cs="Arial"/>
                <w:sz w:val="22"/>
                <w:szCs w:val="22"/>
              </w:rPr>
              <w:t>Improvements to existing product/processes</w:t>
            </w:r>
          </w:p>
        </w:tc>
        <w:tc>
          <w:tcPr>
            <w:tcW w:w="2254" w:type="dxa"/>
            <w:tcMar/>
          </w:tcPr>
          <w:p w:rsidR="264F28C9" w:rsidP="6E4B1D18" w:rsidRDefault="264F28C9" w14:paraId="5A001B86" w14:textId="3A7B50B2">
            <w:pPr>
              <w:spacing w:line="360" w:lineRule="auto"/>
              <w:rPr>
                <w:rFonts w:ascii="Arial" w:hAnsi="Arial" w:eastAsia="Arial" w:cs="Arial"/>
                <w:sz w:val="22"/>
                <w:szCs w:val="22"/>
              </w:rPr>
            </w:pPr>
            <w:r w:rsidRPr="6E4B1D18" w:rsidR="7597A1A2">
              <w:rPr>
                <w:rFonts w:ascii="Arial" w:hAnsi="Arial" w:eastAsia="Arial" w:cs="Arial"/>
                <w:sz w:val="22"/>
                <w:szCs w:val="22"/>
              </w:rPr>
              <w:t xml:space="preserve">Self-checkout upgrades, supply chain analytics, </w:t>
            </w:r>
            <w:r w:rsidRPr="6E4B1D18" w:rsidR="15B735C3">
              <w:rPr>
                <w:rFonts w:ascii="Arial" w:hAnsi="Arial" w:eastAsia="Arial" w:cs="Arial"/>
                <w:sz w:val="22"/>
                <w:szCs w:val="22"/>
              </w:rPr>
              <w:t>Club-card</w:t>
            </w:r>
            <w:r w:rsidRPr="6E4B1D18" w:rsidR="7597A1A2">
              <w:rPr>
                <w:rFonts w:ascii="Arial" w:hAnsi="Arial" w:eastAsia="Arial" w:cs="Arial"/>
                <w:sz w:val="22"/>
                <w:szCs w:val="22"/>
              </w:rPr>
              <w:t xml:space="preserve"> pricing </w:t>
            </w:r>
            <w:r w:rsidRPr="6E4B1D18" w:rsidR="481F3476">
              <w:rPr>
                <w:rFonts w:ascii="Arial" w:hAnsi="Arial" w:eastAsia="Arial" w:cs="Arial"/>
                <w:sz w:val="22"/>
                <w:szCs w:val="22"/>
              </w:rPr>
              <w:t>refinement</w:t>
            </w:r>
          </w:p>
        </w:tc>
        <w:tc>
          <w:tcPr>
            <w:tcW w:w="2254" w:type="dxa"/>
            <w:tcMar/>
          </w:tcPr>
          <w:p w:rsidR="09154840" w:rsidP="6E4B1D18" w:rsidRDefault="09154840" w14:paraId="454BACDA" w14:textId="4E58101A">
            <w:pPr>
              <w:spacing w:line="360" w:lineRule="auto"/>
              <w:rPr>
                <w:rFonts w:ascii="Arial" w:hAnsi="Arial" w:eastAsia="Arial" w:cs="Arial"/>
                <w:sz w:val="22"/>
                <w:szCs w:val="22"/>
              </w:rPr>
            </w:pPr>
            <w:r w:rsidRPr="6E4B1D18" w:rsidR="29E8073D">
              <w:rPr>
                <w:rFonts w:ascii="Arial" w:hAnsi="Arial" w:eastAsia="Arial" w:cs="Arial"/>
                <w:sz w:val="22"/>
                <w:szCs w:val="22"/>
              </w:rPr>
              <w:t xml:space="preserve">Efficiency, cost reduction, convenience </w:t>
            </w:r>
          </w:p>
        </w:tc>
      </w:tr>
      <w:tr w:rsidR="69E4FEF2" w:rsidTr="6E4B1D18" w14:paraId="4B40C9D1" w14:textId="77777777">
        <w:trPr>
          <w:trHeight w:val="300"/>
        </w:trPr>
        <w:tc>
          <w:tcPr>
            <w:tcW w:w="2254" w:type="dxa"/>
            <w:tcMar/>
          </w:tcPr>
          <w:p w:rsidR="264F28C9" w:rsidP="6E4B1D18" w:rsidRDefault="264F28C9" w14:paraId="7DAA53C5" w14:textId="1081184B">
            <w:pPr>
              <w:spacing w:line="360" w:lineRule="auto"/>
              <w:rPr>
                <w:rFonts w:ascii="Arial" w:hAnsi="Arial" w:eastAsia="Arial" w:cs="Arial"/>
                <w:b w:val="1"/>
                <w:bCs w:val="1"/>
                <w:sz w:val="22"/>
                <w:szCs w:val="22"/>
              </w:rPr>
            </w:pPr>
            <w:r w:rsidRPr="6E4B1D18" w:rsidR="7597A1A2">
              <w:rPr>
                <w:rFonts w:ascii="Arial" w:hAnsi="Arial" w:eastAsia="Arial" w:cs="Arial"/>
                <w:b w:val="1"/>
                <w:bCs w:val="1"/>
                <w:sz w:val="22"/>
                <w:szCs w:val="22"/>
              </w:rPr>
              <w:t xml:space="preserve">Adjacent innovation </w:t>
            </w:r>
          </w:p>
        </w:tc>
        <w:tc>
          <w:tcPr>
            <w:tcW w:w="2254" w:type="dxa"/>
            <w:tcMar/>
          </w:tcPr>
          <w:p w:rsidR="264F28C9" w:rsidP="6E4B1D18" w:rsidRDefault="264F28C9" w14:paraId="474780FF" w14:textId="1DC73543">
            <w:pPr>
              <w:spacing w:line="360" w:lineRule="auto"/>
              <w:rPr>
                <w:rFonts w:ascii="Arial" w:hAnsi="Arial" w:eastAsia="Arial" w:cs="Arial"/>
                <w:sz w:val="22"/>
                <w:szCs w:val="22"/>
              </w:rPr>
            </w:pPr>
            <w:r w:rsidRPr="6E4B1D18" w:rsidR="7597A1A2">
              <w:rPr>
                <w:rFonts w:ascii="Arial" w:hAnsi="Arial" w:eastAsia="Arial" w:cs="Arial"/>
                <w:sz w:val="22"/>
                <w:szCs w:val="22"/>
              </w:rPr>
              <w:t>Expansion into new channels/services</w:t>
            </w:r>
          </w:p>
        </w:tc>
        <w:tc>
          <w:tcPr>
            <w:tcW w:w="2254" w:type="dxa"/>
            <w:tcMar/>
          </w:tcPr>
          <w:p w:rsidR="30412B72" w:rsidP="6E4B1D18" w:rsidRDefault="30412B72" w14:paraId="7C25218D" w14:textId="19A6F18B">
            <w:pPr>
              <w:spacing w:line="360" w:lineRule="auto"/>
              <w:rPr>
                <w:rFonts w:ascii="Arial" w:hAnsi="Arial" w:eastAsia="Arial" w:cs="Arial"/>
                <w:sz w:val="22"/>
                <w:szCs w:val="22"/>
              </w:rPr>
            </w:pPr>
            <w:r w:rsidRPr="6E4B1D18" w:rsidR="6662D666">
              <w:rPr>
                <w:rFonts w:ascii="Arial" w:hAnsi="Arial" w:eastAsia="Arial" w:cs="Arial"/>
                <w:sz w:val="22"/>
                <w:szCs w:val="22"/>
              </w:rPr>
              <w:t xml:space="preserve">Click-and-collect, rapid delivery, Tesco bank integration </w:t>
            </w:r>
          </w:p>
        </w:tc>
        <w:tc>
          <w:tcPr>
            <w:tcW w:w="2254" w:type="dxa"/>
            <w:tcMar/>
          </w:tcPr>
          <w:p w:rsidR="0271EBEA" w:rsidP="6E4B1D18" w:rsidRDefault="0271EBEA" w14:paraId="73030390" w14:textId="0B35DFC9">
            <w:pPr>
              <w:spacing w:line="360" w:lineRule="auto"/>
              <w:rPr>
                <w:rFonts w:ascii="Arial" w:hAnsi="Arial" w:eastAsia="Arial" w:cs="Arial"/>
                <w:sz w:val="22"/>
                <w:szCs w:val="22"/>
              </w:rPr>
            </w:pPr>
            <w:r w:rsidRPr="6E4B1D18" w:rsidR="19FA6769">
              <w:rPr>
                <w:rFonts w:ascii="Arial" w:hAnsi="Arial" w:eastAsia="Arial" w:cs="Arial"/>
                <w:sz w:val="22"/>
                <w:szCs w:val="22"/>
              </w:rPr>
              <w:t xml:space="preserve">Revenue diversification, </w:t>
            </w:r>
            <w:r w:rsidRPr="6E4B1D18" w:rsidR="19FA6769">
              <w:rPr>
                <w:rFonts w:ascii="Arial" w:hAnsi="Arial" w:eastAsia="Arial" w:cs="Arial"/>
                <w:sz w:val="22"/>
                <w:szCs w:val="22"/>
              </w:rPr>
              <w:t>omnichannel</w:t>
            </w:r>
            <w:r w:rsidRPr="6E4B1D18" w:rsidR="19FA6769">
              <w:rPr>
                <w:rFonts w:ascii="Arial" w:hAnsi="Arial" w:eastAsia="Arial" w:cs="Arial"/>
                <w:sz w:val="22"/>
                <w:szCs w:val="22"/>
              </w:rPr>
              <w:t xml:space="preserve"> growth</w:t>
            </w:r>
          </w:p>
        </w:tc>
      </w:tr>
      <w:tr w:rsidR="69E4FEF2" w:rsidTr="6E4B1D18" w14:paraId="097221DC" w14:textId="77777777">
        <w:trPr>
          <w:trHeight w:val="300"/>
        </w:trPr>
        <w:tc>
          <w:tcPr>
            <w:tcW w:w="2254" w:type="dxa"/>
            <w:tcMar/>
          </w:tcPr>
          <w:p w:rsidR="264F28C9" w:rsidP="6E4B1D18" w:rsidRDefault="264F28C9" w14:paraId="614FF1DD" w14:textId="0C09F10E">
            <w:pPr>
              <w:spacing w:line="360" w:lineRule="auto"/>
              <w:rPr>
                <w:rFonts w:ascii="Arial" w:hAnsi="Arial" w:eastAsia="Arial" w:cs="Arial"/>
                <w:b w:val="1"/>
                <w:bCs w:val="1"/>
                <w:sz w:val="22"/>
                <w:szCs w:val="22"/>
              </w:rPr>
            </w:pPr>
            <w:r w:rsidRPr="6E4B1D18" w:rsidR="7597A1A2">
              <w:rPr>
                <w:rFonts w:ascii="Arial" w:hAnsi="Arial" w:eastAsia="Arial" w:cs="Arial"/>
                <w:b w:val="1"/>
                <w:bCs w:val="1"/>
                <w:sz w:val="22"/>
                <w:szCs w:val="22"/>
              </w:rPr>
              <w:t xml:space="preserve">Transformational innovation </w:t>
            </w:r>
          </w:p>
        </w:tc>
        <w:tc>
          <w:tcPr>
            <w:tcW w:w="2254" w:type="dxa"/>
            <w:tcMar/>
          </w:tcPr>
          <w:p w:rsidR="264F28C9" w:rsidP="6E4B1D18" w:rsidRDefault="264F28C9" w14:paraId="7041D2C4" w14:textId="3FE553C8">
            <w:pPr>
              <w:spacing w:line="360" w:lineRule="auto"/>
              <w:rPr>
                <w:rFonts w:ascii="Arial" w:hAnsi="Arial" w:eastAsia="Arial" w:cs="Arial"/>
                <w:sz w:val="22"/>
                <w:szCs w:val="22"/>
              </w:rPr>
            </w:pPr>
            <w:r w:rsidRPr="6E4B1D18" w:rsidR="7597A1A2">
              <w:rPr>
                <w:rFonts w:ascii="Arial" w:hAnsi="Arial" w:eastAsia="Arial" w:cs="Arial"/>
                <w:sz w:val="22"/>
                <w:szCs w:val="22"/>
              </w:rPr>
              <w:t xml:space="preserve">New data-driven business capabilities </w:t>
            </w:r>
          </w:p>
        </w:tc>
        <w:tc>
          <w:tcPr>
            <w:tcW w:w="2254" w:type="dxa"/>
            <w:tcMar/>
          </w:tcPr>
          <w:p w:rsidR="29E5514F" w:rsidP="6E4B1D18" w:rsidRDefault="29E5514F" w14:paraId="791B8CD0" w14:textId="400CBA25">
            <w:pPr>
              <w:spacing w:line="360" w:lineRule="auto"/>
              <w:rPr>
                <w:rFonts w:ascii="Arial" w:hAnsi="Arial" w:eastAsia="Arial" w:cs="Arial"/>
                <w:sz w:val="22"/>
                <w:szCs w:val="22"/>
              </w:rPr>
            </w:pPr>
            <w:r w:rsidRPr="6E4B1D18" w:rsidR="25309F06">
              <w:rPr>
                <w:rFonts w:ascii="Arial" w:hAnsi="Arial" w:eastAsia="Arial" w:cs="Arial"/>
                <w:sz w:val="22"/>
                <w:szCs w:val="22"/>
              </w:rPr>
              <w:t>AI personalisation, automated fulfilment centres, predictive analytics</w:t>
            </w:r>
          </w:p>
        </w:tc>
        <w:tc>
          <w:tcPr>
            <w:tcW w:w="2254" w:type="dxa"/>
            <w:tcMar/>
          </w:tcPr>
          <w:p w:rsidR="2250DB3D" w:rsidP="6E4B1D18" w:rsidRDefault="2250DB3D" w14:paraId="0E41EC0F" w14:textId="7D3A801B">
            <w:pPr>
              <w:spacing w:line="360" w:lineRule="auto"/>
              <w:rPr>
                <w:rFonts w:ascii="Arial" w:hAnsi="Arial" w:eastAsia="Arial" w:cs="Arial"/>
                <w:sz w:val="22"/>
                <w:szCs w:val="22"/>
              </w:rPr>
            </w:pPr>
            <w:r w:rsidRPr="6E4B1D18" w:rsidR="742F2B6B">
              <w:rPr>
                <w:rFonts w:ascii="Arial" w:hAnsi="Arial" w:eastAsia="Arial" w:cs="Arial"/>
                <w:sz w:val="22"/>
                <w:szCs w:val="22"/>
              </w:rPr>
              <w:t>Long-term competitive advantage</w:t>
            </w:r>
          </w:p>
        </w:tc>
      </w:tr>
    </w:tbl>
    <w:p w:rsidR="6E4B1D18" w:rsidP="6E4B1D18" w:rsidRDefault="6E4B1D18" w14:paraId="11F40F0F" w14:textId="2BD71549">
      <w:pPr>
        <w:spacing w:beforeAutospacing="on" w:afterAutospacing="on" w:line="360" w:lineRule="auto"/>
        <w:rPr>
          <w:rFonts w:ascii="Arial" w:hAnsi="Arial" w:eastAsia="Arial" w:cs="Arial"/>
          <w:b w:val="1"/>
          <w:bCs w:val="1"/>
          <w:sz w:val="22"/>
          <w:szCs w:val="22"/>
        </w:rPr>
      </w:pPr>
    </w:p>
    <w:p w:rsidRPr="00385E69" w:rsidR="00385E69" w:rsidP="69E4FEF2" w:rsidRDefault="6DEAB48F" w14:paraId="19CABD98" w14:textId="0B7F9550">
      <w:pPr>
        <w:spacing w:before="100" w:beforeAutospacing="1" w:after="100" w:afterAutospacing="1" w:line="360" w:lineRule="auto"/>
        <w:rPr>
          <w:rFonts w:ascii="Arial" w:hAnsi="Arial" w:eastAsia="Arial" w:cs="Arial"/>
          <w:b/>
          <w:bCs/>
          <w:sz w:val="22"/>
          <w:szCs w:val="22"/>
        </w:rPr>
      </w:pPr>
      <w:r w:rsidRPr="69E4FEF2">
        <w:rPr>
          <w:rFonts w:ascii="Arial" w:hAnsi="Arial" w:eastAsia="Arial" w:cs="Arial"/>
          <w:b/>
          <w:bCs/>
          <w:sz w:val="22"/>
          <w:szCs w:val="22"/>
        </w:rPr>
        <w:t>Critical analysis:</w:t>
      </w:r>
    </w:p>
    <w:p w:rsidR="00D24D2A" w:rsidP="7258F25A" w:rsidRDefault="00D24D2A" w14:paraId="53802F92" w14:textId="3D1A3AC6">
      <w:pPr>
        <w:pStyle w:val="p1"/>
        <w:spacing w:line="360" w:lineRule="auto"/>
        <w:rPr>
          <w:rStyle w:val="s2"/>
          <w:rFonts w:ascii="Arial" w:hAnsi="Arial" w:eastAsia="Arial" w:cs="Arial"/>
          <w:sz w:val="22"/>
          <w:szCs w:val="22"/>
        </w:rPr>
      </w:pPr>
      <w:r w:rsidRPr="7258F25A">
        <w:rPr>
          <w:rStyle w:val="s1"/>
          <w:rFonts w:ascii="Arial" w:hAnsi="Arial" w:eastAsia="Arial" w:cs="Arial"/>
          <w:b/>
          <w:sz w:val="22"/>
          <w:szCs w:val="22"/>
        </w:rPr>
        <w:t>Core innovation</w:t>
      </w:r>
      <w:r w:rsidRPr="7258F25A">
        <w:rPr>
          <w:rStyle w:val="s2"/>
          <w:rFonts w:ascii="Arial" w:hAnsi="Arial" w:eastAsia="Arial" w:cs="Arial"/>
          <w:sz w:val="22"/>
          <w:szCs w:val="22"/>
        </w:rPr>
        <w:t xml:space="preserve"> dominates Tesco’s portfolio. In a low-margin grocery sector, incremental improvements such as reducing checkout times or improving stock accuracy have immediate financial impact. Research suggests that in mature industries, core innovation provides stability and protects margins (Porter, 2008).</w:t>
      </w:r>
    </w:p>
    <w:p w:rsidR="00D24D2A" w:rsidP="7258F25A" w:rsidRDefault="00D24D2A" w14:paraId="6363AF87" w14:textId="360E75C2">
      <w:pPr>
        <w:pStyle w:val="p1"/>
        <w:spacing w:line="360" w:lineRule="auto"/>
        <w:rPr>
          <w:rStyle w:val="s2"/>
          <w:rFonts w:ascii="Arial" w:hAnsi="Arial" w:eastAsia="Arial" w:cs="Arial"/>
          <w:sz w:val="22"/>
          <w:szCs w:val="22"/>
        </w:rPr>
      </w:pPr>
      <w:r w:rsidRPr="7258F25A">
        <w:rPr>
          <w:rStyle w:val="s1"/>
          <w:rFonts w:ascii="Arial" w:hAnsi="Arial" w:eastAsia="Arial" w:cs="Arial"/>
          <w:b/>
          <w:sz w:val="22"/>
          <w:szCs w:val="22"/>
        </w:rPr>
        <w:t>Adjacent innovation</w:t>
      </w:r>
      <w:r w:rsidRPr="7258F25A">
        <w:rPr>
          <w:rStyle w:val="s2"/>
          <w:rFonts w:ascii="Arial" w:hAnsi="Arial" w:eastAsia="Arial" w:cs="Arial"/>
          <w:sz w:val="22"/>
          <w:szCs w:val="22"/>
        </w:rPr>
        <w:t xml:space="preserve"> allows Tesco to leverage its infrastructure. Services like rapid delivery extend existing capabilities rather than replacing them. This reduces risk while capturing new customer behaviours such as convenience-led shopping (Rogers, 2016).</w:t>
      </w:r>
    </w:p>
    <w:p w:rsidR="00D24D2A" w:rsidP="7258F25A" w:rsidRDefault="00D24D2A" w14:paraId="1362C69A" w14:textId="7A500521">
      <w:pPr>
        <w:pStyle w:val="p1"/>
        <w:spacing w:line="360" w:lineRule="auto"/>
        <w:rPr>
          <w:rStyle w:val="s2"/>
          <w:rFonts w:ascii="Arial" w:hAnsi="Arial" w:eastAsia="Arial" w:cs="Arial"/>
          <w:sz w:val="22"/>
          <w:szCs w:val="22"/>
        </w:rPr>
      </w:pPr>
      <w:r w:rsidRPr="7258F25A">
        <w:rPr>
          <w:rStyle w:val="s1"/>
          <w:rFonts w:ascii="Arial" w:hAnsi="Arial" w:eastAsia="Arial" w:cs="Arial"/>
          <w:b/>
          <w:sz w:val="22"/>
          <w:szCs w:val="22"/>
        </w:rPr>
        <w:t>Transformational innovation</w:t>
      </w:r>
      <w:r w:rsidRPr="7258F25A">
        <w:rPr>
          <w:rStyle w:val="s2"/>
          <w:rFonts w:ascii="Arial" w:hAnsi="Arial" w:eastAsia="Arial" w:cs="Arial"/>
          <w:sz w:val="22"/>
          <w:szCs w:val="22"/>
        </w:rPr>
        <w:t xml:space="preserve"> is increasingly data</w:t>
      </w:r>
      <w:r w:rsidRPr="7258F25A" w:rsidR="6B614CB4">
        <w:rPr>
          <w:rStyle w:val="s2"/>
          <w:rFonts w:ascii="Arial" w:hAnsi="Arial" w:eastAsia="Arial" w:cs="Arial"/>
          <w:sz w:val="22"/>
          <w:szCs w:val="22"/>
        </w:rPr>
        <w:t xml:space="preserve"> </w:t>
      </w:r>
      <w:r w:rsidRPr="7258F25A">
        <w:rPr>
          <w:rStyle w:val="s2"/>
          <w:rFonts w:ascii="Arial" w:hAnsi="Arial" w:eastAsia="Arial" w:cs="Arial"/>
          <w:sz w:val="22"/>
          <w:szCs w:val="22"/>
        </w:rPr>
        <w:t xml:space="preserve">driven. Tesco’s </w:t>
      </w:r>
      <w:proofErr w:type="spellStart"/>
      <w:r w:rsidRPr="7258F25A">
        <w:rPr>
          <w:rStyle w:val="s2"/>
          <w:rFonts w:ascii="Arial" w:hAnsi="Arial" w:eastAsia="Arial" w:cs="Arial"/>
          <w:sz w:val="22"/>
          <w:szCs w:val="22"/>
        </w:rPr>
        <w:t>Clubcard</w:t>
      </w:r>
      <w:proofErr w:type="spellEnd"/>
      <w:r w:rsidRPr="7258F25A">
        <w:rPr>
          <w:rStyle w:val="s2"/>
          <w:rFonts w:ascii="Arial" w:hAnsi="Arial" w:eastAsia="Arial" w:cs="Arial"/>
          <w:sz w:val="22"/>
          <w:szCs w:val="22"/>
        </w:rPr>
        <w:t xml:space="preserve"> generates vast customer data, enabling predictive analytics and personalised pricing. However, transformational initiatives require strong governance and integration across departments to succeed (</w:t>
      </w:r>
      <w:proofErr w:type="spellStart"/>
      <w:r w:rsidRPr="7258F25A">
        <w:rPr>
          <w:rStyle w:val="s2"/>
          <w:rFonts w:ascii="Arial" w:hAnsi="Arial" w:eastAsia="Arial" w:cs="Arial"/>
          <w:sz w:val="22"/>
          <w:szCs w:val="22"/>
        </w:rPr>
        <w:t>Westerman</w:t>
      </w:r>
      <w:proofErr w:type="spellEnd"/>
      <w:r w:rsidRPr="7258F25A">
        <w:rPr>
          <w:rStyle w:val="s2"/>
          <w:rFonts w:ascii="Arial" w:hAnsi="Arial" w:eastAsia="Arial" w:cs="Arial"/>
          <w:sz w:val="22"/>
          <w:szCs w:val="22"/>
        </w:rPr>
        <w:t>, Bonnet and McAfee, 2014).</w:t>
      </w:r>
    </w:p>
    <w:p w:rsidR="69E4FEF2" w:rsidP="7DB61FED" w:rsidRDefault="69E4FEF2" w14:paraId="6ABF761E" w14:textId="4647F0DF">
      <w:pPr>
        <w:pStyle w:val="p1"/>
        <w:spacing w:beforeAutospacing="1" w:afterAutospacing="1" w:line="360" w:lineRule="auto"/>
        <w:rPr>
          <w:rStyle w:val="s2"/>
          <w:rFonts w:ascii="Arial" w:hAnsi="Arial" w:eastAsia="Arial" w:cs="Arial"/>
          <w:sz w:val="22"/>
          <w:szCs w:val="22"/>
        </w:rPr>
      </w:pPr>
      <w:r w:rsidRPr="7DB61FED" w:rsidR="00D24D2A">
        <w:rPr>
          <w:rStyle w:val="s2"/>
          <w:rFonts w:ascii="Arial" w:hAnsi="Arial" w:eastAsia="Arial" w:cs="Arial"/>
          <w:sz w:val="22"/>
          <w:szCs w:val="22"/>
        </w:rPr>
        <w:t xml:space="preserve">Overall, Tesco shows a </w:t>
      </w:r>
      <w:r w:rsidRPr="7DB61FED" w:rsidR="00D24D2A">
        <w:rPr>
          <w:rStyle w:val="s2"/>
          <w:rFonts w:ascii="Arial" w:hAnsi="Arial" w:eastAsia="Arial" w:cs="Arial"/>
          <w:sz w:val="22"/>
          <w:szCs w:val="22"/>
        </w:rPr>
        <w:t>relatively balanced</w:t>
      </w:r>
      <w:r w:rsidRPr="7DB61FED" w:rsidR="00D24D2A">
        <w:rPr>
          <w:rStyle w:val="s2"/>
          <w:rFonts w:ascii="Arial" w:hAnsi="Arial" w:eastAsia="Arial" w:cs="Arial"/>
          <w:sz w:val="22"/>
          <w:szCs w:val="22"/>
        </w:rPr>
        <w:t xml:space="preserve"> innovation portfolio, but transformational capabilities present the greatest opportunity for differentiation.</w:t>
      </w:r>
    </w:p>
    <w:p w:rsidR="7258F25A" w:rsidP="7258F25A" w:rsidRDefault="7258F25A" w14:paraId="6530DE16" w14:textId="4D2693A0">
      <w:pPr>
        <w:spacing w:beforeAutospacing="1" w:afterAutospacing="1" w:line="360" w:lineRule="auto"/>
        <w:rPr>
          <w:rFonts w:ascii="Arial" w:hAnsi="Arial" w:eastAsia="Arial" w:cs="Arial"/>
          <w:b/>
          <w:bCs/>
          <w:sz w:val="22"/>
          <w:szCs w:val="22"/>
        </w:rPr>
      </w:pPr>
    </w:p>
    <w:p w:rsidRPr="00385E69" w:rsidR="00385E69" w:rsidP="6E4B1D18" w:rsidRDefault="00385E69" w14:textId="77777777" w14:paraId="38C90D35">
      <w:pPr>
        <w:spacing w:before="100" w:beforeAutospacing="on" w:after="100" w:afterAutospacing="on" w:line="360" w:lineRule="auto"/>
        <w:outlineLvl w:val="3"/>
        <w:rPr>
          <w:rFonts w:ascii="Arial" w:hAnsi="Arial" w:eastAsia="Arial" w:cs="Arial"/>
          <w:b w:val="1"/>
          <w:bCs w:val="1"/>
          <w:sz w:val="22"/>
          <w:szCs w:val="22"/>
        </w:rPr>
      </w:pPr>
      <w:bookmarkStart w:name="_Toc315159251" w:id="2"/>
      <w:r w:rsidRPr="4EE5807E" w:rsidR="00385E69">
        <w:rPr>
          <w:rFonts w:ascii="Arial" w:hAnsi="Arial" w:eastAsia="Arial" w:cs="Arial"/>
          <w:b w:val="1"/>
          <w:bCs w:val="1"/>
          <w:kern w:val="0"/>
          <w:sz w:val="22"/>
          <w:szCs w:val="22"/>
          <w14:ligatures w14:val="none"/>
        </w:rPr>
        <w:t>3.2 Customer journey mapping: current state</w:t>
      </w:r>
      <w:bookmarkEnd w:id="2"/>
    </w:p>
    <w:p w:rsidRPr="00385E69" w:rsidR="00385E69" w:rsidP="4EE5807E" w:rsidRDefault="00385E69" w14:paraId="098E53AD" w14:textId="726A6C97">
      <w:p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 xml:space="preserve">Customer journey mapping identifies how customers interact with Tesco across stages, </w:t>
      </w:r>
      <w:proofErr w:type="spellStart"/>
      <w:r w:rsidRPr="4EE5807E">
        <w:rPr>
          <w:rFonts w:ascii="Arial" w:hAnsi="Arial" w:eastAsia="Arial" w:cs="Arial"/>
          <w:kern w:val="0"/>
          <w:sz w:val="22"/>
          <w:szCs w:val="22"/>
          <w14:ligatures w14:val="none"/>
        </w:rPr>
        <w:t>touchpoints</w:t>
      </w:r>
      <w:proofErr w:type="spellEnd"/>
      <w:r w:rsidRPr="4EE5807E">
        <w:rPr>
          <w:rFonts w:ascii="Arial" w:hAnsi="Arial" w:eastAsia="Arial" w:cs="Arial"/>
          <w:kern w:val="0"/>
          <w:sz w:val="22"/>
          <w:szCs w:val="22"/>
          <w14:ligatures w14:val="none"/>
        </w:rPr>
        <w:t xml:space="preserve"> and emotions. The journey differs by channel, but a unified view helps prioritise improvements that matter across in-store and online experiences.</w:t>
      </w:r>
    </w:p>
    <w:p w:rsidRPr="00385E69" w:rsidR="00385E69" w:rsidP="6E4B1D18" w:rsidRDefault="00385E69" w14:textId="3BDD348E" w14:paraId="2CD3F902">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Stage 1: Need recognition and planning. Customers </w:t>
      </w:r>
      <w:r w:rsidRPr="4EE5807E" w:rsidR="00385E69">
        <w:rPr>
          <w:rFonts w:ascii="Arial" w:hAnsi="Arial" w:eastAsia="Arial" w:cs="Arial"/>
          <w:kern w:val="0"/>
          <w:sz w:val="22"/>
          <w:szCs w:val="22"/>
          <w14:ligatures w14:val="none"/>
        </w:rPr>
        <w:t xml:space="preserve">identify</w:t>
      </w:r>
      <w:r w:rsidRPr="4EE5807E" w:rsidR="00385E69">
        <w:rPr>
          <w:rFonts w:ascii="Arial" w:hAnsi="Arial" w:eastAsia="Arial" w:cs="Arial"/>
          <w:kern w:val="0"/>
          <w:sz w:val="22"/>
          <w:szCs w:val="22"/>
          <w14:ligatures w14:val="none"/>
        </w:rPr>
        <w:t xml:space="preserve"> household needs, set </w:t>
      </w:r>
      <w:r w:rsidRPr="4EE5807E" w:rsidR="00385E69">
        <w:rPr>
          <w:rFonts w:ascii="Arial" w:hAnsi="Arial" w:eastAsia="Arial" w:cs="Arial"/>
          <w:kern w:val="0"/>
          <w:sz w:val="22"/>
          <w:szCs w:val="22"/>
          <w14:ligatures w14:val="none"/>
        </w:rPr>
        <w:t xml:space="preserve">budgets</w:t>
      </w:r>
      <w:r w:rsidRPr="4EE5807E" w:rsidR="00385E69">
        <w:rPr>
          <w:rFonts w:ascii="Arial" w:hAnsi="Arial" w:eastAsia="Arial" w:cs="Arial"/>
          <w:kern w:val="0"/>
          <w:sz w:val="22"/>
          <w:szCs w:val="22"/>
          <w14:ligatures w14:val="none"/>
        </w:rPr>
        <w:t xml:space="preserve"> and decide where to shop. </w:t>
      </w:r>
      <w:r w:rsidRPr="4EE5807E" w:rsidR="00385E69">
        <w:rPr>
          <w:rFonts w:ascii="Arial" w:hAnsi="Arial" w:eastAsia="Arial" w:cs="Arial"/>
          <w:kern w:val="0"/>
          <w:sz w:val="22"/>
          <w:szCs w:val="22"/>
          <w14:ligatures w14:val="none"/>
        </w:rPr>
        <w:t>Touchpoints</w:t>
      </w:r>
      <w:r w:rsidRPr="4EE5807E" w:rsidR="00385E69">
        <w:rPr>
          <w:rFonts w:ascii="Arial" w:hAnsi="Arial" w:eastAsia="Arial" w:cs="Arial"/>
          <w:kern w:val="0"/>
          <w:sz w:val="22"/>
          <w:szCs w:val="22"/>
          <w14:ligatures w14:val="none"/>
        </w:rPr>
        <w:t xml:space="preserve"> include the Tesco app, email and app notifications, physical leaflets, social media, and in-store signage. A common pain point is cognitive load: customers face many offers, price </w:t>
      </w:r>
      <w:r w:rsidRPr="4EE5807E" w:rsidR="00385E69">
        <w:rPr>
          <w:rFonts w:ascii="Arial" w:hAnsi="Arial" w:eastAsia="Arial" w:cs="Arial"/>
          <w:kern w:val="0"/>
          <w:sz w:val="22"/>
          <w:szCs w:val="22"/>
          <w14:ligatures w14:val="none"/>
        </w:rPr>
        <w:t xml:space="preserve">mechanisms</w:t>
      </w:r>
      <w:r w:rsidRPr="4EE5807E" w:rsidR="00385E69">
        <w:rPr>
          <w:rFonts w:ascii="Arial" w:hAnsi="Arial" w:eastAsia="Arial" w:cs="Arial"/>
          <w:kern w:val="0"/>
          <w:sz w:val="22"/>
          <w:szCs w:val="22"/>
          <w14:ligatures w14:val="none"/>
        </w:rPr>
        <w:t xml:space="preserve"> and product choices. Some shoppers also struggle to estimate the final basket total while planning, especially when “</w:t>
      </w:r>
      <w:r w:rsidRPr="4EE5807E" w:rsidR="00385E69">
        <w:rPr>
          <w:rFonts w:ascii="Arial" w:hAnsi="Arial" w:eastAsia="Arial" w:cs="Arial"/>
          <w:kern w:val="0"/>
          <w:sz w:val="22"/>
          <w:szCs w:val="22"/>
          <w14:ligatures w14:val="none"/>
        </w:rPr>
        <w:t>Clubcard</w:t>
      </w:r>
      <w:r w:rsidRPr="4EE5807E" w:rsidR="00385E69">
        <w:rPr>
          <w:rFonts w:ascii="Arial" w:hAnsi="Arial" w:eastAsia="Arial" w:cs="Arial"/>
          <w:kern w:val="0"/>
          <w:sz w:val="22"/>
          <w:szCs w:val="22"/>
          <w14:ligatures w14:val="none"/>
        </w:rPr>
        <w:t xml:space="preserve"> Price” discounts apply selectively. If planning feels uncertain, customers may reduce basket size or switch to a retailer perceived as simpler.</w:t>
      </w:r>
    </w:p>
    <w:p w:rsidRPr="00385E69" w:rsidR="00385E69" w:rsidP="6E4B1D18" w:rsidRDefault="00385E69" w14:textId="098B196F" w14:paraId="4BD4BD59">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Stage 2: Search and consideration. Customers browse categories, compare prices, and check availability. Online, search relevance, filtering and sorting are critical; in-store, signage, shelf </w:t>
      </w:r>
      <w:r w:rsidRPr="4EE5807E" w:rsidR="00385E69">
        <w:rPr>
          <w:rFonts w:ascii="Arial" w:hAnsi="Arial" w:eastAsia="Arial" w:cs="Arial"/>
          <w:kern w:val="0"/>
          <w:sz w:val="22"/>
          <w:szCs w:val="22"/>
          <w14:ligatures w14:val="none"/>
        </w:rPr>
        <w:t>layout</w:t>
      </w:r>
      <w:r w:rsidRPr="4EE5807E" w:rsidR="00385E69">
        <w:rPr>
          <w:rFonts w:ascii="Arial" w:hAnsi="Arial" w:eastAsia="Arial" w:cs="Arial"/>
          <w:kern w:val="0"/>
          <w:sz w:val="22"/>
          <w:szCs w:val="22"/>
          <w14:ligatures w14:val="none"/>
        </w:rPr>
        <w:t xml:space="preserve"> and staff visibility matter. Pain points include poor visibility of </w:t>
      </w:r>
      <w:r w:rsidRPr="4EE5807E" w:rsidR="00385E69">
        <w:rPr>
          <w:rFonts w:ascii="Arial" w:hAnsi="Arial" w:eastAsia="Arial" w:cs="Arial"/>
          <w:kern w:val="0"/>
          <w:sz w:val="22"/>
          <w:szCs w:val="22"/>
          <w14:ligatures w14:val="none"/>
        </w:rPr>
        <w:t>likely stock-outs</w:t>
      </w:r>
      <w:r w:rsidRPr="4EE5807E" w:rsidR="00385E69">
        <w:rPr>
          <w:rFonts w:ascii="Arial" w:hAnsi="Arial" w:eastAsia="Arial" w:cs="Arial"/>
          <w:kern w:val="0"/>
          <w:sz w:val="22"/>
          <w:szCs w:val="22"/>
          <w14:ligatures w14:val="none"/>
        </w:rPr>
        <w:t>, uncertainty about substitution outcomes, and difficulty comparing value across pack sizes. For loyalty-linked deals, customers may not understand why certain offers appear or disappear, which can create frustration.</w:t>
      </w:r>
    </w:p>
    <w:p w:rsidRPr="00385E69" w:rsidR="00385E69" w:rsidP="6E4B1D18" w:rsidRDefault="00385E69" w14:textId="6BB47762" w14:paraId="08AB4131">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Stage 3: Purchase and fulfilment. Customers either shop in store, place an online delivery order, or use click-and-collect. In-store, queueing, </w:t>
      </w:r>
      <w:r w:rsidRPr="4EE5807E" w:rsidR="00385E69">
        <w:rPr>
          <w:rFonts w:ascii="Arial" w:hAnsi="Arial" w:eastAsia="Arial" w:cs="Arial"/>
          <w:kern w:val="0"/>
          <w:sz w:val="22"/>
          <w:szCs w:val="22"/>
          <w14:ligatures w14:val="none"/>
        </w:rPr>
        <w:t>locating</w:t>
      </w:r>
      <w:r w:rsidRPr="4EE5807E" w:rsidR="00385E69">
        <w:rPr>
          <w:rFonts w:ascii="Arial" w:hAnsi="Arial" w:eastAsia="Arial" w:cs="Arial"/>
          <w:kern w:val="0"/>
          <w:sz w:val="22"/>
          <w:szCs w:val="22"/>
          <w14:ligatures w14:val="none"/>
        </w:rPr>
        <w:t xml:space="preserve"> items, and checkout speed shape </w:t>
      </w:r>
      <w:r w:rsidRPr="4EE5807E" w:rsidR="00385E69">
        <w:rPr>
          <w:rFonts w:ascii="Arial" w:hAnsi="Arial" w:eastAsia="Arial" w:cs="Arial"/>
          <w:kern w:val="0"/>
          <w:sz w:val="22"/>
          <w:szCs w:val="22"/>
          <w14:ligatures w14:val="none"/>
        </w:rPr>
        <w:t>perceptions</w:t>
      </w:r>
      <w:r w:rsidRPr="4EE5807E" w:rsidR="00385E69">
        <w:rPr>
          <w:rFonts w:ascii="Arial" w:hAnsi="Arial" w:eastAsia="Arial" w:cs="Arial"/>
          <w:kern w:val="0"/>
          <w:sz w:val="22"/>
          <w:szCs w:val="22"/>
          <w14:ligatures w14:val="none"/>
        </w:rPr>
        <w:t>. Online, slot availability, picking accuracy, substitution quality and delivery punctuality dominate. Substitutions are especially important: customers may accept substitutes when they are similar and communicated well, but reject them when they are inappropriate, expensive or contradict preferences. Operationally, poor substitution handling increases refunds and complaints.</w:t>
      </w:r>
    </w:p>
    <w:p w:rsidRPr="00385E69" w:rsidR="00385E69" w:rsidP="6E4B1D18" w:rsidRDefault="00385E69" w14:textId="0A2B0317" w14:paraId="30EBD321">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Stage 4: Consumption and evaluation. Customers judge product quality, </w:t>
      </w:r>
      <w:r w:rsidRPr="4EE5807E" w:rsidR="00385E69">
        <w:rPr>
          <w:rFonts w:ascii="Arial" w:hAnsi="Arial" w:eastAsia="Arial" w:cs="Arial"/>
          <w:kern w:val="0"/>
          <w:sz w:val="22"/>
          <w:szCs w:val="22"/>
          <w14:ligatures w14:val="none"/>
        </w:rPr>
        <w:t>freshness</w:t>
      </w:r>
      <w:r w:rsidRPr="4EE5807E" w:rsidR="00385E69">
        <w:rPr>
          <w:rFonts w:ascii="Arial" w:hAnsi="Arial" w:eastAsia="Arial" w:cs="Arial"/>
          <w:kern w:val="0"/>
          <w:sz w:val="22"/>
          <w:szCs w:val="22"/>
          <w14:ligatures w14:val="none"/>
        </w:rPr>
        <w:t xml:space="preserve"> and value once they use items at home. If something is wrong, the cause may be operational rather than product-based, but the emotional impact is similar. Customers also evaluate the usefulness of offers retroactively, asking whether Tesco helped them save money or added complexity.</w:t>
      </w:r>
    </w:p>
    <w:p w:rsidRPr="00385E69" w:rsidR="00385E69" w:rsidP="6E4B1D18" w:rsidRDefault="00385E69" w14:textId="4231BBB4" w14:paraId="6C1D679B">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Stage 5: Post-purchase support and loyalty. Customers request refunds, report issues, rate substitutions and receive loyalty offers. Pain points include slow resolution, inconsistent experiences across channels, and limited proactive communication. Service research shows that effective service recovery can restore trust, but poor recovery increases churn risk (Tax, </w:t>
      </w:r>
      <w:r w:rsidRPr="4EE5807E" w:rsidR="00385E69">
        <w:rPr>
          <w:rFonts w:ascii="Arial" w:hAnsi="Arial" w:eastAsia="Arial" w:cs="Arial"/>
          <w:kern w:val="0"/>
          <w:sz w:val="22"/>
          <w:szCs w:val="22"/>
          <w14:ligatures w14:val="none"/>
        </w:rPr>
        <w:t xml:space="preserve">Brown</w:t>
      </w:r>
      <w:r w:rsidRPr="4EE5807E" w:rsidR="00385E69">
        <w:rPr>
          <w:rFonts w:ascii="Arial" w:hAnsi="Arial" w:eastAsia="Arial" w:cs="Arial"/>
          <w:kern w:val="0"/>
          <w:sz w:val="22"/>
          <w:szCs w:val="22"/>
          <w14:ligatures w14:val="none"/>
        </w:rPr>
        <w:t xml:space="preserve"> and </w:t>
      </w:r>
      <w:r w:rsidRPr="4EE5807E" w:rsidR="00385E69">
        <w:rPr>
          <w:rFonts w:ascii="Arial" w:hAnsi="Arial" w:eastAsia="Arial" w:cs="Arial"/>
          <w:kern w:val="0"/>
          <w:sz w:val="22"/>
          <w:szCs w:val="22"/>
          <w14:ligatures w14:val="none"/>
        </w:rPr>
        <w:t>Chandrashekaran</w:t>
      </w:r>
      <w:r w:rsidRPr="4EE5807E" w:rsidR="00385E69">
        <w:rPr>
          <w:rFonts w:ascii="Arial" w:hAnsi="Arial" w:eastAsia="Arial" w:cs="Arial"/>
          <w:kern w:val="0"/>
          <w:sz w:val="22"/>
          <w:szCs w:val="22"/>
          <w14:ligatures w14:val="none"/>
        </w:rPr>
        <w:t>, 1998).</w:t>
      </w:r>
    </w:p>
    <w:p w:rsidRPr="00385E69" w:rsidR="00385E69" w:rsidP="6E4B1D18" w:rsidRDefault="00385E69" w14:paraId="6E7913BB" w14:textId="77777777">
      <w:pPr>
        <w:spacing w:before="100" w:beforeAutospacing="on" w:after="100" w:afterAutospacing="on" w:line="360" w:lineRule="auto"/>
        <w:rPr>
          <w:rFonts w:ascii="Arial" w:hAnsi="Arial" w:eastAsia="Arial" w:cs="Arial"/>
          <w:kern w:val="0"/>
          <w:sz w:val="22"/>
          <w:szCs w:val="22"/>
          <w14:ligatures w14:val="none"/>
        </w:rPr>
      </w:pPr>
      <w:r w:rsidRPr="4EE5807E" w:rsidR="00385E69">
        <w:rPr>
          <w:rFonts w:ascii="Arial" w:hAnsi="Arial" w:eastAsia="Arial" w:cs="Arial"/>
          <w:kern w:val="0"/>
          <w:sz w:val="22"/>
          <w:szCs w:val="22"/>
          <w14:ligatures w14:val="none"/>
        </w:rPr>
        <w:t xml:space="preserve">Synthesising the journey, Tesco’s main friction points cluster around (a) planning with confidence about budget and value, (b) substitutions and availability transparency, and (c) fast, fair service recovery. These points are suited to digital intervention because they depend on real-time data, preference </w:t>
      </w:r>
      <w:r w:rsidRPr="4EE5807E" w:rsidR="00385E69">
        <w:rPr>
          <w:rFonts w:ascii="Arial" w:hAnsi="Arial" w:eastAsia="Arial" w:cs="Arial"/>
          <w:kern w:val="0"/>
          <w:sz w:val="22"/>
          <w:szCs w:val="22"/>
          <w14:ligatures w14:val="none"/>
        </w:rPr>
        <w:t>management</w:t>
      </w:r>
      <w:r w:rsidRPr="4EE5807E" w:rsidR="00385E69">
        <w:rPr>
          <w:rFonts w:ascii="Arial" w:hAnsi="Arial" w:eastAsia="Arial" w:cs="Arial"/>
          <w:kern w:val="0"/>
          <w:sz w:val="22"/>
          <w:szCs w:val="22"/>
          <w14:ligatures w14:val="none"/>
        </w:rPr>
        <w:t xml:space="preserve"> and automation.</w:t>
      </w:r>
    </w:p>
    <w:p w:rsidR="6E4B1D18" w:rsidP="6E4B1D18" w:rsidRDefault="6E4B1D18" w14:paraId="32D545C3" w14:textId="1FFD4CB1">
      <w:pPr>
        <w:spacing w:beforeAutospacing="on" w:afterAutospacing="on" w:line="360" w:lineRule="auto"/>
        <w:rPr>
          <w:rFonts w:ascii="Arial" w:hAnsi="Arial" w:eastAsia="Arial" w:cs="Arial"/>
          <w:sz w:val="22"/>
          <w:szCs w:val="22"/>
        </w:rPr>
      </w:pPr>
    </w:p>
    <w:tbl>
      <w:tblPr>
        <w:tblStyle w:val="PlainTable4"/>
        <w:tblW w:w="9154" w:type="dxa"/>
        <w:tblCellSpacing w:w="15" w:type="dxa"/>
        <w:tblCellMar>
          <w:top w:w="15" w:type="dxa"/>
          <w:left w:w="15" w:type="dxa"/>
          <w:bottom w:w="15" w:type="dxa"/>
          <w:right w:w="15" w:type="dxa"/>
        </w:tblCellMar>
        <w:tblLook w:val="06A0" w:firstRow="1" w:lastRow="0" w:firstColumn="1" w:lastColumn="0" w:noHBand="1" w:noVBand="1"/>
      </w:tblPr>
      <w:tblGrid>
        <w:gridCol w:w="1542"/>
        <w:gridCol w:w="1947"/>
        <w:gridCol w:w="2026"/>
        <w:gridCol w:w="1882"/>
        <w:gridCol w:w="1757"/>
      </w:tblGrid>
      <w:tr w:rsidRPr="00852C4A" w:rsidR="00852C4A" w:rsidTr="6E4B1D18" w14:paraId="4A827107" w14:textId="77777777">
        <w:trPr>
          <w:cnfStyle w:val="100000000000" w:firstRow="1" w:lastRow="0" w:firstColumn="0" w:lastColumn="0" w:oddVBand="0" w:evenVBand="0" w:oddHBand="0" w:evenHBand="0" w:firstRowFirstColumn="0" w:firstRowLastColumn="0" w:lastRowFirstColumn="0" w:lastRowLastColumn="0"/>
          <w:tblHeader/>
          <w:tblCellSpacing w:w="15" w:type="dxa"/>
        </w:trPr>
        <w:tc>
          <w:tcPr>
            <w:cnfStyle w:val="001000000000" w:firstRow="0" w:lastRow="0" w:firstColumn="1" w:lastColumn="0" w:oddVBand="0" w:evenVBand="0" w:oddHBand="0" w:evenHBand="0" w:firstRowFirstColumn="0" w:firstRowLastColumn="0" w:lastRowFirstColumn="0" w:lastRowLastColumn="0"/>
            <w:tcW w:w="1511" w:type="dxa"/>
            <w:shd w:val="clear" w:color="auto" w:fill="F2F2F2" w:themeFill="background1" w:themeFillShade="F2"/>
            <w:tcMar/>
            <w:vAlign w:val="center"/>
            <w:hideMark/>
          </w:tcPr>
          <w:p w:rsidRPr="00852C4A" w:rsidR="00852C4A" w:rsidP="6E4B1D18" w:rsidRDefault="1A299CFB" w14:paraId="3F033F0A" w14:textId="77777777">
            <w:pPr>
              <w:spacing w:before="100" w:beforeAutospacing="on" w:after="100" w:afterAutospacing="on" w:line="360" w:lineRule="auto"/>
              <w:jc w:val="center"/>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Stage</w:t>
            </w:r>
          </w:p>
        </w:tc>
        <w:tc>
          <w:tcPr>
            <w:cnfStyle w:val="000000000000" w:firstRow="0" w:lastRow="0" w:firstColumn="0" w:lastColumn="0" w:oddVBand="0" w:evenVBand="0" w:oddHBand="0" w:evenHBand="0" w:firstRowFirstColumn="0" w:firstRowLastColumn="0" w:lastRowFirstColumn="0" w:lastRowLastColumn="0"/>
            <w:tcW w:w="1977" w:type="dxa"/>
            <w:shd w:val="clear" w:color="auto" w:fill="F2F2F2" w:themeFill="background1" w:themeFillShade="F2"/>
            <w:tcMar/>
            <w:vAlign w:val="center"/>
            <w:hideMark/>
          </w:tcPr>
          <w:p w:rsidRPr="00852C4A" w:rsidR="00852C4A" w:rsidP="6E4B1D18" w:rsidRDefault="1A299CFB" w14:paraId="7A96381F" w14:textId="77777777">
            <w:pPr>
              <w:spacing w:before="100" w:beforeAutospacing="on" w:after="100" w:afterAutospacing="on"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kern w:val="0"/>
                <w:sz w:val="22"/>
                <w:szCs w:val="22"/>
                <w14:ligatures w14:val="none"/>
              </w:rPr>
            </w:pPr>
            <w:r w:rsidRPr="00EFE4C0" w:rsidR="1AEE3B87">
              <w:rPr>
                <w:rFonts w:ascii="Arial" w:hAnsi="Arial" w:eastAsia="Arial" w:cs="Arial"/>
                <w:kern w:val="0"/>
                <w:sz w:val="22"/>
                <w:szCs w:val="22"/>
                <w14:ligatures w14:val="none"/>
              </w:rPr>
              <w:t>Customer Actions</w:t>
            </w:r>
          </w:p>
        </w:tc>
        <w:tc>
          <w:tcPr>
            <w:cnfStyle w:val="000000000000" w:firstRow="0" w:lastRow="0" w:firstColumn="0" w:lastColumn="0" w:oddVBand="0" w:evenVBand="0" w:oddHBand="0" w:evenHBand="0" w:firstRowFirstColumn="0" w:firstRowLastColumn="0" w:lastRowFirstColumn="0" w:lastRowLastColumn="0"/>
            <w:tcW w:w="2041" w:type="dxa"/>
            <w:shd w:val="clear" w:color="auto" w:fill="F2F2F2" w:themeFill="background1" w:themeFillShade="F2"/>
            <w:tcMar/>
            <w:vAlign w:val="center"/>
            <w:hideMark/>
          </w:tcPr>
          <w:p w:rsidRPr="00852C4A" w:rsidR="00852C4A" w:rsidP="6E4B1D18" w:rsidRDefault="1A299CFB" w14:paraId="6FF40721" w14:textId="77777777">
            <w:pPr>
              <w:spacing w:before="100" w:beforeAutospacing="on" w:after="100" w:afterAutospacing="on"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kern w:val="0"/>
                <w:sz w:val="22"/>
                <w:szCs w:val="22"/>
                <w14:ligatures w14:val="none"/>
              </w:rPr>
            </w:pPr>
            <w:r w:rsidRPr="00EFE4C0" w:rsidR="1AEE3B87">
              <w:rPr>
                <w:rFonts w:ascii="Arial" w:hAnsi="Arial" w:eastAsia="Arial" w:cs="Arial"/>
                <w:kern w:val="0"/>
                <w:sz w:val="22"/>
                <w:szCs w:val="22"/>
                <w14:ligatures w14:val="none"/>
              </w:rPr>
              <w:t>Touchpoints</w:t>
            </w:r>
          </w:p>
        </w:tc>
        <w:tc>
          <w:tcPr>
            <w:cnfStyle w:val="000000000000" w:firstRow="0" w:lastRow="0" w:firstColumn="0" w:lastColumn="0" w:oddVBand="0" w:evenVBand="0" w:oddHBand="0" w:evenHBand="0" w:firstRowFirstColumn="0" w:firstRowLastColumn="0" w:lastRowFirstColumn="0" w:lastRowLastColumn="0"/>
            <w:tcW w:w="1894" w:type="dxa"/>
            <w:shd w:val="clear" w:color="auto" w:fill="F2F2F2" w:themeFill="background1" w:themeFillShade="F2"/>
            <w:tcMar/>
            <w:vAlign w:val="center"/>
            <w:hideMark/>
          </w:tcPr>
          <w:p w:rsidRPr="00852C4A" w:rsidR="00852C4A" w:rsidP="6E4B1D18" w:rsidRDefault="1A299CFB" w14:paraId="7FC25F37" w14:textId="77777777">
            <w:pPr>
              <w:spacing w:before="100" w:beforeAutospacing="on" w:after="100" w:afterAutospacing="on"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kern w:val="0"/>
                <w:sz w:val="22"/>
                <w:szCs w:val="22"/>
                <w14:ligatures w14:val="none"/>
              </w:rPr>
            </w:pPr>
            <w:r w:rsidRPr="00EFE4C0" w:rsidR="1AEE3B87">
              <w:rPr>
                <w:rFonts w:ascii="Arial" w:hAnsi="Arial" w:eastAsia="Arial" w:cs="Arial"/>
                <w:kern w:val="0"/>
                <w:sz w:val="22"/>
                <w:szCs w:val="22"/>
                <w14:ligatures w14:val="none"/>
              </w:rPr>
              <w:t>Pain Points</w:t>
            </w:r>
          </w:p>
        </w:tc>
        <w:tc>
          <w:tcPr>
            <w:cnfStyle w:val="000000000000" w:firstRow="0" w:lastRow="0" w:firstColumn="0" w:lastColumn="0" w:oddVBand="0" w:evenVBand="0" w:oddHBand="0" w:evenHBand="0" w:firstRowFirstColumn="0" w:firstRowLastColumn="0" w:lastRowFirstColumn="0" w:lastRowLastColumn="0"/>
            <w:tcW w:w="1731" w:type="dxa"/>
            <w:shd w:val="clear" w:color="auto" w:fill="F2F2F2" w:themeFill="background1" w:themeFillShade="F2"/>
            <w:tcMar/>
            <w:vAlign w:val="center"/>
            <w:hideMark/>
          </w:tcPr>
          <w:p w:rsidRPr="00852C4A" w:rsidR="00852C4A" w:rsidP="6E4B1D18" w:rsidRDefault="1A299CFB" w14:paraId="5ECBC647" w14:textId="77777777">
            <w:pPr>
              <w:spacing w:before="100" w:beforeAutospacing="on" w:after="100" w:afterAutospacing="on"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kern w:val="0"/>
                <w:sz w:val="22"/>
                <w:szCs w:val="22"/>
                <w14:ligatures w14:val="none"/>
              </w:rPr>
            </w:pPr>
            <w:r w:rsidRPr="00EFE4C0" w:rsidR="1AEE3B87">
              <w:rPr>
                <w:rFonts w:ascii="Arial" w:hAnsi="Arial" w:eastAsia="Arial" w:cs="Arial"/>
                <w:kern w:val="0"/>
                <w:sz w:val="22"/>
                <w:szCs w:val="22"/>
                <w14:ligatures w14:val="none"/>
              </w:rPr>
              <w:t>Emotional State</w:t>
            </w:r>
          </w:p>
        </w:tc>
      </w:tr>
      <w:tr w:rsidRPr="00852C4A" w:rsidR="00852C4A" w:rsidTr="6E4B1D18" w14:paraId="0B061610" w14:textId="77777777">
        <w:trPr>
          <w:tblCellSpacing w:w="15" w:type="dxa"/>
        </w:trPr>
        <w:tc>
          <w:tcPr>
            <w:cnfStyle w:val="001000000000" w:firstRow="0" w:lastRow="0" w:firstColumn="1" w:lastColumn="0" w:oddVBand="0" w:evenVBand="0" w:oddHBand="0" w:evenHBand="0" w:firstRowFirstColumn="0" w:firstRowLastColumn="0" w:lastRowFirstColumn="0" w:lastRowLastColumn="0"/>
            <w:tcW w:w="1511" w:type="dxa"/>
            <w:shd w:val="clear" w:color="auto" w:fill="F2F2F2" w:themeFill="background1" w:themeFillShade="F2"/>
            <w:tcMar/>
            <w:vAlign w:val="center"/>
            <w:hideMark/>
          </w:tcPr>
          <w:p w:rsidRPr="00852C4A" w:rsidR="00852C4A" w:rsidP="6E4B1D18" w:rsidRDefault="1A299CFB" w14:paraId="0936EE37" w14:textId="77777777">
            <w:pPr>
              <w:spacing w:before="100" w:beforeAutospacing="on" w:after="100" w:afterAutospacing="on" w:line="360" w:lineRule="auto"/>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Need Recognition</w:t>
            </w:r>
          </w:p>
        </w:tc>
        <w:tc>
          <w:tcPr>
            <w:cnfStyle w:val="000000000000" w:firstRow="0" w:lastRow="0" w:firstColumn="0" w:lastColumn="0" w:oddVBand="0" w:evenVBand="0" w:oddHBand="0" w:evenHBand="0" w:firstRowFirstColumn="0" w:firstRowLastColumn="0" w:lastRowFirstColumn="0" w:lastRowLastColumn="0"/>
            <w:tcW w:w="1977" w:type="dxa"/>
            <w:shd w:val="clear" w:color="auto" w:fill="F2F2F2" w:themeFill="background1" w:themeFillShade="F2"/>
            <w:tcMar/>
            <w:vAlign w:val="center"/>
            <w:hideMark/>
          </w:tcPr>
          <w:p w:rsidRPr="00852C4A" w:rsidR="00852C4A" w:rsidP="6E4B1D18" w:rsidRDefault="1A299CFB" w14:paraId="1B5D7133"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Realises groceries are needed</w:t>
            </w:r>
          </w:p>
        </w:tc>
        <w:tc>
          <w:tcPr>
            <w:cnfStyle w:val="000000000000" w:firstRow="0" w:lastRow="0" w:firstColumn="0" w:lastColumn="0" w:oddVBand="0" w:evenVBand="0" w:oddHBand="0" w:evenHBand="0" w:firstRowFirstColumn="0" w:firstRowLastColumn="0" w:lastRowFirstColumn="0" w:lastRowLastColumn="0"/>
            <w:tcW w:w="2041" w:type="dxa"/>
            <w:shd w:val="clear" w:color="auto" w:fill="F2F2F2" w:themeFill="background1" w:themeFillShade="F2"/>
            <w:tcMar/>
            <w:vAlign w:val="center"/>
            <w:hideMark/>
          </w:tcPr>
          <w:p w:rsidRPr="00852C4A" w:rsidR="00852C4A" w:rsidP="6E4B1D18" w:rsidRDefault="1A299CFB" w14:paraId="6ACC745C"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App alerts, email promotions</w:t>
            </w:r>
          </w:p>
        </w:tc>
        <w:tc>
          <w:tcPr>
            <w:cnfStyle w:val="000000000000" w:firstRow="0" w:lastRow="0" w:firstColumn="0" w:lastColumn="0" w:oddVBand="0" w:evenVBand="0" w:oddHBand="0" w:evenHBand="0" w:firstRowFirstColumn="0" w:firstRowLastColumn="0" w:lastRowFirstColumn="0" w:lastRowLastColumn="0"/>
            <w:tcW w:w="1894" w:type="dxa"/>
            <w:shd w:val="clear" w:color="auto" w:fill="F2F2F2" w:themeFill="background1" w:themeFillShade="F2"/>
            <w:tcMar/>
            <w:vAlign w:val="center"/>
            <w:hideMark/>
          </w:tcPr>
          <w:p w:rsidRPr="00852C4A" w:rsidR="00852C4A" w:rsidP="6E4B1D18" w:rsidRDefault="1A299CFB" w14:paraId="4098EE86"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Overload of offers</w:t>
            </w:r>
          </w:p>
        </w:tc>
        <w:tc>
          <w:tcPr>
            <w:cnfStyle w:val="000000000000" w:firstRow="0" w:lastRow="0" w:firstColumn="0" w:lastColumn="0" w:oddVBand="0" w:evenVBand="0" w:oddHBand="0" w:evenHBand="0" w:firstRowFirstColumn="0" w:firstRowLastColumn="0" w:lastRowFirstColumn="0" w:lastRowLastColumn="0"/>
            <w:tcW w:w="1731" w:type="dxa"/>
            <w:shd w:val="clear" w:color="auto" w:fill="F2F2F2" w:themeFill="background1" w:themeFillShade="F2"/>
            <w:tcMar/>
            <w:vAlign w:val="center"/>
            <w:hideMark/>
          </w:tcPr>
          <w:p w:rsidRPr="00852C4A" w:rsidR="00852C4A" w:rsidP="6E4B1D18" w:rsidRDefault="1A299CFB" w14:paraId="46036352"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Mild confusion</w:t>
            </w:r>
          </w:p>
        </w:tc>
      </w:tr>
      <w:tr w:rsidRPr="00852C4A" w:rsidR="00852C4A" w:rsidTr="6E4B1D18" w14:paraId="02C1A88D" w14:textId="77777777">
        <w:trPr>
          <w:tblCellSpacing w:w="15" w:type="dxa"/>
        </w:trPr>
        <w:tc>
          <w:tcPr>
            <w:cnfStyle w:val="001000000000" w:firstRow="0" w:lastRow="0" w:firstColumn="1" w:lastColumn="0" w:oddVBand="0" w:evenVBand="0" w:oddHBand="0" w:evenHBand="0" w:firstRowFirstColumn="0" w:firstRowLastColumn="0" w:lastRowFirstColumn="0" w:lastRowLastColumn="0"/>
            <w:tcW w:w="1511" w:type="dxa"/>
            <w:shd w:val="clear" w:color="auto" w:fill="F2F2F2" w:themeFill="background1" w:themeFillShade="F2"/>
            <w:tcMar/>
            <w:vAlign w:val="center"/>
            <w:hideMark/>
          </w:tcPr>
          <w:p w:rsidRPr="00852C4A" w:rsidR="00852C4A" w:rsidP="6E4B1D18" w:rsidRDefault="1A299CFB" w14:paraId="03890C0E" w14:textId="77777777">
            <w:pPr>
              <w:spacing w:before="100" w:beforeAutospacing="on" w:after="100" w:afterAutospacing="on" w:line="360" w:lineRule="auto"/>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Planning</w:t>
            </w:r>
          </w:p>
        </w:tc>
        <w:tc>
          <w:tcPr>
            <w:cnfStyle w:val="000000000000" w:firstRow="0" w:lastRow="0" w:firstColumn="0" w:lastColumn="0" w:oddVBand="0" w:evenVBand="0" w:oddHBand="0" w:evenHBand="0" w:firstRowFirstColumn="0" w:firstRowLastColumn="0" w:lastRowFirstColumn="0" w:lastRowLastColumn="0"/>
            <w:tcW w:w="1977" w:type="dxa"/>
            <w:shd w:val="clear" w:color="auto" w:fill="F2F2F2" w:themeFill="background1" w:themeFillShade="F2"/>
            <w:tcMar/>
            <w:vAlign w:val="center"/>
            <w:hideMark/>
          </w:tcPr>
          <w:p w:rsidRPr="00852C4A" w:rsidR="00852C4A" w:rsidP="6E4B1D18" w:rsidRDefault="1A299CFB" w14:paraId="3BA016F4"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Builds basket</w:t>
            </w:r>
          </w:p>
        </w:tc>
        <w:tc>
          <w:tcPr>
            <w:cnfStyle w:val="000000000000" w:firstRow="0" w:lastRow="0" w:firstColumn="0" w:lastColumn="0" w:oddVBand="0" w:evenVBand="0" w:oddHBand="0" w:evenHBand="0" w:firstRowFirstColumn="0" w:firstRowLastColumn="0" w:lastRowFirstColumn="0" w:lastRowLastColumn="0"/>
            <w:tcW w:w="2041" w:type="dxa"/>
            <w:shd w:val="clear" w:color="auto" w:fill="F2F2F2" w:themeFill="background1" w:themeFillShade="F2"/>
            <w:tcMar/>
            <w:vAlign w:val="center"/>
            <w:hideMark/>
          </w:tcPr>
          <w:p w:rsidRPr="00852C4A" w:rsidR="00852C4A" w:rsidP="6E4B1D18" w:rsidRDefault="1A299CFB" w14:paraId="079D6C61"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Tesco app/website</w:t>
            </w:r>
          </w:p>
        </w:tc>
        <w:tc>
          <w:tcPr>
            <w:cnfStyle w:val="000000000000" w:firstRow="0" w:lastRow="0" w:firstColumn="0" w:lastColumn="0" w:oddVBand="0" w:evenVBand="0" w:oddHBand="0" w:evenHBand="0" w:firstRowFirstColumn="0" w:firstRowLastColumn="0" w:lastRowFirstColumn="0" w:lastRowLastColumn="0"/>
            <w:tcW w:w="1894" w:type="dxa"/>
            <w:shd w:val="clear" w:color="auto" w:fill="F2F2F2" w:themeFill="background1" w:themeFillShade="F2"/>
            <w:tcMar/>
            <w:vAlign w:val="center"/>
            <w:hideMark/>
          </w:tcPr>
          <w:p w:rsidRPr="00852C4A" w:rsidR="00852C4A" w:rsidP="6E4B1D18" w:rsidRDefault="1A299CFB" w14:paraId="3D5381A2"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Unclear final cost</w:t>
            </w:r>
          </w:p>
        </w:tc>
        <w:tc>
          <w:tcPr>
            <w:cnfStyle w:val="000000000000" w:firstRow="0" w:lastRow="0" w:firstColumn="0" w:lastColumn="0" w:oddVBand="0" w:evenVBand="0" w:oddHBand="0" w:evenHBand="0" w:firstRowFirstColumn="0" w:firstRowLastColumn="0" w:lastRowFirstColumn="0" w:lastRowLastColumn="0"/>
            <w:tcW w:w="1731" w:type="dxa"/>
            <w:shd w:val="clear" w:color="auto" w:fill="F2F2F2" w:themeFill="background1" w:themeFillShade="F2"/>
            <w:tcMar/>
            <w:vAlign w:val="center"/>
            <w:hideMark/>
          </w:tcPr>
          <w:p w:rsidRPr="00852C4A" w:rsidR="00852C4A" w:rsidP="6E4B1D18" w:rsidRDefault="1A299CFB" w14:paraId="47A0E6C3"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Uncertainty</w:t>
            </w:r>
          </w:p>
        </w:tc>
      </w:tr>
      <w:tr w:rsidRPr="00852C4A" w:rsidR="00852C4A" w:rsidTr="6E4B1D18" w14:paraId="55B617B4" w14:textId="77777777">
        <w:trPr>
          <w:tblCellSpacing w:w="15" w:type="dxa"/>
        </w:trPr>
        <w:tc>
          <w:tcPr>
            <w:cnfStyle w:val="001000000000" w:firstRow="0" w:lastRow="0" w:firstColumn="1" w:lastColumn="0" w:oddVBand="0" w:evenVBand="0" w:oddHBand="0" w:evenHBand="0" w:firstRowFirstColumn="0" w:firstRowLastColumn="0" w:lastRowFirstColumn="0" w:lastRowLastColumn="0"/>
            <w:tcW w:w="1511" w:type="dxa"/>
            <w:shd w:val="clear" w:color="auto" w:fill="F2F2F2" w:themeFill="background1" w:themeFillShade="F2"/>
            <w:tcMar/>
            <w:vAlign w:val="center"/>
            <w:hideMark/>
          </w:tcPr>
          <w:p w:rsidRPr="00852C4A" w:rsidR="00852C4A" w:rsidP="6E4B1D18" w:rsidRDefault="1A299CFB" w14:paraId="5A6BD74D" w14:textId="77777777">
            <w:pPr>
              <w:spacing w:before="100" w:beforeAutospacing="on" w:after="100" w:afterAutospacing="on" w:line="360" w:lineRule="auto"/>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Purchase</w:t>
            </w:r>
          </w:p>
        </w:tc>
        <w:tc>
          <w:tcPr>
            <w:cnfStyle w:val="000000000000" w:firstRow="0" w:lastRow="0" w:firstColumn="0" w:lastColumn="0" w:oddVBand="0" w:evenVBand="0" w:oddHBand="0" w:evenHBand="0" w:firstRowFirstColumn="0" w:firstRowLastColumn="0" w:lastRowFirstColumn="0" w:lastRowLastColumn="0"/>
            <w:tcW w:w="1977" w:type="dxa"/>
            <w:shd w:val="clear" w:color="auto" w:fill="F2F2F2" w:themeFill="background1" w:themeFillShade="F2"/>
            <w:tcMar/>
            <w:vAlign w:val="center"/>
            <w:hideMark/>
          </w:tcPr>
          <w:p w:rsidRPr="00852C4A" w:rsidR="00852C4A" w:rsidP="6E4B1D18" w:rsidRDefault="1A299CFB" w14:paraId="762F9A03"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Orders online or shops in-store</w:t>
            </w:r>
          </w:p>
        </w:tc>
        <w:tc>
          <w:tcPr>
            <w:cnfStyle w:val="000000000000" w:firstRow="0" w:lastRow="0" w:firstColumn="0" w:lastColumn="0" w:oddVBand="0" w:evenVBand="0" w:oddHBand="0" w:evenHBand="0" w:firstRowFirstColumn="0" w:firstRowLastColumn="0" w:lastRowFirstColumn="0" w:lastRowLastColumn="0"/>
            <w:tcW w:w="2041" w:type="dxa"/>
            <w:shd w:val="clear" w:color="auto" w:fill="F2F2F2" w:themeFill="background1" w:themeFillShade="F2"/>
            <w:tcMar/>
            <w:vAlign w:val="center"/>
            <w:hideMark/>
          </w:tcPr>
          <w:p w:rsidRPr="00852C4A" w:rsidR="00852C4A" w:rsidP="6E4B1D18" w:rsidRDefault="1A299CFB" w14:paraId="1B344B4B"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Checkout, self-scan</w:t>
            </w:r>
          </w:p>
        </w:tc>
        <w:tc>
          <w:tcPr>
            <w:cnfStyle w:val="000000000000" w:firstRow="0" w:lastRow="0" w:firstColumn="0" w:lastColumn="0" w:oddVBand="0" w:evenVBand="0" w:oddHBand="0" w:evenHBand="0" w:firstRowFirstColumn="0" w:firstRowLastColumn="0" w:lastRowFirstColumn="0" w:lastRowLastColumn="0"/>
            <w:tcW w:w="1894" w:type="dxa"/>
            <w:shd w:val="clear" w:color="auto" w:fill="F2F2F2" w:themeFill="background1" w:themeFillShade="F2"/>
            <w:tcMar/>
            <w:vAlign w:val="center"/>
            <w:hideMark/>
          </w:tcPr>
          <w:p w:rsidRPr="00852C4A" w:rsidR="00852C4A" w:rsidP="6E4B1D18" w:rsidRDefault="1A299CFB" w14:paraId="40394CCB"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Stock-outs, substitutions</w:t>
            </w:r>
          </w:p>
        </w:tc>
        <w:tc>
          <w:tcPr>
            <w:cnfStyle w:val="000000000000" w:firstRow="0" w:lastRow="0" w:firstColumn="0" w:lastColumn="0" w:oddVBand="0" w:evenVBand="0" w:oddHBand="0" w:evenHBand="0" w:firstRowFirstColumn="0" w:firstRowLastColumn="0" w:lastRowFirstColumn="0" w:lastRowLastColumn="0"/>
            <w:tcW w:w="1731" w:type="dxa"/>
            <w:shd w:val="clear" w:color="auto" w:fill="F2F2F2" w:themeFill="background1" w:themeFillShade="F2"/>
            <w:tcMar/>
            <w:vAlign w:val="center"/>
            <w:hideMark/>
          </w:tcPr>
          <w:p w:rsidRPr="00852C4A" w:rsidR="00852C4A" w:rsidP="6E4B1D18" w:rsidRDefault="1A299CFB" w14:paraId="7143EBB3"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Frustration</w:t>
            </w:r>
          </w:p>
        </w:tc>
      </w:tr>
      <w:tr w:rsidRPr="00852C4A" w:rsidR="00852C4A" w:rsidTr="6E4B1D18" w14:paraId="45C96C3C" w14:textId="77777777">
        <w:trPr>
          <w:tblCellSpacing w:w="15" w:type="dxa"/>
        </w:trPr>
        <w:tc>
          <w:tcPr>
            <w:cnfStyle w:val="001000000000" w:firstRow="0" w:lastRow="0" w:firstColumn="1" w:lastColumn="0" w:oddVBand="0" w:evenVBand="0" w:oddHBand="0" w:evenHBand="0" w:firstRowFirstColumn="0" w:firstRowLastColumn="0" w:lastRowFirstColumn="0" w:lastRowLastColumn="0"/>
            <w:tcW w:w="1511" w:type="dxa"/>
            <w:shd w:val="clear" w:color="auto" w:fill="F2F2F2" w:themeFill="background1" w:themeFillShade="F2"/>
            <w:tcMar/>
            <w:vAlign w:val="center"/>
            <w:hideMark/>
          </w:tcPr>
          <w:p w:rsidRPr="00852C4A" w:rsidR="00852C4A" w:rsidP="6E4B1D18" w:rsidRDefault="1A299CFB" w14:paraId="45B840F6" w14:textId="77777777">
            <w:pPr>
              <w:spacing w:before="100" w:beforeAutospacing="on" w:after="100" w:afterAutospacing="on" w:line="360" w:lineRule="auto"/>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Fulfilment</w:t>
            </w:r>
          </w:p>
        </w:tc>
        <w:tc>
          <w:tcPr>
            <w:cnfStyle w:val="000000000000" w:firstRow="0" w:lastRow="0" w:firstColumn="0" w:lastColumn="0" w:oddVBand="0" w:evenVBand="0" w:oddHBand="0" w:evenHBand="0" w:firstRowFirstColumn="0" w:firstRowLastColumn="0" w:lastRowFirstColumn="0" w:lastRowLastColumn="0"/>
            <w:tcW w:w="1977" w:type="dxa"/>
            <w:shd w:val="clear" w:color="auto" w:fill="F2F2F2" w:themeFill="background1" w:themeFillShade="F2"/>
            <w:tcMar/>
            <w:vAlign w:val="center"/>
            <w:hideMark/>
          </w:tcPr>
          <w:p w:rsidRPr="00852C4A" w:rsidR="00852C4A" w:rsidP="6E4B1D18" w:rsidRDefault="1A299CFB" w14:paraId="48A0FEC6"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Receives delivery</w:t>
            </w:r>
          </w:p>
        </w:tc>
        <w:tc>
          <w:tcPr>
            <w:cnfStyle w:val="000000000000" w:firstRow="0" w:lastRow="0" w:firstColumn="0" w:lastColumn="0" w:oddVBand="0" w:evenVBand="0" w:oddHBand="0" w:evenHBand="0" w:firstRowFirstColumn="0" w:firstRowLastColumn="0" w:lastRowFirstColumn="0" w:lastRowLastColumn="0"/>
            <w:tcW w:w="2041" w:type="dxa"/>
            <w:shd w:val="clear" w:color="auto" w:fill="F2F2F2" w:themeFill="background1" w:themeFillShade="F2"/>
            <w:tcMar/>
            <w:vAlign w:val="center"/>
            <w:hideMark/>
          </w:tcPr>
          <w:p w:rsidRPr="00852C4A" w:rsidR="00852C4A" w:rsidP="6E4B1D18" w:rsidRDefault="1A299CFB" w14:paraId="635AD0DD"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Delivery service</w:t>
            </w:r>
          </w:p>
        </w:tc>
        <w:tc>
          <w:tcPr>
            <w:cnfStyle w:val="000000000000" w:firstRow="0" w:lastRow="0" w:firstColumn="0" w:lastColumn="0" w:oddVBand="0" w:evenVBand="0" w:oddHBand="0" w:evenHBand="0" w:firstRowFirstColumn="0" w:firstRowLastColumn="0" w:lastRowFirstColumn="0" w:lastRowLastColumn="0"/>
            <w:tcW w:w="1894" w:type="dxa"/>
            <w:shd w:val="clear" w:color="auto" w:fill="F2F2F2" w:themeFill="background1" w:themeFillShade="F2"/>
            <w:tcMar/>
            <w:vAlign w:val="center"/>
            <w:hideMark/>
          </w:tcPr>
          <w:p w:rsidRPr="00852C4A" w:rsidR="00852C4A" w:rsidP="6E4B1D18" w:rsidRDefault="1A299CFB" w14:paraId="2E0B8D72"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Late slots, poor substitutes</w:t>
            </w:r>
          </w:p>
        </w:tc>
        <w:tc>
          <w:tcPr>
            <w:cnfStyle w:val="000000000000" w:firstRow="0" w:lastRow="0" w:firstColumn="0" w:lastColumn="0" w:oddVBand="0" w:evenVBand="0" w:oddHBand="0" w:evenHBand="0" w:firstRowFirstColumn="0" w:firstRowLastColumn="0" w:lastRowFirstColumn="0" w:lastRowLastColumn="0"/>
            <w:tcW w:w="1731" w:type="dxa"/>
            <w:shd w:val="clear" w:color="auto" w:fill="F2F2F2" w:themeFill="background1" w:themeFillShade="F2"/>
            <w:tcMar/>
            <w:vAlign w:val="center"/>
            <w:hideMark/>
          </w:tcPr>
          <w:p w:rsidRPr="00852C4A" w:rsidR="00852C4A" w:rsidP="6E4B1D18" w:rsidRDefault="1A299CFB" w14:paraId="0C3E1C1E"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Anxiety</w:t>
            </w:r>
          </w:p>
        </w:tc>
      </w:tr>
      <w:tr w:rsidRPr="00852C4A" w:rsidR="00852C4A" w:rsidTr="6E4B1D18" w14:paraId="130A1C33" w14:textId="77777777">
        <w:trPr>
          <w:tblCellSpacing w:w="15" w:type="dxa"/>
        </w:trPr>
        <w:tc>
          <w:tcPr>
            <w:cnfStyle w:val="001000000000" w:firstRow="0" w:lastRow="0" w:firstColumn="1" w:lastColumn="0" w:oddVBand="0" w:evenVBand="0" w:oddHBand="0" w:evenHBand="0" w:firstRowFirstColumn="0" w:firstRowLastColumn="0" w:lastRowFirstColumn="0" w:lastRowLastColumn="0"/>
            <w:tcW w:w="1511" w:type="dxa"/>
            <w:shd w:val="clear" w:color="auto" w:fill="F2F2F2" w:themeFill="background1" w:themeFillShade="F2"/>
            <w:tcMar/>
            <w:vAlign w:val="center"/>
            <w:hideMark/>
          </w:tcPr>
          <w:p w:rsidRPr="00852C4A" w:rsidR="00852C4A" w:rsidP="6E4B1D18" w:rsidRDefault="1A299CFB" w14:paraId="5B4A229F" w14:textId="77777777">
            <w:pPr>
              <w:spacing w:before="100" w:beforeAutospacing="on" w:after="100" w:afterAutospacing="on" w:line="360" w:lineRule="auto"/>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Post-Purchase</w:t>
            </w:r>
          </w:p>
        </w:tc>
        <w:tc>
          <w:tcPr>
            <w:cnfStyle w:val="000000000000" w:firstRow="0" w:lastRow="0" w:firstColumn="0" w:lastColumn="0" w:oddVBand="0" w:evenVBand="0" w:oddHBand="0" w:evenHBand="0" w:firstRowFirstColumn="0" w:firstRowLastColumn="0" w:lastRowFirstColumn="0" w:lastRowLastColumn="0"/>
            <w:tcW w:w="1977" w:type="dxa"/>
            <w:shd w:val="clear" w:color="auto" w:fill="F2F2F2" w:themeFill="background1" w:themeFillShade="F2"/>
            <w:tcMar/>
            <w:vAlign w:val="center"/>
            <w:hideMark/>
          </w:tcPr>
          <w:p w:rsidRPr="00852C4A" w:rsidR="00852C4A" w:rsidP="6E4B1D18" w:rsidRDefault="1A299CFB" w14:paraId="461F0C05"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Contacts support if needed</w:t>
            </w:r>
          </w:p>
        </w:tc>
        <w:tc>
          <w:tcPr>
            <w:cnfStyle w:val="000000000000" w:firstRow="0" w:lastRow="0" w:firstColumn="0" w:lastColumn="0" w:oddVBand="0" w:evenVBand="0" w:oddHBand="0" w:evenHBand="0" w:firstRowFirstColumn="0" w:firstRowLastColumn="0" w:lastRowFirstColumn="0" w:lastRowLastColumn="0"/>
            <w:tcW w:w="2041" w:type="dxa"/>
            <w:shd w:val="clear" w:color="auto" w:fill="F2F2F2" w:themeFill="background1" w:themeFillShade="F2"/>
            <w:tcMar/>
            <w:vAlign w:val="center"/>
            <w:hideMark/>
          </w:tcPr>
          <w:p w:rsidRPr="00852C4A" w:rsidR="00852C4A" w:rsidP="6E4B1D18" w:rsidRDefault="1A299CFB" w14:paraId="301D08FD"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App, customer service</w:t>
            </w:r>
          </w:p>
        </w:tc>
        <w:tc>
          <w:tcPr>
            <w:cnfStyle w:val="000000000000" w:firstRow="0" w:lastRow="0" w:firstColumn="0" w:lastColumn="0" w:oddVBand="0" w:evenVBand="0" w:oddHBand="0" w:evenHBand="0" w:firstRowFirstColumn="0" w:firstRowLastColumn="0" w:lastRowFirstColumn="0" w:lastRowLastColumn="0"/>
            <w:tcW w:w="1894" w:type="dxa"/>
            <w:shd w:val="clear" w:color="auto" w:fill="F2F2F2" w:themeFill="background1" w:themeFillShade="F2"/>
            <w:tcMar/>
            <w:vAlign w:val="center"/>
            <w:hideMark/>
          </w:tcPr>
          <w:p w:rsidRPr="00852C4A" w:rsidR="00852C4A" w:rsidP="6E4B1D18" w:rsidRDefault="1A299CFB" w14:paraId="64EE9E56"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Slow issue resolution</w:t>
            </w:r>
          </w:p>
        </w:tc>
        <w:tc>
          <w:tcPr>
            <w:cnfStyle w:val="000000000000" w:firstRow="0" w:lastRow="0" w:firstColumn="0" w:lastColumn="0" w:oddVBand="0" w:evenVBand="0" w:oddHBand="0" w:evenHBand="0" w:firstRowFirstColumn="0" w:firstRowLastColumn="0" w:lastRowFirstColumn="0" w:lastRowLastColumn="0"/>
            <w:tcW w:w="1731" w:type="dxa"/>
            <w:shd w:val="clear" w:color="auto" w:fill="F2F2F2" w:themeFill="background1" w:themeFillShade="F2"/>
            <w:tcMar/>
            <w:vAlign w:val="center"/>
            <w:hideMark/>
          </w:tcPr>
          <w:p w:rsidRPr="00852C4A" w:rsidR="00852C4A" w:rsidP="6E4B1D18" w:rsidRDefault="1A299CFB" w14:paraId="313D2D93" w14:textId="77777777">
            <w:pPr>
              <w:spacing w:before="100" w:beforeAutospacing="on" w:after="100" w:afterAutospacing="on"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kern w:val="0"/>
                <w:sz w:val="22"/>
                <w:szCs w:val="22"/>
                <w14:ligatures w14:val="none"/>
              </w:rPr>
            </w:pPr>
            <w:r w:rsidRPr="00EFE4C0" w:rsidR="1AEE3B87">
              <w:rPr>
                <w:rFonts w:ascii="Arial" w:hAnsi="Arial" w:eastAsia="Arial" w:cs="Arial"/>
                <w:kern w:val="0"/>
                <w:sz w:val="22"/>
                <w:szCs w:val="22"/>
                <w14:ligatures w14:val="none"/>
              </w:rPr>
              <w:t>Dissatisfaction</w:t>
            </w:r>
          </w:p>
        </w:tc>
      </w:tr>
    </w:tbl>
    <w:p w:rsidR="6E4B1D18" w:rsidP="6E4B1D18" w:rsidRDefault="6E4B1D18" w14:paraId="51A07563" w14:textId="779EC11A">
      <w:pPr>
        <w:spacing w:beforeAutospacing="on" w:afterAutospacing="on" w:line="360" w:lineRule="auto"/>
        <w:outlineLvl w:val="2"/>
        <w:rPr>
          <w:rFonts w:ascii="Arial" w:hAnsi="Arial" w:eastAsia="Arial" w:cs="Arial"/>
          <w:b w:val="1"/>
          <w:bCs w:val="1"/>
          <w:sz w:val="22"/>
          <w:szCs w:val="22"/>
        </w:rPr>
      </w:pPr>
    </w:p>
    <w:p w:rsidRPr="00A335BC" w:rsidR="00A335BC" w:rsidP="6E4B1D18" w:rsidRDefault="00A335BC" w14:paraId="0B762126" w14:textId="77777777">
      <w:pPr>
        <w:spacing w:before="100" w:beforeAutospacing="on" w:after="100" w:afterAutospacing="on" w:line="360" w:lineRule="auto"/>
        <w:outlineLvl w:val="2"/>
        <w:rPr>
          <w:rFonts w:ascii="Arial" w:hAnsi="Arial" w:eastAsia="Arial" w:cs="Arial"/>
          <w:b w:val="1"/>
          <w:bCs w:val="1"/>
          <w:kern w:val="0"/>
          <w:sz w:val="22"/>
          <w:szCs w:val="22"/>
          <w14:ligatures w14:val="none"/>
        </w:rPr>
      </w:pPr>
      <w:r w:rsidRPr="00EFE4C0" w:rsidR="00A335BC">
        <w:rPr>
          <w:rFonts w:ascii="Arial" w:hAnsi="Arial" w:eastAsia="Arial" w:cs="Arial"/>
          <w:b w:val="1"/>
          <w:bCs w:val="1"/>
          <w:kern w:val="0"/>
          <w:sz w:val="22"/>
          <w:szCs w:val="22"/>
          <w14:ligatures w14:val="none"/>
        </w:rPr>
        <w:t>Analysis of Pain Points</w:t>
      </w:r>
    </w:p>
    <w:p w:rsidRPr="00A335BC" w:rsidR="00A335BC" w:rsidP="6E4B1D18" w:rsidRDefault="00A335BC" w14:paraId="4DE273D0" w14:textId="77777777">
      <w:pPr>
        <w:spacing w:before="100" w:beforeAutospacing="on" w:after="100" w:afterAutospacing="on" w:line="360" w:lineRule="auto"/>
        <w:rPr>
          <w:rFonts w:ascii="Arial" w:hAnsi="Arial" w:eastAsia="Arial" w:cs="Arial"/>
          <w:kern w:val="0"/>
          <w:sz w:val="22"/>
          <w:szCs w:val="22"/>
          <w14:ligatures w14:val="none"/>
        </w:rPr>
      </w:pPr>
      <w:r w:rsidRPr="00EFE4C0" w:rsidR="00A335BC">
        <w:rPr>
          <w:rFonts w:ascii="Arial" w:hAnsi="Arial" w:eastAsia="Arial" w:cs="Arial"/>
          <w:kern w:val="0"/>
          <w:sz w:val="22"/>
          <w:szCs w:val="22"/>
          <w14:ligatures w14:val="none"/>
        </w:rPr>
        <w:t>The most significant friction occurs during:</w:t>
      </w:r>
    </w:p>
    <w:p w:rsidRPr="00A335BC" w:rsidR="00A335BC" w:rsidP="6E4B1D18" w:rsidRDefault="00A335BC" w14:paraId="0381D792" w14:textId="77777777">
      <w:pPr>
        <w:numPr>
          <w:ilvl w:val="0"/>
          <w:numId w:val="3"/>
        </w:numPr>
        <w:spacing w:before="100" w:beforeAutospacing="on" w:after="100" w:afterAutospacing="on" w:line="360" w:lineRule="auto"/>
        <w:rPr>
          <w:rFonts w:ascii="Arial" w:hAnsi="Arial" w:eastAsia="Arial" w:cs="Arial"/>
          <w:b w:val="1"/>
          <w:bCs w:val="1"/>
          <w:kern w:val="0"/>
          <w:sz w:val="22"/>
          <w:szCs w:val="22"/>
          <w14:ligatures w14:val="none"/>
        </w:rPr>
      </w:pPr>
      <w:r w:rsidRPr="00EFE4C0" w:rsidR="00A335BC">
        <w:rPr>
          <w:rFonts w:ascii="Arial" w:hAnsi="Arial" w:eastAsia="Arial" w:cs="Arial"/>
          <w:b w:val="1"/>
          <w:bCs w:val="1"/>
          <w:kern w:val="0"/>
          <w:sz w:val="22"/>
          <w:szCs w:val="22"/>
          <w14:ligatures w14:val="none"/>
        </w:rPr>
        <w:t>Planning stage</w:t>
      </w:r>
      <w:r w:rsidRPr="00EFE4C0" w:rsidR="00A335BC">
        <w:rPr>
          <w:rFonts w:ascii="Arial" w:hAnsi="Arial" w:eastAsia="Arial" w:cs="Arial"/>
          <w:kern w:val="0"/>
          <w:sz w:val="22"/>
          <w:szCs w:val="22"/>
          <w14:ligatures w14:val="none"/>
        </w:rPr>
        <w:t xml:space="preserve"> – Customers struggle to understand total basket cost due to loyalty pricing complexity.</w:t>
      </w:r>
    </w:p>
    <w:p w:rsidRPr="00A335BC" w:rsidR="00A335BC" w:rsidP="6E4B1D18" w:rsidRDefault="00A335BC" w14:paraId="2737A9D2" w14:textId="77777777">
      <w:pPr>
        <w:numPr>
          <w:ilvl w:val="0"/>
          <w:numId w:val="3"/>
        </w:numPr>
        <w:spacing w:before="100" w:beforeAutospacing="on" w:after="100" w:afterAutospacing="on" w:line="360" w:lineRule="auto"/>
        <w:rPr>
          <w:rFonts w:ascii="Arial" w:hAnsi="Arial" w:eastAsia="Arial" w:cs="Arial"/>
          <w:kern w:val="0"/>
          <w:sz w:val="22"/>
          <w:szCs w:val="22"/>
          <w14:ligatures w14:val="none"/>
        </w:rPr>
      </w:pPr>
      <w:r w:rsidRPr="00EFE4C0" w:rsidR="00A335BC">
        <w:rPr>
          <w:rFonts w:ascii="Arial" w:hAnsi="Arial" w:eastAsia="Arial" w:cs="Arial"/>
          <w:b w:val="1"/>
          <w:bCs w:val="1"/>
          <w:kern w:val="0"/>
          <w:sz w:val="22"/>
          <w:szCs w:val="22"/>
          <w14:ligatures w14:val="none"/>
        </w:rPr>
        <w:t>Substitution stage</w:t>
      </w:r>
      <w:r w:rsidRPr="00EFE4C0" w:rsidR="00A335BC">
        <w:rPr>
          <w:rFonts w:ascii="Arial" w:hAnsi="Arial" w:eastAsia="Arial" w:cs="Arial"/>
          <w:kern w:val="0"/>
          <w:sz w:val="22"/>
          <w:szCs w:val="22"/>
          <w14:ligatures w14:val="none"/>
        </w:rPr>
        <w:t xml:space="preserve"> – Poorly matched substitutes reduce satisfaction.</w:t>
      </w:r>
    </w:p>
    <w:p w:rsidRPr="00A335BC" w:rsidR="00A335BC" w:rsidP="6E4B1D18" w:rsidRDefault="00A335BC" w14:paraId="07B65FD4" w14:textId="33997EA8">
      <w:pPr>
        <w:numPr>
          <w:ilvl w:val="0"/>
          <w:numId w:val="3"/>
        </w:numPr>
        <w:spacing w:before="100" w:beforeAutospacing="on" w:after="100" w:afterAutospacing="on" w:line="360" w:lineRule="auto"/>
        <w:rPr>
          <w:rFonts w:ascii="Arial" w:hAnsi="Arial" w:eastAsia="Arial" w:cs="Arial"/>
          <w:kern w:val="0"/>
          <w:sz w:val="22"/>
          <w:szCs w:val="22"/>
          <w14:ligatures w14:val="none"/>
        </w:rPr>
      </w:pPr>
      <w:r w:rsidRPr="00EFE4C0" w:rsidR="00A335BC">
        <w:rPr>
          <w:rFonts w:ascii="Arial" w:hAnsi="Arial" w:eastAsia="Arial" w:cs="Arial"/>
          <w:b w:val="1"/>
          <w:bCs w:val="1"/>
          <w:kern w:val="0"/>
          <w:sz w:val="22"/>
          <w:szCs w:val="22"/>
          <w14:ligatures w14:val="none"/>
        </w:rPr>
        <w:t>Service recovery</w:t>
      </w:r>
      <w:r w:rsidRPr="00EFE4C0" w:rsidR="00A335BC">
        <w:rPr>
          <w:rFonts w:ascii="Arial" w:hAnsi="Arial" w:eastAsia="Arial" w:cs="Arial"/>
          <w:kern w:val="0"/>
          <w:sz w:val="22"/>
          <w:szCs w:val="22"/>
          <w14:ligatures w14:val="none"/>
        </w:rPr>
        <w:t xml:space="preserve"> – Delays in resolving issues weaken trust.</w:t>
      </w:r>
    </w:p>
    <w:p w:rsidRPr="00A335BC" w:rsidR="00A335BC" w:rsidP="6E4B1D18" w:rsidRDefault="00A335BC" w14:textId="77777777" w14:paraId="0688F25D">
      <w:pPr>
        <w:spacing w:before="100" w:beforeAutospacing="on" w:after="100" w:afterAutospacing="on" w:line="360" w:lineRule="auto"/>
        <w:rPr>
          <w:rFonts w:ascii="Arial" w:hAnsi="Arial" w:eastAsia="Arial" w:cs="Arial"/>
          <w:sz w:val="22"/>
          <w:szCs w:val="22"/>
        </w:rPr>
      </w:pPr>
      <w:r w:rsidRPr="00EFE4C0" w:rsidR="00A335BC">
        <w:rPr>
          <w:rFonts w:ascii="Arial" w:hAnsi="Arial" w:eastAsia="Arial" w:cs="Arial"/>
          <w:kern w:val="0"/>
          <w:sz w:val="22"/>
          <w:szCs w:val="22"/>
          <w14:ligatures w14:val="none"/>
        </w:rPr>
        <w:t xml:space="preserve">These friction points </w:t>
      </w:r>
      <w:r w:rsidRPr="00EFE4C0" w:rsidR="00A335BC">
        <w:rPr>
          <w:rFonts w:ascii="Arial" w:hAnsi="Arial" w:eastAsia="Arial" w:cs="Arial"/>
          <w:kern w:val="0"/>
          <w:sz w:val="22"/>
          <w:szCs w:val="22"/>
          <w14:ligatures w14:val="none"/>
        </w:rPr>
        <w:t>indicate</w:t>
      </w:r>
      <w:r w:rsidRPr="00EFE4C0" w:rsidR="00A335BC">
        <w:rPr>
          <w:rFonts w:ascii="Arial" w:hAnsi="Arial" w:eastAsia="Arial" w:cs="Arial"/>
          <w:kern w:val="0"/>
          <w:sz w:val="22"/>
          <w:szCs w:val="22"/>
          <w14:ligatures w14:val="none"/>
        </w:rPr>
        <w:t xml:space="preserve"> opportunities for digital innovation focused on transparency and proactive problem resolution.</w:t>
      </w:r>
    </w:p>
    <w:p w:rsidR="00385E69" w:rsidP="25CC8BF3" w:rsidRDefault="00385E69" w14:paraId="7DF7FA9F" w14:textId="3507F8E1">
      <w:pPr>
        <w:spacing w:beforeAutospacing="1" w:afterAutospacing="1" w:line="360" w:lineRule="auto"/>
        <w:rPr>
          <w:rFonts w:ascii="Arial" w:hAnsi="Arial" w:eastAsia="Arial" w:cs="Arial"/>
          <w:sz w:val="22"/>
          <w:szCs w:val="22"/>
        </w:rPr>
      </w:pPr>
    </w:p>
    <w:p w:rsidRPr="00385E69" w:rsidR="00385E69" w:rsidP="6E4B1D18" w:rsidRDefault="00385E69" w14:textId="77777777" w14:paraId="444F9677">
      <w:pPr>
        <w:spacing w:before="100" w:beforeAutospacing="on" w:after="100" w:afterAutospacing="on" w:line="360" w:lineRule="auto"/>
        <w:outlineLvl w:val="3"/>
        <w:rPr>
          <w:rFonts w:ascii="Arial" w:hAnsi="Arial" w:eastAsia="Arial" w:cs="Arial"/>
          <w:b w:val="1"/>
          <w:bCs w:val="1"/>
          <w:sz w:val="22"/>
          <w:szCs w:val="22"/>
        </w:rPr>
      </w:pPr>
      <w:bookmarkStart w:name="_Toc1450331862" w:id="3"/>
      <w:r w:rsidRPr="4EE5807E" w:rsidR="00385E69">
        <w:rPr>
          <w:rFonts w:ascii="Arial" w:hAnsi="Arial" w:eastAsia="Arial" w:cs="Arial"/>
          <w:b w:val="1"/>
          <w:bCs w:val="1"/>
          <w:kern w:val="0"/>
          <w:sz w:val="22"/>
          <w:szCs w:val="22"/>
          <w14:ligatures w14:val="none"/>
        </w:rPr>
        <w:t>3.3 Critical evaluation of Tesco’s innovation fit</w:t>
      </w:r>
      <w:bookmarkEnd w:id="3"/>
    </w:p>
    <w:p w:rsidRPr="00385E69" w:rsidR="00385E69" w:rsidP="6E4B1D18" w:rsidRDefault="00385E69" w14:textId="38E5C10D" w14:paraId="59303B34">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A useful way to judge Tesco’s innovation choices is to consider “fit” between customer value, operational </w:t>
      </w:r>
      <w:r w:rsidRPr="4EE5807E" w:rsidR="00385E69">
        <w:rPr>
          <w:rFonts w:ascii="Arial" w:hAnsi="Arial" w:eastAsia="Arial" w:cs="Arial"/>
          <w:kern w:val="0"/>
          <w:sz w:val="22"/>
          <w:szCs w:val="22"/>
          <w14:ligatures w14:val="none"/>
        </w:rPr>
        <w:t>feasibility</w:t>
      </w:r>
      <w:r w:rsidRPr="4EE5807E" w:rsidR="00385E69">
        <w:rPr>
          <w:rFonts w:ascii="Arial" w:hAnsi="Arial" w:eastAsia="Arial" w:cs="Arial"/>
          <w:kern w:val="0"/>
          <w:sz w:val="22"/>
          <w:szCs w:val="22"/>
          <w14:ligatures w14:val="none"/>
        </w:rPr>
        <w:t xml:space="preserve"> and strategic positioning. In grocery, customers rarely reward novelty for its own sake; they reward reliability, </w:t>
      </w:r>
      <w:r w:rsidRPr="4EE5807E" w:rsidR="00385E69">
        <w:rPr>
          <w:rFonts w:ascii="Arial" w:hAnsi="Arial" w:eastAsia="Arial" w:cs="Arial"/>
          <w:kern w:val="0"/>
          <w:sz w:val="22"/>
          <w:szCs w:val="22"/>
          <w14:ligatures w14:val="none"/>
        </w:rPr>
        <w:t>speed</w:t>
      </w:r>
      <w:r w:rsidRPr="4EE5807E" w:rsidR="00385E69">
        <w:rPr>
          <w:rFonts w:ascii="Arial" w:hAnsi="Arial" w:eastAsia="Arial" w:cs="Arial"/>
          <w:kern w:val="0"/>
          <w:sz w:val="22"/>
          <w:szCs w:val="22"/>
          <w14:ligatures w14:val="none"/>
        </w:rPr>
        <w:t xml:space="preserve"> and fair value. Core innovations such as improving availability, reducing </w:t>
      </w:r>
      <w:r w:rsidRPr="4EE5807E" w:rsidR="00385E69">
        <w:rPr>
          <w:rFonts w:ascii="Arial" w:hAnsi="Arial" w:eastAsia="Arial" w:cs="Arial"/>
          <w:kern w:val="0"/>
          <w:sz w:val="22"/>
          <w:szCs w:val="22"/>
          <w14:ligatures w14:val="none"/>
        </w:rPr>
        <w:t>queues</w:t>
      </w:r>
      <w:r w:rsidRPr="4EE5807E" w:rsidR="00385E69">
        <w:rPr>
          <w:rFonts w:ascii="Arial" w:hAnsi="Arial" w:eastAsia="Arial" w:cs="Arial"/>
          <w:kern w:val="0"/>
          <w:sz w:val="22"/>
          <w:szCs w:val="22"/>
          <w14:ligatures w14:val="none"/>
        </w:rPr>
        <w:t xml:space="preserve"> and simplifying navigation therefore have high fit because they deliver immediate, tangible benefits. Adjacent innovations have fit when they solve a realistic customer job-to-be-done, for example enabling customers to collect shopping on the way home, or to order a last-minute top-up. Transformational innovations have fit when they simplify complex decisions, such as planning within a budget, or managing substitutions without frustration.</w:t>
      </w:r>
    </w:p>
    <w:p w:rsidRPr="00385E69" w:rsidR="00385E69" w:rsidP="6E4B1D18" w:rsidRDefault="00385E69" w14:textId="77777777" w14:paraId="0D2BA225">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Tesco’s current innovation fit is strongest where digital and physical reinforce each other. For example, loyalty data can inform store ranging and local availability, while store network density can support collection and rapid delivery. Fit is weaker where customers perceive complexity or unfairness. The spread of “member pricing” in UK retail suggests customers accept loyalty-linked discounts, but only if the experience is transparent and not punitive (</w:t>
      </w:r>
      <w:r w:rsidRPr="4EE5807E" w:rsidR="00385E69">
        <w:rPr>
          <w:rFonts w:ascii="Arial" w:hAnsi="Arial" w:eastAsia="Arial" w:cs="Arial"/>
          <w:kern w:val="0"/>
          <w:sz w:val="22"/>
          <w:szCs w:val="22"/>
          <w14:ligatures w14:val="none"/>
        </w:rPr>
        <w:t>Mintel</w:t>
      </w:r>
      <w:r w:rsidRPr="4EE5807E" w:rsidR="00385E69">
        <w:rPr>
          <w:rFonts w:ascii="Arial" w:hAnsi="Arial" w:eastAsia="Arial" w:cs="Arial"/>
          <w:kern w:val="0"/>
          <w:sz w:val="22"/>
          <w:szCs w:val="22"/>
          <w14:ligatures w14:val="none"/>
        </w:rPr>
        <w:t>, 2023). Tesco therefore needs to ensure that personalisation is framed as helpful guidance rather than a confusing discount maze. The design of digital interfaces matters because it shapes how customers interpret the system.</w:t>
      </w:r>
    </w:p>
    <w:p w:rsidRPr="00385E69" w:rsidR="00385E69" w:rsidP="4EE5807E" w:rsidRDefault="00385E69" w14:paraId="7203ADA8" w14:textId="07D0604A">
      <w:p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Another dimension of fit is organisational capability. Digital transformation literature stresses the importance of combining digital skills with domain expertise (</w:t>
      </w:r>
      <w:proofErr w:type="spellStart"/>
      <w:r w:rsidRPr="4EE5807E">
        <w:rPr>
          <w:rFonts w:ascii="Arial" w:hAnsi="Arial" w:eastAsia="Arial" w:cs="Arial"/>
          <w:kern w:val="0"/>
          <w:sz w:val="22"/>
          <w:szCs w:val="22"/>
          <w14:ligatures w14:val="none"/>
        </w:rPr>
        <w:t>Westerman</w:t>
      </w:r>
      <w:proofErr w:type="spellEnd"/>
      <w:r w:rsidRPr="4EE5807E">
        <w:rPr>
          <w:rFonts w:ascii="Arial" w:hAnsi="Arial" w:eastAsia="Arial" w:cs="Arial"/>
          <w:kern w:val="0"/>
          <w:sz w:val="22"/>
          <w:szCs w:val="22"/>
          <w14:ligatures w14:val="none"/>
        </w:rPr>
        <w:t>, Bonnet and McAfee, 2014). Tesco’s capability base is strong in retail operations, but complex AI initiatives require data governance, model monitoring and cross-functional ownership. Without disciplined governance, AI features can drift, produce inconsistent recommendations, or amplify errors from poor underlying data. This is why transformational innovation must be implemented with clear accountability and measured through customer journey outcomes rather than only technical outputs.</w:t>
      </w:r>
    </w:p>
    <w:p w:rsidRPr="00385E69" w:rsidR="00385E69" w:rsidP="6E4B1D18" w:rsidRDefault="00385E69" w14:textId="77777777" w14:paraId="0352B117">
      <w:pPr>
        <w:spacing w:before="100" w:beforeAutospacing="on" w:after="100" w:afterAutospacing="on" w:line="360" w:lineRule="auto"/>
        <w:outlineLvl w:val="3"/>
        <w:rPr>
          <w:rFonts w:ascii="Arial" w:hAnsi="Arial" w:eastAsia="Arial" w:cs="Arial"/>
          <w:b w:val="1"/>
          <w:bCs w:val="1"/>
          <w:sz w:val="22"/>
          <w:szCs w:val="22"/>
        </w:rPr>
      </w:pPr>
      <w:bookmarkStart w:name="_Toc180600052" w:id="4"/>
      <w:r w:rsidRPr="4EE5807E" w:rsidR="00385E69">
        <w:rPr>
          <w:rFonts w:ascii="Arial" w:hAnsi="Arial" w:eastAsia="Arial" w:cs="Arial"/>
          <w:b w:val="1"/>
          <w:bCs w:val="1"/>
          <w:kern w:val="0"/>
          <w:sz w:val="22"/>
          <w:szCs w:val="22"/>
          <w14:ligatures w14:val="none"/>
        </w:rPr>
        <w:t>3.4 Stakeholders and capability requirements</w:t>
      </w:r>
      <w:bookmarkEnd w:id="4"/>
    </w:p>
    <w:p w:rsidRPr="00385E69" w:rsidR="00385E69" w:rsidP="6E4B1D18" w:rsidRDefault="00385E69" w14:textId="582C04F2" w14:paraId="21E0DBDC">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Tesco’s innovation outcomes depend on multiple stakeholders. Customers are the primary value recipients, but colleagues in stores and fulfilment centres influence whether digital promises are delivered. Suppliers are also </w:t>
      </w:r>
      <w:r w:rsidRPr="4EE5807E" w:rsidR="00385E69">
        <w:rPr>
          <w:rFonts w:ascii="Arial" w:hAnsi="Arial" w:eastAsia="Arial" w:cs="Arial"/>
          <w:kern w:val="0"/>
          <w:sz w:val="22"/>
          <w:szCs w:val="22"/>
          <w14:ligatures w14:val="none"/>
        </w:rPr>
        <w:t>stakeholders, because</w:t>
      </w:r>
      <w:r w:rsidRPr="4EE5807E" w:rsidR="00385E69">
        <w:rPr>
          <w:rFonts w:ascii="Arial" w:hAnsi="Arial" w:eastAsia="Arial" w:cs="Arial"/>
          <w:kern w:val="0"/>
          <w:sz w:val="22"/>
          <w:szCs w:val="22"/>
          <w14:ligatures w14:val="none"/>
        </w:rPr>
        <w:t xml:space="preserve"> promotions and availability decisions shape demand patterns and inventory risk. Finally, regulators and civil society influence the “license to operate” through expectations about fair pricing, data </w:t>
      </w:r>
      <w:r w:rsidRPr="4EE5807E" w:rsidR="00385E69">
        <w:rPr>
          <w:rFonts w:ascii="Arial" w:hAnsi="Arial" w:eastAsia="Arial" w:cs="Arial"/>
          <w:kern w:val="0"/>
          <w:sz w:val="22"/>
          <w:szCs w:val="22"/>
          <w14:ligatures w14:val="none"/>
        </w:rPr>
        <w:t>privacy</w:t>
      </w:r>
      <w:r w:rsidRPr="4EE5807E" w:rsidR="00385E69">
        <w:rPr>
          <w:rFonts w:ascii="Arial" w:hAnsi="Arial" w:eastAsia="Arial" w:cs="Arial"/>
          <w:kern w:val="0"/>
          <w:sz w:val="22"/>
          <w:szCs w:val="22"/>
          <w14:ligatures w14:val="none"/>
        </w:rPr>
        <w:t xml:space="preserve"> and sustainability.</w:t>
      </w:r>
    </w:p>
    <w:p w:rsidRPr="00385E69" w:rsidR="00385E69" w:rsidP="4EE5807E" w:rsidRDefault="00385E69" w14:paraId="1DF01E55" w14:textId="77777777">
      <w:p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Capability requirements therefore span technology and people. Technically, Tesco needs accurate item-level inventory, robust customer identity and consent management, and reliable APIs connecting app experience to fulfilment operations. Organisationally, Tesco needs product management capability to design journeys, data science capability to build models, and operations capability to translate insights into execution. Training and incentives matter: if store targets prioritise speed at any cost, substitution quality may fall. If customer service metrics reward deflection rather than resolution, service recovery will suffer. A journey-based governance model that aligns incentives across functions supports consistent delivery.</w:t>
      </w:r>
    </w:p>
    <w:p w:rsidRPr="00385E69" w:rsidR="00385E69" w:rsidP="4EE5807E" w:rsidRDefault="00385E69" w14:paraId="1FC85F93" w14:textId="77777777">
      <w:pPr>
        <w:spacing w:before="100" w:beforeAutospacing="1" w:after="100" w:afterAutospacing="1" w:line="360" w:lineRule="auto"/>
        <w:rPr>
          <w:rFonts w:ascii="Arial" w:hAnsi="Arial" w:eastAsia="Arial" w:cs="Arial"/>
          <w:kern w:val="0"/>
          <w:sz w:val="22"/>
          <w:szCs w:val="22"/>
          <w14:ligatures w14:val="none"/>
        </w:rPr>
      </w:pPr>
    </w:p>
    <w:p w:rsidRPr="00385E69" w:rsidR="00385E69" w:rsidP="6E4B1D18" w:rsidRDefault="00385E69" w14:paraId="629B69DF" w14:textId="77777777">
      <w:pPr>
        <w:pStyle w:val="Title"/>
        <w:spacing w:line="360" w:lineRule="auto"/>
        <w:rPr>
          <w:rFonts w:ascii="Arial" w:hAnsi="Arial" w:eastAsia="Arial" w:cs="Arial"/>
          <w:b w:val="1"/>
          <w:bCs w:val="1"/>
          <w:sz w:val="22"/>
          <w:szCs w:val="22"/>
        </w:rPr>
      </w:pPr>
      <w:r w:rsidRPr="6E4B1D18" w:rsidR="00385E69">
        <w:rPr>
          <w:rFonts w:ascii="Arial" w:hAnsi="Arial" w:eastAsia="Arial" w:cs="Arial"/>
          <w:b w:val="1"/>
          <w:bCs w:val="1"/>
          <w:sz w:val="22"/>
          <w:szCs w:val="22"/>
        </w:rPr>
        <w:t>4. Part 2: Proposed digital transformation initiative</w:t>
      </w:r>
    </w:p>
    <w:p w:rsidRPr="00385E69" w:rsidR="00385E69" w:rsidP="6E4B1D18" w:rsidRDefault="00385E69" w14:textId="77777777" w14:paraId="60AE5602">
      <w:pPr>
        <w:spacing w:before="100" w:beforeAutospacing="on" w:after="100" w:afterAutospacing="on" w:line="360" w:lineRule="auto"/>
        <w:outlineLvl w:val="3"/>
        <w:rPr>
          <w:rFonts w:ascii="Arial" w:hAnsi="Arial" w:eastAsia="Arial" w:cs="Arial"/>
          <w:b w:val="1"/>
          <w:bCs w:val="1"/>
          <w:sz w:val="22"/>
          <w:szCs w:val="22"/>
        </w:rPr>
      </w:pPr>
      <w:bookmarkStart w:name="_Toc697942852" w:id="5"/>
      <w:r w:rsidRPr="4EE5807E" w:rsidR="00385E69">
        <w:rPr>
          <w:rFonts w:ascii="Arial" w:hAnsi="Arial" w:eastAsia="Arial" w:cs="Arial"/>
          <w:b w:val="1"/>
          <w:bCs w:val="1"/>
          <w:kern w:val="0"/>
          <w:sz w:val="22"/>
          <w:szCs w:val="22"/>
          <w14:ligatures w14:val="none"/>
        </w:rPr>
        <w:t>4.1 Initiative overview: Tesco Personal Shopping Companion</w:t>
      </w:r>
      <w:bookmarkEnd w:id="5"/>
    </w:p>
    <w:p w:rsidRPr="00385E69" w:rsidR="00385E69" w:rsidP="4EE5807E" w:rsidRDefault="00385E69" w14:paraId="7F3AE0BD" w14:textId="77777777">
      <w:p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The proposed initiative is an AI-enabled Tesco Personal Shopping Companion integrated into the Tesco app and online grocery journey. Its purpose is to reduce customer effort, increase perceived fairness of personalised offers, and improve fulfilment satisfaction by managing substitutions proactively. The initiative combines three capabilities.</w:t>
      </w:r>
    </w:p>
    <w:p w:rsidRPr="00385E69" w:rsidR="00385E69" w:rsidP="6E4B1D18" w:rsidRDefault="00385E69" w14:textId="44F9393C" w14:paraId="26505F27">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Capability one is personalised planning. The companion creates smart lists and meal plans based on household purchase history, </w:t>
      </w:r>
      <w:r w:rsidRPr="4EE5807E" w:rsidR="00385E69">
        <w:rPr>
          <w:rFonts w:ascii="Arial" w:hAnsi="Arial" w:eastAsia="Arial" w:cs="Arial"/>
          <w:kern w:val="0"/>
          <w:sz w:val="22"/>
          <w:szCs w:val="22"/>
          <w14:ligatures w14:val="none"/>
        </w:rPr>
        <w:t>stated</w:t>
      </w:r>
      <w:r w:rsidRPr="4EE5807E" w:rsidR="00385E69">
        <w:rPr>
          <w:rFonts w:ascii="Arial" w:hAnsi="Arial" w:eastAsia="Arial" w:cs="Arial"/>
          <w:kern w:val="0"/>
          <w:sz w:val="22"/>
          <w:szCs w:val="22"/>
          <w14:ligatures w14:val="none"/>
        </w:rPr>
        <w:t xml:space="preserve"> dietary requirements, allergies, and “rules” set by the customer, such as </w:t>
      </w:r>
      <w:r w:rsidRPr="4EE5807E" w:rsidR="00385E69">
        <w:rPr>
          <w:rFonts w:ascii="Arial" w:hAnsi="Arial" w:eastAsia="Arial" w:cs="Arial"/>
          <w:kern w:val="0"/>
          <w:sz w:val="22"/>
          <w:szCs w:val="22"/>
          <w14:ligatures w14:val="none"/>
        </w:rPr>
        <w:t>maximum</w:t>
      </w:r>
      <w:r w:rsidRPr="4EE5807E" w:rsidR="00385E69">
        <w:rPr>
          <w:rFonts w:ascii="Arial" w:hAnsi="Arial" w:eastAsia="Arial" w:cs="Arial"/>
          <w:kern w:val="0"/>
          <w:sz w:val="22"/>
          <w:szCs w:val="22"/>
          <w14:ligatures w14:val="none"/>
        </w:rPr>
        <w:t xml:space="preserve"> weekly spend or preferred brands. Customers can turn features on or off, which supports agency and reduces privacy concerns.</w:t>
      </w:r>
    </w:p>
    <w:p w:rsidRPr="00385E69" w:rsidR="00385E69" w:rsidP="6E4B1D18" w:rsidRDefault="00385E69" w14:textId="77777777" w14:paraId="4A65D080">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Capability two is transparent value optimisation. Rather than simply presenting deals, the companion explains how prices and offers influence the basket. It shows “with </w:t>
      </w:r>
      <w:r w:rsidRPr="4EE5807E" w:rsidR="00385E69">
        <w:rPr>
          <w:rFonts w:ascii="Arial" w:hAnsi="Arial" w:eastAsia="Arial" w:cs="Arial"/>
          <w:kern w:val="0"/>
          <w:sz w:val="22"/>
          <w:szCs w:val="22"/>
          <w14:ligatures w14:val="none"/>
        </w:rPr>
        <w:t>Clubcard</w:t>
      </w:r>
      <w:r w:rsidRPr="4EE5807E" w:rsidR="00385E69">
        <w:rPr>
          <w:rFonts w:ascii="Arial" w:hAnsi="Arial" w:eastAsia="Arial" w:cs="Arial"/>
          <w:kern w:val="0"/>
          <w:sz w:val="22"/>
          <w:szCs w:val="22"/>
          <w14:ligatures w14:val="none"/>
        </w:rPr>
        <w:t xml:space="preserve">” and “without </w:t>
      </w:r>
      <w:r w:rsidRPr="4EE5807E" w:rsidR="00385E69">
        <w:rPr>
          <w:rFonts w:ascii="Arial" w:hAnsi="Arial" w:eastAsia="Arial" w:cs="Arial"/>
          <w:kern w:val="0"/>
          <w:sz w:val="22"/>
          <w:szCs w:val="22"/>
          <w14:ligatures w14:val="none"/>
        </w:rPr>
        <w:t>Clubcard</w:t>
      </w:r>
      <w:r w:rsidRPr="4EE5807E" w:rsidR="00385E69">
        <w:rPr>
          <w:rFonts w:ascii="Arial" w:hAnsi="Arial" w:eastAsia="Arial" w:cs="Arial"/>
          <w:kern w:val="0"/>
          <w:sz w:val="22"/>
          <w:szCs w:val="22"/>
          <w14:ligatures w14:val="none"/>
        </w:rPr>
        <w:t>” totals, highlights savings drivers and suggests alternatives that meet customer rules, such as switching to a comparable own-brand option or a better unit-price pack. Importantly, it uses explainable prompts, so the customer understands why an item is recommended, aligning with guidance on trustworthy AI and transparent communications (ICO, 2023).</w:t>
      </w:r>
    </w:p>
    <w:p w:rsidRPr="00385E69" w:rsidR="00385E69" w:rsidP="7DB61FED" w:rsidRDefault="00385E69" w14:paraId="1966EFD3" w14:textId="653CD959">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Capability three is substitution and service-recovery automation. Before checkout, customers set substitution preferences at a granular level, for example “never substitute branded baby formula” or “substitute within 10% of price for fresh produce”. The system learns from acceptance and rejection behaviour. During picking, it predicts </w:t>
      </w:r>
      <w:r w:rsidRPr="4EE5807E" w:rsidR="00385E69">
        <w:rPr>
          <w:rFonts w:ascii="Arial" w:hAnsi="Arial" w:eastAsia="Arial" w:cs="Arial"/>
          <w:kern w:val="0"/>
          <w:sz w:val="22"/>
          <w:szCs w:val="22"/>
          <w14:ligatures w14:val="none"/>
        </w:rPr>
        <w:t>likely stock</w:t>
      </w:r>
      <w:r w:rsidRPr="4EE5807E" w:rsidR="00385E69">
        <w:rPr>
          <w:rFonts w:ascii="Arial" w:hAnsi="Arial" w:eastAsia="Arial" w:cs="Arial"/>
          <w:kern w:val="0"/>
          <w:sz w:val="22"/>
          <w:szCs w:val="22"/>
          <w14:ligatures w14:val="none"/>
        </w:rPr>
        <w:t xml:space="preserve"> issues, flags them early and proposes substitute candidates ranked by similarity and prior acceptance. If something goes wrong, the companion offers an instant resolution pathway.</w:t>
      </w:r>
    </w:p>
    <w:p w:rsidR="7DB61FED" w:rsidP="7DB61FED" w:rsidRDefault="7DB61FED" w14:paraId="3D80534F" w14:textId="0A63A3EE">
      <w:pPr>
        <w:spacing w:beforeAutospacing="on" w:afterAutospacing="on" w:line="360" w:lineRule="auto"/>
        <w:rPr>
          <w:rFonts w:ascii="Arial" w:hAnsi="Arial" w:eastAsia="Arial" w:cs="Arial"/>
          <w:sz w:val="22"/>
          <w:szCs w:val="22"/>
        </w:rPr>
      </w:pPr>
    </w:p>
    <w:p w:rsidRPr="00385E69" w:rsidR="00385E69" w:rsidP="6E4B1D18" w:rsidRDefault="00385E69" w14:textId="77777777" w14:paraId="68CF79E1">
      <w:pPr>
        <w:spacing w:before="100" w:beforeAutospacing="on" w:after="100" w:afterAutospacing="on" w:line="360" w:lineRule="auto"/>
        <w:outlineLvl w:val="3"/>
        <w:rPr>
          <w:rFonts w:ascii="Arial" w:hAnsi="Arial" w:eastAsia="Arial" w:cs="Arial"/>
          <w:b w:val="1"/>
          <w:bCs w:val="1"/>
          <w:sz w:val="22"/>
          <w:szCs w:val="22"/>
        </w:rPr>
      </w:pPr>
      <w:bookmarkStart w:name="_Toc969297807" w:id="6"/>
      <w:r w:rsidRPr="4EE5807E" w:rsidR="00385E69">
        <w:rPr>
          <w:rFonts w:ascii="Arial" w:hAnsi="Arial" w:eastAsia="Arial" w:cs="Arial"/>
          <w:b w:val="1"/>
          <w:bCs w:val="1"/>
          <w:kern w:val="0"/>
          <w:sz w:val="22"/>
          <w:szCs w:val="22"/>
          <w14:ligatures w14:val="none"/>
        </w:rPr>
        <w:t>4.2 Enhanced customer journey</w:t>
      </w:r>
      <w:bookmarkEnd w:id="6"/>
    </w:p>
    <w:p w:rsidRPr="00385E69" w:rsidR="00385E69" w:rsidP="4EE5807E" w:rsidRDefault="00385E69" w14:paraId="62B9CBCD" w14:textId="3BE552FB">
      <w:p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Stage 1 planning (enhanced). When the customer opens the app, the companion offers a weekly planning dashboard showing predicted staples running low, likely household needs based on patterns, and an estimated basket cost range. The customer can set a budget and see in real time how the plan fits. The companion proposes meals and lists that balance budget, health and convenience. By reducing planning uncertainty, the feature supports value-seeking consumers and reduces switching.</w:t>
      </w:r>
    </w:p>
    <w:p w:rsidRPr="00385E69" w:rsidR="00385E69" w:rsidP="6E4B1D18" w:rsidRDefault="00385E69" w14:textId="5DD3B6B1" w14:paraId="22CC9ADF">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Stage 2 search and consideration (enhanced). As the customer browses, the companion provides clearer value signals: unit price comparisons, relevant coupons, and a “why this offer” explanation. If a product is at risk of unavailability, it is flagged with a probability indicator and suggested substitutes appear </w:t>
      </w:r>
      <w:r w:rsidRPr="4EE5807E" w:rsidR="00385E69">
        <w:rPr>
          <w:rFonts w:ascii="Arial" w:hAnsi="Arial" w:eastAsia="Arial" w:cs="Arial"/>
          <w:kern w:val="0"/>
          <w:sz w:val="22"/>
          <w:szCs w:val="22"/>
          <w14:ligatures w14:val="none"/>
        </w:rPr>
        <w:t>immediately</w:t>
      </w:r>
      <w:r w:rsidRPr="4EE5807E" w:rsidR="00385E69">
        <w:rPr>
          <w:rFonts w:ascii="Arial" w:hAnsi="Arial" w:eastAsia="Arial" w:cs="Arial"/>
          <w:kern w:val="0"/>
          <w:sz w:val="22"/>
          <w:szCs w:val="22"/>
          <w14:ligatures w14:val="none"/>
        </w:rPr>
        <w:t>. This reduces disappointment and supports informed choice.</w:t>
      </w:r>
    </w:p>
    <w:p w:rsidRPr="00385E69" w:rsidR="00385E69" w:rsidP="4EE5807E" w:rsidRDefault="00385E69" w14:paraId="6FF0F0FB" w14:textId="5DBBD6B8">
      <w:p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Stage 3 purchase and fulfilment (enhanced). For online orders, the companion confirms substitution rules, shows a fulfilment confidence indicator for the selected slot, and offers alternative slots if predicted accuracy is higher. For in-store shopping, the app can provide route guidance and remind customers of list items near their location. At delivery or collection, the customer receives a simple substitution summary with one-tap decisions. The companion also supports proactive messaging when delays occur, reducing anxiety.</w:t>
      </w:r>
    </w:p>
    <w:p w:rsidRPr="00385E69" w:rsidR="00385E69" w:rsidP="7DB61FED" w:rsidRDefault="00385E69" w14:textId="77777777" w14:paraId="502B95EE">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Stage 4 consumption and evaluation (enhanced). The companion prompts lightweight feedback, for example rating a substitute or reporting freshness issues. Feedback triggers learning and, where necessary, immediate service recovery. Stage 5 loyalty (enhanced). The companion converts behaviour into meaningful loyalty benefits, allowing customers to choose reward types, such as money-off, points acceleration or sustainability-linked rewards, which can strengthen emotional loyalty.</w:t>
      </w:r>
    </w:p>
    <w:p w:rsidRPr="00385E69" w:rsidR="00385E69" w:rsidP="7DB61FED" w:rsidRDefault="00385E69" w14:paraId="4DCC5B9C" w14:textId="23F27DA0">
      <w:pPr>
        <w:spacing w:before="100" w:beforeAutospacing="on" w:after="100" w:afterAutospacing="on" w:line="360" w:lineRule="auto"/>
        <w:rPr>
          <w:rFonts w:ascii="Arial" w:hAnsi="Arial" w:eastAsia="Arial" w:cs="Arial"/>
          <w:sz w:val="22"/>
          <w:szCs w:val="22"/>
        </w:rPr>
      </w:pPr>
    </w:p>
    <w:tbl>
      <w:tblPr>
        <w:tblStyle w:val="TableGrid"/>
        <w:tblW w:w="0" w:type="auto"/>
        <w:tblLook w:val="06A0" w:firstRow="1" w:lastRow="0" w:firstColumn="1" w:lastColumn="0" w:noHBand="1" w:noVBand="1"/>
      </w:tblPr>
      <w:tblGrid>
        <w:gridCol w:w="2254"/>
        <w:gridCol w:w="2254"/>
        <w:gridCol w:w="2254"/>
        <w:gridCol w:w="2254"/>
      </w:tblGrid>
      <w:tr w:rsidR="7DB61FED" w:rsidTr="7DB61FED" w14:paraId="7A664390">
        <w:trPr>
          <w:trHeight w:val="300"/>
        </w:trPr>
        <w:tc>
          <w:tcPr>
            <w:tcW w:w="2254" w:type="dxa"/>
            <w:tcMar/>
          </w:tcPr>
          <w:p w:rsidR="3961F666" w:rsidP="7DB61FED" w:rsidRDefault="3961F666" w14:paraId="4DDD2A89" w14:textId="5DF2B4AC">
            <w:pPr>
              <w:pStyle w:val="Normal"/>
              <w:spacing w:line="360" w:lineRule="auto"/>
              <w:rPr>
                <w:rFonts w:ascii="Arial" w:hAnsi="Arial" w:eastAsia="Arial" w:cs="Arial"/>
                <w:b w:val="1"/>
                <w:bCs w:val="1"/>
                <w:sz w:val="22"/>
                <w:szCs w:val="22"/>
              </w:rPr>
            </w:pPr>
            <w:r w:rsidRPr="7DB61FED" w:rsidR="3961F666">
              <w:rPr>
                <w:rFonts w:ascii="Arial" w:hAnsi="Arial" w:eastAsia="Arial" w:cs="Arial"/>
                <w:b w:val="1"/>
                <w:bCs w:val="1"/>
                <w:sz w:val="22"/>
                <w:szCs w:val="22"/>
              </w:rPr>
              <w:t xml:space="preserve">Stage </w:t>
            </w:r>
          </w:p>
        </w:tc>
        <w:tc>
          <w:tcPr>
            <w:tcW w:w="2254" w:type="dxa"/>
            <w:tcMar/>
          </w:tcPr>
          <w:p w:rsidR="3961F666" w:rsidP="7DB61FED" w:rsidRDefault="3961F666" w14:paraId="6688BCB1" w14:textId="37760416">
            <w:pPr>
              <w:pStyle w:val="Normal"/>
              <w:spacing w:line="360" w:lineRule="auto"/>
              <w:rPr>
                <w:rFonts w:ascii="Arial" w:hAnsi="Arial" w:eastAsia="Arial" w:cs="Arial"/>
                <w:b w:val="1"/>
                <w:bCs w:val="1"/>
                <w:sz w:val="22"/>
                <w:szCs w:val="22"/>
              </w:rPr>
            </w:pPr>
            <w:r w:rsidRPr="7DB61FED" w:rsidR="3961F666">
              <w:rPr>
                <w:rFonts w:ascii="Arial" w:hAnsi="Arial" w:eastAsia="Arial" w:cs="Arial"/>
                <w:b w:val="1"/>
                <w:bCs w:val="1"/>
                <w:sz w:val="22"/>
                <w:szCs w:val="22"/>
              </w:rPr>
              <w:t xml:space="preserve">Digital enhancement </w:t>
            </w:r>
          </w:p>
        </w:tc>
        <w:tc>
          <w:tcPr>
            <w:tcW w:w="2254" w:type="dxa"/>
            <w:tcMar/>
          </w:tcPr>
          <w:p w:rsidR="3961F666" w:rsidP="7DB61FED" w:rsidRDefault="3961F666" w14:paraId="1B046BC0" w14:textId="5EDEBC60">
            <w:pPr>
              <w:pStyle w:val="Normal"/>
              <w:spacing w:line="360" w:lineRule="auto"/>
              <w:rPr>
                <w:rFonts w:ascii="Arial" w:hAnsi="Arial" w:eastAsia="Arial" w:cs="Arial"/>
                <w:b w:val="1"/>
                <w:bCs w:val="1"/>
                <w:sz w:val="22"/>
                <w:szCs w:val="22"/>
              </w:rPr>
            </w:pPr>
            <w:r w:rsidRPr="7DB61FED" w:rsidR="3961F666">
              <w:rPr>
                <w:rFonts w:ascii="Arial" w:hAnsi="Arial" w:eastAsia="Arial" w:cs="Arial"/>
                <w:b w:val="1"/>
                <w:bCs w:val="1"/>
                <w:sz w:val="22"/>
                <w:szCs w:val="22"/>
              </w:rPr>
              <w:t>Customer benefit</w:t>
            </w:r>
          </w:p>
        </w:tc>
        <w:tc>
          <w:tcPr>
            <w:tcW w:w="2254" w:type="dxa"/>
            <w:tcMar/>
          </w:tcPr>
          <w:p w:rsidR="3961F666" w:rsidP="7DB61FED" w:rsidRDefault="3961F666" w14:paraId="0283F68A" w14:textId="658F9337">
            <w:pPr>
              <w:pStyle w:val="Normal"/>
              <w:spacing w:line="360" w:lineRule="auto"/>
              <w:rPr>
                <w:rFonts w:ascii="Arial" w:hAnsi="Arial" w:eastAsia="Arial" w:cs="Arial"/>
                <w:b w:val="1"/>
                <w:bCs w:val="1"/>
                <w:sz w:val="22"/>
                <w:szCs w:val="22"/>
              </w:rPr>
            </w:pPr>
            <w:r w:rsidRPr="7DB61FED" w:rsidR="3961F666">
              <w:rPr>
                <w:rFonts w:ascii="Arial" w:hAnsi="Arial" w:eastAsia="Arial" w:cs="Arial"/>
                <w:b w:val="1"/>
                <w:bCs w:val="1"/>
                <w:sz w:val="22"/>
                <w:szCs w:val="22"/>
              </w:rPr>
              <w:t>Emotional state</w:t>
            </w:r>
          </w:p>
        </w:tc>
      </w:tr>
      <w:tr w:rsidR="7DB61FED" w:rsidTr="7DB61FED" w14:paraId="715B720D">
        <w:trPr>
          <w:trHeight w:val="300"/>
        </w:trPr>
        <w:tc>
          <w:tcPr>
            <w:tcW w:w="2254" w:type="dxa"/>
            <w:tcMar/>
          </w:tcPr>
          <w:p w:rsidR="3961F666" w:rsidP="7DB61FED" w:rsidRDefault="3961F666" w14:paraId="2693D47E" w14:textId="011E2B47">
            <w:pPr>
              <w:pStyle w:val="Normal"/>
              <w:spacing w:line="360" w:lineRule="auto"/>
              <w:rPr>
                <w:rFonts w:ascii="Arial" w:hAnsi="Arial" w:eastAsia="Arial" w:cs="Arial"/>
                <w:b w:val="1"/>
                <w:bCs w:val="1"/>
                <w:sz w:val="22"/>
                <w:szCs w:val="22"/>
              </w:rPr>
            </w:pPr>
            <w:r w:rsidRPr="7DB61FED" w:rsidR="3961F666">
              <w:rPr>
                <w:rFonts w:ascii="Arial" w:hAnsi="Arial" w:eastAsia="Arial" w:cs="Arial"/>
                <w:b w:val="1"/>
                <w:bCs w:val="1"/>
                <w:sz w:val="22"/>
                <w:szCs w:val="22"/>
              </w:rPr>
              <w:t>Need recognition</w:t>
            </w:r>
          </w:p>
        </w:tc>
        <w:tc>
          <w:tcPr>
            <w:tcW w:w="2254" w:type="dxa"/>
            <w:tcMar/>
          </w:tcPr>
          <w:p w:rsidR="3961F666" w:rsidP="7DB61FED" w:rsidRDefault="3961F666" w14:paraId="351EE322" w14:textId="0F4B17F8">
            <w:pPr>
              <w:pStyle w:val="Normal"/>
              <w:spacing w:line="360" w:lineRule="auto"/>
              <w:rPr>
                <w:rFonts w:ascii="Arial" w:hAnsi="Arial" w:eastAsia="Arial" w:cs="Arial"/>
                <w:sz w:val="22"/>
                <w:szCs w:val="22"/>
              </w:rPr>
            </w:pPr>
            <w:r w:rsidRPr="7DB61FED" w:rsidR="3961F666">
              <w:rPr>
                <w:rFonts w:ascii="Arial" w:hAnsi="Arial" w:eastAsia="Arial" w:cs="Arial"/>
                <w:sz w:val="22"/>
                <w:szCs w:val="22"/>
              </w:rPr>
              <w:t xml:space="preserve">AI predicts shopping needs </w:t>
            </w:r>
          </w:p>
        </w:tc>
        <w:tc>
          <w:tcPr>
            <w:tcW w:w="2254" w:type="dxa"/>
            <w:tcMar/>
          </w:tcPr>
          <w:p w:rsidR="3961F666" w:rsidP="7DB61FED" w:rsidRDefault="3961F666" w14:paraId="385CB158" w14:textId="26D0F49E">
            <w:pPr>
              <w:pStyle w:val="Normal"/>
              <w:spacing w:line="360" w:lineRule="auto"/>
              <w:rPr>
                <w:rFonts w:ascii="Arial" w:hAnsi="Arial" w:eastAsia="Arial" w:cs="Arial"/>
                <w:sz w:val="22"/>
                <w:szCs w:val="22"/>
              </w:rPr>
            </w:pPr>
            <w:r w:rsidRPr="7DB61FED" w:rsidR="3961F666">
              <w:rPr>
                <w:rFonts w:ascii="Arial" w:hAnsi="Arial" w:eastAsia="Arial" w:cs="Arial"/>
                <w:sz w:val="22"/>
                <w:szCs w:val="22"/>
              </w:rPr>
              <w:t xml:space="preserve">Auto-generated smart list </w:t>
            </w:r>
          </w:p>
        </w:tc>
        <w:tc>
          <w:tcPr>
            <w:tcW w:w="2254" w:type="dxa"/>
            <w:tcMar/>
          </w:tcPr>
          <w:p w:rsidR="3961F666" w:rsidP="7DB61FED" w:rsidRDefault="3961F666" w14:paraId="2F2B8845" w14:textId="1A84D11A">
            <w:pPr>
              <w:pStyle w:val="Normal"/>
              <w:suppressLineNumbers w:val="0"/>
              <w:bidi w:val="0"/>
              <w:spacing w:before="0" w:beforeAutospacing="off" w:after="0" w:afterAutospacing="off" w:line="360" w:lineRule="auto"/>
              <w:ind w:left="0" w:right="0"/>
              <w:jc w:val="left"/>
            </w:pPr>
            <w:r w:rsidRPr="7DB61FED" w:rsidR="3961F666">
              <w:rPr>
                <w:rFonts w:ascii="Arial" w:hAnsi="Arial" w:eastAsia="Arial" w:cs="Arial"/>
                <w:sz w:val="22"/>
                <w:szCs w:val="22"/>
              </w:rPr>
              <w:t xml:space="preserve">Convenience </w:t>
            </w:r>
          </w:p>
        </w:tc>
      </w:tr>
      <w:tr w:rsidR="7DB61FED" w:rsidTr="7DB61FED" w14:paraId="6A1943C2">
        <w:trPr>
          <w:trHeight w:val="300"/>
        </w:trPr>
        <w:tc>
          <w:tcPr>
            <w:tcW w:w="2254" w:type="dxa"/>
            <w:tcMar/>
          </w:tcPr>
          <w:p w:rsidR="3961F666" w:rsidP="7DB61FED" w:rsidRDefault="3961F666" w14:paraId="09C6783E" w14:textId="139991E9">
            <w:pPr>
              <w:pStyle w:val="Normal"/>
              <w:spacing w:line="360" w:lineRule="auto"/>
              <w:rPr>
                <w:rFonts w:ascii="Arial" w:hAnsi="Arial" w:eastAsia="Arial" w:cs="Arial"/>
                <w:b w:val="1"/>
                <w:bCs w:val="1"/>
                <w:sz w:val="22"/>
                <w:szCs w:val="22"/>
              </w:rPr>
            </w:pPr>
            <w:r w:rsidRPr="7DB61FED" w:rsidR="3961F666">
              <w:rPr>
                <w:rFonts w:ascii="Arial" w:hAnsi="Arial" w:eastAsia="Arial" w:cs="Arial"/>
                <w:b w:val="1"/>
                <w:bCs w:val="1"/>
                <w:sz w:val="22"/>
                <w:szCs w:val="22"/>
              </w:rPr>
              <w:t xml:space="preserve">Planning </w:t>
            </w:r>
          </w:p>
        </w:tc>
        <w:tc>
          <w:tcPr>
            <w:tcW w:w="2254" w:type="dxa"/>
            <w:tcMar/>
          </w:tcPr>
          <w:p w:rsidR="3961F666" w:rsidP="7DB61FED" w:rsidRDefault="3961F666" w14:paraId="058D3947" w14:textId="3BD386F9">
            <w:pPr>
              <w:pStyle w:val="Normal"/>
              <w:spacing w:line="360" w:lineRule="auto"/>
              <w:rPr>
                <w:rFonts w:ascii="Arial" w:hAnsi="Arial" w:eastAsia="Arial" w:cs="Arial"/>
                <w:sz w:val="22"/>
                <w:szCs w:val="22"/>
              </w:rPr>
            </w:pPr>
            <w:r w:rsidRPr="7DB61FED" w:rsidR="3961F666">
              <w:rPr>
                <w:rFonts w:ascii="Arial" w:hAnsi="Arial" w:eastAsia="Arial" w:cs="Arial"/>
                <w:sz w:val="22"/>
                <w:szCs w:val="22"/>
              </w:rPr>
              <w:t xml:space="preserve">Real-time budget tracker </w:t>
            </w:r>
          </w:p>
        </w:tc>
        <w:tc>
          <w:tcPr>
            <w:tcW w:w="2254" w:type="dxa"/>
            <w:tcMar/>
          </w:tcPr>
          <w:p w:rsidR="3961F666" w:rsidP="7DB61FED" w:rsidRDefault="3961F666" w14:paraId="3136277B" w14:textId="7116AA5E">
            <w:pPr>
              <w:pStyle w:val="Normal"/>
              <w:spacing w:line="360" w:lineRule="auto"/>
              <w:rPr>
                <w:rFonts w:ascii="Arial" w:hAnsi="Arial" w:eastAsia="Arial" w:cs="Arial"/>
                <w:sz w:val="22"/>
                <w:szCs w:val="22"/>
              </w:rPr>
            </w:pPr>
            <w:r w:rsidRPr="7DB61FED" w:rsidR="3961F666">
              <w:rPr>
                <w:rFonts w:ascii="Arial" w:hAnsi="Arial" w:eastAsia="Arial" w:cs="Arial"/>
                <w:sz w:val="22"/>
                <w:szCs w:val="22"/>
              </w:rPr>
              <w:t>Transparent savings</w:t>
            </w:r>
          </w:p>
        </w:tc>
        <w:tc>
          <w:tcPr>
            <w:tcW w:w="2254" w:type="dxa"/>
            <w:tcMar/>
          </w:tcPr>
          <w:p w:rsidR="3961F666" w:rsidP="7DB61FED" w:rsidRDefault="3961F666" w14:paraId="7C436191" w14:textId="0FA9FE9A">
            <w:pPr>
              <w:pStyle w:val="Normal"/>
              <w:spacing w:line="360" w:lineRule="auto"/>
              <w:rPr>
                <w:rFonts w:ascii="Arial" w:hAnsi="Arial" w:eastAsia="Arial" w:cs="Arial"/>
                <w:sz w:val="22"/>
                <w:szCs w:val="22"/>
              </w:rPr>
            </w:pPr>
            <w:r w:rsidRPr="7DB61FED" w:rsidR="3961F666">
              <w:rPr>
                <w:rFonts w:ascii="Arial" w:hAnsi="Arial" w:eastAsia="Arial" w:cs="Arial"/>
                <w:sz w:val="22"/>
                <w:szCs w:val="22"/>
              </w:rPr>
              <w:t>Confidence</w:t>
            </w:r>
            <w:r w:rsidRPr="7DB61FED" w:rsidR="3961F666">
              <w:rPr>
                <w:rFonts w:ascii="Arial" w:hAnsi="Arial" w:eastAsia="Arial" w:cs="Arial"/>
                <w:sz w:val="22"/>
                <w:szCs w:val="22"/>
              </w:rPr>
              <w:t xml:space="preserve"> </w:t>
            </w:r>
          </w:p>
        </w:tc>
      </w:tr>
      <w:tr w:rsidR="7DB61FED" w:rsidTr="7DB61FED" w14:paraId="636329F0">
        <w:trPr>
          <w:trHeight w:val="300"/>
        </w:trPr>
        <w:tc>
          <w:tcPr>
            <w:tcW w:w="2254" w:type="dxa"/>
            <w:tcMar/>
          </w:tcPr>
          <w:p w:rsidR="3961F666" w:rsidP="7DB61FED" w:rsidRDefault="3961F666" w14:paraId="4AAF1A10" w14:textId="70FE9F50">
            <w:pPr>
              <w:pStyle w:val="Normal"/>
              <w:spacing w:line="360" w:lineRule="auto"/>
              <w:rPr>
                <w:rFonts w:ascii="Arial" w:hAnsi="Arial" w:eastAsia="Arial" w:cs="Arial"/>
                <w:b w:val="1"/>
                <w:bCs w:val="1"/>
                <w:sz w:val="22"/>
                <w:szCs w:val="22"/>
              </w:rPr>
            </w:pPr>
            <w:r w:rsidRPr="7DB61FED" w:rsidR="3961F666">
              <w:rPr>
                <w:rFonts w:ascii="Arial" w:hAnsi="Arial" w:eastAsia="Arial" w:cs="Arial"/>
                <w:b w:val="1"/>
                <w:bCs w:val="1"/>
                <w:sz w:val="22"/>
                <w:szCs w:val="22"/>
              </w:rPr>
              <w:t>purchase</w:t>
            </w:r>
          </w:p>
        </w:tc>
        <w:tc>
          <w:tcPr>
            <w:tcW w:w="2254" w:type="dxa"/>
            <w:tcMar/>
          </w:tcPr>
          <w:p w:rsidR="3961F666" w:rsidP="7DB61FED" w:rsidRDefault="3961F666" w14:paraId="02F44233" w14:textId="7C4ECE98">
            <w:pPr>
              <w:pStyle w:val="Normal"/>
              <w:spacing w:line="360" w:lineRule="auto"/>
              <w:rPr>
                <w:rFonts w:ascii="Arial" w:hAnsi="Arial" w:eastAsia="Arial" w:cs="Arial"/>
                <w:sz w:val="22"/>
                <w:szCs w:val="22"/>
              </w:rPr>
            </w:pPr>
            <w:r w:rsidRPr="7DB61FED" w:rsidR="3961F666">
              <w:rPr>
                <w:rFonts w:ascii="Arial" w:hAnsi="Arial" w:eastAsia="Arial" w:cs="Arial"/>
                <w:sz w:val="22"/>
                <w:szCs w:val="22"/>
              </w:rPr>
              <w:t>Smart substitution logic</w:t>
            </w:r>
          </w:p>
        </w:tc>
        <w:tc>
          <w:tcPr>
            <w:tcW w:w="2254" w:type="dxa"/>
            <w:tcMar/>
          </w:tcPr>
          <w:p w:rsidR="3961F666" w:rsidP="7DB61FED" w:rsidRDefault="3961F666" w14:paraId="6F1C3F22" w14:textId="2879BBFE">
            <w:pPr>
              <w:pStyle w:val="Normal"/>
              <w:spacing w:line="360" w:lineRule="auto"/>
              <w:rPr>
                <w:rFonts w:ascii="Arial" w:hAnsi="Arial" w:eastAsia="Arial" w:cs="Arial"/>
                <w:sz w:val="22"/>
                <w:szCs w:val="22"/>
              </w:rPr>
            </w:pPr>
            <w:r w:rsidRPr="7DB61FED" w:rsidR="3961F666">
              <w:rPr>
                <w:rFonts w:ascii="Arial" w:hAnsi="Arial" w:eastAsia="Arial" w:cs="Arial"/>
                <w:sz w:val="22"/>
                <w:szCs w:val="22"/>
              </w:rPr>
              <w:t>Fewer rejected items</w:t>
            </w:r>
          </w:p>
        </w:tc>
        <w:tc>
          <w:tcPr>
            <w:tcW w:w="2254" w:type="dxa"/>
            <w:tcMar/>
          </w:tcPr>
          <w:p w:rsidR="3961F666" w:rsidP="7DB61FED" w:rsidRDefault="3961F666" w14:paraId="2B29EF8E" w14:textId="668232EA">
            <w:pPr>
              <w:pStyle w:val="Normal"/>
              <w:spacing w:line="360" w:lineRule="auto"/>
              <w:rPr>
                <w:rFonts w:ascii="Arial" w:hAnsi="Arial" w:eastAsia="Arial" w:cs="Arial"/>
                <w:sz w:val="22"/>
                <w:szCs w:val="22"/>
              </w:rPr>
            </w:pPr>
            <w:r w:rsidRPr="7DB61FED" w:rsidR="3961F666">
              <w:rPr>
                <w:rFonts w:ascii="Arial" w:hAnsi="Arial" w:eastAsia="Arial" w:cs="Arial"/>
                <w:sz w:val="22"/>
                <w:szCs w:val="22"/>
              </w:rPr>
              <w:t xml:space="preserve">Trust </w:t>
            </w:r>
          </w:p>
        </w:tc>
      </w:tr>
      <w:tr w:rsidR="7DB61FED" w:rsidTr="7DB61FED" w14:paraId="0DE0AC0A">
        <w:trPr>
          <w:trHeight w:val="300"/>
        </w:trPr>
        <w:tc>
          <w:tcPr>
            <w:tcW w:w="2254" w:type="dxa"/>
            <w:tcMar/>
          </w:tcPr>
          <w:p w:rsidR="3961F666" w:rsidP="7DB61FED" w:rsidRDefault="3961F666" w14:paraId="0793D388" w14:textId="29633569">
            <w:pPr>
              <w:pStyle w:val="Normal"/>
              <w:spacing w:line="360" w:lineRule="auto"/>
              <w:rPr>
                <w:rFonts w:ascii="Arial" w:hAnsi="Arial" w:eastAsia="Arial" w:cs="Arial"/>
                <w:b w:val="1"/>
                <w:bCs w:val="1"/>
                <w:sz w:val="22"/>
                <w:szCs w:val="22"/>
              </w:rPr>
            </w:pPr>
            <w:r w:rsidRPr="7DB61FED" w:rsidR="3961F666">
              <w:rPr>
                <w:rFonts w:ascii="Arial" w:hAnsi="Arial" w:eastAsia="Arial" w:cs="Arial"/>
                <w:b w:val="1"/>
                <w:bCs w:val="1"/>
                <w:sz w:val="22"/>
                <w:szCs w:val="22"/>
              </w:rPr>
              <w:t xml:space="preserve">Fulfilment </w:t>
            </w:r>
          </w:p>
        </w:tc>
        <w:tc>
          <w:tcPr>
            <w:tcW w:w="2254" w:type="dxa"/>
            <w:tcMar/>
          </w:tcPr>
          <w:p w:rsidR="3961F666" w:rsidP="7DB61FED" w:rsidRDefault="3961F666" w14:paraId="5D1160E3" w14:textId="029FB228">
            <w:pPr>
              <w:pStyle w:val="Normal"/>
              <w:spacing w:line="360" w:lineRule="auto"/>
              <w:rPr>
                <w:rFonts w:ascii="Arial" w:hAnsi="Arial" w:eastAsia="Arial" w:cs="Arial"/>
                <w:sz w:val="22"/>
                <w:szCs w:val="22"/>
              </w:rPr>
            </w:pPr>
            <w:r w:rsidRPr="7DB61FED" w:rsidR="3961F666">
              <w:rPr>
                <w:rFonts w:ascii="Arial" w:hAnsi="Arial" w:eastAsia="Arial" w:cs="Arial"/>
                <w:sz w:val="22"/>
                <w:szCs w:val="22"/>
              </w:rPr>
              <w:t xml:space="preserve">Predictive delay alerts </w:t>
            </w:r>
          </w:p>
        </w:tc>
        <w:tc>
          <w:tcPr>
            <w:tcW w:w="2254" w:type="dxa"/>
            <w:tcMar/>
          </w:tcPr>
          <w:p w:rsidR="3961F666" w:rsidP="7DB61FED" w:rsidRDefault="3961F666" w14:paraId="4940B527" w14:textId="4272355B">
            <w:pPr>
              <w:pStyle w:val="Normal"/>
              <w:spacing w:line="360" w:lineRule="auto"/>
              <w:rPr>
                <w:rFonts w:ascii="Arial" w:hAnsi="Arial" w:eastAsia="Arial" w:cs="Arial"/>
                <w:sz w:val="22"/>
                <w:szCs w:val="22"/>
              </w:rPr>
            </w:pPr>
            <w:r w:rsidRPr="7DB61FED" w:rsidR="3961F666">
              <w:rPr>
                <w:rFonts w:ascii="Arial" w:hAnsi="Arial" w:eastAsia="Arial" w:cs="Arial"/>
                <w:sz w:val="22"/>
                <w:szCs w:val="22"/>
              </w:rPr>
              <w:t xml:space="preserve">Reduced </w:t>
            </w:r>
            <w:r w:rsidRPr="7DB61FED" w:rsidR="3961F666">
              <w:rPr>
                <w:rFonts w:ascii="Arial" w:hAnsi="Arial" w:eastAsia="Arial" w:cs="Arial"/>
                <w:sz w:val="22"/>
                <w:szCs w:val="22"/>
              </w:rPr>
              <w:t>uncertainty</w:t>
            </w:r>
            <w:r w:rsidRPr="7DB61FED" w:rsidR="3961F666">
              <w:rPr>
                <w:rFonts w:ascii="Arial" w:hAnsi="Arial" w:eastAsia="Arial" w:cs="Arial"/>
                <w:sz w:val="22"/>
                <w:szCs w:val="22"/>
              </w:rPr>
              <w:t xml:space="preserve"> </w:t>
            </w:r>
          </w:p>
        </w:tc>
        <w:tc>
          <w:tcPr>
            <w:tcW w:w="2254" w:type="dxa"/>
            <w:tcMar/>
          </w:tcPr>
          <w:p w:rsidR="3961F666" w:rsidP="7DB61FED" w:rsidRDefault="3961F666" w14:paraId="24C3F761" w14:textId="04714398">
            <w:pPr>
              <w:pStyle w:val="Normal"/>
              <w:spacing w:line="360" w:lineRule="auto"/>
              <w:rPr>
                <w:rFonts w:ascii="Arial" w:hAnsi="Arial" w:eastAsia="Arial" w:cs="Arial"/>
                <w:sz w:val="22"/>
                <w:szCs w:val="22"/>
              </w:rPr>
            </w:pPr>
            <w:r w:rsidRPr="7DB61FED" w:rsidR="3961F666">
              <w:rPr>
                <w:rFonts w:ascii="Arial" w:hAnsi="Arial" w:eastAsia="Arial" w:cs="Arial"/>
                <w:sz w:val="22"/>
                <w:szCs w:val="22"/>
              </w:rPr>
              <w:t>Reassurance</w:t>
            </w:r>
            <w:r w:rsidRPr="7DB61FED" w:rsidR="3961F666">
              <w:rPr>
                <w:rFonts w:ascii="Arial" w:hAnsi="Arial" w:eastAsia="Arial" w:cs="Arial"/>
                <w:sz w:val="22"/>
                <w:szCs w:val="22"/>
              </w:rPr>
              <w:t xml:space="preserve"> </w:t>
            </w:r>
          </w:p>
        </w:tc>
      </w:tr>
      <w:tr w:rsidR="7DB61FED" w:rsidTr="7DB61FED" w14:paraId="04569ED6">
        <w:trPr>
          <w:trHeight w:val="300"/>
        </w:trPr>
        <w:tc>
          <w:tcPr>
            <w:tcW w:w="2254" w:type="dxa"/>
            <w:tcMar/>
          </w:tcPr>
          <w:p w:rsidR="3961F666" w:rsidP="7DB61FED" w:rsidRDefault="3961F666" w14:paraId="5CBD8A62" w14:textId="3DC1CC48">
            <w:pPr>
              <w:pStyle w:val="Normal"/>
              <w:spacing w:line="360" w:lineRule="auto"/>
              <w:rPr>
                <w:rFonts w:ascii="Arial" w:hAnsi="Arial" w:eastAsia="Arial" w:cs="Arial"/>
                <w:b w:val="1"/>
                <w:bCs w:val="1"/>
                <w:sz w:val="22"/>
                <w:szCs w:val="22"/>
              </w:rPr>
            </w:pPr>
            <w:r w:rsidRPr="7DB61FED" w:rsidR="3961F666">
              <w:rPr>
                <w:rFonts w:ascii="Arial" w:hAnsi="Arial" w:eastAsia="Arial" w:cs="Arial"/>
                <w:b w:val="1"/>
                <w:bCs w:val="1"/>
                <w:sz w:val="22"/>
                <w:szCs w:val="22"/>
              </w:rPr>
              <w:t xml:space="preserve">Post-purchase </w:t>
            </w:r>
          </w:p>
        </w:tc>
        <w:tc>
          <w:tcPr>
            <w:tcW w:w="2254" w:type="dxa"/>
            <w:tcMar/>
          </w:tcPr>
          <w:p w:rsidR="3961F666" w:rsidP="7DB61FED" w:rsidRDefault="3961F666" w14:paraId="18B6CCC2" w14:textId="5E547E57">
            <w:pPr>
              <w:pStyle w:val="Normal"/>
              <w:spacing w:line="360" w:lineRule="auto"/>
              <w:rPr>
                <w:rFonts w:ascii="Arial" w:hAnsi="Arial" w:eastAsia="Arial" w:cs="Arial"/>
                <w:sz w:val="22"/>
                <w:szCs w:val="22"/>
              </w:rPr>
            </w:pPr>
            <w:r w:rsidRPr="7DB61FED" w:rsidR="3961F666">
              <w:rPr>
                <w:rFonts w:ascii="Arial" w:hAnsi="Arial" w:eastAsia="Arial" w:cs="Arial"/>
                <w:sz w:val="22"/>
                <w:szCs w:val="22"/>
              </w:rPr>
              <w:t xml:space="preserve">One-tap issue resolution </w:t>
            </w:r>
          </w:p>
        </w:tc>
        <w:tc>
          <w:tcPr>
            <w:tcW w:w="2254" w:type="dxa"/>
            <w:tcMar/>
          </w:tcPr>
          <w:p w:rsidR="3961F666" w:rsidP="7DB61FED" w:rsidRDefault="3961F666" w14:paraId="55034622" w14:textId="51A3E29A">
            <w:pPr>
              <w:pStyle w:val="Normal"/>
              <w:spacing w:line="360" w:lineRule="auto"/>
              <w:rPr>
                <w:rFonts w:ascii="Arial" w:hAnsi="Arial" w:eastAsia="Arial" w:cs="Arial"/>
                <w:sz w:val="22"/>
                <w:szCs w:val="22"/>
              </w:rPr>
            </w:pPr>
            <w:r w:rsidRPr="7DB61FED" w:rsidR="3961F666">
              <w:rPr>
                <w:rFonts w:ascii="Arial" w:hAnsi="Arial" w:eastAsia="Arial" w:cs="Arial"/>
                <w:sz w:val="22"/>
                <w:szCs w:val="22"/>
              </w:rPr>
              <w:t xml:space="preserve">Faster refunds </w:t>
            </w:r>
          </w:p>
        </w:tc>
        <w:tc>
          <w:tcPr>
            <w:tcW w:w="2254" w:type="dxa"/>
            <w:tcMar/>
          </w:tcPr>
          <w:p w:rsidR="3961F666" w:rsidP="7DB61FED" w:rsidRDefault="3961F666" w14:paraId="0F3E4085" w14:textId="666C69AD">
            <w:pPr>
              <w:pStyle w:val="Normal"/>
              <w:spacing w:line="360" w:lineRule="auto"/>
              <w:rPr>
                <w:rFonts w:ascii="Arial" w:hAnsi="Arial" w:eastAsia="Arial" w:cs="Arial"/>
                <w:sz w:val="22"/>
                <w:szCs w:val="22"/>
              </w:rPr>
            </w:pPr>
            <w:r w:rsidRPr="7DB61FED" w:rsidR="3961F666">
              <w:rPr>
                <w:rFonts w:ascii="Arial" w:hAnsi="Arial" w:eastAsia="Arial" w:cs="Arial"/>
                <w:sz w:val="22"/>
                <w:szCs w:val="22"/>
              </w:rPr>
              <w:t xml:space="preserve">Satisfaction </w:t>
            </w:r>
          </w:p>
        </w:tc>
      </w:tr>
    </w:tbl>
    <w:p w:rsidR="7DB61FED" w:rsidP="7DB61FED" w:rsidRDefault="7DB61FED" w14:paraId="204842A0" w14:textId="1291A128">
      <w:pPr>
        <w:pStyle w:val="Normal"/>
        <w:spacing w:beforeAutospacing="on" w:afterAutospacing="on" w:line="360" w:lineRule="auto"/>
        <w:rPr>
          <w:rFonts w:ascii="Arial" w:hAnsi="Arial" w:eastAsia="Arial" w:cs="Arial"/>
          <w:sz w:val="22"/>
          <w:szCs w:val="22"/>
        </w:rPr>
      </w:pPr>
    </w:p>
    <w:p w:rsidRPr="00385E69" w:rsidR="00385E69" w:rsidP="6E4B1D18" w:rsidRDefault="00385E69" w14:textId="77777777" w14:paraId="6113DC9A">
      <w:pPr>
        <w:spacing w:before="100" w:beforeAutospacing="on" w:after="100" w:afterAutospacing="on" w:line="360" w:lineRule="auto"/>
        <w:outlineLvl w:val="3"/>
        <w:rPr>
          <w:rFonts w:ascii="Arial" w:hAnsi="Arial" w:eastAsia="Arial" w:cs="Arial"/>
          <w:b w:val="1"/>
          <w:bCs w:val="1"/>
          <w:sz w:val="22"/>
          <w:szCs w:val="22"/>
        </w:rPr>
      </w:pPr>
      <w:bookmarkStart w:name="_Toc1858969343" w:id="7"/>
      <w:r w:rsidRPr="4EE5807E" w:rsidR="00385E69">
        <w:rPr>
          <w:rFonts w:ascii="Arial" w:hAnsi="Arial" w:eastAsia="Arial" w:cs="Arial"/>
          <w:b w:val="1"/>
          <w:bCs w:val="1"/>
          <w:kern w:val="0"/>
          <w:sz w:val="22"/>
          <w:szCs w:val="22"/>
          <w14:ligatures w14:val="none"/>
        </w:rPr>
        <w:t>4.3 Value creation for customers and Tesco</w:t>
      </w:r>
      <w:bookmarkEnd w:id="7"/>
    </w:p>
    <w:p w:rsidRPr="00385E69" w:rsidR="00385E69" w:rsidP="4EE5807E" w:rsidRDefault="00385E69" w14:paraId="4E6A2936" w14:textId="3DEF7CBE">
      <w:p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 xml:space="preserve">For customers, value is created primarily by reducing effort and increasing clarity. Customer effort has been shown to be a strong predictor of repurchase; lowering effort often matters more than “delighting” with extra features (Dixon, Freeman and </w:t>
      </w:r>
      <w:proofErr w:type="spellStart"/>
      <w:r w:rsidRPr="4EE5807E">
        <w:rPr>
          <w:rFonts w:ascii="Arial" w:hAnsi="Arial" w:eastAsia="Arial" w:cs="Arial"/>
          <w:kern w:val="0"/>
          <w:sz w:val="22"/>
          <w:szCs w:val="22"/>
          <w14:ligatures w14:val="none"/>
        </w:rPr>
        <w:t>Toman</w:t>
      </w:r>
      <w:proofErr w:type="spellEnd"/>
      <w:r w:rsidRPr="4EE5807E">
        <w:rPr>
          <w:rFonts w:ascii="Arial" w:hAnsi="Arial" w:eastAsia="Arial" w:cs="Arial"/>
          <w:kern w:val="0"/>
          <w:sz w:val="22"/>
          <w:szCs w:val="22"/>
          <w14:ligatures w14:val="none"/>
        </w:rPr>
        <w:t>, 2010). The companion reduces effort by simplifying planning, explaining value mechanics, and minimising friction when substitutions happen. It also builds trust through transparency and control, which is crucial when personalisation influences prices.</w:t>
      </w:r>
    </w:p>
    <w:p w:rsidRPr="00385E69" w:rsidR="00385E69" w:rsidP="6E4B1D18" w:rsidRDefault="00385E69" w14:paraId="15BD5C93" w14:textId="7EB51567">
      <w:pPr>
        <w:spacing w:before="100" w:beforeAutospacing="on" w:after="100" w:afterAutospacing="on" w:line="360" w:lineRule="auto"/>
        <w:rPr>
          <w:rFonts w:ascii="Arial" w:hAnsi="Arial" w:eastAsia="Arial" w:cs="Arial"/>
          <w:kern w:val="0"/>
          <w:sz w:val="22"/>
          <w:szCs w:val="22"/>
          <w14:ligatures w14:val="none"/>
        </w:rPr>
      </w:pPr>
      <w:r w:rsidRPr="4EE5807E" w:rsidR="00385E69">
        <w:rPr>
          <w:rFonts w:ascii="Arial" w:hAnsi="Arial" w:eastAsia="Arial" w:cs="Arial"/>
          <w:kern w:val="0"/>
          <w:sz w:val="22"/>
          <w:szCs w:val="22"/>
          <w14:ligatures w14:val="none"/>
        </w:rPr>
        <w:t xml:space="preserve">For Tesco, value is created in commercial performance and operational efficiency. Commercially, better planning and relevance can increase retention, app </w:t>
      </w:r>
      <w:r w:rsidRPr="4EE5807E" w:rsidR="00385E69">
        <w:rPr>
          <w:rFonts w:ascii="Arial" w:hAnsi="Arial" w:eastAsia="Arial" w:cs="Arial"/>
          <w:kern w:val="0"/>
          <w:sz w:val="22"/>
          <w:szCs w:val="22"/>
          <w14:ligatures w14:val="none"/>
        </w:rPr>
        <w:t>engagement</w:t>
      </w:r>
      <w:r w:rsidRPr="4EE5807E" w:rsidR="00385E69">
        <w:rPr>
          <w:rFonts w:ascii="Arial" w:hAnsi="Arial" w:eastAsia="Arial" w:cs="Arial"/>
          <w:kern w:val="0"/>
          <w:sz w:val="22"/>
          <w:szCs w:val="22"/>
          <w14:ligatures w14:val="none"/>
        </w:rPr>
        <w:t xml:space="preserve"> and basket size. More </w:t>
      </w:r>
      <w:r w:rsidRPr="4EE5807E" w:rsidR="00385E69">
        <w:rPr>
          <w:rFonts w:ascii="Arial" w:hAnsi="Arial" w:eastAsia="Arial" w:cs="Arial"/>
          <w:kern w:val="0"/>
          <w:sz w:val="22"/>
          <w:szCs w:val="22"/>
          <w14:ligatures w14:val="none"/>
        </w:rPr>
        <w:t>accurate</w:t>
      </w:r>
      <w:r w:rsidRPr="4EE5807E" w:rsidR="00385E69">
        <w:rPr>
          <w:rFonts w:ascii="Arial" w:hAnsi="Arial" w:eastAsia="Arial" w:cs="Arial"/>
          <w:kern w:val="0"/>
          <w:sz w:val="22"/>
          <w:szCs w:val="22"/>
          <w14:ligatures w14:val="none"/>
        </w:rPr>
        <w:t xml:space="preserve"> and acceptable substitutions reduce refunds, </w:t>
      </w:r>
      <w:r w:rsidRPr="4EE5807E" w:rsidR="00385E69">
        <w:rPr>
          <w:rFonts w:ascii="Arial" w:hAnsi="Arial" w:eastAsia="Arial" w:cs="Arial"/>
          <w:kern w:val="0"/>
          <w:sz w:val="22"/>
          <w:szCs w:val="22"/>
          <w14:ligatures w14:val="none"/>
        </w:rPr>
        <w:t>complaints</w:t>
      </w:r>
      <w:r w:rsidRPr="4EE5807E" w:rsidR="00385E69">
        <w:rPr>
          <w:rFonts w:ascii="Arial" w:hAnsi="Arial" w:eastAsia="Arial" w:cs="Arial"/>
          <w:kern w:val="0"/>
          <w:sz w:val="22"/>
          <w:szCs w:val="22"/>
          <w14:ligatures w14:val="none"/>
        </w:rPr>
        <w:t xml:space="preserve"> and re-picks. Better forecasting and a clearer understanding of preferences can reduce waste, improving margin and sustainability outcomes. Strategically, the initiative builds an integrated system that combines data, app </w:t>
      </w:r>
      <w:r w:rsidRPr="4EE5807E" w:rsidR="00385E69">
        <w:rPr>
          <w:rFonts w:ascii="Arial" w:hAnsi="Arial" w:eastAsia="Arial" w:cs="Arial"/>
          <w:kern w:val="0"/>
          <w:sz w:val="22"/>
          <w:szCs w:val="22"/>
          <w14:ligatures w14:val="none"/>
        </w:rPr>
        <w:t>experience</w:t>
      </w:r>
      <w:r w:rsidRPr="4EE5807E" w:rsidR="00385E69">
        <w:rPr>
          <w:rFonts w:ascii="Arial" w:hAnsi="Arial" w:eastAsia="Arial" w:cs="Arial"/>
          <w:kern w:val="0"/>
          <w:sz w:val="22"/>
          <w:szCs w:val="22"/>
          <w14:ligatures w14:val="none"/>
        </w:rPr>
        <w:t xml:space="preserve"> and fulfilment operations, supporting differentiation through fit among activities rather than a single feature (Porter, 1996).</w:t>
      </w:r>
    </w:p>
    <w:p w:rsidR="6E4B1D18" w:rsidP="6E4B1D18" w:rsidRDefault="6E4B1D18" w14:paraId="16D00E9A" w14:textId="4564E72B">
      <w:pPr>
        <w:spacing w:beforeAutospacing="on" w:afterAutospacing="on" w:line="360" w:lineRule="auto"/>
        <w:rPr>
          <w:rFonts w:ascii="Arial" w:hAnsi="Arial" w:eastAsia="Arial" w:cs="Arial"/>
          <w:sz w:val="22"/>
          <w:szCs w:val="22"/>
        </w:rPr>
      </w:pPr>
    </w:p>
    <w:p w:rsidRPr="00385E69" w:rsidR="00385E69" w:rsidP="6E4B1D18" w:rsidRDefault="00385E69" w14:paraId="1C953F75" w14:textId="77777777">
      <w:pPr>
        <w:spacing w:before="100" w:beforeAutospacing="on" w:after="100" w:afterAutospacing="on" w:line="360" w:lineRule="auto"/>
        <w:outlineLvl w:val="3"/>
        <w:rPr>
          <w:rFonts w:ascii="Arial" w:hAnsi="Arial" w:eastAsia="Arial" w:cs="Arial"/>
          <w:b w:val="1"/>
          <w:bCs w:val="1"/>
          <w:kern w:val="0"/>
          <w:sz w:val="22"/>
          <w:szCs w:val="22"/>
          <w14:ligatures w14:val="none"/>
        </w:rPr>
      </w:pPr>
      <w:bookmarkStart w:name="_Toc1259808126" w:id="8"/>
      <w:r w:rsidRPr="4EE5807E" w:rsidR="00385E69">
        <w:rPr>
          <w:rFonts w:ascii="Arial" w:hAnsi="Arial" w:eastAsia="Arial" w:cs="Arial"/>
          <w:b w:val="1"/>
          <w:bCs w:val="1"/>
          <w:kern w:val="0"/>
          <w:sz w:val="22"/>
          <w:szCs w:val="22"/>
          <w14:ligatures w14:val="none"/>
        </w:rPr>
        <w:t>4.4 Implementation considerations and risks</w:t>
      </w:r>
      <w:bookmarkEnd w:id="8"/>
    </w:p>
    <w:p w:rsidRPr="00385E69" w:rsidR="00385E69" w:rsidP="7DB61FED" w:rsidRDefault="00385E69" w14:textId="7A637BC4" w14:paraId="3B299307">
      <w:pPr>
        <w:pStyle w:val="Normal"/>
        <w:spacing w:before="100" w:beforeAutospacing="on" w:after="100" w:afterAutospacing="on" w:line="360" w:lineRule="auto"/>
        <w:outlineLvl w:val="3"/>
        <w:rPr>
          <w:rFonts w:ascii="Arial" w:hAnsi="Arial" w:eastAsia="Arial" w:cs="Arial"/>
          <w:sz w:val="22"/>
          <w:szCs w:val="22"/>
        </w:rPr>
      </w:pPr>
      <w:r w:rsidRPr="4EE5807E" w:rsidR="00385E69">
        <w:rPr>
          <w:rFonts w:ascii="Arial" w:hAnsi="Arial" w:eastAsia="Arial" w:cs="Arial"/>
          <w:kern w:val="0"/>
          <w:sz w:val="22"/>
          <w:szCs w:val="22"/>
          <w14:ligatures w14:val="none"/>
        </w:rPr>
        <w:t xml:space="preserve">Implementation should be phased. Phase one delivers planning and basket transparency features using existing data and rule-based explainability. Phase two adds advanced substitution prediction and learning loops, requiring integration with inventory </w:t>
      </w:r>
      <w:r w:rsidRPr="4EE5807E" w:rsidR="00385E69">
        <w:rPr>
          <w:rFonts w:ascii="Arial" w:hAnsi="Arial" w:eastAsia="Arial" w:cs="Arial"/>
          <w:kern w:val="0"/>
          <w:sz w:val="22"/>
          <w:szCs w:val="22"/>
          <w14:ligatures w14:val="none"/>
        </w:rPr>
        <w:t>accuracy</w:t>
      </w:r>
      <w:r w:rsidRPr="4EE5807E" w:rsidR="00385E69">
        <w:rPr>
          <w:rFonts w:ascii="Arial" w:hAnsi="Arial" w:eastAsia="Arial" w:cs="Arial"/>
          <w:kern w:val="0"/>
          <w:sz w:val="22"/>
          <w:szCs w:val="22"/>
          <w14:ligatures w14:val="none"/>
        </w:rPr>
        <w:t xml:space="preserve"> and picking workflows. Phase three introduces automated service recovery and personalised reward preferences.</w:t>
      </w:r>
    </w:p>
    <w:p w:rsidRPr="00385E69" w:rsidR="00385E69" w:rsidP="6E4B1D18" w:rsidRDefault="00385E69" w14:textId="1AEA2ADC" w14:paraId="559156D5">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Key risks include privacy concerns, algorithmic bias, and over-promising. Privacy-by-design should be applied, with clear consent settings and the option to use features without sharing </w:t>
      </w:r>
      <w:r w:rsidRPr="4EE5807E" w:rsidR="00385E69">
        <w:rPr>
          <w:rFonts w:ascii="Arial" w:hAnsi="Arial" w:eastAsia="Arial" w:cs="Arial"/>
          <w:kern w:val="0"/>
          <w:sz w:val="22"/>
          <w:szCs w:val="22"/>
          <w14:ligatures w14:val="none"/>
        </w:rPr>
        <w:t>additional</w:t>
      </w:r>
      <w:r w:rsidRPr="4EE5807E" w:rsidR="00385E69">
        <w:rPr>
          <w:rFonts w:ascii="Arial" w:hAnsi="Arial" w:eastAsia="Arial" w:cs="Arial"/>
          <w:kern w:val="0"/>
          <w:sz w:val="22"/>
          <w:szCs w:val="22"/>
          <w14:ligatures w14:val="none"/>
        </w:rPr>
        <w:t xml:space="preserve"> sensitive information (ICO, 2023). Algorithmic bias can be mitigated through monitoring, audit </w:t>
      </w:r>
      <w:r w:rsidRPr="4EE5807E" w:rsidR="00385E69">
        <w:rPr>
          <w:rFonts w:ascii="Arial" w:hAnsi="Arial" w:eastAsia="Arial" w:cs="Arial"/>
          <w:kern w:val="0"/>
          <w:sz w:val="22"/>
          <w:szCs w:val="22"/>
          <w14:ligatures w14:val="none"/>
        </w:rPr>
        <w:t>trails</w:t>
      </w:r>
      <w:r w:rsidRPr="4EE5807E" w:rsidR="00385E69">
        <w:rPr>
          <w:rFonts w:ascii="Arial" w:hAnsi="Arial" w:eastAsia="Arial" w:cs="Arial"/>
          <w:kern w:val="0"/>
          <w:sz w:val="22"/>
          <w:szCs w:val="22"/>
          <w14:ligatures w14:val="none"/>
        </w:rPr>
        <w:t xml:space="preserve"> and testing across customer segments (Davenport et al., 2020). Over-promising is avoided by tying confidence indicators to data quality and by improving stock accuracy processes in parallel.</w:t>
      </w:r>
    </w:p>
    <w:p w:rsidRPr="00385E69" w:rsidR="00385E69" w:rsidP="6E4B1D18" w:rsidRDefault="00385E69" w14:paraId="5775D6E1" w14:textId="2BB72189">
      <w:pPr>
        <w:spacing w:before="100" w:beforeAutospacing="on" w:after="100" w:afterAutospacing="on" w:line="360" w:lineRule="auto"/>
        <w:rPr>
          <w:rFonts w:ascii="Arial" w:hAnsi="Arial" w:eastAsia="Arial" w:cs="Arial"/>
          <w:kern w:val="0"/>
          <w:sz w:val="22"/>
          <w:szCs w:val="22"/>
          <w14:ligatures w14:val="none"/>
        </w:rPr>
      </w:pPr>
      <w:r w:rsidRPr="4EE5807E" w:rsidR="00385E69">
        <w:rPr>
          <w:rFonts w:ascii="Arial" w:hAnsi="Arial" w:eastAsia="Arial" w:cs="Arial"/>
          <w:kern w:val="0"/>
          <w:sz w:val="22"/>
          <w:szCs w:val="22"/>
          <w14:ligatures w14:val="none"/>
        </w:rPr>
        <w:t xml:space="preserve">Change management is also critical. Store and fulfilment colleagues need training so that digital promises match physical execution. Leadership must align incentives so that customer journey outcomes, </w:t>
      </w:r>
      <w:r w:rsidRPr="4EE5807E" w:rsidR="00385E69">
        <w:rPr>
          <w:rFonts w:ascii="Arial" w:hAnsi="Arial" w:eastAsia="Arial" w:cs="Arial"/>
          <w:kern w:val="0"/>
          <w:sz w:val="22"/>
          <w:szCs w:val="22"/>
          <w14:ligatures w14:val="none"/>
        </w:rPr>
        <w:t>not only cost</w:t>
      </w:r>
      <w:r w:rsidRPr="4EE5807E" w:rsidR="00385E69">
        <w:rPr>
          <w:rFonts w:ascii="Arial" w:hAnsi="Arial" w:eastAsia="Arial" w:cs="Arial"/>
          <w:kern w:val="0"/>
          <w:sz w:val="22"/>
          <w:szCs w:val="22"/>
          <w14:ligatures w14:val="none"/>
        </w:rPr>
        <w:t>, are prioritised. Research suggests that successful digital transformation relies on governance that coordinates across functions and invests in capability building (</w:t>
      </w:r>
      <w:r w:rsidRPr="4EE5807E" w:rsidR="00385E69">
        <w:rPr>
          <w:rFonts w:ascii="Arial" w:hAnsi="Arial" w:eastAsia="Arial" w:cs="Arial"/>
          <w:kern w:val="0"/>
          <w:sz w:val="22"/>
          <w:szCs w:val="22"/>
          <w14:ligatures w14:val="none"/>
        </w:rPr>
        <w:t>Westerman</w:t>
      </w:r>
      <w:r w:rsidRPr="4EE5807E" w:rsidR="00385E69">
        <w:rPr>
          <w:rFonts w:ascii="Arial" w:hAnsi="Arial" w:eastAsia="Arial" w:cs="Arial"/>
          <w:kern w:val="0"/>
          <w:sz w:val="22"/>
          <w:szCs w:val="22"/>
          <w14:ligatures w14:val="none"/>
        </w:rPr>
        <w:t xml:space="preserve">, </w:t>
      </w:r>
      <w:r w:rsidRPr="4EE5807E" w:rsidR="00385E69">
        <w:rPr>
          <w:rFonts w:ascii="Arial" w:hAnsi="Arial" w:eastAsia="Arial" w:cs="Arial"/>
          <w:kern w:val="0"/>
          <w:sz w:val="22"/>
          <w:szCs w:val="22"/>
          <w14:ligatures w14:val="none"/>
        </w:rPr>
        <w:t>Bonnet</w:t>
      </w:r>
      <w:r w:rsidRPr="4EE5807E" w:rsidR="00385E69">
        <w:rPr>
          <w:rFonts w:ascii="Arial" w:hAnsi="Arial" w:eastAsia="Arial" w:cs="Arial"/>
          <w:kern w:val="0"/>
          <w:sz w:val="22"/>
          <w:szCs w:val="22"/>
          <w14:ligatures w14:val="none"/>
        </w:rPr>
        <w:t xml:space="preserve"> and McAfee, 2014).</w:t>
      </w:r>
    </w:p>
    <w:p w:rsidR="6E4B1D18" w:rsidP="6E4B1D18" w:rsidRDefault="6E4B1D18" w14:paraId="75463E37" w14:textId="719F4180">
      <w:pPr>
        <w:spacing w:beforeAutospacing="on" w:afterAutospacing="on" w:line="360" w:lineRule="auto"/>
        <w:rPr>
          <w:rFonts w:ascii="Arial" w:hAnsi="Arial" w:eastAsia="Arial" w:cs="Arial"/>
          <w:sz w:val="22"/>
          <w:szCs w:val="22"/>
        </w:rPr>
      </w:pPr>
    </w:p>
    <w:p w:rsidRPr="00385E69" w:rsidR="00385E69" w:rsidP="6E4B1D18" w:rsidRDefault="00385E69" w14:textId="77777777" w14:paraId="52859310">
      <w:pPr>
        <w:spacing w:before="100" w:beforeAutospacing="on" w:after="100" w:afterAutospacing="on" w:line="360" w:lineRule="auto"/>
        <w:outlineLvl w:val="3"/>
        <w:rPr>
          <w:rFonts w:ascii="Arial" w:hAnsi="Arial" w:eastAsia="Arial" w:cs="Arial"/>
          <w:b w:val="1"/>
          <w:bCs w:val="1"/>
          <w:sz w:val="22"/>
          <w:szCs w:val="22"/>
        </w:rPr>
      </w:pPr>
      <w:bookmarkStart w:name="_Toc1571155361" w:id="9"/>
      <w:r w:rsidRPr="4EE5807E" w:rsidR="00385E69">
        <w:rPr>
          <w:rFonts w:ascii="Arial" w:hAnsi="Arial" w:eastAsia="Arial" w:cs="Arial"/>
          <w:b w:val="1"/>
          <w:bCs w:val="1"/>
          <w:kern w:val="0"/>
          <w:sz w:val="22"/>
          <w:szCs w:val="22"/>
          <w14:ligatures w14:val="none"/>
        </w:rPr>
        <w:t>4.5 Metrics and evaluation</w:t>
      </w:r>
      <w:bookmarkEnd w:id="9"/>
    </w:p>
    <w:p w:rsidRPr="00385E69" w:rsidR="00385E69" w:rsidP="6E4B1D18" w:rsidRDefault="00385E69" w14:textId="77777777" w14:paraId="48920D19">
      <w:pPr>
        <w:spacing w:before="100" w:beforeAutospacing="on" w:after="100" w:afterAutospacing="on" w:line="360" w:lineRule="auto"/>
        <w:rPr>
          <w:rFonts w:ascii="Arial" w:hAnsi="Arial" w:eastAsia="Arial" w:cs="Arial"/>
          <w:sz w:val="22"/>
          <w:szCs w:val="22"/>
        </w:rPr>
      </w:pPr>
      <w:r w:rsidRPr="4EE5807E" w:rsidR="00385E69">
        <w:rPr>
          <w:rFonts w:ascii="Arial" w:hAnsi="Arial" w:eastAsia="Arial" w:cs="Arial"/>
          <w:kern w:val="0"/>
          <w:sz w:val="22"/>
          <w:szCs w:val="22"/>
          <w14:ligatures w14:val="none"/>
        </w:rPr>
        <w:t xml:space="preserve">A balanced evaluation plan should combine customer, commercial and operational metrics. Customer metrics include Net Promoter Score, Customer Effort Score, substitution satisfaction, complaint rate, and app weekly active users. Commercial metrics include retention, share of wallet, basket size, and offer efficiency. Operational metrics include substitution acceptance, pick accuracy, refund volume, delivery </w:t>
      </w:r>
      <w:r w:rsidRPr="4EE5807E" w:rsidR="00385E69">
        <w:rPr>
          <w:rFonts w:ascii="Arial" w:hAnsi="Arial" w:eastAsia="Arial" w:cs="Arial"/>
          <w:kern w:val="0"/>
          <w:sz w:val="22"/>
          <w:szCs w:val="22"/>
          <w14:ligatures w14:val="none"/>
        </w:rPr>
        <w:t>punctuality</w:t>
      </w:r>
      <w:r w:rsidRPr="4EE5807E" w:rsidR="00385E69">
        <w:rPr>
          <w:rFonts w:ascii="Arial" w:hAnsi="Arial" w:eastAsia="Arial" w:cs="Arial"/>
          <w:kern w:val="0"/>
          <w:sz w:val="22"/>
          <w:szCs w:val="22"/>
          <w14:ligatures w14:val="none"/>
        </w:rPr>
        <w:t xml:space="preserve"> and waste levels. Tesco should run controlled experiments, comparing cohorts with and without the companion features, and evaluate results over multiple shopping cycles to account for learning effects. Qualitative insights from interviews and app feedback should complement metrics to </w:t>
      </w:r>
      <w:r w:rsidRPr="4EE5807E" w:rsidR="00385E69">
        <w:rPr>
          <w:rFonts w:ascii="Arial" w:hAnsi="Arial" w:eastAsia="Arial" w:cs="Arial"/>
          <w:kern w:val="0"/>
          <w:sz w:val="22"/>
          <w:szCs w:val="22"/>
          <w14:ligatures w14:val="none"/>
        </w:rPr>
        <w:t>identify</w:t>
      </w:r>
      <w:r w:rsidRPr="4EE5807E" w:rsidR="00385E69">
        <w:rPr>
          <w:rFonts w:ascii="Arial" w:hAnsi="Arial" w:eastAsia="Arial" w:cs="Arial"/>
          <w:kern w:val="0"/>
          <w:sz w:val="22"/>
          <w:szCs w:val="22"/>
          <w14:ligatures w14:val="none"/>
        </w:rPr>
        <w:t xml:space="preserve"> unintended consequences.</w:t>
      </w:r>
    </w:p>
    <w:p w:rsidR="00E934BE" w:rsidP="4EE5807E" w:rsidRDefault="00E934BE" w14:paraId="2044AE52" w14:textId="4E518479">
      <w:pPr>
        <w:pStyle w:val="p1"/>
        <w:spacing w:line="360" w:lineRule="auto"/>
        <w:rPr>
          <w:rStyle w:val="s1"/>
          <w:rFonts w:ascii="Arial" w:hAnsi="Arial" w:eastAsia="Arial" w:cs="Arial"/>
          <w:sz w:val="22"/>
          <w:szCs w:val="22"/>
        </w:rPr>
      </w:pPr>
      <w:r w:rsidRPr="6E4B1D18" w:rsidR="00E934BE">
        <w:rPr>
          <w:rStyle w:val="s1"/>
          <w:rFonts w:ascii="Arial" w:hAnsi="Arial" w:eastAsia="Arial" w:cs="Arial"/>
          <w:sz w:val="22"/>
          <w:szCs w:val="22"/>
        </w:rPr>
        <w:t xml:space="preserve">This portfolio has examined Tesco’s approach to innovation and digital transformation within the context of a highly competitive and rapidly evolving UK grocery retail market. The analysis has shown that Tesco </w:t>
      </w:r>
      <w:r w:rsidRPr="6E4B1D18" w:rsidR="00E934BE">
        <w:rPr>
          <w:rStyle w:val="s1"/>
          <w:rFonts w:ascii="Arial" w:hAnsi="Arial" w:eastAsia="Arial" w:cs="Arial"/>
          <w:sz w:val="22"/>
          <w:szCs w:val="22"/>
        </w:rPr>
        <w:t>operates</w:t>
      </w:r>
      <w:r w:rsidRPr="6E4B1D18" w:rsidR="00E934BE">
        <w:rPr>
          <w:rStyle w:val="s1"/>
          <w:rFonts w:ascii="Arial" w:hAnsi="Arial" w:eastAsia="Arial" w:cs="Arial"/>
          <w:sz w:val="22"/>
          <w:szCs w:val="22"/>
        </w:rPr>
        <w:t xml:space="preserve"> in an environment defined by increasing price sensitivity, rising expectations for convenience and personalisation, and growing scrutiny of sustainability and data usage. These conditions place significant pressure on established retailers to innovate in ways that enhance customer value while </w:t>
      </w:r>
      <w:r w:rsidRPr="6E4B1D18" w:rsidR="00E934BE">
        <w:rPr>
          <w:rStyle w:val="s1"/>
          <w:rFonts w:ascii="Arial" w:hAnsi="Arial" w:eastAsia="Arial" w:cs="Arial"/>
          <w:sz w:val="22"/>
          <w:szCs w:val="22"/>
        </w:rPr>
        <w:t>maintaining</w:t>
      </w:r>
      <w:r w:rsidRPr="6E4B1D18" w:rsidR="00E934BE">
        <w:rPr>
          <w:rStyle w:val="s1"/>
          <w:rFonts w:ascii="Arial" w:hAnsi="Arial" w:eastAsia="Arial" w:cs="Arial"/>
          <w:sz w:val="22"/>
          <w:szCs w:val="22"/>
        </w:rPr>
        <w:t xml:space="preserve"> operational efficiency and trust.</w:t>
      </w:r>
    </w:p>
    <w:p w:rsidR="6E4B1D18" w:rsidP="6E4B1D18" w:rsidRDefault="6E4B1D18" w14:paraId="45740FDD" w14:textId="6ACD715A">
      <w:pPr>
        <w:pStyle w:val="p1"/>
        <w:spacing w:line="360" w:lineRule="auto"/>
        <w:rPr>
          <w:rStyle w:val="s1"/>
          <w:rFonts w:ascii="Arial" w:hAnsi="Arial" w:eastAsia="Arial" w:cs="Arial"/>
          <w:sz w:val="22"/>
          <w:szCs w:val="22"/>
        </w:rPr>
      </w:pPr>
    </w:p>
    <w:p w:rsidR="6E4B1D18" w:rsidP="6E4B1D18" w:rsidRDefault="6E4B1D18" w14:paraId="3E193DE1" w14:textId="38EA31DE">
      <w:pPr>
        <w:pStyle w:val="p1"/>
        <w:spacing w:line="360" w:lineRule="auto"/>
        <w:rPr>
          <w:rStyle w:val="s1"/>
          <w:rFonts w:ascii="Arial" w:hAnsi="Arial" w:eastAsia="Arial" w:cs="Arial"/>
          <w:sz w:val="22"/>
          <w:szCs w:val="22"/>
        </w:rPr>
      </w:pPr>
      <w:r w:rsidRPr="7DB61FED" w:rsidR="00E934BE">
        <w:rPr>
          <w:rStyle w:val="s1"/>
          <w:rFonts w:ascii="Arial" w:hAnsi="Arial" w:eastAsia="Arial" w:cs="Arial"/>
          <w:sz w:val="22"/>
          <w:szCs w:val="22"/>
        </w:rPr>
        <w:t xml:space="preserve">Through application of the Innovation Ambition Matrix, it is </w:t>
      </w:r>
      <w:r w:rsidRPr="7DB61FED" w:rsidR="00E934BE">
        <w:rPr>
          <w:rStyle w:val="s1"/>
          <w:rFonts w:ascii="Arial" w:hAnsi="Arial" w:eastAsia="Arial" w:cs="Arial"/>
          <w:sz w:val="22"/>
          <w:szCs w:val="22"/>
        </w:rPr>
        <w:t>evident</w:t>
      </w:r>
      <w:r w:rsidRPr="7DB61FED" w:rsidR="00E934BE">
        <w:rPr>
          <w:rStyle w:val="s1"/>
          <w:rFonts w:ascii="Arial" w:hAnsi="Arial" w:eastAsia="Arial" w:cs="Arial"/>
          <w:sz w:val="22"/>
          <w:szCs w:val="22"/>
        </w:rPr>
        <w:t xml:space="preserve"> that Tesco has developed a </w:t>
      </w:r>
      <w:r w:rsidRPr="7DB61FED" w:rsidR="00E934BE">
        <w:rPr>
          <w:rStyle w:val="s1"/>
          <w:rFonts w:ascii="Arial" w:hAnsi="Arial" w:eastAsia="Arial" w:cs="Arial"/>
          <w:sz w:val="22"/>
          <w:szCs w:val="22"/>
        </w:rPr>
        <w:t>relatively balanced</w:t>
      </w:r>
      <w:r w:rsidRPr="7DB61FED" w:rsidR="00E934BE">
        <w:rPr>
          <w:rStyle w:val="s1"/>
          <w:rFonts w:ascii="Arial" w:hAnsi="Arial" w:eastAsia="Arial" w:cs="Arial"/>
          <w:sz w:val="22"/>
          <w:szCs w:val="22"/>
        </w:rPr>
        <w:t xml:space="preserve"> innovation portfolio. Core innovations focus on improving operational reliability and customer convenience, adjacent innovations extend Tesco’s value proposition into new services and channels, and transformational initiatives </w:t>
      </w:r>
      <w:r w:rsidRPr="7DB61FED" w:rsidR="00E934BE">
        <w:rPr>
          <w:rStyle w:val="s1"/>
          <w:rFonts w:ascii="Arial" w:hAnsi="Arial" w:eastAsia="Arial" w:cs="Arial"/>
          <w:sz w:val="22"/>
          <w:szCs w:val="22"/>
        </w:rPr>
        <w:t>leverage</w:t>
      </w:r>
      <w:r w:rsidRPr="7DB61FED" w:rsidR="00E934BE">
        <w:rPr>
          <w:rStyle w:val="s1"/>
          <w:rFonts w:ascii="Arial" w:hAnsi="Arial" w:eastAsia="Arial" w:cs="Arial"/>
          <w:sz w:val="22"/>
          <w:szCs w:val="22"/>
        </w:rPr>
        <w:t xml:space="preserve"> data and advanced technologies to reshape how customer value is delivered. While this balanced approach reduces strategic risk, the analysis also highlights that the greatest opportunities for differentiation lie in transformational innovations that directly address customer effort, uncertainty, and dissatisfaction within the shopping journey.</w:t>
      </w:r>
    </w:p>
    <w:p w:rsidR="6E4B1D18" w:rsidP="6E4B1D18" w:rsidRDefault="6E4B1D18" w14:paraId="63A009A8" w14:textId="59D30B15">
      <w:pPr>
        <w:pStyle w:val="p1"/>
        <w:spacing w:line="360" w:lineRule="auto"/>
        <w:rPr>
          <w:rStyle w:val="s1"/>
          <w:rFonts w:ascii="Arial" w:hAnsi="Arial" w:eastAsia="Arial" w:cs="Arial"/>
          <w:sz w:val="22"/>
          <w:szCs w:val="22"/>
        </w:rPr>
      </w:pPr>
      <w:r w:rsidRPr="7DB61FED" w:rsidR="00E934BE">
        <w:rPr>
          <w:rStyle w:val="s1"/>
          <w:rFonts w:ascii="Arial" w:hAnsi="Arial" w:eastAsia="Arial" w:cs="Arial"/>
          <w:sz w:val="22"/>
          <w:szCs w:val="22"/>
        </w:rPr>
        <w:t xml:space="preserve">Customer Journey Mapping revealed that Tesco’s current experience is comprehensive and well-developed but not without friction. Key pain points </w:t>
      </w:r>
      <w:r w:rsidRPr="7DB61FED" w:rsidR="00E934BE">
        <w:rPr>
          <w:rStyle w:val="s1"/>
          <w:rFonts w:ascii="Arial" w:hAnsi="Arial" w:eastAsia="Arial" w:cs="Arial"/>
          <w:sz w:val="22"/>
          <w:szCs w:val="22"/>
        </w:rPr>
        <w:t>emerge</w:t>
      </w:r>
      <w:r w:rsidRPr="7DB61FED" w:rsidR="00E934BE">
        <w:rPr>
          <w:rStyle w:val="s1"/>
          <w:rFonts w:ascii="Arial" w:hAnsi="Arial" w:eastAsia="Arial" w:cs="Arial"/>
          <w:sz w:val="22"/>
          <w:szCs w:val="22"/>
        </w:rPr>
        <w:t xml:space="preserve"> during the planning stage, where customers struggle to understand value and manage budgets, and during fulfilment, where substitutions and service recovery can undermine satisfaction. These issues are particularly important in a low-margin industry where customer retention and repeat purchasing are critical to profitability. Addressing such friction points requires more than incremental improvements; it requires integrated digital solutions that connect data, operations, and customer-facing interfaces.</w:t>
      </w:r>
    </w:p>
    <w:p w:rsidR="6E4B1D18" w:rsidP="6E4B1D18" w:rsidRDefault="6E4B1D18" w14:paraId="2ECEFB9A" w14:textId="4BB8A2C5">
      <w:pPr>
        <w:pStyle w:val="p1"/>
        <w:spacing w:line="360" w:lineRule="auto"/>
        <w:rPr>
          <w:rStyle w:val="s1"/>
          <w:rFonts w:ascii="Arial" w:hAnsi="Arial" w:eastAsia="Arial" w:cs="Arial"/>
          <w:sz w:val="22"/>
          <w:szCs w:val="22"/>
        </w:rPr>
      </w:pPr>
      <w:r w:rsidRPr="7DB61FED" w:rsidR="00E934BE">
        <w:rPr>
          <w:rStyle w:val="s1"/>
          <w:rFonts w:ascii="Arial" w:hAnsi="Arial" w:eastAsia="Arial" w:cs="Arial"/>
          <w:sz w:val="22"/>
          <w:szCs w:val="22"/>
        </w:rPr>
        <w:t xml:space="preserve">The proposed AI-enabled personalised shopping companion </w:t>
      </w:r>
      <w:r w:rsidRPr="7DB61FED" w:rsidR="00E934BE">
        <w:rPr>
          <w:rStyle w:val="s1"/>
          <w:rFonts w:ascii="Arial" w:hAnsi="Arial" w:eastAsia="Arial" w:cs="Arial"/>
          <w:sz w:val="22"/>
          <w:szCs w:val="22"/>
        </w:rPr>
        <w:t>represents</w:t>
      </w:r>
      <w:r w:rsidRPr="7DB61FED" w:rsidR="00E934BE">
        <w:rPr>
          <w:rStyle w:val="s1"/>
          <w:rFonts w:ascii="Arial" w:hAnsi="Arial" w:eastAsia="Arial" w:cs="Arial"/>
          <w:sz w:val="22"/>
          <w:szCs w:val="22"/>
        </w:rPr>
        <w:t xml:space="preserve"> a strategically aligned digital transformation initiative capable of responding to these challenges. By enhancing planning confidence, increasing transparency around pricing and promotions, and proactively managing substitutions and service recovery, the initiative has the potential to reduce customer effort, strengthen loyalty, and improve operational outcomes. Importantly, the proposal aligns with academic perspectives on digital transformation, which emphasise the importance of customer-centric design, organisational capability, and cross-functional integration.</w:t>
      </w:r>
    </w:p>
    <w:p w:rsidR="00E934BE" w:rsidP="4EE5807E" w:rsidRDefault="00E934BE" w14:paraId="5DFE28EE" w14:textId="77777777">
      <w:pPr>
        <w:pStyle w:val="p1"/>
        <w:spacing w:line="360" w:lineRule="auto"/>
        <w:rPr>
          <w:rStyle w:val="s1"/>
          <w:rFonts w:ascii="Arial" w:hAnsi="Arial" w:eastAsia="Arial" w:cs="Arial"/>
          <w:sz w:val="22"/>
          <w:szCs w:val="22"/>
        </w:rPr>
      </w:pPr>
      <w:r w:rsidRPr="4EE5807E">
        <w:rPr>
          <w:rStyle w:val="s1"/>
          <w:rFonts w:ascii="Arial" w:hAnsi="Arial" w:eastAsia="Arial" w:cs="Arial"/>
          <w:sz w:val="22"/>
          <w:szCs w:val="22"/>
        </w:rPr>
        <w:t xml:space="preserve">In conclusion, Tesco’s scale, data assets, and </w:t>
      </w:r>
      <w:proofErr w:type="spellStart"/>
      <w:r w:rsidRPr="4EE5807E">
        <w:rPr>
          <w:rStyle w:val="s1"/>
          <w:rFonts w:ascii="Arial" w:hAnsi="Arial" w:eastAsia="Arial" w:cs="Arial"/>
          <w:sz w:val="22"/>
          <w:szCs w:val="22"/>
        </w:rPr>
        <w:t>omnichannel</w:t>
      </w:r>
      <w:proofErr w:type="spellEnd"/>
      <w:r w:rsidRPr="4EE5807E">
        <w:rPr>
          <w:rStyle w:val="s1"/>
          <w:rFonts w:ascii="Arial" w:hAnsi="Arial" w:eastAsia="Arial" w:cs="Arial"/>
          <w:sz w:val="22"/>
          <w:szCs w:val="22"/>
        </w:rPr>
        <w:t xml:space="preserve"> infrastructure provide a strong foundation for digital innovation. However, sustained competitive advantage will depend on Tesco’s ability to integrate technology into a coherent and trustworthy customer journey that feels simpler, fairer, and more reliable than those offered by competitors. Strategic digital transformation, when guided by customer insight and supported by organisational alignment, can therefore play a crucial role in securing Tesco’s long-term success in the UK grocery retail sector.</w:t>
      </w:r>
    </w:p>
    <w:p w:rsidR="6E4B1D18" w:rsidP="7DB61FED" w:rsidRDefault="6E4B1D18" w14:paraId="4761BBAB" w14:textId="1B4EC4AC">
      <w:pPr>
        <w:pStyle w:val="Normal"/>
        <w:spacing w:line="360" w:lineRule="auto"/>
        <w:rPr>
          <w:rFonts w:ascii="Arial" w:hAnsi="Arial" w:eastAsia="Arial" w:cs="Arial"/>
          <w:sz w:val="22"/>
          <w:szCs w:val="22"/>
        </w:rPr>
      </w:pPr>
    </w:p>
    <w:p w:rsidR="6E4B1D18" w:rsidP="6E4B1D18" w:rsidRDefault="6E4B1D18" w14:paraId="623D8655" w14:textId="5204B242">
      <w:pPr>
        <w:spacing w:line="360" w:lineRule="auto"/>
        <w:rPr>
          <w:rFonts w:ascii="Arial" w:hAnsi="Arial" w:eastAsia="Arial" w:cs="Arial"/>
          <w:sz w:val="22"/>
          <w:szCs w:val="22"/>
        </w:rPr>
      </w:pPr>
    </w:p>
    <w:p w:rsidR="4EE5807E" w:rsidP="4EE5807E" w:rsidRDefault="4EE5807E" w14:paraId="04030C5A" w14:textId="1106464B">
      <w:pPr>
        <w:spacing w:line="360" w:lineRule="auto"/>
        <w:rPr>
          <w:rFonts w:ascii="Arial" w:hAnsi="Arial" w:eastAsia="Arial" w:cs="Arial"/>
          <w:sz w:val="22"/>
          <w:szCs w:val="22"/>
        </w:rPr>
      </w:pPr>
    </w:p>
    <w:p w:rsidRPr="001A19FD" w:rsidR="001A19FD" w:rsidP="6E4B1D18" w:rsidRDefault="001A19FD" w14:paraId="27C1BA5E" w14:textId="663E1B0D">
      <w:pPr>
        <w:spacing w:before="100" w:beforeAutospacing="on" w:after="100" w:afterAutospacing="on" w:line="360" w:lineRule="auto"/>
        <w:outlineLvl w:val="1"/>
        <w:rPr>
          <w:rFonts w:ascii="Arial" w:hAnsi="Arial" w:eastAsia="Arial" w:cs="Arial"/>
          <w:b w:val="1"/>
          <w:bCs w:val="1"/>
          <w:kern w:val="0"/>
          <w:sz w:val="22"/>
          <w:szCs w:val="22"/>
          <w14:ligatures w14:val="none"/>
        </w:rPr>
      </w:pPr>
      <w:bookmarkStart w:name="_Toc38586420" w:id="10"/>
      <w:r w:rsidRPr="4EE5807E" w:rsidR="001A19FD">
        <w:rPr>
          <w:rFonts w:ascii="Arial" w:hAnsi="Arial" w:eastAsia="Arial" w:cs="Arial"/>
          <w:b w:val="1"/>
          <w:bCs w:val="1"/>
          <w:kern w:val="0"/>
          <w:sz w:val="22"/>
          <w:szCs w:val="22"/>
          <w14:ligatures w14:val="none"/>
        </w:rPr>
        <w:t>References</w:t>
      </w:r>
      <w:r w:rsidRPr="4EE5807E" w:rsidR="4980C400">
        <w:rPr>
          <w:rFonts w:ascii="Arial" w:hAnsi="Arial" w:eastAsia="Arial" w:cs="Arial"/>
          <w:b w:val="1"/>
          <w:bCs w:val="1"/>
          <w:kern w:val="0"/>
          <w:sz w:val="22"/>
          <w:szCs w:val="22"/>
          <w14:ligatures w14:val="none"/>
        </w:rPr>
        <w:t>:</w:t>
      </w:r>
      <w:bookmarkEnd w:id="10"/>
    </w:p>
    <w:p w:rsidR="6E4B1D18" w:rsidP="6E4B1D18" w:rsidRDefault="6E4B1D18" w14:paraId="797FFC44" w14:textId="7277E715">
      <w:pPr>
        <w:spacing w:beforeAutospacing="on" w:afterAutospacing="on" w:line="360" w:lineRule="auto"/>
        <w:outlineLvl w:val="1"/>
        <w:rPr>
          <w:rFonts w:ascii="Arial" w:hAnsi="Arial" w:eastAsia="Arial" w:cs="Arial"/>
          <w:b w:val="1"/>
          <w:bCs w:val="1"/>
          <w:sz w:val="22"/>
          <w:szCs w:val="22"/>
        </w:rPr>
      </w:pPr>
    </w:p>
    <w:p w:rsidRPr="001A19FD" w:rsidR="001A19FD" w:rsidP="4EE5807E" w:rsidRDefault="001A19FD" w14:paraId="7236CE61"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 xml:space="preserve">Davenport, T.H., </w:t>
      </w:r>
      <w:proofErr w:type="spellStart"/>
      <w:r w:rsidRPr="4EE5807E">
        <w:rPr>
          <w:rFonts w:ascii="Arial" w:hAnsi="Arial" w:eastAsia="Arial" w:cs="Arial"/>
          <w:kern w:val="0"/>
          <w:sz w:val="22"/>
          <w:szCs w:val="22"/>
          <w14:ligatures w14:val="none"/>
        </w:rPr>
        <w:t>Guha</w:t>
      </w:r>
      <w:proofErr w:type="spellEnd"/>
      <w:r w:rsidRPr="4EE5807E">
        <w:rPr>
          <w:rFonts w:ascii="Arial" w:hAnsi="Arial" w:eastAsia="Arial" w:cs="Arial"/>
          <w:kern w:val="0"/>
          <w:sz w:val="22"/>
          <w:szCs w:val="22"/>
          <w14:ligatures w14:val="none"/>
        </w:rPr>
        <w:t xml:space="preserve">, A., </w:t>
      </w:r>
      <w:proofErr w:type="spellStart"/>
      <w:r w:rsidRPr="4EE5807E">
        <w:rPr>
          <w:rFonts w:ascii="Arial" w:hAnsi="Arial" w:eastAsia="Arial" w:cs="Arial"/>
          <w:kern w:val="0"/>
          <w:sz w:val="22"/>
          <w:szCs w:val="22"/>
          <w14:ligatures w14:val="none"/>
        </w:rPr>
        <w:t>Grewal</w:t>
      </w:r>
      <w:proofErr w:type="spellEnd"/>
      <w:r w:rsidRPr="4EE5807E">
        <w:rPr>
          <w:rFonts w:ascii="Arial" w:hAnsi="Arial" w:eastAsia="Arial" w:cs="Arial"/>
          <w:kern w:val="0"/>
          <w:sz w:val="22"/>
          <w:szCs w:val="22"/>
          <w14:ligatures w14:val="none"/>
        </w:rPr>
        <w:t xml:space="preserve">, D. and </w:t>
      </w:r>
      <w:proofErr w:type="spellStart"/>
      <w:r w:rsidRPr="4EE5807E">
        <w:rPr>
          <w:rFonts w:ascii="Arial" w:hAnsi="Arial" w:eastAsia="Arial" w:cs="Arial"/>
          <w:kern w:val="0"/>
          <w:sz w:val="22"/>
          <w:szCs w:val="22"/>
          <w14:ligatures w14:val="none"/>
        </w:rPr>
        <w:t>Bressgott</w:t>
      </w:r>
      <w:proofErr w:type="spellEnd"/>
      <w:r w:rsidRPr="4EE5807E">
        <w:rPr>
          <w:rFonts w:ascii="Arial" w:hAnsi="Arial" w:eastAsia="Arial" w:cs="Arial"/>
          <w:kern w:val="0"/>
          <w:sz w:val="22"/>
          <w:szCs w:val="22"/>
          <w14:ligatures w14:val="none"/>
        </w:rPr>
        <w:t>, T. (2020) ‘How artificial intelligence will change the future of marketing’, Journal of the Academy of Marketing Science, 48(1), pp. 24–42.</w:t>
      </w:r>
    </w:p>
    <w:p w:rsidRPr="001A19FD" w:rsidR="001A19FD" w:rsidP="4EE5807E" w:rsidRDefault="001A19FD" w14:paraId="5DB51944"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 xml:space="preserve">Dixon, M., Freeman, K. and </w:t>
      </w:r>
      <w:proofErr w:type="spellStart"/>
      <w:r w:rsidRPr="4EE5807E">
        <w:rPr>
          <w:rFonts w:ascii="Arial" w:hAnsi="Arial" w:eastAsia="Arial" w:cs="Arial"/>
          <w:kern w:val="0"/>
          <w:sz w:val="22"/>
          <w:szCs w:val="22"/>
          <w14:ligatures w14:val="none"/>
        </w:rPr>
        <w:t>Toman</w:t>
      </w:r>
      <w:proofErr w:type="spellEnd"/>
      <w:r w:rsidRPr="4EE5807E">
        <w:rPr>
          <w:rFonts w:ascii="Arial" w:hAnsi="Arial" w:eastAsia="Arial" w:cs="Arial"/>
          <w:kern w:val="0"/>
          <w:sz w:val="22"/>
          <w:szCs w:val="22"/>
          <w14:ligatures w14:val="none"/>
        </w:rPr>
        <w:t>, N. (2010) ‘Stop trying to delight your customers’, Harvard Business Review, 88(7/8), pp. 116–122.</w:t>
      </w:r>
    </w:p>
    <w:p w:rsidRPr="001A19FD" w:rsidR="001A19FD" w:rsidP="4EE5807E" w:rsidRDefault="001A19FD" w14:paraId="4BA4C90A"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proofErr w:type="spellStart"/>
      <w:r w:rsidRPr="4EE5807E">
        <w:rPr>
          <w:rFonts w:ascii="Arial" w:hAnsi="Arial" w:eastAsia="Arial" w:cs="Arial"/>
          <w:kern w:val="0"/>
          <w:sz w:val="22"/>
          <w:szCs w:val="22"/>
          <w14:ligatures w14:val="none"/>
        </w:rPr>
        <w:t>Euromonitor</w:t>
      </w:r>
      <w:proofErr w:type="spellEnd"/>
      <w:r w:rsidRPr="4EE5807E">
        <w:rPr>
          <w:rFonts w:ascii="Arial" w:hAnsi="Arial" w:eastAsia="Arial" w:cs="Arial"/>
          <w:kern w:val="0"/>
          <w:sz w:val="22"/>
          <w:szCs w:val="22"/>
          <w14:ligatures w14:val="none"/>
        </w:rPr>
        <w:t xml:space="preserve"> International (2023) Grocery Retailing in the United Kingdom. London: </w:t>
      </w:r>
      <w:proofErr w:type="spellStart"/>
      <w:r w:rsidRPr="4EE5807E">
        <w:rPr>
          <w:rFonts w:ascii="Arial" w:hAnsi="Arial" w:eastAsia="Arial" w:cs="Arial"/>
          <w:kern w:val="0"/>
          <w:sz w:val="22"/>
          <w:szCs w:val="22"/>
          <w14:ligatures w14:val="none"/>
        </w:rPr>
        <w:t>Euromonitor</w:t>
      </w:r>
      <w:proofErr w:type="spellEnd"/>
      <w:r w:rsidRPr="4EE5807E">
        <w:rPr>
          <w:rFonts w:ascii="Arial" w:hAnsi="Arial" w:eastAsia="Arial" w:cs="Arial"/>
          <w:kern w:val="0"/>
          <w:sz w:val="22"/>
          <w:szCs w:val="22"/>
          <w14:ligatures w14:val="none"/>
        </w:rPr>
        <w:t xml:space="preserve"> International.</w:t>
      </w:r>
    </w:p>
    <w:p w:rsidRPr="001A19FD" w:rsidR="001A19FD" w:rsidP="4EE5807E" w:rsidRDefault="001A19FD" w14:paraId="13A2C185"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Information Commissioner’s Office (ICO) (2023) Guidance on AI and Data Protection. Wilmslow: ICO.</w:t>
      </w:r>
    </w:p>
    <w:p w:rsidRPr="001A19FD" w:rsidR="001A19FD" w:rsidP="4EE5807E" w:rsidRDefault="001A19FD" w14:paraId="634E7F98"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proofErr w:type="spellStart"/>
      <w:r w:rsidRPr="4EE5807E">
        <w:rPr>
          <w:rFonts w:ascii="Arial" w:hAnsi="Arial" w:eastAsia="Arial" w:cs="Arial"/>
          <w:kern w:val="0"/>
          <w:sz w:val="22"/>
          <w:szCs w:val="22"/>
          <w14:ligatures w14:val="none"/>
        </w:rPr>
        <w:t>Kahneman</w:t>
      </w:r>
      <w:proofErr w:type="spellEnd"/>
      <w:r w:rsidRPr="4EE5807E">
        <w:rPr>
          <w:rFonts w:ascii="Arial" w:hAnsi="Arial" w:eastAsia="Arial" w:cs="Arial"/>
          <w:kern w:val="0"/>
          <w:sz w:val="22"/>
          <w:szCs w:val="22"/>
          <w14:ligatures w14:val="none"/>
        </w:rPr>
        <w:t>, D. (2011) Thinking, Fast and Slow. London: Allen Lane.</w:t>
      </w:r>
    </w:p>
    <w:p w:rsidRPr="001A19FD" w:rsidR="001A19FD" w:rsidP="4EE5807E" w:rsidRDefault="001A19FD" w14:paraId="6FA155BB"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McKinsey &amp; Company (2023) The Future of Retail: Reimagining Shopping for a Digital-First World. McKinsey Insights.</w:t>
      </w:r>
    </w:p>
    <w:p w:rsidRPr="001A19FD" w:rsidR="001A19FD" w:rsidP="4EE5807E" w:rsidRDefault="001A19FD" w14:paraId="37B81006"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proofErr w:type="spellStart"/>
      <w:r w:rsidRPr="4EE5807E">
        <w:rPr>
          <w:rFonts w:ascii="Arial" w:hAnsi="Arial" w:eastAsia="Arial" w:cs="Arial"/>
          <w:kern w:val="0"/>
          <w:sz w:val="22"/>
          <w:szCs w:val="22"/>
          <w14:ligatures w14:val="none"/>
        </w:rPr>
        <w:t>Mintel</w:t>
      </w:r>
      <w:proofErr w:type="spellEnd"/>
      <w:r w:rsidRPr="4EE5807E">
        <w:rPr>
          <w:rFonts w:ascii="Arial" w:hAnsi="Arial" w:eastAsia="Arial" w:cs="Arial"/>
          <w:kern w:val="0"/>
          <w:sz w:val="22"/>
          <w:szCs w:val="22"/>
          <w14:ligatures w14:val="none"/>
        </w:rPr>
        <w:t xml:space="preserve"> (2023) UK Food Retailing: Consumer and Market Trends. London: </w:t>
      </w:r>
      <w:proofErr w:type="spellStart"/>
      <w:r w:rsidRPr="4EE5807E">
        <w:rPr>
          <w:rFonts w:ascii="Arial" w:hAnsi="Arial" w:eastAsia="Arial" w:cs="Arial"/>
          <w:kern w:val="0"/>
          <w:sz w:val="22"/>
          <w:szCs w:val="22"/>
          <w14:ligatures w14:val="none"/>
        </w:rPr>
        <w:t>Mintel</w:t>
      </w:r>
      <w:proofErr w:type="spellEnd"/>
      <w:r w:rsidRPr="4EE5807E">
        <w:rPr>
          <w:rFonts w:ascii="Arial" w:hAnsi="Arial" w:eastAsia="Arial" w:cs="Arial"/>
          <w:kern w:val="0"/>
          <w:sz w:val="22"/>
          <w:szCs w:val="22"/>
          <w14:ligatures w14:val="none"/>
        </w:rPr>
        <w:t xml:space="preserve"> Group Ltd.</w:t>
      </w:r>
    </w:p>
    <w:p w:rsidRPr="001A19FD" w:rsidR="001A19FD" w:rsidP="4EE5807E" w:rsidRDefault="001A19FD" w14:paraId="0B3494C3"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proofErr w:type="spellStart"/>
      <w:r w:rsidRPr="4EE5807E">
        <w:rPr>
          <w:rFonts w:ascii="Arial" w:hAnsi="Arial" w:eastAsia="Arial" w:cs="Arial"/>
          <w:kern w:val="0"/>
          <w:sz w:val="22"/>
          <w:szCs w:val="22"/>
          <w14:ligatures w14:val="none"/>
        </w:rPr>
        <w:t>Nagji</w:t>
      </w:r>
      <w:proofErr w:type="spellEnd"/>
      <w:r w:rsidRPr="4EE5807E">
        <w:rPr>
          <w:rFonts w:ascii="Arial" w:hAnsi="Arial" w:eastAsia="Arial" w:cs="Arial"/>
          <w:kern w:val="0"/>
          <w:sz w:val="22"/>
          <w:szCs w:val="22"/>
          <w14:ligatures w14:val="none"/>
        </w:rPr>
        <w:t>, B. and Tuff, G. (2012) ‘Managing your innovation portfolio’, Harvard Business Review, 90(5), pp. 66–74.</w:t>
      </w:r>
    </w:p>
    <w:p w:rsidRPr="001A19FD" w:rsidR="001A19FD" w:rsidP="4EE5807E" w:rsidRDefault="001A19FD" w14:paraId="3BDF457C"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Porter, M.E. (1996) ‘What is strategy?’, Harvard Business Review, 74(6), pp. 61–78.</w:t>
      </w:r>
    </w:p>
    <w:p w:rsidRPr="001A19FD" w:rsidR="001A19FD" w:rsidP="4EE5807E" w:rsidRDefault="001A19FD" w14:paraId="74F7E471"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Porter, M.E. (2008) ‘The five competitive forces that shape strategy’, Harvard Business Review, 86(1), pp. 78–93.</w:t>
      </w:r>
    </w:p>
    <w:p w:rsidRPr="001A19FD" w:rsidR="001A19FD" w:rsidP="4EE5807E" w:rsidRDefault="001A19FD" w14:paraId="5B41338D"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Rogers, D.L. (2016) The Digital Transformation Playbook: Rethink Your Business for the Digital Age. New York: Columbia Business School Publishing.</w:t>
      </w:r>
    </w:p>
    <w:p w:rsidRPr="001A19FD" w:rsidR="001A19FD" w:rsidP="4EE5807E" w:rsidRDefault="001A19FD" w14:paraId="583C4914"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 xml:space="preserve">Tax, S.S., Brown, S.W. and </w:t>
      </w:r>
      <w:proofErr w:type="spellStart"/>
      <w:r w:rsidRPr="4EE5807E">
        <w:rPr>
          <w:rFonts w:ascii="Arial" w:hAnsi="Arial" w:eastAsia="Arial" w:cs="Arial"/>
          <w:kern w:val="0"/>
          <w:sz w:val="22"/>
          <w:szCs w:val="22"/>
          <w14:ligatures w14:val="none"/>
        </w:rPr>
        <w:t>Chandrashekaran</w:t>
      </w:r>
      <w:proofErr w:type="spellEnd"/>
      <w:r w:rsidRPr="4EE5807E">
        <w:rPr>
          <w:rFonts w:ascii="Arial" w:hAnsi="Arial" w:eastAsia="Arial" w:cs="Arial"/>
          <w:kern w:val="0"/>
          <w:sz w:val="22"/>
          <w:szCs w:val="22"/>
          <w14:ligatures w14:val="none"/>
        </w:rPr>
        <w:t>, M. (1998) ‘Customer evaluations of service complaint experiences: implications for relationship marketing’, Journal of Marketing, 62(2), pp. 60–76.</w:t>
      </w:r>
    </w:p>
    <w:p w:rsidRPr="001A19FD" w:rsidR="001A19FD" w:rsidP="4EE5807E" w:rsidRDefault="001A19FD" w14:paraId="0A4E82F7"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r w:rsidRPr="4EE5807E">
        <w:rPr>
          <w:rFonts w:ascii="Arial" w:hAnsi="Arial" w:eastAsia="Arial" w:cs="Arial"/>
          <w:kern w:val="0"/>
          <w:sz w:val="22"/>
          <w:szCs w:val="22"/>
          <w14:ligatures w14:val="none"/>
        </w:rPr>
        <w:t>Tesco PLC (2024) Annual Report and Financial Statements 2024. Welwyn Garden City: Tesco PLC.</w:t>
      </w:r>
    </w:p>
    <w:p w:rsidRPr="001A19FD" w:rsidR="001A19FD" w:rsidP="4EE5807E" w:rsidRDefault="001A19FD" w14:paraId="010306A4" w14:textId="77777777">
      <w:pPr>
        <w:pStyle w:val="ListParagraph"/>
        <w:numPr>
          <w:ilvl w:val="0"/>
          <w:numId w:val="1"/>
        </w:numPr>
        <w:spacing w:before="100" w:beforeAutospacing="1" w:after="100" w:afterAutospacing="1" w:line="360" w:lineRule="auto"/>
        <w:rPr>
          <w:rFonts w:ascii="Arial" w:hAnsi="Arial" w:eastAsia="Arial" w:cs="Arial"/>
          <w:kern w:val="0"/>
          <w:sz w:val="22"/>
          <w:szCs w:val="22"/>
          <w14:ligatures w14:val="none"/>
        </w:rPr>
      </w:pPr>
      <w:proofErr w:type="spellStart"/>
      <w:r w:rsidRPr="4EE5807E">
        <w:rPr>
          <w:rFonts w:ascii="Arial" w:hAnsi="Arial" w:eastAsia="Arial" w:cs="Arial"/>
          <w:kern w:val="0"/>
          <w:sz w:val="22"/>
          <w:szCs w:val="22"/>
          <w14:ligatures w14:val="none"/>
        </w:rPr>
        <w:t>Westerman</w:t>
      </w:r>
      <w:proofErr w:type="spellEnd"/>
      <w:r w:rsidRPr="4EE5807E">
        <w:rPr>
          <w:rFonts w:ascii="Arial" w:hAnsi="Arial" w:eastAsia="Arial" w:cs="Arial"/>
          <w:kern w:val="0"/>
          <w:sz w:val="22"/>
          <w:szCs w:val="22"/>
          <w14:ligatures w14:val="none"/>
        </w:rPr>
        <w:t>, G., Bonnet, D. and McAfee, A. (2014) Leading Digital: Turning Technology into Business Transformation. Boston, MA: Harvard Business Review Press.</w:t>
      </w:r>
    </w:p>
    <w:p w:rsidR="001A19FD" w:rsidRDefault="001A19FD" w14:paraId="5DF5FEEC" w14:textId="77777777"/>
    <w:sectPr w:rsidR="001A19FD">
      <w:headerReference w:type="default" r:id="rId7"/>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2018" w:rsidP="006F018E" w:rsidRDefault="00282018" w14:paraId="4C13D292" w14:textId="77777777">
      <w:pPr>
        <w:spacing w:after="0" w:line="240" w:lineRule="auto"/>
      </w:pPr>
      <w:r>
        <w:separator/>
      </w:r>
    </w:p>
  </w:endnote>
  <w:endnote w:type="continuationSeparator" w:id="0">
    <w:p w:rsidR="00282018" w:rsidP="006F018E" w:rsidRDefault="00282018" w14:paraId="2BE7C78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CF5ACD" w:rsidTr="5BCF5ACD" w14:paraId="65FC8E1A" w14:textId="77777777">
      <w:trPr>
        <w:trHeight w:val="300"/>
      </w:trPr>
      <w:tc>
        <w:tcPr>
          <w:tcW w:w="3005" w:type="dxa"/>
        </w:tcPr>
        <w:p w:rsidR="5BCF5ACD" w:rsidP="5BCF5ACD" w:rsidRDefault="5BCF5ACD" w14:paraId="345425A5" w14:textId="6B76C575">
          <w:pPr>
            <w:pStyle w:val="Header"/>
            <w:ind w:left="-115"/>
          </w:pPr>
        </w:p>
      </w:tc>
      <w:tc>
        <w:tcPr>
          <w:tcW w:w="3005" w:type="dxa"/>
        </w:tcPr>
        <w:p w:rsidR="5BCF5ACD" w:rsidP="5BCF5ACD" w:rsidRDefault="5BCF5ACD" w14:paraId="7C9AC3CD" w14:textId="6FD348C4">
          <w:pPr>
            <w:pStyle w:val="Header"/>
            <w:jc w:val="center"/>
          </w:pPr>
        </w:p>
      </w:tc>
      <w:tc>
        <w:tcPr>
          <w:tcW w:w="3005" w:type="dxa"/>
        </w:tcPr>
        <w:p w:rsidR="5BCF5ACD" w:rsidP="5BCF5ACD" w:rsidRDefault="5BCF5ACD" w14:paraId="1FD154B4" w14:textId="2E612730">
          <w:pPr>
            <w:pStyle w:val="Header"/>
            <w:ind w:right="-115"/>
            <w:jc w:val="right"/>
          </w:pPr>
        </w:p>
      </w:tc>
    </w:tr>
  </w:tbl>
  <w:p w:rsidR="006F018E" w:rsidRDefault="006F018E" w14:paraId="38E47332" w14:textId="7592D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2018" w:rsidP="006F018E" w:rsidRDefault="00282018" w14:paraId="6CB217D1" w14:textId="77777777">
      <w:pPr>
        <w:spacing w:after="0" w:line="240" w:lineRule="auto"/>
      </w:pPr>
      <w:r>
        <w:separator/>
      </w:r>
    </w:p>
  </w:footnote>
  <w:footnote w:type="continuationSeparator" w:id="0">
    <w:p w:rsidR="00282018" w:rsidP="006F018E" w:rsidRDefault="00282018" w14:paraId="083B12C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CF5ACD" w:rsidTr="5BCF5ACD" w14:paraId="1A45EC78" w14:textId="77777777">
      <w:trPr>
        <w:trHeight w:val="300"/>
      </w:trPr>
      <w:tc>
        <w:tcPr>
          <w:tcW w:w="3005" w:type="dxa"/>
        </w:tcPr>
        <w:p w:rsidR="5BCF5ACD" w:rsidP="5BCF5ACD" w:rsidRDefault="5BCF5ACD" w14:paraId="44BAA67E" w14:textId="37B643D3">
          <w:pPr>
            <w:pStyle w:val="Header"/>
            <w:ind w:left="-115"/>
          </w:pPr>
        </w:p>
      </w:tc>
      <w:tc>
        <w:tcPr>
          <w:tcW w:w="3005" w:type="dxa"/>
        </w:tcPr>
        <w:p w:rsidR="5BCF5ACD" w:rsidP="5BCF5ACD" w:rsidRDefault="5BCF5ACD" w14:paraId="3CC4892D" w14:textId="7607D8AF">
          <w:pPr>
            <w:pStyle w:val="Header"/>
            <w:jc w:val="center"/>
          </w:pPr>
        </w:p>
      </w:tc>
      <w:tc>
        <w:tcPr>
          <w:tcW w:w="3005" w:type="dxa"/>
        </w:tcPr>
        <w:p w:rsidR="5BCF5ACD" w:rsidP="5BCF5ACD" w:rsidRDefault="5BCF5ACD" w14:paraId="40C13209" w14:textId="1C30AEDD">
          <w:pPr>
            <w:pStyle w:val="Header"/>
            <w:ind w:right="-115"/>
            <w:jc w:val="right"/>
          </w:pPr>
        </w:p>
      </w:tc>
    </w:tr>
  </w:tbl>
  <w:p w:rsidR="006F018E" w:rsidRDefault="006F018E" w14:paraId="33FC6D74" w14:textId="6B58199B">
    <w:pPr>
      <w:pStyle w:val="Header"/>
    </w:pPr>
  </w:p>
</w:hdr>
</file>

<file path=word/intelligence2.xml><?xml version="1.0" encoding="utf-8"?>
<int2:intelligence xmlns:int2="http://schemas.microsoft.com/office/intelligence/2020/intelligence" xmlns:oel="http://schemas.microsoft.com/office/2019/extlst">
  <int2:observations>
    <int2:textHash int2:hashCode="XBPb4vMuAm6S8N" int2:id="ylfGd0c9">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D295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0BC85BC"/>
    <w:multiLevelType w:val="hybridMultilevel"/>
    <w:tmpl w:val="FFFFFFFF"/>
    <w:lvl w:ilvl="0" w:tplc="6D420B76">
      <w:start w:val="1"/>
      <w:numFmt w:val="bullet"/>
      <w:lvlText w:val=""/>
      <w:lvlJc w:val="left"/>
      <w:pPr>
        <w:ind w:left="720" w:hanging="360"/>
      </w:pPr>
      <w:rPr>
        <w:rFonts w:hint="default" w:ascii="Symbol" w:hAnsi="Symbol"/>
      </w:rPr>
    </w:lvl>
    <w:lvl w:ilvl="1" w:tplc="10AC1354">
      <w:start w:val="1"/>
      <w:numFmt w:val="bullet"/>
      <w:lvlText w:val="o"/>
      <w:lvlJc w:val="left"/>
      <w:pPr>
        <w:ind w:left="1440" w:hanging="360"/>
      </w:pPr>
      <w:rPr>
        <w:rFonts w:hint="default" w:ascii="Courier New" w:hAnsi="Courier New"/>
      </w:rPr>
    </w:lvl>
    <w:lvl w:ilvl="2" w:tplc="006EC508">
      <w:start w:val="1"/>
      <w:numFmt w:val="bullet"/>
      <w:lvlText w:val=""/>
      <w:lvlJc w:val="left"/>
      <w:pPr>
        <w:ind w:left="2160" w:hanging="360"/>
      </w:pPr>
      <w:rPr>
        <w:rFonts w:hint="default" w:ascii="Wingdings" w:hAnsi="Wingdings"/>
      </w:rPr>
    </w:lvl>
    <w:lvl w:ilvl="3" w:tplc="4C7CB6FE">
      <w:start w:val="1"/>
      <w:numFmt w:val="bullet"/>
      <w:lvlText w:val=""/>
      <w:lvlJc w:val="left"/>
      <w:pPr>
        <w:ind w:left="2880" w:hanging="360"/>
      </w:pPr>
      <w:rPr>
        <w:rFonts w:hint="default" w:ascii="Symbol" w:hAnsi="Symbol"/>
      </w:rPr>
    </w:lvl>
    <w:lvl w:ilvl="4" w:tplc="BDC4BF2A">
      <w:start w:val="1"/>
      <w:numFmt w:val="bullet"/>
      <w:lvlText w:val="o"/>
      <w:lvlJc w:val="left"/>
      <w:pPr>
        <w:ind w:left="3600" w:hanging="360"/>
      </w:pPr>
      <w:rPr>
        <w:rFonts w:hint="default" w:ascii="Courier New" w:hAnsi="Courier New"/>
      </w:rPr>
    </w:lvl>
    <w:lvl w:ilvl="5" w:tplc="444EB82E">
      <w:start w:val="1"/>
      <w:numFmt w:val="bullet"/>
      <w:lvlText w:val=""/>
      <w:lvlJc w:val="left"/>
      <w:pPr>
        <w:ind w:left="4320" w:hanging="360"/>
      </w:pPr>
      <w:rPr>
        <w:rFonts w:hint="default" w:ascii="Wingdings" w:hAnsi="Wingdings"/>
      </w:rPr>
    </w:lvl>
    <w:lvl w:ilvl="6" w:tplc="48C07596">
      <w:start w:val="1"/>
      <w:numFmt w:val="bullet"/>
      <w:lvlText w:val=""/>
      <w:lvlJc w:val="left"/>
      <w:pPr>
        <w:ind w:left="5040" w:hanging="360"/>
      </w:pPr>
      <w:rPr>
        <w:rFonts w:hint="default" w:ascii="Symbol" w:hAnsi="Symbol"/>
      </w:rPr>
    </w:lvl>
    <w:lvl w:ilvl="7" w:tplc="675820E8">
      <w:start w:val="1"/>
      <w:numFmt w:val="bullet"/>
      <w:lvlText w:val="o"/>
      <w:lvlJc w:val="left"/>
      <w:pPr>
        <w:ind w:left="5760" w:hanging="360"/>
      </w:pPr>
      <w:rPr>
        <w:rFonts w:hint="default" w:ascii="Courier New" w:hAnsi="Courier New"/>
      </w:rPr>
    </w:lvl>
    <w:lvl w:ilvl="8" w:tplc="C7F47C7E">
      <w:start w:val="1"/>
      <w:numFmt w:val="bullet"/>
      <w:lvlText w:val=""/>
      <w:lvlJc w:val="left"/>
      <w:pPr>
        <w:ind w:left="6480" w:hanging="360"/>
      </w:pPr>
      <w:rPr>
        <w:rFonts w:hint="default" w:ascii="Wingdings" w:hAnsi="Wingdings"/>
      </w:rPr>
    </w:lvl>
  </w:abstractNum>
  <w:abstractNum w:abstractNumId="2" w15:restartNumberingAfterBreak="0">
    <w:nsid w:val="70820940"/>
    <w:multiLevelType w:val="hybridMultilevel"/>
    <w:tmpl w:val="FFFFFFFF"/>
    <w:lvl w:ilvl="0" w:tplc="67A6D766">
      <w:start w:val="1"/>
      <w:numFmt w:val="decimal"/>
      <w:lvlText w:val="%1."/>
      <w:lvlJc w:val="left"/>
      <w:pPr>
        <w:ind w:left="720" w:hanging="360"/>
      </w:pPr>
    </w:lvl>
    <w:lvl w:ilvl="1" w:tplc="0A52266E">
      <w:start w:val="1"/>
      <w:numFmt w:val="lowerLetter"/>
      <w:lvlText w:val="%2."/>
      <w:lvlJc w:val="left"/>
      <w:pPr>
        <w:ind w:left="1440" w:hanging="360"/>
      </w:pPr>
    </w:lvl>
    <w:lvl w:ilvl="2" w:tplc="CE6CB1FE">
      <w:start w:val="1"/>
      <w:numFmt w:val="lowerRoman"/>
      <w:lvlText w:val="%3."/>
      <w:lvlJc w:val="right"/>
      <w:pPr>
        <w:ind w:left="2160" w:hanging="180"/>
      </w:pPr>
    </w:lvl>
    <w:lvl w:ilvl="3" w:tplc="F9D4C7AA">
      <w:start w:val="1"/>
      <w:numFmt w:val="decimal"/>
      <w:lvlText w:val="%4."/>
      <w:lvlJc w:val="left"/>
      <w:pPr>
        <w:ind w:left="2880" w:hanging="360"/>
      </w:pPr>
    </w:lvl>
    <w:lvl w:ilvl="4" w:tplc="39723658">
      <w:start w:val="1"/>
      <w:numFmt w:val="lowerLetter"/>
      <w:lvlText w:val="%5."/>
      <w:lvlJc w:val="left"/>
      <w:pPr>
        <w:ind w:left="3600" w:hanging="360"/>
      </w:pPr>
    </w:lvl>
    <w:lvl w:ilvl="5" w:tplc="4D369242">
      <w:start w:val="1"/>
      <w:numFmt w:val="lowerRoman"/>
      <w:lvlText w:val="%6."/>
      <w:lvlJc w:val="right"/>
      <w:pPr>
        <w:ind w:left="4320" w:hanging="180"/>
      </w:pPr>
    </w:lvl>
    <w:lvl w:ilvl="6" w:tplc="8F1E15CC">
      <w:start w:val="1"/>
      <w:numFmt w:val="decimal"/>
      <w:lvlText w:val="%7."/>
      <w:lvlJc w:val="left"/>
      <w:pPr>
        <w:ind w:left="5040" w:hanging="360"/>
      </w:pPr>
    </w:lvl>
    <w:lvl w:ilvl="7" w:tplc="7EC6D72C">
      <w:start w:val="1"/>
      <w:numFmt w:val="lowerLetter"/>
      <w:lvlText w:val="%8."/>
      <w:lvlJc w:val="left"/>
      <w:pPr>
        <w:ind w:left="5760" w:hanging="360"/>
      </w:pPr>
    </w:lvl>
    <w:lvl w:ilvl="8" w:tplc="606690E0">
      <w:start w:val="1"/>
      <w:numFmt w:val="lowerRoman"/>
      <w:lvlText w:val="%9."/>
      <w:lvlJc w:val="right"/>
      <w:pPr>
        <w:ind w:left="6480" w:hanging="180"/>
      </w:pPr>
    </w:lvl>
  </w:abstractNum>
  <w:num w:numId="1" w16cid:durableId="646055059">
    <w:abstractNumId w:val="1"/>
  </w:num>
  <w:num w:numId="2" w16cid:durableId="1026515944">
    <w:abstractNumId w:val="2"/>
  </w:num>
  <w:num w:numId="3" w16cid:durableId="2065712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7C0"/>
    <w:rsid w:val="0000288C"/>
    <w:rsid w:val="00034E68"/>
    <w:rsid w:val="00073F6F"/>
    <w:rsid w:val="00156B77"/>
    <w:rsid w:val="00196C04"/>
    <w:rsid w:val="001A19FD"/>
    <w:rsid w:val="001A50C8"/>
    <w:rsid w:val="002776B7"/>
    <w:rsid w:val="00282018"/>
    <w:rsid w:val="002D0C1B"/>
    <w:rsid w:val="002D7E5C"/>
    <w:rsid w:val="00385E69"/>
    <w:rsid w:val="003919F7"/>
    <w:rsid w:val="003F7558"/>
    <w:rsid w:val="004717C0"/>
    <w:rsid w:val="005575EE"/>
    <w:rsid w:val="00581964"/>
    <w:rsid w:val="00581D37"/>
    <w:rsid w:val="00581D43"/>
    <w:rsid w:val="0058591A"/>
    <w:rsid w:val="006935B9"/>
    <w:rsid w:val="006E1212"/>
    <w:rsid w:val="006F018E"/>
    <w:rsid w:val="00714E8F"/>
    <w:rsid w:val="00764E56"/>
    <w:rsid w:val="007A1A3A"/>
    <w:rsid w:val="00816AB0"/>
    <w:rsid w:val="00852C4A"/>
    <w:rsid w:val="008554C4"/>
    <w:rsid w:val="00914702"/>
    <w:rsid w:val="00937ED5"/>
    <w:rsid w:val="00941FF8"/>
    <w:rsid w:val="009D151D"/>
    <w:rsid w:val="00A156FF"/>
    <w:rsid w:val="00A335BC"/>
    <w:rsid w:val="00AF1736"/>
    <w:rsid w:val="00B41A2B"/>
    <w:rsid w:val="00B8555E"/>
    <w:rsid w:val="00BF79A3"/>
    <w:rsid w:val="00C02C4D"/>
    <w:rsid w:val="00C67A9D"/>
    <w:rsid w:val="00C92424"/>
    <w:rsid w:val="00CE2729"/>
    <w:rsid w:val="00D24D2A"/>
    <w:rsid w:val="00D34374"/>
    <w:rsid w:val="00D80C9D"/>
    <w:rsid w:val="00E05780"/>
    <w:rsid w:val="00E934BE"/>
    <w:rsid w:val="00EA5191"/>
    <w:rsid w:val="00EFE4C0"/>
    <w:rsid w:val="00F449A4"/>
    <w:rsid w:val="012C7E1B"/>
    <w:rsid w:val="0271EBEA"/>
    <w:rsid w:val="030EF86A"/>
    <w:rsid w:val="048ED2D9"/>
    <w:rsid w:val="06E77903"/>
    <w:rsid w:val="08D7D20F"/>
    <w:rsid w:val="09154840"/>
    <w:rsid w:val="098E3D40"/>
    <w:rsid w:val="0B4FB12A"/>
    <w:rsid w:val="0C4AC2E3"/>
    <w:rsid w:val="0C632000"/>
    <w:rsid w:val="0D46905D"/>
    <w:rsid w:val="10248A39"/>
    <w:rsid w:val="10E4DC6D"/>
    <w:rsid w:val="122531B0"/>
    <w:rsid w:val="15B0292A"/>
    <w:rsid w:val="15B735C3"/>
    <w:rsid w:val="172B2A85"/>
    <w:rsid w:val="1816C1D8"/>
    <w:rsid w:val="19798B76"/>
    <w:rsid w:val="19FA6769"/>
    <w:rsid w:val="1A299CFB"/>
    <w:rsid w:val="1AEE3B87"/>
    <w:rsid w:val="1D807DC2"/>
    <w:rsid w:val="2250DB3D"/>
    <w:rsid w:val="241AF6B2"/>
    <w:rsid w:val="244C00A7"/>
    <w:rsid w:val="2488B8FD"/>
    <w:rsid w:val="24F6B681"/>
    <w:rsid w:val="25309F06"/>
    <w:rsid w:val="25CBC267"/>
    <w:rsid w:val="25CC8BF3"/>
    <w:rsid w:val="264F28C9"/>
    <w:rsid w:val="2757294B"/>
    <w:rsid w:val="28EB6D54"/>
    <w:rsid w:val="29E5514F"/>
    <w:rsid w:val="29E8073D"/>
    <w:rsid w:val="2E08E7CE"/>
    <w:rsid w:val="2F70880F"/>
    <w:rsid w:val="2F711B57"/>
    <w:rsid w:val="30412B72"/>
    <w:rsid w:val="3789276B"/>
    <w:rsid w:val="3961F666"/>
    <w:rsid w:val="3AE3DFFE"/>
    <w:rsid w:val="3B88FD2D"/>
    <w:rsid w:val="3D352FB7"/>
    <w:rsid w:val="449E2B72"/>
    <w:rsid w:val="45A1D287"/>
    <w:rsid w:val="464CB02E"/>
    <w:rsid w:val="481F3476"/>
    <w:rsid w:val="4980C400"/>
    <w:rsid w:val="4982E04E"/>
    <w:rsid w:val="49952670"/>
    <w:rsid w:val="49A2AD1A"/>
    <w:rsid w:val="49AD4F55"/>
    <w:rsid w:val="4EE5807E"/>
    <w:rsid w:val="5000F8D9"/>
    <w:rsid w:val="50E47C7C"/>
    <w:rsid w:val="5157F8A2"/>
    <w:rsid w:val="539B32FB"/>
    <w:rsid w:val="57BB866A"/>
    <w:rsid w:val="58AB89BA"/>
    <w:rsid w:val="59A90CE4"/>
    <w:rsid w:val="59D7253C"/>
    <w:rsid w:val="5BCF5ACD"/>
    <w:rsid w:val="5CD369A3"/>
    <w:rsid w:val="5F833B32"/>
    <w:rsid w:val="5F923D95"/>
    <w:rsid w:val="6034AF6B"/>
    <w:rsid w:val="616AE07F"/>
    <w:rsid w:val="63DF0109"/>
    <w:rsid w:val="63E68945"/>
    <w:rsid w:val="64922690"/>
    <w:rsid w:val="65338AE8"/>
    <w:rsid w:val="65F1DF89"/>
    <w:rsid w:val="6662D666"/>
    <w:rsid w:val="6691FBF0"/>
    <w:rsid w:val="674BBBF3"/>
    <w:rsid w:val="6794B508"/>
    <w:rsid w:val="67BA0F98"/>
    <w:rsid w:val="69E4FEF2"/>
    <w:rsid w:val="6A552A2C"/>
    <w:rsid w:val="6AAD9F0B"/>
    <w:rsid w:val="6AADA422"/>
    <w:rsid w:val="6B614CB4"/>
    <w:rsid w:val="6C5B6A0F"/>
    <w:rsid w:val="6CE61D1A"/>
    <w:rsid w:val="6DEAB48F"/>
    <w:rsid w:val="6E4B1D18"/>
    <w:rsid w:val="6F68C997"/>
    <w:rsid w:val="6F6F71F8"/>
    <w:rsid w:val="7258F25A"/>
    <w:rsid w:val="72747B8A"/>
    <w:rsid w:val="7385CFED"/>
    <w:rsid w:val="742F2B6B"/>
    <w:rsid w:val="74E011DB"/>
    <w:rsid w:val="7597A1A2"/>
    <w:rsid w:val="7681F028"/>
    <w:rsid w:val="779BDE67"/>
    <w:rsid w:val="77D5AAF2"/>
    <w:rsid w:val="78B08D87"/>
    <w:rsid w:val="7AF77144"/>
    <w:rsid w:val="7B889016"/>
    <w:rsid w:val="7D516B43"/>
    <w:rsid w:val="7DB61F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99D4A2F"/>
  <w15:chartTrackingRefBased/>
  <w15:docId w15:val="{4BA9D948-3BA0-4D7A-B617-592D7C2E3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717C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17C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17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17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17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17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7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7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7C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717C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717C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717C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717C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717C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717C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717C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717C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717C0"/>
    <w:rPr>
      <w:rFonts w:eastAsiaTheme="majorEastAsia" w:cstheme="majorBidi"/>
      <w:color w:val="272727" w:themeColor="text1" w:themeTint="D8"/>
    </w:rPr>
  </w:style>
  <w:style w:type="paragraph" w:styleId="Title">
    <w:name w:val="Title"/>
    <w:basedOn w:val="Normal"/>
    <w:next w:val="Normal"/>
    <w:link w:val="TitleChar"/>
    <w:uiPriority w:val="10"/>
    <w:qFormat/>
    <w:rsid w:val="004717C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717C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717C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717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7C0"/>
    <w:pPr>
      <w:spacing w:before="160"/>
      <w:jc w:val="center"/>
    </w:pPr>
    <w:rPr>
      <w:i/>
      <w:iCs/>
      <w:color w:val="404040" w:themeColor="text1" w:themeTint="BF"/>
    </w:rPr>
  </w:style>
  <w:style w:type="character" w:styleId="QuoteChar" w:customStyle="1">
    <w:name w:val="Quote Char"/>
    <w:basedOn w:val="DefaultParagraphFont"/>
    <w:link w:val="Quote"/>
    <w:uiPriority w:val="29"/>
    <w:rsid w:val="004717C0"/>
    <w:rPr>
      <w:i/>
      <w:iCs/>
      <w:color w:val="404040" w:themeColor="text1" w:themeTint="BF"/>
    </w:rPr>
  </w:style>
  <w:style w:type="paragraph" w:styleId="ListParagraph">
    <w:name w:val="List Paragraph"/>
    <w:basedOn w:val="Normal"/>
    <w:uiPriority w:val="34"/>
    <w:qFormat/>
    <w:rsid w:val="004717C0"/>
    <w:pPr>
      <w:ind w:left="720"/>
      <w:contextualSpacing/>
    </w:pPr>
  </w:style>
  <w:style w:type="character" w:styleId="IntenseEmphasis">
    <w:name w:val="Intense Emphasis"/>
    <w:basedOn w:val="DefaultParagraphFont"/>
    <w:uiPriority w:val="21"/>
    <w:qFormat/>
    <w:rsid w:val="004717C0"/>
    <w:rPr>
      <w:i/>
      <w:iCs/>
      <w:color w:val="0F4761" w:themeColor="accent1" w:themeShade="BF"/>
    </w:rPr>
  </w:style>
  <w:style w:type="paragraph" w:styleId="IntenseQuote">
    <w:name w:val="Intense Quote"/>
    <w:basedOn w:val="Normal"/>
    <w:next w:val="Normal"/>
    <w:link w:val="IntenseQuoteChar"/>
    <w:uiPriority w:val="30"/>
    <w:qFormat/>
    <w:rsid w:val="004717C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717C0"/>
    <w:rPr>
      <w:i/>
      <w:iCs/>
      <w:color w:val="0F4761" w:themeColor="accent1" w:themeShade="BF"/>
    </w:rPr>
  </w:style>
  <w:style w:type="character" w:styleId="IntenseReference">
    <w:name w:val="Intense Reference"/>
    <w:basedOn w:val="DefaultParagraphFont"/>
    <w:uiPriority w:val="32"/>
    <w:qFormat/>
    <w:rsid w:val="004717C0"/>
    <w:rPr>
      <w:b/>
      <w:bCs/>
      <w:smallCaps/>
      <w:color w:val="0F4761" w:themeColor="accent1" w:themeShade="BF"/>
      <w:spacing w:val="5"/>
    </w:rPr>
  </w:style>
  <w:style w:type="paragraph" w:styleId="p1" w:customStyle="1">
    <w:name w:val="p1"/>
    <w:basedOn w:val="Normal"/>
    <w:rsid w:val="004717C0"/>
    <w:pPr>
      <w:spacing w:before="100" w:beforeAutospacing="1" w:after="100" w:afterAutospacing="1" w:line="240" w:lineRule="auto"/>
    </w:pPr>
    <w:rPr>
      <w:rFonts w:ascii="Times New Roman" w:hAnsi="Times New Roman" w:cs="Times New Roman"/>
      <w:kern w:val="0"/>
      <w14:ligatures w14:val="none"/>
    </w:rPr>
  </w:style>
  <w:style w:type="character" w:styleId="s1" w:customStyle="1">
    <w:name w:val="s1"/>
    <w:basedOn w:val="DefaultParagraphFont"/>
    <w:rsid w:val="004717C0"/>
  </w:style>
  <w:style w:type="paragraph" w:styleId="p2" w:customStyle="1">
    <w:name w:val="p2"/>
    <w:basedOn w:val="Normal"/>
    <w:rsid w:val="004717C0"/>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D80C9D"/>
    <w:rPr>
      <w:color w:val="0000FF"/>
      <w:u w:val="single"/>
    </w:rPr>
  </w:style>
  <w:style w:type="character" w:styleId="s2" w:customStyle="1">
    <w:name w:val="s2"/>
    <w:basedOn w:val="DefaultParagraphFont"/>
    <w:rsid w:val="00D80C9D"/>
  </w:style>
  <w:style w:type="paragraph" w:styleId="p3" w:customStyle="1">
    <w:name w:val="p3"/>
    <w:basedOn w:val="Normal"/>
    <w:rsid w:val="00385E69"/>
    <w:pPr>
      <w:spacing w:before="100" w:beforeAutospacing="1" w:after="100" w:afterAutospacing="1" w:line="240" w:lineRule="auto"/>
    </w:pPr>
    <w:rPr>
      <w:rFonts w:ascii="Times New Roman" w:hAnsi="Times New Roman" w:cs="Times New Roman"/>
      <w:kern w:val="0"/>
      <w14:ligatures w14:val="none"/>
    </w:rPr>
  </w:style>
  <w:style w:type="character" w:styleId="s3" w:customStyle="1">
    <w:name w:val="s3"/>
    <w:basedOn w:val="DefaultParagraphFont"/>
    <w:rsid w:val="001A19FD"/>
  </w:style>
  <w:style w:type="paragraph" w:styleId="Header">
    <w:name w:val="header"/>
    <w:basedOn w:val="Normal"/>
    <w:link w:val="HeaderChar"/>
    <w:uiPriority w:val="99"/>
    <w:unhideWhenUsed/>
    <w:rsid w:val="006F018E"/>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018E"/>
  </w:style>
  <w:style w:type="paragraph" w:styleId="Footer">
    <w:name w:val="footer"/>
    <w:basedOn w:val="Normal"/>
    <w:link w:val="FooterChar"/>
    <w:uiPriority w:val="99"/>
    <w:unhideWhenUsed/>
    <w:rsid w:val="006F018E"/>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018E"/>
  </w:style>
  <w:style w:type="paragraph" w:styleId="TOC2">
    <w:name w:val="toc 2"/>
    <w:basedOn w:val="Normal"/>
    <w:next w:val="Normal"/>
    <w:uiPriority w:val="39"/>
    <w:unhideWhenUsed/>
    <w:rsid w:val="006F018E"/>
    <w:pPr>
      <w:spacing w:after="100"/>
      <w:ind w:left="220"/>
    </w:pPr>
  </w:style>
  <w:style w:type="paragraph" w:styleId="TOC3">
    <w:name w:val="toc 3"/>
    <w:basedOn w:val="Normal"/>
    <w:next w:val="Normal"/>
    <w:uiPriority w:val="39"/>
    <w:unhideWhenUsed/>
    <w:rsid w:val="006F018E"/>
    <w:pPr>
      <w:spacing w:after="100"/>
      <w:ind w:left="440"/>
    </w:pPr>
  </w:style>
  <w:style w:type="paragraph" w:styleId="TOC4">
    <w:name w:val="toc 4"/>
    <w:basedOn w:val="Normal"/>
    <w:next w:val="Normal"/>
    <w:uiPriority w:val="39"/>
    <w:unhideWhenUsed/>
    <w:rsid w:val="006F018E"/>
    <w:pPr>
      <w:spacing w:after="100"/>
      <w:ind w:left="660"/>
    </w:pPr>
  </w:style>
  <w:style w:type="table" w:styleId="TableGrid">
    <w:name w:val="Table Grid"/>
    <w:basedOn w:val="TableNormal"/>
    <w:uiPriority w:val="59"/>
    <w:rsid w:val="006F018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PlainTable4">
    <w:name w:val="Plain Table 4"/>
    <w:basedOn w:val="TableNormal"/>
    <w:uiPriority w:val="44"/>
    <w:rsid w:val="00E0578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Ioana Alexia Cantaragiu (2322692)</dc:creator>
  <keywords/>
  <dc:description/>
  <lastModifiedBy>Ioana Alexia Cantaragiu (2322692)</lastModifiedBy>
  <revision>23</revision>
  <dcterms:created xsi:type="dcterms:W3CDTF">2026-02-07T17:48:00.0000000Z</dcterms:created>
  <dcterms:modified xsi:type="dcterms:W3CDTF">2026-03-14T09:46:51.3271974Z</dcterms:modified>
</coreProperties>
</file>