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00728" w14:textId="77777777" w:rsidR="00005136" w:rsidRPr="00005136" w:rsidRDefault="00005136" w:rsidP="00005136">
      <w:pPr>
        <w:spacing w:after="480"/>
        <w:jc w:val="center"/>
        <w:rPr>
          <w:rFonts w:cs="Arial"/>
          <w:b/>
          <w:sz w:val="40"/>
          <w:szCs w:val="32"/>
        </w:rPr>
      </w:pPr>
      <w:r w:rsidRPr="00005136">
        <w:rPr>
          <w:rFonts w:cs="Arial"/>
          <w:b/>
          <w:sz w:val="36"/>
          <w:szCs w:val="32"/>
        </w:rPr>
        <w:t>LCDB7007 Research Principles and Philosophy</w:t>
      </w:r>
    </w:p>
    <w:p w14:paraId="3C0802CB" w14:textId="77777777" w:rsidR="00005136" w:rsidRDefault="00005136" w:rsidP="00CE063C">
      <w:pPr>
        <w:jc w:val="center"/>
        <w:rPr>
          <w:b/>
          <w:bCs/>
          <w:sz w:val="32"/>
          <w:szCs w:val="32"/>
        </w:rPr>
      </w:pPr>
    </w:p>
    <w:p w14:paraId="7A28B9CD" w14:textId="5594798D" w:rsidR="00CE063C" w:rsidRDefault="00127727" w:rsidP="00CE063C">
      <w:pPr>
        <w:jc w:val="center"/>
        <w:rPr>
          <w:b/>
          <w:bCs/>
          <w:sz w:val="32"/>
          <w:szCs w:val="32"/>
        </w:rPr>
      </w:pPr>
      <w:r w:rsidRPr="00CE063C">
        <w:rPr>
          <w:b/>
          <w:bCs/>
          <w:sz w:val="32"/>
          <w:szCs w:val="32"/>
        </w:rPr>
        <w:t>Institutional Readiness for Technological Convergence in Achieving Sustainable Development Goals: A Critical Review of Electric Vehicle Adoption in the UK</w:t>
      </w:r>
    </w:p>
    <w:p w14:paraId="22F237EA" w14:textId="77777777" w:rsidR="00005136" w:rsidRDefault="00005136" w:rsidP="00CE063C">
      <w:pPr>
        <w:jc w:val="center"/>
        <w:rPr>
          <w:b/>
          <w:bCs/>
          <w:sz w:val="32"/>
          <w:szCs w:val="32"/>
        </w:rPr>
      </w:pPr>
    </w:p>
    <w:p w14:paraId="18565CFE" w14:textId="77733A0B" w:rsidR="00005136" w:rsidRPr="004051B9" w:rsidRDefault="00774DA1" w:rsidP="00005136">
      <w:pPr>
        <w:jc w:val="center"/>
        <w:rPr>
          <w:rFonts w:cs="Arial"/>
        </w:rPr>
      </w:pPr>
      <w:r>
        <w:rPr>
          <w:b/>
        </w:rPr>
        <w:t>Name: Masud Rana</w:t>
      </w:r>
      <w:r>
        <w:rPr>
          <w:b/>
        </w:rPr>
        <w:br/>
      </w:r>
      <w:r w:rsidR="00005136" w:rsidRPr="004051B9">
        <w:rPr>
          <w:b/>
        </w:rPr>
        <w:t>Student ID:</w:t>
      </w:r>
      <w:r>
        <w:rPr>
          <w:b/>
        </w:rPr>
        <w:t xml:space="preserve"> 2522899</w:t>
      </w:r>
      <w:r w:rsidR="00005136" w:rsidRPr="004051B9">
        <w:t xml:space="preserve"> </w:t>
      </w:r>
    </w:p>
    <w:p w14:paraId="5146EFCE" w14:textId="4C18801E" w:rsidR="00005136" w:rsidRPr="004051B9" w:rsidRDefault="00005136" w:rsidP="00005136">
      <w:pPr>
        <w:jc w:val="center"/>
      </w:pPr>
      <w:r w:rsidRPr="004051B9">
        <w:rPr>
          <w:rFonts w:cs="Arial"/>
          <w:b/>
        </w:rPr>
        <w:t>Word count: 77</w:t>
      </w:r>
      <w:r w:rsidR="007C2CDB">
        <w:rPr>
          <w:rFonts w:cs="Arial"/>
          <w:b/>
        </w:rPr>
        <w:t>79</w:t>
      </w:r>
    </w:p>
    <w:p w14:paraId="6328125E" w14:textId="77777777" w:rsidR="00005136" w:rsidRDefault="00005136" w:rsidP="00CE063C">
      <w:pPr>
        <w:jc w:val="center"/>
        <w:rPr>
          <w:b/>
          <w:bCs/>
          <w:sz w:val="32"/>
          <w:szCs w:val="32"/>
        </w:rPr>
      </w:pPr>
    </w:p>
    <w:p w14:paraId="21549822" w14:textId="77777777" w:rsidR="00E72708" w:rsidRDefault="00CE063C">
      <w:pPr>
        <w:spacing w:before="0" w:after="160" w:line="278" w:lineRule="auto"/>
        <w:jc w:val="left"/>
        <w:rPr>
          <w:b/>
          <w:bCs/>
          <w:sz w:val="32"/>
          <w:szCs w:val="32"/>
        </w:rPr>
      </w:pPr>
      <w:r>
        <w:rPr>
          <w:b/>
          <w:bCs/>
          <w:sz w:val="32"/>
          <w:szCs w:val="32"/>
        </w:rPr>
        <w:br w:type="page"/>
      </w:r>
    </w:p>
    <w:p w14:paraId="624546EA" w14:textId="347AA95E" w:rsidR="00E72708" w:rsidRDefault="00E72708" w:rsidP="00E72708">
      <w:pPr>
        <w:pStyle w:val="Heading1"/>
        <w:jc w:val="center"/>
      </w:pPr>
      <w:bookmarkStart w:id="0" w:name="_Toc238299847"/>
      <w:r>
        <w:lastRenderedPageBreak/>
        <w:t>Executive Summary</w:t>
      </w:r>
      <w:bookmarkEnd w:id="0"/>
    </w:p>
    <w:p w14:paraId="01AA7969" w14:textId="564C3A73" w:rsidR="00E72708" w:rsidRDefault="00E55B96" w:rsidP="003026C5">
      <w:r w:rsidRPr="00E55B96">
        <w:t xml:space="preserve">The report represents an analysis of the current level of readiness of institutions to Sustainable Development Goals (SDGs) and the introduction of Electric Vehicles (EVs) in the United Kingdom (UK). It addresses 44 sources from governance and regulation, </w:t>
      </w:r>
      <w:proofErr w:type="spellStart"/>
      <w:r w:rsidRPr="00E55B96">
        <w:t>organisational</w:t>
      </w:r>
      <w:proofErr w:type="spellEnd"/>
      <w:r w:rsidRPr="00E55B96">
        <w:t xml:space="preserve"> capability, charging infrastructure, technological integration, </w:t>
      </w:r>
      <w:r w:rsidR="00721C38">
        <w:t xml:space="preserve">and </w:t>
      </w:r>
      <w:r w:rsidRPr="00E55B96">
        <w:t>sustainability.</w:t>
      </w:r>
      <w:r>
        <w:t xml:space="preserve"> </w:t>
      </w:r>
      <w:r w:rsidR="00C82D5E" w:rsidRPr="00C82D5E">
        <w:t xml:space="preserve">The evidence points to this transition to EVs being more than just a technical </w:t>
      </w:r>
      <w:proofErr w:type="gramStart"/>
      <w:r w:rsidR="00C82D5E" w:rsidRPr="00C82D5E">
        <w:t>transformation, and</w:t>
      </w:r>
      <w:proofErr w:type="gramEnd"/>
      <w:r w:rsidR="00C82D5E" w:rsidRPr="00C82D5E">
        <w:t xml:space="preserve"> requires a coordinated institutional and </w:t>
      </w:r>
      <w:proofErr w:type="spellStart"/>
      <w:r w:rsidR="00C82D5E">
        <w:t>organisational</w:t>
      </w:r>
      <w:proofErr w:type="spellEnd"/>
      <w:r w:rsidR="00C82D5E" w:rsidRPr="00C82D5E">
        <w:t xml:space="preserve"> response. The review also identifies methodological differences between studies based on a positivist approach, interpretivist approach, quantitative approach, qualitative approach, and mixed methods approach, none of which fully meets the level of complexity of institutional readiness. </w:t>
      </w:r>
      <w:r w:rsidR="003026C5" w:rsidRPr="003026C5">
        <w:t xml:space="preserve">The main limitations are the fragmented attention to institutional factors, the cross-sectional designs, regional disparities in infrastructure, and the limited attention to environmental, social and economic sustainability. The report calls for improved policy coordination, place-based planning, </w:t>
      </w:r>
      <w:proofErr w:type="spellStart"/>
      <w:r w:rsidR="003026C5" w:rsidRPr="003026C5">
        <w:t>organisational</w:t>
      </w:r>
      <w:proofErr w:type="spellEnd"/>
      <w:r w:rsidR="003026C5" w:rsidRPr="003026C5">
        <w:t xml:space="preserve"> capacity, mixed-method and longitudinal research and attention to equity and lifecycle impacts and digital governance to help ensure a sustainable UK EV transition.</w:t>
      </w:r>
      <w:r w:rsidR="00E72708">
        <w:br w:type="page"/>
      </w:r>
    </w:p>
    <w:sdt>
      <w:sdtPr>
        <w:rPr>
          <w:rFonts w:ascii="Times New Roman" w:eastAsiaTheme="minorHAnsi" w:hAnsi="Times New Roman" w:cstheme="minorBidi"/>
          <w:color w:val="auto"/>
          <w:kern w:val="2"/>
          <w:sz w:val="24"/>
          <w:szCs w:val="24"/>
          <w14:ligatures w14:val="standardContextual"/>
        </w:rPr>
        <w:id w:val="409359333"/>
        <w:docPartObj>
          <w:docPartGallery w:val="Table of Contents"/>
          <w:docPartUnique/>
        </w:docPartObj>
      </w:sdtPr>
      <w:sdtEndPr>
        <w:rPr>
          <w:b/>
          <w:bCs/>
          <w:noProof/>
        </w:rPr>
      </w:sdtEndPr>
      <w:sdtContent>
        <w:p w14:paraId="5A75E415" w14:textId="5F384170" w:rsidR="00E72708" w:rsidRDefault="00E72708">
          <w:pPr>
            <w:pStyle w:val="TOCHeading"/>
          </w:pPr>
          <w:r>
            <w:t>Contents</w:t>
          </w:r>
        </w:p>
        <w:p w14:paraId="4E2F3B31" w14:textId="0745C490" w:rsidR="00FA4E73" w:rsidRDefault="00E72708">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38299847" w:history="1">
            <w:r w:rsidR="00FA4E73" w:rsidRPr="00DC19FB">
              <w:rPr>
                <w:rStyle w:val="Hyperlink"/>
                <w:noProof/>
              </w:rPr>
              <w:t>Executive Summary</w:t>
            </w:r>
            <w:r w:rsidR="00FA4E73">
              <w:rPr>
                <w:noProof/>
                <w:webHidden/>
              </w:rPr>
              <w:tab/>
            </w:r>
            <w:r w:rsidR="00FA4E73">
              <w:rPr>
                <w:noProof/>
                <w:webHidden/>
              </w:rPr>
              <w:fldChar w:fldCharType="begin"/>
            </w:r>
            <w:r w:rsidR="00FA4E73">
              <w:rPr>
                <w:noProof/>
                <w:webHidden/>
              </w:rPr>
              <w:instrText xml:space="preserve"> PAGEREF _Toc238299847 \h </w:instrText>
            </w:r>
            <w:r w:rsidR="00FA4E73">
              <w:rPr>
                <w:noProof/>
                <w:webHidden/>
              </w:rPr>
            </w:r>
            <w:r w:rsidR="00FA4E73">
              <w:rPr>
                <w:noProof/>
                <w:webHidden/>
              </w:rPr>
              <w:fldChar w:fldCharType="separate"/>
            </w:r>
            <w:r w:rsidR="00FA4E73">
              <w:rPr>
                <w:noProof/>
                <w:webHidden/>
              </w:rPr>
              <w:t>2</w:t>
            </w:r>
            <w:r w:rsidR="00FA4E73">
              <w:rPr>
                <w:noProof/>
                <w:webHidden/>
              </w:rPr>
              <w:fldChar w:fldCharType="end"/>
            </w:r>
          </w:hyperlink>
        </w:p>
        <w:p w14:paraId="04FEA5F7" w14:textId="7EEBF9D7" w:rsidR="00FA4E73" w:rsidRDefault="00FA4E73">
          <w:pPr>
            <w:pStyle w:val="TOC1"/>
            <w:tabs>
              <w:tab w:val="right" w:leader="dot" w:pos="9350"/>
            </w:tabs>
            <w:rPr>
              <w:rFonts w:asciiTheme="minorHAnsi" w:eastAsiaTheme="minorEastAsia" w:hAnsiTheme="minorHAnsi"/>
              <w:noProof/>
            </w:rPr>
          </w:pPr>
          <w:hyperlink w:anchor="_Toc238299848" w:history="1">
            <w:r w:rsidRPr="00DC19FB">
              <w:rPr>
                <w:rStyle w:val="Hyperlink"/>
                <w:noProof/>
              </w:rPr>
              <w:t>1. Introduction</w:t>
            </w:r>
            <w:r>
              <w:rPr>
                <w:noProof/>
                <w:webHidden/>
              </w:rPr>
              <w:tab/>
            </w:r>
            <w:r>
              <w:rPr>
                <w:noProof/>
                <w:webHidden/>
              </w:rPr>
              <w:fldChar w:fldCharType="begin"/>
            </w:r>
            <w:r>
              <w:rPr>
                <w:noProof/>
                <w:webHidden/>
              </w:rPr>
              <w:instrText xml:space="preserve"> PAGEREF _Toc238299848 \h </w:instrText>
            </w:r>
            <w:r>
              <w:rPr>
                <w:noProof/>
                <w:webHidden/>
              </w:rPr>
            </w:r>
            <w:r>
              <w:rPr>
                <w:noProof/>
                <w:webHidden/>
              </w:rPr>
              <w:fldChar w:fldCharType="separate"/>
            </w:r>
            <w:r>
              <w:rPr>
                <w:noProof/>
                <w:webHidden/>
              </w:rPr>
              <w:t>5</w:t>
            </w:r>
            <w:r>
              <w:rPr>
                <w:noProof/>
                <w:webHidden/>
              </w:rPr>
              <w:fldChar w:fldCharType="end"/>
            </w:r>
          </w:hyperlink>
        </w:p>
        <w:p w14:paraId="38319C12" w14:textId="52A18785" w:rsidR="00FA4E73" w:rsidRDefault="00FA4E73">
          <w:pPr>
            <w:pStyle w:val="TOC2"/>
            <w:tabs>
              <w:tab w:val="right" w:leader="dot" w:pos="9350"/>
            </w:tabs>
            <w:rPr>
              <w:rFonts w:asciiTheme="minorHAnsi" w:eastAsiaTheme="minorEastAsia" w:hAnsiTheme="minorHAnsi"/>
              <w:noProof/>
            </w:rPr>
          </w:pPr>
          <w:hyperlink w:anchor="_Toc238299849" w:history="1">
            <w:r w:rsidRPr="00DC19FB">
              <w:rPr>
                <w:rStyle w:val="Hyperlink"/>
                <w:noProof/>
              </w:rPr>
              <w:t>1.1 Background to the Study</w:t>
            </w:r>
            <w:r>
              <w:rPr>
                <w:noProof/>
                <w:webHidden/>
              </w:rPr>
              <w:tab/>
            </w:r>
            <w:r>
              <w:rPr>
                <w:noProof/>
                <w:webHidden/>
              </w:rPr>
              <w:fldChar w:fldCharType="begin"/>
            </w:r>
            <w:r>
              <w:rPr>
                <w:noProof/>
                <w:webHidden/>
              </w:rPr>
              <w:instrText xml:space="preserve"> PAGEREF _Toc238299849 \h </w:instrText>
            </w:r>
            <w:r>
              <w:rPr>
                <w:noProof/>
                <w:webHidden/>
              </w:rPr>
            </w:r>
            <w:r>
              <w:rPr>
                <w:noProof/>
                <w:webHidden/>
              </w:rPr>
              <w:fldChar w:fldCharType="separate"/>
            </w:r>
            <w:r>
              <w:rPr>
                <w:noProof/>
                <w:webHidden/>
              </w:rPr>
              <w:t>5</w:t>
            </w:r>
            <w:r>
              <w:rPr>
                <w:noProof/>
                <w:webHidden/>
              </w:rPr>
              <w:fldChar w:fldCharType="end"/>
            </w:r>
          </w:hyperlink>
        </w:p>
        <w:p w14:paraId="623D1FE0" w14:textId="320EEA54" w:rsidR="00FA4E73" w:rsidRDefault="00FA4E73">
          <w:pPr>
            <w:pStyle w:val="TOC2"/>
            <w:tabs>
              <w:tab w:val="right" w:leader="dot" w:pos="9350"/>
            </w:tabs>
            <w:rPr>
              <w:rFonts w:asciiTheme="minorHAnsi" w:eastAsiaTheme="minorEastAsia" w:hAnsiTheme="minorHAnsi"/>
              <w:noProof/>
            </w:rPr>
          </w:pPr>
          <w:hyperlink w:anchor="_Toc238299850" w:history="1">
            <w:r w:rsidRPr="00DC19FB">
              <w:rPr>
                <w:rStyle w:val="Hyperlink"/>
                <w:noProof/>
              </w:rPr>
              <w:t>1.2 Context of the Study</w:t>
            </w:r>
            <w:r>
              <w:rPr>
                <w:noProof/>
                <w:webHidden/>
              </w:rPr>
              <w:tab/>
            </w:r>
            <w:r>
              <w:rPr>
                <w:noProof/>
                <w:webHidden/>
              </w:rPr>
              <w:fldChar w:fldCharType="begin"/>
            </w:r>
            <w:r>
              <w:rPr>
                <w:noProof/>
                <w:webHidden/>
              </w:rPr>
              <w:instrText xml:space="preserve"> PAGEREF _Toc238299850 \h </w:instrText>
            </w:r>
            <w:r>
              <w:rPr>
                <w:noProof/>
                <w:webHidden/>
              </w:rPr>
            </w:r>
            <w:r>
              <w:rPr>
                <w:noProof/>
                <w:webHidden/>
              </w:rPr>
              <w:fldChar w:fldCharType="separate"/>
            </w:r>
            <w:r>
              <w:rPr>
                <w:noProof/>
                <w:webHidden/>
              </w:rPr>
              <w:t>5</w:t>
            </w:r>
            <w:r>
              <w:rPr>
                <w:noProof/>
                <w:webHidden/>
              </w:rPr>
              <w:fldChar w:fldCharType="end"/>
            </w:r>
          </w:hyperlink>
        </w:p>
        <w:p w14:paraId="5DFCBD33" w14:textId="1EC951BE" w:rsidR="00FA4E73" w:rsidRDefault="00FA4E73">
          <w:pPr>
            <w:pStyle w:val="TOC2"/>
            <w:tabs>
              <w:tab w:val="right" w:leader="dot" w:pos="9350"/>
            </w:tabs>
            <w:rPr>
              <w:rFonts w:asciiTheme="minorHAnsi" w:eastAsiaTheme="minorEastAsia" w:hAnsiTheme="minorHAnsi"/>
              <w:noProof/>
            </w:rPr>
          </w:pPr>
          <w:hyperlink w:anchor="_Toc238299851" w:history="1">
            <w:r w:rsidRPr="00DC19FB">
              <w:rPr>
                <w:rStyle w:val="Hyperlink"/>
                <w:noProof/>
              </w:rPr>
              <w:t>1.3 Aim</w:t>
            </w:r>
            <w:r>
              <w:rPr>
                <w:noProof/>
                <w:webHidden/>
              </w:rPr>
              <w:tab/>
            </w:r>
            <w:r>
              <w:rPr>
                <w:noProof/>
                <w:webHidden/>
              </w:rPr>
              <w:fldChar w:fldCharType="begin"/>
            </w:r>
            <w:r>
              <w:rPr>
                <w:noProof/>
                <w:webHidden/>
              </w:rPr>
              <w:instrText xml:space="preserve"> PAGEREF _Toc238299851 \h </w:instrText>
            </w:r>
            <w:r>
              <w:rPr>
                <w:noProof/>
                <w:webHidden/>
              </w:rPr>
            </w:r>
            <w:r>
              <w:rPr>
                <w:noProof/>
                <w:webHidden/>
              </w:rPr>
              <w:fldChar w:fldCharType="separate"/>
            </w:r>
            <w:r>
              <w:rPr>
                <w:noProof/>
                <w:webHidden/>
              </w:rPr>
              <w:t>6</w:t>
            </w:r>
            <w:r>
              <w:rPr>
                <w:noProof/>
                <w:webHidden/>
              </w:rPr>
              <w:fldChar w:fldCharType="end"/>
            </w:r>
          </w:hyperlink>
        </w:p>
        <w:p w14:paraId="43F32BCA" w14:textId="55F58D12" w:rsidR="00FA4E73" w:rsidRDefault="00FA4E73">
          <w:pPr>
            <w:pStyle w:val="TOC2"/>
            <w:tabs>
              <w:tab w:val="right" w:leader="dot" w:pos="9350"/>
            </w:tabs>
            <w:rPr>
              <w:rFonts w:asciiTheme="minorHAnsi" w:eastAsiaTheme="minorEastAsia" w:hAnsiTheme="minorHAnsi"/>
              <w:noProof/>
            </w:rPr>
          </w:pPr>
          <w:hyperlink w:anchor="_Toc238299852" w:history="1">
            <w:r w:rsidRPr="00DC19FB">
              <w:rPr>
                <w:rStyle w:val="Hyperlink"/>
                <w:noProof/>
              </w:rPr>
              <w:t>1.4 Objectives</w:t>
            </w:r>
            <w:r>
              <w:rPr>
                <w:noProof/>
                <w:webHidden/>
              </w:rPr>
              <w:tab/>
            </w:r>
            <w:r>
              <w:rPr>
                <w:noProof/>
                <w:webHidden/>
              </w:rPr>
              <w:fldChar w:fldCharType="begin"/>
            </w:r>
            <w:r>
              <w:rPr>
                <w:noProof/>
                <w:webHidden/>
              </w:rPr>
              <w:instrText xml:space="preserve"> PAGEREF _Toc238299852 \h </w:instrText>
            </w:r>
            <w:r>
              <w:rPr>
                <w:noProof/>
                <w:webHidden/>
              </w:rPr>
            </w:r>
            <w:r>
              <w:rPr>
                <w:noProof/>
                <w:webHidden/>
              </w:rPr>
              <w:fldChar w:fldCharType="separate"/>
            </w:r>
            <w:r>
              <w:rPr>
                <w:noProof/>
                <w:webHidden/>
              </w:rPr>
              <w:t>6</w:t>
            </w:r>
            <w:r>
              <w:rPr>
                <w:noProof/>
                <w:webHidden/>
              </w:rPr>
              <w:fldChar w:fldCharType="end"/>
            </w:r>
          </w:hyperlink>
        </w:p>
        <w:p w14:paraId="62E3AB30" w14:textId="3B5ABA2F" w:rsidR="00FA4E73" w:rsidRDefault="00FA4E73">
          <w:pPr>
            <w:pStyle w:val="TOC2"/>
            <w:tabs>
              <w:tab w:val="right" w:leader="dot" w:pos="9350"/>
            </w:tabs>
            <w:rPr>
              <w:rFonts w:asciiTheme="minorHAnsi" w:eastAsiaTheme="minorEastAsia" w:hAnsiTheme="minorHAnsi"/>
              <w:noProof/>
            </w:rPr>
          </w:pPr>
          <w:hyperlink w:anchor="_Toc238299853" w:history="1">
            <w:r w:rsidRPr="00DC19FB">
              <w:rPr>
                <w:rStyle w:val="Hyperlink"/>
                <w:noProof/>
              </w:rPr>
              <w:t>1.5 Scope and Delimitations</w:t>
            </w:r>
            <w:r>
              <w:rPr>
                <w:noProof/>
                <w:webHidden/>
              </w:rPr>
              <w:tab/>
            </w:r>
            <w:r>
              <w:rPr>
                <w:noProof/>
                <w:webHidden/>
              </w:rPr>
              <w:fldChar w:fldCharType="begin"/>
            </w:r>
            <w:r>
              <w:rPr>
                <w:noProof/>
                <w:webHidden/>
              </w:rPr>
              <w:instrText xml:space="preserve"> PAGEREF _Toc238299853 \h </w:instrText>
            </w:r>
            <w:r>
              <w:rPr>
                <w:noProof/>
                <w:webHidden/>
              </w:rPr>
            </w:r>
            <w:r>
              <w:rPr>
                <w:noProof/>
                <w:webHidden/>
              </w:rPr>
              <w:fldChar w:fldCharType="separate"/>
            </w:r>
            <w:r>
              <w:rPr>
                <w:noProof/>
                <w:webHidden/>
              </w:rPr>
              <w:t>6</w:t>
            </w:r>
            <w:r>
              <w:rPr>
                <w:noProof/>
                <w:webHidden/>
              </w:rPr>
              <w:fldChar w:fldCharType="end"/>
            </w:r>
          </w:hyperlink>
        </w:p>
        <w:p w14:paraId="532B433A" w14:textId="4051465F" w:rsidR="00FA4E73" w:rsidRDefault="00FA4E73">
          <w:pPr>
            <w:pStyle w:val="TOC2"/>
            <w:tabs>
              <w:tab w:val="right" w:leader="dot" w:pos="9350"/>
            </w:tabs>
            <w:rPr>
              <w:rFonts w:asciiTheme="minorHAnsi" w:eastAsiaTheme="minorEastAsia" w:hAnsiTheme="minorHAnsi"/>
              <w:noProof/>
            </w:rPr>
          </w:pPr>
          <w:hyperlink w:anchor="_Toc238299854" w:history="1">
            <w:r w:rsidRPr="00DC19FB">
              <w:rPr>
                <w:rStyle w:val="Hyperlink"/>
                <w:noProof/>
              </w:rPr>
              <w:t>1.6 Structure of the Report</w:t>
            </w:r>
            <w:r>
              <w:rPr>
                <w:noProof/>
                <w:webHidden/>
              </w:rPr>
              <w:tab/>
            </w:r>
            <w:r>
              <w:rPr>
                <w:noProof/>
                <w:webHidden/>
              </w:rPr>
              <w:fldChar w:fldCharType="begin"/>
            </w:r>
            <w:r>
              <w:rPr>
                <w:noProof/>
                <w:webHidden/>
              </w:rPr>
              <w:instrText xml:space="preserve"> PAGEREF _Toc238299854 \h </w:instrText>
            </w:r>
            <w:r>
              <w:rPr>
                <w:noProof/>
                <w:webHidden/>
              </w:rPr>
            </w:r>
            <w:r>
              <w:rPr>
                <w:noProof/>
                <w:webHidden/>
              </w:rPr>
              <w:fldChar w:fldCharType="separate"/>
            </w:r>
            <w:r>
              <w:rPr>
                <w:noProof/>
                <w:webHidden/>
              </w:rPr>
              <w:t>7</w:t>
            </w:r>
            <w:r>
              <w:rPr>
                <w:noProof/>
                <w:webHidden/>
              </w:rPr>
              <w:fldChar w:fldCharType="end"/>
            </w:r>
          </w:hyperlink>
        </w:p>
        <w:p w14:paraId="3DBEEC66" w14:textId="320F9540" w:rsidR="00FA4E73" w:rsidRDefault="00FA4E73">
          <w:pPr>
            <w:pStyle w:val="TOC1"/>
            <w:tabs>
              <w:tab w:val="right" w:leader="dot" w:pos="9350"/>
            </w:tabs>
            <w:rPr>
              <w:rFonts w:asciiTheme="minorHAnsi" w:eastAsiaTheme="minorEastAsia" w:hAnsiTheme="minorHAnsi"/>
              <w:noProof/>
            </w:rPr>
          </w:pPr>
          <w:hyperlink w:anchor="_Toc238299855" w:history="1">
            <w:r w:rsidRPr="00DC19FB">
              <w:rPr>
                <w:rStyle w:val="Hyperlink"/>
                <w:noProof/>
              </w:rPr>
              <w:t>2. Literature Review Method and Scope</w:t>
            </w:r>
            <w:r>
              <w:rPr>
                <w:noProof/>
                <w:webHidden/>
              </w:rPr>
              <w:tab/>
            </w:r>
            <w:r>
              <w:rPr>
                <w:noProof/>
                <w:webHidden/>
              </w:rPr>
              <w:fldChar w:fldCharType="begin"/>
            </w:r>
            <w:r>
              <w:rPr>
                <w:noProof/>
                <w:webHidden/>
              </w:rPr>
              <w:instrText xml:space="preserve"> PAGEREF _Toc238299855 \h </w:instrText>
            </w:r>
            <w:r>
              <w:rPr>
                <w:noProof/>
                <w:webHidden/>
              </w:rPr>
            </w:r>
            <w:r>
              <w:rPr>
                <w:noProof/>
                <w:webHidden/>
              </w:rPr>
              <w:fldChar w:fldCharType="separate"/>
            </w:r>
            <w:r>
              <w:rPr>
                <w:noProof/>
                <w:webHidden/>
              </w:rPr>
              <w:t>7</w:t>
            </w:r>
            <w:r>
              <w:rPr>
                <w:noProof/>
                <w:webHidden/>
              </w:rPr>
              <w:fldChar w:fldCharType="end"/>
            </w:r>
          </w:hyperlink>
        </w:p>
        <w:p w14:paraId="607FE736" w14:textId="3F5763C1" w:rsidR="00FA4E73" w:rsidRDefault="00FA4E73">
          <w:pPr>
            <w:pStyle w:val="TOC2"/>
            <w:tabs>
              <w:tab w:val="right" w:leader="dot" w:pos="9350"/>
            </w:tabs>
            <w:rPr>
              <w:rFonts w:asciiTheme="minorHAnsi" w:eastAsiaTheme="minorEastAsia" w:hAnsiTheme="minorHAnsi"/>
              <w:noProof/>
            </w:rPr>
          </w:pPr>
          <w:hyperlink w:anchor="_Toc238299856" w:history="1">
            <w:r w:rsidRPr="00DC19FB">
              <w:rPr>
                <w:rStyle w:val="Hyperlink"/>
                <w:noProof/>
              </w:rPr>
              <w:t>2.1 Review Design and Rationale</w:t>
            </w:r>
            <w:r>
              <w:rPr>
                <w:noProof/>
                <w:webHidden/>
              </w:rPr>
              <w:tab/>
            </w:r>
            <w:r>
              <w:rPr>
                <w:noProof/>
                <w:webHidden/>
              </w:rPr>
              <w:fldChar w:fldCharType="begin"/>
            </w:r>
            <w:r>
              <w:rPr>
                <w:noProof/>
                <w:webHidden/>
              </w:rPr>
              <w:instrText xml:space="preserve"> PAGEREF _Toc238299856 \h </w:instrText>
            </w:r>
            <w:r>
              <w:rPr>
                <w:noProof/>
                <w:webHidden/>
              </w:rPr>
            </w:r>
            <w:r>
              <w:rPr>
                <w:noProof/>
                <w:webHidden/>
              </w:rPr>
              <w:fldChar w:fldCharType="separate"/>
            </w:r>
            <w:r>
              <w:rPr>
                <w:noProof/>
                <w:webHidden/>
              </w:rPr>
              <w:t>7</w:t>
            </w:r>
            <w:r>
              <w:rPr>
                <w:noProof/>
                <w:webHidden/>
              </w:rPr>
              <w:fldChar w:fldCharType="end"/>
            </w:r>
          </w:hyperlink>
        </w:p>
        <w:p w14:paraId="25D5DA83" w14:textId="49836BFC" w:rsidR="00FA4E73" w:rsidRDefault="00FA4E73">
          <w:pPr>
            <w:pStyle w:val="TOC2"/>
            <w:tabs>
              <w:tab w:val="right" w:leader="dot" w:pos="9350"/>
            </w:tabs>
            <w:rPr>
              <w:rFonts w:asciiTheme="minorHAnsi" w:eastAsiaTheme="minorEastAsia" w:hAnsiTheme="minorHAnsi"/>
              <w:noProof/>
            </w:rPr>
          </w:pPr>
          <w:hyperlink w:anchor="_Toc238299857" w:history="1">
            <w:r w:rsidRPr="00DC19FB">
              <w:rPr>
                <w:rStyle w:val="Hyperlink"/>
                <w:noProof/>
              </w:rPr>
              <w:t>2.2 Search Strategy</w:t>
            </w:r>
            <w:r>
              <w:rPr>
                <w:noProof/>
                <w:webHidden/>
              </w:rPr>
              <w:tab/>
            </w:r>
            <w:r>
              <w:rPr>
                <w:noProof/>
                <w:webHidden/>
              </w:rPr>
              <w:fldChar w:fldCharType="begin"/>
            </w:r>
            <w:r>
              <w:rPr>
                <w:noProof/>
                <w:webHidden/>
              </w:rPr>
              <w:instrText xml:space="preserve"> PAGEREF _Toc238299857 \h </w:instrText>
            </w:r>
            <w:r>
              <w:rPr>
                <w:noProof/>
                <w:webHidden/>
              </w:rPr>
            </w:r>
            <w:r>
              <w:rPr>
                <w:noProof/>
                <w:webHidden/>
              </w:rPr>
              <w:fldChar w:fldCharType="separate"/>
            </w:r>
            <w:r>
              <w:rPr>
                <w:noProof/>
                <w:webHidden/>
              </w:rPr>
              <w:t>8</w:t>
            </w:r>
            <w:r>
              <w:rPr>
                <w:noProof/>
                <w:webHidden/>
              </w:rPr>
              <w:fldChar w:fldCharType="end"/>
            </w:r>
          </w:hyperlink>
        </w:p>
        <w:p w14:paraId="182C898A" w14:textId="134B3005" w:rsidR="00FA4E73" w:rsidRDefault="00FA4E73">
          <w:pPr>
            <w:pStyle w:val="TOC2"/>
            <w:tabs>
              <w:tab w:val="right" w:leader="dot" w:pos="9350"/>
            </w:tabs>
            <w:rPr>
              <w:rFonts w:asciiTheme="minorHAnsi" w:eastAsiaTheme="minorEastAsia" w:hAnsiTheme="minorHAnsi"/>
              <w:noProof/>
            </w:rPr>
          </w:pPr>
          <w:hyperlink w:anchor="_Toc238299858" w:history="1">
            <w:r w:rsidRPr="00DC19FB">
              <w:rPr>
                <w:rStyle w:val="Hyperlink"/>
                <w:noProof/>
              </w:rPr>
              <w:t>2.3 Inclusion, Exclusion and Quality Appraisal</w:t>
            </w:r>
            <w:r>
              <w:rPr>
                <w:noProof/>
                <w:webHidden/>
              </w:rPr>
              <w:tab/>
            </w:r>
            <w:r>
              <w:rPr>
                <w:noProof/>
                <w:webHidden/>
              </w:rPr>
              <w:fldChar w:fldCharType="begin"/>
            </w:r>
            <w:r>
              <w:rPr>
                <w:noProof/>
                <w:webHidden/>
              </w:rPr>
              <w:instrText xml:space="preserve"> PAGEREF _Toc238299858 \h </w:instrText>
            </w:r>
            <w:r>
              <w:rPr>
                <w:noProof/>
                <w:webHidden/>
              </w:rPr>
            </w:r>
            <w:r>
              <w:rPr>
                <w:noProof/>
                <w:webHidden/>
              </w:rPr>
              <w:fldChar w:fldCharType="separate"/>
            </w:r>
            <w:r>
              <w:rPr>
                <w:noProof/>
                <w:webHidden/>
              </w:rPr>
              <w:t>8</w:t>
            </w:r>
            <w:r>
              <w:rPr>
                <w:noProof/>
                <w:webHidden/>
              </w:rPr>
              <w:fldChar w:fldCharType="end"/>
            </w:r>
          </w:hyperlink>
        </w:p>
        <w:p w14:paraId="7FA54494" w14:textId="6668C736" w:rsidR="00FA4E73" w:rsidRDefault="00FA4E73">
          <w:pPr>
            <w:pStyle w:val="TOC2"/>
            <w:tabs>
              <w:tab w:val="right" w:leader="dot" w:pos="9350"/>
            </w:tabs>
            <w:rPr>
              <w:rFonts w:asciiTheme="minorHAnsi" w:eastAsiaTheme="minorEastAsia" w:hAnsiTheme="minorHAnsi"/>
              <w:noProof/>
            </w:rPr>
          </w:pPr>
          <w:hyperlink w:anchor="_Toc238299859" w:history="1">
            <w:r w:rsidRPr="00DC19FB">
              <w:rPr>
                <w:rStyle w:val="Hyperlink"/>
                <w:noProof/>
              </w:rPr>
              <w:t>2.4 Screening, Coding and Thematic Synthesis</w:t>
            </w:r>
            <w:r>
              <w:rPr>
                <w:noProof/>
                <w:webHidden/>
              </w:rPr>
              <w:tab/>
            </w:r>
            <w:r>
              <w:rPr>
                <w:noProof/>
                <w:webHidden/>
              </w:rPr>
              <w:fldChar w:fldCharType="begin"/>
            </w:r>
            <w:r>
              <w:rPr>
                <w:noProof/>
                <w:webHidden/>
              </w:rPr>
              <w:instrText xml:space="preserve"> PAGEREF _Toc238299859 \h </w:instrText>
            </w:r>
            <w:r>
              <w:rPr>
                <w:noProof/>
                <w:webHidden/>
              </w:rPr>
            </w:r>
            <w:r>
              <w:rPr>
                <w:noProof/>
                <w:webHidden/>
              </w:rPr>
              <w:fldChar w:fldCharType="separate"/>
            </w:r>
            <w:r>
              <w:rPr>
                <w:noProof/>
                <w:webHidden/>
              </w:rPr>
              <w:t>9</w:t>
            </w:r>
            <w:r>
              <w:rPr>
                <w:noProof/>
                <w:webHidden/>
              </w:rPr>
              <w:fldChar w:fldCharType="end"/>
            </w:r>
          </w:hyperlink>
        </w:p>
        <w:p w14:paraId="0244CC9E" w14:textId="4A0B2209" w:rsidR="00FA4E73" w:rsidRDefault="00FA4E73">
          <w:pPr>
            <w:pStyle w:val="TOC1"/>
            <w:tabs>
              <w:tab w:val="right" w:leader="dot" w:pos="9350"/>
            </w:tabs>
            <w:rPr>
              <w:rFonts w:asciiTheme="minorHAnsi" w:eastAsiaTheme="minorEastAsia" w:hAnsiTheme="minorHAnsi"/>
              <w:noProof/>
            </w:rPr>
          </w:pPr>
          <w:hyperlink w:anchor="_Toc238299860" w:history="1">
            <w:r w:rsidRPr="00DC19FB">
              <w:rPr>
                <w:rStyle w:val="Hyperlink"/>
                <w:noProof/>
              </w:rPr>
              <w:t>3. Critical Review of Existing Literature</w:t>
            </w:r>
            <w:r>
              <w:rPr>
                <w:noProof/>
                <w:webHidden/>
              </w:rPr>
              <w:tab/>
            </w:r>
            <w:r>
              <w:rPr>
                <w:noProof/>
                <w:webHidden/>
              </w:rPr>
              <w:fldChar w:fldCharType="begin"/>
            </w:r>
            <w:r>
              <w:rPr>
                <w:noProof/>
                <w:webHidden/>
              </w:rPr>
              <w:instrText xml:space="preserve"> PAGEREF _Toc238299860 \h </w:instrText>
            </w:r>
            <w:r>
              <w:rPr>
                <w:noProof/>
                <w:webHidden/>
              </w:rPr>
            </w:r>
            <w:r>
              <w:rPr>
                <w:noProof/>
                <w:webHidden/>
              </w:rPr>
              <w:fldChar w:fldCharType="separate"/>
            </w:r>
            <w:r>
              <w:rPr>
                <w:noProof/>
                <w:webHidden/>
              </w:rPr>
              <w:t>10</w:t>
            </w:r>
            <w:r>
              <w:rPr>
                <w:noProof/>
                <w:webHidden/>
              </w:rPr>
              <w:fldChar w:fldCharType="end"/>
            </w:r>
          </w:hyperlink>
        </w:p>
        <w:p w14:paraId="246A7DC6" w14:textId="46CDD860" w:rsidR="00FA4E73" w:rsidRDefault="00FA4E73">
          <w:pPr>
            <w:pStyle w:val="TOC2"/>
            <w:tabs>
              <w:tab w:val="right" w:leader="dot" w:pos="9350"/>
            </w:tabs>
            <w:rPr>
              <w:rFonts w:asciiTheme="minorHAnsi" w:eastAsiaTheme="minorEastAsia" w:hAnsiTheme="minorHAnsi"/>
              <w:noProof/>
            </w:rPr>
          </w:pPr>
          <w:hyperlink w:anchor="_Toc238299861" w:history="1">
            <w:r w:rsidRPr="00DC19FB">
              <w:rPr>
                <w:rStyle w:val="Hyperlink"/>
                <w:noProof/>
              </w:rPr>
              <w:t>3.1 Institutional Readiness</w:t>
            </w:r>
            <w:r>
              <w:rPr>
                <w:noProof/>
                <w:webHidden/>
              </w:rPr>
              <w:tab/>
            </w:r>
            <w:r>
              <w:rPr>
                <w:noProof/>
                <w:webHidden/>
              </w:rPr>
              <w:fldChar w:fldCharType="begin"/>
            </w:r>
            <w:r>
              <w:rPr>
                <w:noProof/>
                <w:webHidden/>
              </w:rPr>
              <w:instrText xml:space="preserve"> PAGEREF _Toc238299861 \h </w:instrText>
            </w:r>
            <w:r>
              <w:rPr>
                <w:noProof/>
                <w:webHidden/>
              </w:rPr>
            </w:r>
            <w:r>
              <w:rPr>
                <w:noProof/>
                <w:webHidden/>
              </w:rPr>
              <w:fldChar w:fldCharType="separate"/>
            </w:r>
            <w:r>
              <w:rPr>
                <w:noProof/>
                <w:webHidden/>
              </w:rPr>
              <w:t>11</w:t>
            </w:r>
            <w:r>
              <w:rPr>
                <w:noProof/>
                <w:webHidden/>
              </w:rPr>
              <w:fldChar w:fldCharType="end"/>
            </w:r>
          </w:hyperlink>
        </w:p>
        <w:p w14:paraId="2467ED80" w14:textId="354B3654" w:rsidR="00FA4E73" w:rsidRDefault="00FA4E73">
          <w:pPr>
            <w:pStyle w:val="TOC2"/>
            <w:tabs>
              <w:tab w:val="right" w:leader="dot" w:pos="9350"/>
            </w:tabs>
            <w:rPr>
              <w:rFonts w:asciiTheme="minorHAnsi" w:eastAsiaTheme="minorEastAsia" w:hAnsiTheme="minorHAnsi"/>
              <w:noProof/>
            </w:rPr>
          </w:pPr>
          <w:hyperlink w:anchor="_Toc238299862" w:history="1">
            <w:r w:rsidRPr="00DC19FB">
              <w:rPr>
                <w:rStyle w:val="Hyperlink"/>
                <w:noProof/>
              </w:rPr>
              <w:t>3.2 Technological Convergence</w:t>
            </w:r>
            <w:r>
              <w:rPr>
                <w:noProof/>
                <w:webHidden/>
              </w:rPr>
              <w:tab/>
            </w:r>
            <w:r>
              <w:rPr>
                <w:noProof/>
                <w:webHidden/>
              </w:rPr>
              <w:fldChar w:fldCharType="begin"/>
            </w:r>
            <w:r>
              <w:rPr>
                <w:noProof/>
                <w:webHidden/>
              </w:rPr>
              <w:instrText xml:space="preserve"> PAGEREF _Toc238299862 \h </w:instrText>
            </w:r>
            <w:r>
              <w:rPr>
                <w:noProof/>
                <w:webHidden/>
              </w:rPr>
            </w:r>
            <w:r>
              <w:rPr>
                <w:noProof/>
                <w:webHidden/>
              </w:rPr>
              <w:fldChar w:fldCharType="separate"/>
            </w:r>
            <w:r>
              <w:rPr>
                <w:noProof/>
                <w:webHidden/>
              </w:rPr>
              <w:t>13</w:t>
            </w:r>
            <w:r>
              <w:rPr>
                <w:noProof/>
                <w:webHidden/>
              </w:rPr>
              <w:fldChar w:fldCharType="end"/>
            </w:r>
          </w:hyperlink>
        </w:p>
        <w:p w14:paraId="420F0671" w14:textId="616DDB8B" w:rsidR="00FA4E73" w:rsidRDefault="00FA4E73">
          <w:pPr>
            <w:pStyle w:val="TOC2"/>
            <w:tabs>
              <w:tab w:val="right" w:leader="dot" w:pos="9350"/>
            </w:tabs>
            <w:rPr>
              <w:rFonts w:asciiTheme="minorHAnsi" w:eastAsiaTheme="minorEastAsia" w:hAnsiTheme="minorHAnsi"/>
              <w:noProof/>
            </w:rPr>
          </w:pPr>
          <w:hyperlink w:anchor="_Toc238299863" w:history="1">
            <w:r w:rsidRPr="00DC19FB">
              <w:rPr>
                <w:rStyle w:val="Hyperlink"/>
                <w:noProof/>
              </w:rPr>
              <w:t>3.3 Electric Vehicle Adoption</w:t>
            </w:r>
            <w:r>
              <w:rPr>
                <w:noProof/>
                <w:webHidden/>
              </w:rPr>
              <w:tab/>
            </w:r>
            <w:r>
              <w:rPr>
                <w:noProof/>
                <w:webHidden/>
              </w:rPr>
              <w:fldChar w:fldCharType="begin"/>
            </w:r>
            <w:r>
              <w:rPr>
                <w:noProof/>
                <w:webHidden/>
              </w:rPr>
              <w:instrText xml:space="preserve"> PAGEREF _Toc238299863 \h </w:instrText>
            </w:r>
            <w:r>
              <w:rPr>
                <w:noProof/>
                <w:webHidden/>
              </w:rPr>
            </w:r>
            <w:r>
              <w:rPr>
                <w:noProof/>
                <w:webHidden/>
              </w:rPr>
              <w:fldChar w:fldCharType="separate"/>
            </w:r>
            <w:r>
              <w:rPr>
                <w:noProof/>
                <w:webHidden/>
              </w:rPr>
              <w:t>14</w:t>
            </w:r>
            <w:r>
              <w:rPr>
                <w:noProof/>
                <w:webHidden/>
              </w:rPr>
              <w:fldChar w:fldCharType="end"/>
            </w:r>
          </w:hyperlink>
        </w:p>
        <w:p w14:paraId="5576E6B4" w14:textId="74D4E104" w:rsidR="00FA4E73" w:rsidRDefault="00FA4E73">
          <w:pPr>
            <w:pStyle w:val="TOC2"/>
            <w:tabs>
              <w:tab w:val="right" w:leader="dot" w:pos="9350"/>
            </w:tabs>
            <w:rPr>
              <w:rFonts w:asciiTheme="minorHAnsi" w:eastAsiaTheme="minorEastAsia" w:hAnsiTheme="minorHAnsi"/>
              <w:noProof/>
            </w:rPr>
          </w:pPr>
          <w:hyperlink w:anchor="_Toc238299864" w:history="1">
            <w:r w:rsidRPr="00DC19FB">
              <w:rPr>
                <w:rStyle w:val="Hyperlink"/>
                <w:noProof/>
              </w:rPr>
              <w:t>3.4 Sustainable Development Goals</w:t>
            </w:r>
            <w:r>
              <w:rPr>
                <w:noProof/>
                <w:webHidden/>
              </w:rPr>
              <w:tab/>
            </w:r>
            <w:r>
              <w:rPr>
                <w:noProof/>
                <w:webHidden/>
              </w:rPr>
              <w:fldChar w:fldCharType="begin"/>
            </w:r>
            <w:r>
              <w:rPr>
                <w:noProof/>
                <w:webHidden/>
              </w:rPr>
              <w:instrText xml:space="preserve"> PAGEREF _Toc238299864 \h </w:instrText>
            </w:r>
            <w:r>
              <w:rPr>
                <w:noProof/>
                <w:webHidden/>
              </w:rPr>
            </w:r>
            <w:r>
              <w:rPr>
                <w:noProof/>
                <w:webHidden/>
              </w:rPr>
              <w:fldChar w:fldCharType="separate"/>
            </w:r>
            <w:r>
              <w:rPr>
                <w:noProof/>
                <w:webHidden/>
              </w:rPr>
              <w:t>15</w:t>
            </w:r>
            <w:r>
              <w:rPr>
                <w:noProof/>
                <w:webHidden/>
              </w:rPr>
              <w:fldChar w:fldCharType="end"/>
            </w:r>
          </w:hyperlink>
        </w:p>
        <w:p w14:paraId="4D7D766F" w14:textId="3590197D" w:rsidR="00FA4E73" w:rsidRDefault="00FA4E73">
          <w:pPr>
            <w:pStyle w:val="TOC2"/>
            <w:tabs>
              <w:tab w:val="right" w:leader="dot" w:pos="9350"/>
            </w:tabs>
            <w:rPr>
              <w:rFonts w:asciiTheme="minorHAnsi" w:eastAsiaTheme="minorEastAsia" w:hAnsiTheme="minorHAnsi"/>
              <w:noProof/>
            </w:rPr>
          </w:pPr>
          <w:hyperlink w:anchor="_Toc238299865" w:history="1">
            <w:r w:rsidRPr="00DC19FB">
              <w:rPr>
                <w:rStyle w:val="Hyperlink"/>
                <w:noProof/>
              </w:rPr>
              <w:t>3.5 Major Theoretical Perspectives</w:t>
            </w:r>
            <w:r>
              <w:rPr>
                <w:noProof/>
                <w:webHidden/>
              </w:rPr>
              <w:tab/>
            </w:r>
            <w:r>
              <w:rPr>
                <w:noProof/>
                <w:webHidden/>
              </w:rPr>
              <w:fldChar w:fldCharType="begin"/>
            </w:r>
            <w:r>
              <w:rPr>
                <w:noProof/>
                <w:webHidden/>
              </w:rPr>
              <w:instrText xml:space="preserve"> PAGEREF _Toc238299865 \h </w:instrText>
            </w:r>
            <w:r>
              <w:rPr>
                <w:noProof/>
                <w:webHidden/>
              </w:rPr>
            </w:r>
            <w:r>
              <w:rPr>
                <w:noProof/>
                <w:webHidden/>
              </w:rPr>
              <w:fldChar w:fldCharType="separate"/>
            </w:r>
            <w:r>
              <w:rPr>
                <w:noProof/>
                <w:webHidden/>
              </w:rPr>
              <w:t>15</w:t>
            </w:r>
            <w:r>
              <w:rPr>
                <w:noProof/>
                <w:webHidden/>
              </w:rPr>
              <w:fldChar w:fldCharType="end"/>
            </w:r>
          </w:hyperlink>
        </w:p>
        <w:p w14:paraId="61356181" w14:textId="3D6009C2" w:rsidR="00FA4E73" w:rsidRDefault="00FA4E73">
          <w:pPr>
            <w:pStyle w:val="TOC2"/>
            <w:tabs>
              <w:tab w:val="right" w:leader="dot" w:pos="9350"/>
            </w:tabs>
            <w:rPr>
              <w:rFonts w:asciiTheme="minorHAnsi" w:eastAsiaTheme="minorEastAsia" w:hAnsiTheme="minorHAnsi"/>
              <w:noProof/>
            </w:rPr>
          </w:pPr>
          <w:hyperlink w:anchor="_Toc238299866" w:history="1">
            <w:r w:rsidRPr="00DC19FB">
              <w:rPr>
                <w:rStyle w:val="Hyperlink"/>
                <w:noProof/>
              </w:rPr>
              <w:t>3.6 Contradictions</w:t>
            </w:r>
            <w:r>
              <w:rPr>
                <w:noProof/>
                <w:webHidden/>
              </w:rPr>
              <w:tab/>
            </w:r>
            <w:r>
              <w:rPr>
                <w:noProof/>
                <w:webHidden/>
              </w:rPr>
              <w:fldChar w:fldCharType="begin"/>
            </w:r>
            <w:r>
              <w:rPr>
                <w:noProof/>
                <w:webHidden/>
              </w:rPr>
              <w:instrText xml:space="preserve"> PAGEREF _Toc238299866 \h </w:instrText>
            </w:r>
            <w:r>
              <w:rPr>
                <w:noProof/>
                <w:webHidden/>
              </w:rPr>
            </w:r>
            <w:r>
              <w:rPr>
                <w:noProof/>
                <w:webHidden/>
              </w:rPr>
              <w:fldChar w:fldCharType="separate"/>
            </w:r>
            <w:r>
              <w:rPr>
                <w:noProof/>
                <w:webHidden/>
              </w:rPr>
              <w:t>16</w:t>
            </w:r>
            <w:r>
              <w:rPr>
                <w:noProof/>
                <w:webHidden/>
              </w:rPr>
              <w:fldChar w:fldCharType="end"/>
            </w:r>
          </w:hyperlink>
        </w:p>
        <w:p w14:paraId="57EA8241" w14:textId="008A408D" w:rsidR="00FA4E73" w:rsidRDefault="00FA4E73">
          <w:pPr>
            <w:pStyle w:val="TOC2"/>
            <w:tabs>
              <w:tab w:val="right" w:leader="dot" w:pos="9350"/>
            </w:tabs>
            <w:rPr>
              <w:rFonts w:asciiTheme="minorHAnsi" w:eastAsiaTheme="minorEastAsia" w:hAnsiTheme="minorHAnsi"/>
              <w:noProof/>
            </w:rPr>
          </w:pPr>
          <w:hyperlink w:anchor="_Toc238299867" w:history="1">
            <w:r w:rsidRPr="00DC19FB">
              <w:rPr>
                <w:rStyle w:val="Hyperlink"/>
                <w:noProof/>
              </w:rPr>
              <w:t>3.7 Knowledge Gaps</w:t>
            </w:r>
            <w:r>
              <w:rPr>
                <w:noProof/>
                <w:webHidden/>
              </w:rPr>
              <w:tab/>
            </w:r>
            <w:r>
              <w:rPr>
                <w:noProof/>
                <w:webHidden/>
              </w:rPr>
              <w:fldChar w:fldCharType="begin"/>
            </w:r>
            <w:r>
              <w:rPr>
                <w:noProof/>
                <w:webHidden/>
              </w:rPr>
              <w:instrText xml:space="preserve"> PAGEREF _Toc238299867 \h </w:instrText>
            </w:r>
            <w:r>
              <w:rPr>
                <w:noProof/>
                <w:webHidden/>
              </w:rPr>
            </w:r>
            <w:r>
              <w:rPr>
                <w:noProof/>
                <w:webHidden/>
              </w:rPr>
              <w:fldChar w:fldCharType="separate"/>
            </w:r>
            <w:r>
              <w:rPr>
                <w:noProof/>
                <w:webHidden/>
              </w:rPr>
              <w:t>16</w:t>
            </w:r>
            <w:r>
              <w:rPr>
                <w:noProof/>
                <w:webHidden/>
              </w:rPr>
              <w:fldChar w:fldCharType="end"/>
            </w:r>
          </w:hyperlink>
        </w:p>
        <w:p w14:paraId="5A93E322" w14:textId="37FB3C9E" w:rsidR="00FA4E73" w:rsidRDefault="00FA4E73">
          <w:pPr>
            <w:pStyle w:val="TOC1"/>
            <w:tabs>
              <w:tab w:val="right" w:leader="dot" w:pos="9350"/>
            </w:tabs>
            <w:rPr>
              <w:rFonts w:asciiTheme="minorHAnsi" w:eastAsiaTheme="minorEastAsia" w:hAnsiTheme="minorHAnsi"/>
              <w:noProof/>
            </w:rPr>
          </w:pPr>
          <w:hyperlink w:anchor="_Toc238299868" w:history="1">
            <w:r w:rsidRPr="00DC19FB">
              <w:rPr>
                <w:rStyle w:val="Hyperlink"/>
                <w:noProof/>
              </w:rPr>
              <w:t>4. Research Philosophies and Methodological Evaluation</w:t>
            </w:r>
            <w:r>
              <w:rPr>
                <w:noProof/>
                <w:webHidden/>
              </w:rPr>
              <w:tab/>
            </w:r>
            <w:r>
              <w:rPr>
                <w:noProof/>
                <w:webHidden/>
              </w:rPr>
              <w:fldChar w:fldCharType="begin"/>
            </w:r>
            <w:r>
              <w:rPr>
                <w:noProof/>
                <w:webHidden/>
              </w:rPr>
              <w:instrText xml:space="preserve"> PAGEREF _Toc238299868 \h </w:instrText>
            </w:r>
            <w:r>
              <w:rPr>
                <w:noProof/>
                <w:webHidden/>
              </w:rPr>
            </w:r>
            <w:r>
              <w:rPr>
                <w:noProof/>
                <w:webHidden/>
              </w:rPr>
              <w:fldChar w:fldCharType="separate"/>
            </w:r>
            <w:r>
              <w:rPr>
                <w:noProof/>
                <w:webHidden/>
              </w:rPr>
              <w:t>18</w:t>
            </w:r>
            <w:r>
              <w:rPr>
                <w:noProof/>
                <w:webHidden/>
              </w:rPr>
              <w:fldChar w:fldCharType="end"/>
            </w:r>
          </w:hyperlink>
        </w:p>
        <w:p w14:paraId="767D824A" w14:textId="15F90816" w:rsidR="00FA4E73" w:rsidRDefault="00FA4E73">
          <w:pPr>
            <w:pStyle w:val="TOC2"/>
            <w:tabs>
              <w:tab w:val="right" w:leader="dot" w:pos="9350"/>
            </w:tabs>
            <w:rPr>
              <w:rFonts w:asciiTheme="minorHAnsi" w:eastAsiaTheme="minorEastAsia" w:hAnsiTheme="minorHAnsi"/>
              <w:noProof/>
            </w:rPr>
          </w:pPr>
          <w:hyperlink w:anchor="_Toc238299869" w:history="1">
            <w:r w:rsidRPr="00DC19FB">
              <w:rPr>
                <w:rStyle w:val="Hyperlink"/>
                <w:noProof/>
              </w:rPr>
              <w:t>4.1 Ontology and Epistemology</w:t>
            </w:r>
            <w:r>
              <w:rPr>
                <w:noProof/>
                <w:webHidden/>
              </w:rPr>
              <w:tab/>
            </w:r>
            <w:r>
              <w:rPr>
                <w:noProof/>
                <w:webHidden/>
              </w:rPr>
              <w:fldChar w:fldCharType="begin"/>
            </w:r>
            <w:r>
              <w:rPr>
                <w:noProof/>
                <w:webHidden/>
              </w:rPr>
              <w:instrText xml:space="preserve"> PAGEREF _Toc238299869 \h </w:instrText>
            </w:r>
            <w:r>
              <w:rPr>
                <w:noProof/>
                <w:webHidden/>
              </w:rPr>
            </w:r>
            <w:r>
              <w:rPr>
                <w:noProof/>
                <w:webHidden/>
              </w:rPr>
              <w:fldChar w:fldCharType="separate"/>
            </w:r>
            <w:r>
              <w:rPr>
                <w:noProof/>
                <w:webHidden/>
              </w:rPr>
              <w:t>18</w:t>
            </w:r>
            <w:r>
              <w:rPr>
                <w:noProof/>
                <w:webHidden/>
              </w:rPr>
              <w:fldChar w:fldCharType="end"/>
            </w:r>
          </w:hyperlink>
        </w:p>
        <w:p w14:paraId="47FC4326" w14:textId="65234226" w:rsidR="00FA4E73" w:rsidRDefault="00FA4E73">
          <w:pPr>
            <w:pStyle w:val="TOC2"/>
            <w:tabs>
              <w:tab w:val="right" w:leader="dot" w:pos="9350"/>
            </w:tabs>
            <w:rPr>
              <w:rFonts w:asciiTheme="minorHAnsi" w:eastAsiaTheme="minorEastAsia" w:hAnsiTheme="minorHAnsi"/>
              <w:noProof/>
            </w:rPr>
          </w:pPr>
          <w:hyperlink w:anchor="_Toc238299870" w:history="1">
            <w:r w:rsidRPr="00DC19FB">
              <w:rPr>
                <w:rStyle w:val="Hyperlink"/>
                <w:noProof/>
              </w:rPr>
              <w:t>4.2 Research Approaches and Methodological Choices</w:t>
            </w:r>
            <w:r>
              <w:rPr>
                <w:noProof/>
                <w:webHidden/>
              </w:rPr>
              <w:tab/>
            </w:r>
            <w:r>
              <w:rPr>
                <w:noProof/>
                <w:webHidden/>
              </w:rPr>
              <w:fldChar w:fldCharType="begin"/>
            </w:r>
            <w:r>
              <w:rPr>
                <w:noProof/>
                <w:webHidden/>
              </w:rPr>
              <w:instrText xml:space="preserve"> PAGEREF _Toc238299870 \h </w:instrText>
            </w:r>
            <w:r>
              <w:rPr>
                <w:noProof/>
                <w:webHidden/>
              </w:rPr>
            </w:r>
            <w:r>
              <w:rPr>
                <w:noProof/>
                <w:webHidden/>
              </w:rPr>
              <w:fldChar w:fldCharType="separate"/>
            </w:r>
            <w:r>
              <w:rPr>
                <w:noProof/>
                <w:webHidden/>
              </w:rPr>
              <w:t>20</w:t>
            </w:r>
            <w:r>
              <w:rPr>
                <w:noProof/>
                <w:webHidden/>
              </w:rPr>
              <w:fldChar w:fldCharType="end"/>
            </w:r>
          </w:hyperlink>
        </w:p>
        <w:p w14:paraId="33A8E2CB" w14:textId="637C139D" w:rsidR="00FA4E73" w:rsidRDefault="00FA4E73">
          <w:pPr>
            <w:pStyle w:val="TOC1"/>
            <w:tabs>
              <w:tab w:val="right" w:leader="dot" w:pos="9350"/>
            </w:tabs>
            <w:rPr>
              <w:rFonts w:asciiTheme="minorHAnsi" w:eastAsiaTheme="minorEastAsia" w:hAnsiTheme="minorHAnsi"/>
              <w:noProof/>
            </w:rPr>
          </w:pPr>
          <w:hyperlink w:anchor="_Toc238299871" w:history="1">
            <w:r w:rsidRPr="00DC19FB">
              <w:rPr>
                <w:rStyle w:val="Hyperlink"/>
                <w:noProof/>
              </w:rPr>
              <w:t>5. Critical Appraisal of a Selected Research Study</w:t>
            </w:r>
            <w:r>
              <w:rPr>
                <w:noProof/>
                <w:webHidden/>
              </w:rPr>
              <w:tab/>
            </w:r>
            <w:r>
              <w:rPr>
                <w:noProof/>
                <w:webHidden/>
              </w:rPr>
              <w:fldChar w:fldCharType="begin"/>
            </w:r>
            <w:r>
              <w:rPr>
                <w:noProof/>
                <w:webHidden/>
              </w:rPr>
              <w:instrText xml:space="preserve"> PAGEREF _Toc238299871 \h </w:instrText>
            </w:r>
            <w:r>
              <w:rPr>
                <w:noProof/>
                <w:webHidden/>
              </w:rPr>
            </w:r>
            <w:r>
              <w:rPr>
                <w:noProof/>
                <w:webHidden/>
              </w:rPr>
              <w:fldChar w:fldCharType="separate"/>
            </w:r>
            <w:r>
              <w:rPr>
                <w:noProof/>
                <w:webHidden/>
              </w:rPr>
              <w:t>21</w:t>
            </w:r>
            <w:r>
              <w:rPr>
                <w:noProof/>
                <w:webHidden/>
              </w:rPr>
              <w:fldChar w:fldCharType="end"/>
            </w:r>
          </w:hyperlink>
        </w:p>
        <w:p w14:paraId="7111655A" w14:textId="4678101A" w:rsidR="00FA4E73" w:rsidRDefault="00FA4E73">
          <w:pPr>
            <w:pStyle w:val="TOC1"/>
            <w:tabs>
              <w:tab w:val="right" w:leader="dot" w:pos="9350"/>
            </w:tabs>
            <w:rPr>
              <w:rFonts w:asciiTheme="minorHAnsi" w:eastAsiaTheme="minorEastAsia" w:hAnsiTheme="minorHAnsi"/>
              <w:noProof/>
            </w:rPr>
          </w:pPr>
          <w:hyperlink w:anchor="_Toc238299872" w:history="1">
            <w:r w:rsidRPr="00DC19FB">
              <w:rPr>
                <w:rStyle w:val="Hyperlink"/>
                <w:noProof/>
              </w:rPr>
              <w:t>6. Integrative Discussion</w:t>
            </w:r>
            <w:r>
              <w:rPr>
                <w:noProof/>
                <w:webHidden/>
              </w:rPr>
              <w:tab/>
            </w:r>
            <w:r>
              <w:rPr>
                <w:noProof/>
                <w:webHidden/>
              </w:rPr>
              <w:fldChar w:fldCharType="begin"/>
            </w:r>
            <w:r>
              <w:rPr>
                <w:noProof/>
                <w:webHidden/>
              </w:rPr>
              <w:instrText xml:space="preserve"> PAGEREF _Toc238299872 \h </w:instrText>
            </w:r>
            <w:r>
              <w:rPr>
                <w:noProof/>
                <w:webHidden/>
              </w:rPr>
            </w:r>
            <w:r>
              <w:rPr>
                <w:noProof/>
                <w:webHidden/>
              </w:rPr>
              <w:fldChar w:fldCharType="separate"/>
            </w:r>
            <w:r>
              <w:rPr>
                <w:noProof/>
                <w:webHidden/>
              </w:rPr>
              <w:t>22</w:t>
            </w:r>
            <w:r>
              <w:rPr>
                <w:noProof/>
                <w:webHidden/>
              </w:rPr>
              <w:fldChar w:fldCharType="end"/>
            </w:r>
          </w:hyperlink>
        </w:p>
        <w:p w14:paraId="436A2535" w14:textId="51ECB419" w:rsidR="00FA4E73" w:rsidRDefault="00FA4E73">
          <w:pPr>
            <w:pStyle w:val="TOC2"/>
            <w:tabs>
              <w:tab w:val="right" w:leader="dot" w:pos="9350"/>
            </w:tabs>
            <w:rPr>
              <w:rFonts w:asciiTheme="minorHAnsi" w:eastAsiaTheme="minorEastAsia" w:hAnsiTheme="minorHAnsi"/>
              <w:noProof/>
            </w:rPr>
          </w:pPr>
          <w:hyperlink w:anchor="_Toc238299873" w:history="1">
            <w:r w:rsidRPr="00DC19FB">
              <w:rPr>
                <w:rStyle w:val="Hyperlink"/>
                <w:noProof/>
              </w:rPr>
              <w:t>6.1 Research Philosophical Perspectives</w:t>
            </w:r>
            <w:r>
              <w:rPr>
                <w:noProof/>
                <w:webHidden/>
              </w:rPr>
              <w:tab/>
            </w:r>
            <w:r>
              <w:rPr>
                <w:noProof/>
                <w:webHidden/>
              </w:rPr>
              <w:fldChar w:fldCharType="begin"/>
            </w:r>
            <w:r>
              <w:rPr>
                <w:noProof/>
                <w:webHidden/>
              </w:rPr>
              <w:instrText xml:space="preserve"> PAGEREF _Toc238299873 \h </w:instrText>
            </w:r>
            <w:r>
              <w:rPr>
                <w:noProof/>
                <w:webHidden/>
              </w:rPr>
            </w:r>
            <w:r>
              <w:rPr>
                <w:noProof/>
                <w:webHidden/>
              </w:rPr>
              <w:fldChar w:fldCharType="separate"/>
            </w:r>
            <w:r>
              <w:rPr>
                <w:noProof/>
                <w:webHidden/>
              </w:rPr>
              <w:t>22</w:t>
            </w:r>
            <w:r>
              <w:rPr>
                <w:noProof/>
                <w:webHidden/>
              </w:rPr>
              <w:fldChar w:fldCharType="end"/>
            </w:r>
          </w:hyperlink>
        </w:p>
        <w:p w14:paraId="5A22314D" w14:textId="4A532F90" w:rsidR="00FA4E73" w:rsidRDefault="00FA4E73">
          <w:pPr>
            <w:pStyle w:val="TOC2"/>
            <w:tabs>
              <w:tab w:val="right" w:leader="dot" w:pos="9350"/>
            </w:tabs>
            <w:rPr>
              <w:rFonts w:asciiTheme="minorHAnsi" w:eastAsiaTheme="minorEastAsia" w:hAnsiTheme="minorHAnsi"/>
              <w:noProof/>
            </w:rPr>
          </w:pPr>
          <w:hyperlink w:anchor="_Toc238299874" w:history="1">
            <w:r w:rsidRPr="00DC19FB">
              <w:rPr>
                <w:rStyle w:val="Hyperlink"/>
                <w:noProof/>
              </w:rPr>
              <w:t>6.2 Ethical Considerations</w:t>
            </w:r>
            <w:r>
              <w:rPr>
                <w:noProof/>
                <w:webHidden/>
              </w:rPr>
              <w:tab/>
            </w:r>
            <w:r>
              <w:rPr>
                <w:noProof/>
                <w:webHidden/>
              </w:rPr>
              <w:fldChar w:fldCharType="begin"/>
            </w:r>
            <w:r>
              <w:rPr>
                <w:noProof/>
                <w:webHidden/>
              </w:rPr>
              <w:instrText xml:space="preserve"> PAGEREF _Toc238299874 \h </w:instrText>
            </w:r>
            <w:r>
              <w:rPr>
                <w:noProof/>
                <w:webHidden/>
              </w:rPr>
            </w:r>
            <w:r>
              <w:rPr>
                <w:noProof/>
                <w:webHidden/>
              </w:rPr>
              <w:fldChar w:fldCharType="separate"/>
            </w:r>
            <w:r>
              <w:rPr>
                <w:noProof/>
                <w:webHidden/>
              </w:rPr>
              <w:t>23</w:t>
            </w:r>
            <w:r>
              <w:rPr>
                <w:noProof/>
                <w:webHidden/>
              </w:rPr>
              <w:fldChar w:fldCharType="end"/>
            </w:r>
          </w:hyperlink>
        </w:p>
        <w:p w14:paraId="6CCA4903" w14:textId="6C35CC69" w:rsidR="00FA4E73" w:rsidRDefault="00FA4E73">
          <w:pPr>
            <w:pStyle w:val="TOC2"/>
            <w:tabs>
              <w:tab w:val="right" w:leader="dot" w:pos="9350"/>
            </w:tabs>
            <w:rPr>
              <w:rFonts w:asciiTheme="minorHAnsi" w:eastAsiaTheme="minorEastAsia" w:hAnsiTheme="minorHAnsi"/>
              <w:noProof/>
            </w:rPr>
          </w:pPr>
          <w:hyperlink w:anchor="_Toc238299875" w:history="1">
            <w:r w:rsidRPr="00DC19FB">
              <w:rPr>
                <w:rStyle w:val="Hyperlink"/>
                <w:noProof/>
              </w:rPr>
              <w:t>6.3 Reliability and Validity of the Evidence Base</w:t>
            </w:r>
            <w:r>
              <w:rPr>
                <w:noProof/>
                <w:webHidden/>
              </w:rPr>
              <w:tab/>
            </w:r>
            <w:r>
              <w:rPr>
                <w:noProof/>
                <w:webHidden/>
              </w:rPr>
              <w:fldChar w:fldCharType="begin"/>
            </w:r>
            <w:r>
              <w:rPr>
                <w:noProof/>
                <w:webHidden/>
              </w:rPr>
              <w:instrText xml:space="preserve"> PAGEREF _Toc238299875 \h </w:instrText>
            </w:r>
            <w:r>
              <w:rPr>
                <w:noProof/>
                <w:webHidden/>
              </w:rPr>
            </w:r>
            <w:r>
              <w:rPr>
                <w:noProof/>
                <w:webHidden/>
              </w:rPr>
              <w:fldChar w:fldCharType="separate"/>
            </w:r>
            <w:r>
              <w:rPr>
                <w:noProof/>
                <w:webHidden/>
              </w:rPr>
              <w:t>24</w:t>
            </w:r>
            <w:r>
              <w:rPr>
                <w:noProof/>
                <w:webHidden/>
              </w:rPr>
              <w:fldChar w:fldCharType="end"/>
            </w:r>
          </w:hyperlink>
        </w:p>
        <w:p w14:paraId="275FE377" w14:textId="164C4E1F" w:rsidR="00FA4E73" w:rsidRDefault="00FA4E73">
          <w:pPr>
            <w:pStyle w:val="TOC2"/>
            <w:tabs>
              <w:tab w:val="right" w:leader="dot" w:pos="9350"/>
            </w:tabs>
            <w:rPr>
              <w:rFonts w:asciiTheme="minorHAnsi" w:eastAsiaTheme="minorEastAsia" w:hAnsiTheme="minorHAnsi"/>
              <w:noProof/>
            </w:rPr>
          </w:pPr>
          <w:hyperlink w:anchor="_Toc238299876" w:history="1">
            <w:r w:rsidRPr="00DC19FB">
              <w:rPr>
                <w:rStyle w:val="Hyperlink"/>
                <w:noProof/>
              </w:rPr>
              <w:t>6.4 Integrated Methodological Implications</w:t>
            </w:r>
            <w:r>
              <w:rPr>
                <w:noProof/>
                <w:webHidden/>
              </w:rPr>
              <w:tab/>
            </w:r>
            <w:r>
              <w:rPr>
                <w:noProof/>
                <w:webHidden/>
              </w:rPr>
              <w:fldChar w:fldCharType="begin"/>
            </w:r>
            <w:r>
              <w:rPr>
                <w:noProof/>
                <w:webHidden/>
              </w:rPr>
              <w:instrText xml:space="preserve"> PAGEREF _Toc238299876 \h </w:instrText>
            </w:r>
            <w:r>
              <w:rPr>
                <w:noProof/>
                <w:webHidden/>
              </w:rPr>
            </w:r>
            <w:r>
              <w:rPr>
                <w:noProof/>
                <w:webHidden/>
              </w:rPr>
              <w:fldChar w:fldCharType="separate"/>
            </w:r>
            <w:r>
              <w:rPr>
                <w:noProof/>
                <w:webHidden/>
              </w:rPr>
              <w:t>25</w:t>
            </w:r>
            <w:r>
              <w:rPr>
                <w:noProof/>
                <w:webHidden/>
              </w:rPr>
              <w:fldChar w:fldCharType="end"/>
            </w:r>
          </w:hyperlink>
        </w:p>
        <w:p w14:paraId="24A60AF3" w14:textId="0F63DF0C" w:rsidR="00FA4E73" w:rsidRDefault="00FA4E73">
          <w:pPr>
            <w:pStyle w:val="TOC1"/>
            <w:tabs>
              <w:tab w:val="right" w:leader="dot" w:pos="9350"/>
            </w:tabs>
            <w:rPr>
              <w:rFonts w:asciiTheme="minorHAnsi" w:eastAsiaTheme="minorEastAsia" w:hAnsiTheme="minorHAnsi"/>
              <w:noProof/>
            </w:rPr>
          </w:pPr>
          <w:hyperlink w:anchor="_Toc238299877" w:history="1">
            <w:r w:rsidRPr="00DC19FB">
              <w:rPr>
                <w:rStyle w:val="Hyperlink"/>
                <w:noProof/>
              </w:rPr>
              <w:t>7. Managerial Implications and Application to Practice</w:t>
            </w:r>
            <w:r>
              <w:rPr>
                <w:noProof/>
                <w:webHidden/>
              </w:rPr>
              <w:tab/>
            </w:r>
            <w:r>
              <w:rPr>
                <w:noProof/>
                <w:webHidden/>
              </w:rPr>
              <w:fldChar w:fldCharType="begin"/>
            </w:r>
            <w:r>
              <w:rPr>
                <w:noProof/>
                <w:webHidden/>
              </w:rPr>
              <w:instrText xml:space="preserve"> PAGEREF _Toc238299877 \h </w:instrText>
            </w:r>
            <w:r>
              <w:rPr>
                <w:noProof/>
                <w:webHidden/>
              </w:rPr>
            </w:r>
            <w:r>
              <w:rPr>
                <w:noProof/>
                <w:webHidden/>
              </w:rPr>
              <w:fldChar w:fldCharType="separate"/>
            </w:r>
            <w:r>
              <w:rPr>
                <w:noProof/>
                <w:webHidden/>
              </w:rPr>
              <w:t>26</w:t>
            </w:r>
            <w:r>
              <w:rPr>
                <w:noProof/>
                <w:webHidden/>
              </w:rPr>
              <w:fldChar w:fldCharType="end"/>
            </w:r>
          </w:hyperlink>
        </w:p>
        <w:p w14:paraId="10FEC108" w14:textId="4A326813" w:rsidR="00FA4E73" w:rsidRDefault="00FA4E73">
          <w:pPr>
            <w:pStyle w:val="TOC1"/>
            <w:tabs>
              <w:tab w:val="right" w:leader="dot" w:pos="9350"/>
            </w:tabs>
            <w:rPr>
              <w:rFonts w:asciiTheme="minorHAnsi" w:eastAsiaTheme="minorEastAsia" w:hAnsiTheme="minorHAnsi"/>
              <w:noProof/>
            </w:rPr>
          </w:pPr>
          <w:hyperlink w:anchor="_Toc238299878" w:history="1">
            <w:r w:rsidRPr="00DC19FB">
              <w:rPr>
                <w:rStyle w:val="Hyperlink"/>
                <w:noProof/>
              </w:rPr>
              <w:t>8. Conclusion and Recommendations</w:t>
            </w:r>
            <w:r>
              <w:rPr>
                <w:noProof/>
                <w:webHidden/>
              </w:rPr>
              <w:tab/>
            </w:r>
            <w:r>
              <w:rPr>
                <w:noProof/>
                <w:webHidden/>
              </w:rPr>
              <w:fldChar w:fldCharType="begin"/>
            </w:r>
            <w:r>
              <w:rPr>
                <w:noProof/>
                <w:webHidden/>
              </w:rPr>
              <w:instrText xml:space="preserve"> PAGEREF _Toc238299878 \h </w:instrText>
            </w:r>
            <w:r>
              <w:rPr>
                <w:noProof/>
                <w:webHidden/>
              </w:rPr>
            </w:r>
            <w:r>
              <w:rPr>
                <w:noProof/>
                <w:webHidden/>
              </w:rPr>
              <w:fldChar w:fldCharType="separate"/>
            </w:r>
            <w:r>
              <w:rPr>
                <w:noProof/>
                <w:webHidden/>
              </w:rPr>
              <w:t>27</w:t>
            </w:r>
            <w:r>
              <w:rPr>
                <w:noProof/>
                <w:webHidden/>
              </w:rPr>
              <w:fldChar w:fldCharType="end"/>
            </w:r>
          </w:hyperlink>
        </w:p>
        <w:p w14:paraId="183FFE97" w14:textId="5628AB3C" w:rsidR="00FA4E73" w:rsidRDefault="00FA4E73">
          <w:pPr>
            <w:pStyle w:val="TOC2"/>
            <w:tabs>
              <w:tab w:val="right" w:leader="dot" w:pos="9350"/>
            </w:tabs>
            <w:rPr>
              <w:rFonts w:asciiTheme="minorHAnsi" w:eastAsiaTheme="minorEastAsia" w:hAnsiTheme="minorHAnsi"/>
              <w:noProof/>
            </w:rPr>
          </w:pPr>
          <w:hyperlink w:anchor="_Toc238299879" w:history="1">
            <w:r w:rsidRPr="00DC19FB">
              <w:rPr>
                <w:rStyle w:val="Hyperlink"/>
                <w:noProof/>
              </w:rPr>
              <w:t>8.1 Conclusion</w:t>
            </w:r>
            <w:r>
              <w:rPr>
                <w:noProof/>
                <w:webHidden/>
              </w:rPr>
              <w:tab/>
            </w:r>
            <w:r>
              <w:rPr>
                <w:noProof/>
                <w:webHidden/>
              </w:rPr>
              <w:fldChar w:fldCharType="begin"/>
            </w:r>
            <w:r>
              <w:rPr>
                <w:noProof/>
                <w:webHidden/>
              </w:rPr>
              <w:instrText xml:space="preserve"> PAGEREF _Toc238299879 \h </w:instrText>
            </w:r>
            <w:r>
              <w:rPr>
                <w:noProof/>
                <w:webHidden/>
              </w:rPr>
            </w:r>
            <w:r>
              <w:rPr>
                <w:noProof/>
                <w:webHidden/>
              </w:rPr>
              <w:fldChar w:fldCharType="separate"/>
            </w:r>
            <w:r>
              <w:rPr>
                <w:noProof/>
                <w:webHidden/>
              </w:rPr>
              <w:t>27</w:t>
            </w:r>
            <w:r>
              <w:rPr>
                <w:noProof/>
                <w:webHidden/>
              </w:rPr>
              <w:fldChar w:fldCharType="end"/>
            </w:r>
          </w:hyperlink>
        </w:p>
        <w:p w14:paraId="6A16A08C" w14:textId="73F75CAF" w:rsidR="00FA4E73" w:rsidRDefault="00FA4E73">
          <w:pPr>
            <w:pStyle w:val="TOC2"/>
            <w:tabs>
              <w:tab w:val="right" w:leader="dot" w:pos="9350"/>
            </w:tabs>
            <w:rPr>
              <w:rFonts w:asciiTheme="minorHAnsi" w:eastAsiaTheme="minorEastAsia" w:hAnsiTheme="minorHAnsi"/>
              <w:noProof/>
            </w:rPr>
          </w:pPr>
          <w:hyperlink w:anchor="_Toc238299880" w:history="1">
            <w:r w:rsidRPr="00DC19FB">
              <w:rPr>
                <w:rStyle w:val="Hyperlink"/>
                <w:noProof/>
              </w:rPr>
              <w:t>8.2 Recommendations</w:t>
            </w:r>
            <w:r>
              <w:rPr>
                <w:noProof/>
                <w:webHidden/>
              </w:rPr>
              <w:tab/>
            </w:r>
            <w:r>
              <w:rPr>
                <w:noProof/>
                <w:webHidden/>
              </w:rPr>
              <w:fldChar w:fldCharType="begin"/>
            </w:r>
            <w:r>
              <w:rPr>
                <w:noProof/>
                <w:webHidden/>
              </w:rPr>
              <w:instrText xml:space="preserve"> PAGEREF _Toc238299880 \h </w:instrText>
            </w:r>
            <w:r>
              <w:rPr>
                <w:noProof/>
                <w:webHidden/>
              </w:rPr>
            </w:r>
            <w:r>
              <w:rPr>
                <w:noProof/>
                <w:webHidden/>
              </w:rPr>
              <w:fldChar w:fldCharType="separate"/>
            </w:r>
            <w:r>
              <w:rPr>
                <w:noProof/>
                <w:webHidden/>
              </w:rPr>
              <w:t>28</w:t>
            </w:r>
            <w:r>
              <w:rPr>
                <w:noProof/>
                <w:webHidden/>
              </w:rPr>
              <w:fldChar w:fldCharType="end"/>
            </w:r>
          </w:hyperlink>
        </w:p>
        <w:p w14:paraId="011A15D2" w14:textId="16A84739" w:rsidR="00FA4E73" w:rsidRDefault="00FA4E73">
          <w:pPr>
            <w:pStyle w:val="TOC1"/>
            <w:tabs>
              <w:tab w:val="right" w:leader="dot" w:pos="9350"/>
            </w:tabs>
            <w:rPr>
              <w:rFonts w:asciiTheme="minorHAnsi" w:eastAsiaTheme="minorEastAsia" w:hAnsiTheme="minorHAnsi"/>
              <w:noProof/>
            </w:rPr>
          </w:pPr>
          <w:hyperlink w:anchor="_Toc238299881" w:history="1">
            <w:r w:rsidRPr="00DC19FB">
              <w:rPr>
                <w:rStyle w:val="Hyperlink"/>
                <w:noProof/>
              </w:rPr>
              <w:t>References</w:t>
            </w:r>
            <w:r>
              <w:rPr>
                <w:noProof/>
                <w:webHidden/>
              </w:rPr>
              <w:tab/>
            </w:r>
            <w:r>
              <w:rPr>
                <w:noProof/>
                <w:webHidden/>
              </w:rPr>
              <w:fldChar w:fldCharType="begin"/>
            </w:r>
            <w:r>
              <w:rPr>
                <w:noProof/>
                <w:webHidden/>
              </w:rPr>
              <w:instrText xml:space="preserve"> PAGEREF _Toc238299881 \h </w:instrText>
            </w:r>
            <w:r>
              <w:rPr>
                <w:noProof/>
                <w:webHidden/>
              </w:rPr>
            </w:r>
            <w:r>
              <w:rPr>
                <w:noProof/>
                <w:webHidden/>
              </w:rPr>
              <w:fldChar w:fldCharType="separate"/>
            </w:r>
            <w:r>
              <w:rPr>
                <w:noProof/>
                <w:webHidden/>
              </w:rPr>
              <w:t>29</w:t>
            </w:r>
            <w:r>
              <w:rPr>
                <w:noProof/>
                <w:webHidden/>
              </w:rPr>
              <w:fldChar w:fldCharType="end"/>
            </w:r>
          </w:hyperlink>
        </w:p>
        <w:p w14:paraId="2163DCDE" w14:textId="60C3CF89" w:rsidR="00CE063C" w:rsidRPr="00E72708" w:rsidRDefault="00E72708" w:rsidP="00E72708">
          <w:r>
            <w:rPr>
              <w:b/>
              <w:bCs/>
              <w:noProof/>
            </w:rPr>
            <w:fldChar w:fldCharType="end"/>
          </w:r>
        </w:p>
      </w:sdtContent>
    </w:sdt>
    <w:p w14:paraId="127898D7" w14:textId="77777777" w:rsidR="00E72708" w:rsidRDefault="00E72708">
      <w:pPr>
        <w:spacing w:before="0" w:after="160" w:line="278" w:lineRule="auto"/>
        <w:jc w:val="left"/>
        <w:rPr>
          <w:rFonts w:eastAsiaTheme="majorEastAsia" w:cstheme="majorBidi"/>
          <w:b/>
          <w:color w:val="000000" w:themeColor="text1"/>
          <w:sz w:val="32"/>
          <w:szCs w:val="40"/>
        </w:rPr>
      </w:pPr>
      <w:r>
        <w:br w:type="page"/>
      </w:r>
    </w:p>
    <w:p w14:paraId="453D052C" w14:textId="42F9AABD" w:rsidR="00E838B6" w:rsidRDefault="005C1579" w:rsidP="005C1579">
      <w:pPr>
        <w:pStyle w:val="Heading1"/>
      </w:pPr>
      <w:bookmarkStart w:id="1" w:name="_Toc238299848"/>
      <w:r>
        <w:lastRenderedPageBreak/>
        <w:t xml:space="preserve">1. </w:t>
      </w:r>
      <w:r w:rsidR="00E838B6" w:rsidRPr="00E838B6">
        <w:t>Introduction</w:t>
      </w:r>
      <w:bookmarkEnd w:id="1"/>
    </w:p>
    <w:p w14:paraId="27E99C24" w14:textId="732343DF" w:rsidR="00301101" w:rsidRDefault="00301101" w:rsidP="00E838B6">
      <w:pPr>
        <w:pStyle w:val="Heading2"/>
      </w:pPr>
      <w:bookmarkStart w:id="2" w:name="_Toc238299849"/>
      <w:r>
        <w:t xml:space="preserve">1.1 Background to </w:t>
      </w:r>
      <w:proofErr w:type="gramStart"/>
      <w:r>
        <w:t>the Study</w:t>
      </w:r>
      <w:bookmarkEnd w:id="2"/>
      <w:proofErr w:type="gramEnd"/>
    </w:p>
    <w:p w14:paraId="566B8443" w14:textId="23C83E89" w:rsidR="00301101" w:rsidRDefault="00301101" w:rsidP="00301101">
      <w:r>
        <w:t>Sustainable development has been adopted on a global scale</w:t>
      </w:r>
      <w:r w:rsidR="00D9446C">
        <w:t xml:space="preserve">. It </w:t>
      </w:r>
      <w:r>
        <w:t>has driven the shift to a cleaner</w:t>
      </w:r>
      <w:r w:rsidR="00D9446C">
        <w:t xml:space="preserve"> and</w:t>
      </w:r>
      <w:r>
        <w:t xml:space="preserve"> more efficient transport system</w:t>
      </w:r>
      <w:r w:rsidR="005F3D7D">
        <w:t xml:space="preserve"> (</w:t>
      </w:r>
      <w:r w:rsidR="005F3D7D" w:rsidRPr="00377073">
        <w:t>Khurshid, Khan and Cifuentes-Faura,</w:t>
      </w:r>
      <w:r w:rsidR="005F3D7D">
        <w:t xml:space="preserve"> 2023)</w:t>
      </w:r>
      <w:r>
        <w:t xml:space="preserve">. The transport sector continues to be a large </w:t>
      </w:r>
      <w:r w:rsidR="00D9446C">
        <w:t>contributor</w:t>
      </w:r>
      <w:r>
        <w:t xml:space="preserve"> </w:t>
      </w:r>
      <w:r w:rsidR="00821AEF">
        <w:t>to</w:t>
      </w:r>
      <w:r>
        <w:t xml:space="preserve"> greenhouse gas emissions</w:t>
      </w:r>
      <w:r w:rsidR="00455EC7">
        <w:t>. T</w:t>
      </w:r>
      <w:r>
        <w:t>he</w:t>
      </w:r>
      <w:r w:rsidR="00455EC7">
        <w:t>refore, the</w:t>
      </w:r>
      <w:r>
        <w:t xml:space="preserve"> switch to EVs has been identified by many countries as one of the key solutions aimed at </w:t>
      </w:r>
      <w:proofErr w:type="spellStart"/>
      <w:r w:rsidR="00455EC7">
        <w:t>decarbonising</w:t>
      </w:r>
      <w:proofErr w:type="spellEnd"/>
      <w:r>
        <w:t xml:space="preserve"> the transport sector</w:t>
      </w:r>
      <w:r w:rsidR="005F3D7D">
        <w:t xml:space="preserve"> (</w:t>
      </w:r>
      <w:r w:rsidR="005F3D7D" w:rsidRPr="00377073">
        <w:t>Patil</w:t>
      </w:r>
      <w:r w:rsidR="005F3D7D">
        <w:t xml:space="preserve"> et al., 2024)</w:t>
      </w:r>
      <w:r>
        <w:t>. Electric vehicles can help to cut carbon emissions, boost energy efficiency, and help shift to a low-carbon economy. As such, they are becoming more widely acknowledged as a significant enabler of several United Nations Sustainable Development Goals (SDGs): SDG 7 (Affordable and Clean Energy), SDG 9 (Industry, Innovation and Infrastructure), SDG 11 (Sustainable Cities and Communities), and SDG 13 (Climate Action) (Abdelkareem et al., 2025; Singh et al., 2024</w:t>
      </w:r>
      <w:r w:rsidR="005F3D7D">
        <w:t xml:space="preserve">; </w:t>
      </w:r>
      <w:proofErr w:type="spellStart"/>
      <w:r w:rsidR="005F3D7D" w:rsidRPr="00377073">
        <w:t>Krannich</w:t>
      </w:r>
      <w:proofErr w:type="spellEnd"/>
      <w:r w:rsidR="005F3D7D" w:rsidRPr="00377073">
        <w:t xml:space="preserve"> and Reiser, </w:t>
      </w:r>
      <w:r w:rsidR="005F3D7D">
        <w:t>2023</w:t>
      </w:r>
      <w:r>
        <w:t>).</w:t>
      </w:r>
    </w:p>
    <w:p w14:paraId="0EBC52A7" w14:textId="53660400" w:rsidR="00301101" w:rsidRDefault="00301101" w:rsidP="00301101">
      <w:r>
        <w:t xml:space="preserve">But the effective implementation of </w:t>
      </w:r>
      <w:r w:rsidR="005F3D7D">
        <w:t>EVs</w:t>
      </w:r>
      <w:r>
        <w:t xml:space="preserve"> is not solely a matter of technology. Recent studies indicate that the capacity of governments, industries, and supporting </w:t>
      </w:r>
      <w:proofErr w:type="spellStart"/>
      <w:r>
        <w:t>organisations</w:t>
      </w:r>
      <w:proofErr w:type="spellEnd"/>
      <w:r>
        <w:t xml:space="preserve"> to design and execute suitable policies, infrastructure, regulatory frameworks, and </w:t>
      </w:r>
      <w:proofErr w:type="spellStart"/>
      <w:r>
        <w:t>organisational</w:t>
      </w:r>
      <w:proofErr w:type="spellEnd"/>
      <w:r>
        <w:t xml:space="preserve"> capacities is fundamental for </w:t>
      </w:r>
      <w:r w:rsidR="00BD606A">
        <w:t>reaching</w:t>
      </w:r>
      <w:r>
        <w:t xml:space="preserve"> sustainable outcomes (Arefin et al., 2025; Acheampong and Tóth, 2026). This capability is often referred to as institutional readiness</w:t>
      </w:r>
      <w:r w:rsidR="0047675E">
        <w:t>,</w:t>
      </w:r>
      <w:r>
        <w:t xml:space="preserve"> </w:t>
      </w:r>
      <w:r w:rsidR="0047675E">
        <w:t>including</w:t>
      </w:r>
      <w:r>
        <w:t xml:space="preserve"> the readiness of institutions to prepare, coordinate and lead technological change. Meanwhile, the emergence of electrical mobility also depends on the integration of several technologies: smart charging systems, integration of renewable energy, Vehicle-to-Grid (V2G) technologies, battery management systems, </w:t>
      </w:r>
      <w:r w:rsidR="007C2CDB">
        <w:t xml:space="preserve">and </w:t>
      </w:r>
      <w:r>
        <w:t>digital communication platforms (</w:t>
      </w:r>
      <w:proofErr w:type="spellStart"/>
      <w:r>
        <w:t>Emodi</w:t>
      </w:r>
      <w:proofErr w:type="spellEnd"/>
      <w:r>
        <w:t xml:space="preserve"> et al., 2023; </w:t>
      </w:r>
      <w:proofErr w:type="spellStart"/>
      <w:r>
        <w:t>Lipu</w:t>
      </w:r>
      <w:proofErr w:type="spellEnd"/>
      <w:r>
        <w:t xml:space="preserve"> et al., 2022). The trends show that this is a socio-technical transition and not just swapping out petrol</w:t>
      </w:r>
      <w:r w:rsidR="00E50B0A">
        <w:t xml:space="preserve"> or </w:t>
      </w:r>
      <w:r>
        <w:t>diesel vehicles.</w:t>
      </w:r>
    </w:p>
    <w:p w14:paraId="5CDCEDAD" w14:textId="6D5B0577" w:rsidR="00301101" w:rsidRDefault="008453B6" w:rsidP="008453B6">
      <w:pPr>
        <w:pStyle w:val="Heading2"/>
      </w:pPr>
      <w:bookmarkStart w:id="3" w:name="_Toc238299850"/>
      <w:r w:rsidRPr="008453B6">
        <w:t>1.2 Context of the Study</w:t>
      </w:r>
      <w:bookmarkEnd w:id="3"/>
    </w:p>
    <w:p w14:paraId="14408FE2" w14:textId="17FCFC20" w:rsidR="00301101" w:rsidRDefault="00301101" w:rsidP="00301101">
      <w:r>
        <w:t xml:space="preserve">The United Kingdom (UK) has established itself as one of the world's largest markets for encouraging EV uptake </w:t>
      </w:r>
      <w:r w:rsidR="00E50B0A">
        <w:t>through</w:t>
      </w:r>
      <w:r>
        <w:t xml:space="preserve"> national </w:t>
      </w:r>
      <w:proofErr w:type="spellStart"/>
      <w:r>
        <w:t>decarbonisation</w:t>
      </w:r>
      <w:proofErr w:type="spellEnd"/>
      <w:r>
        <w:t xml:space="preserve"> policies and commitments to reach net-zero GHGs. </w:t>
      </w:r>
      <w:r w:rsidR="00BD27CC">
        <w:t>H</w:t>
      </w:r>
      <w:r w:rsidR="00E50B0A">
        <w:t xml:space="preserve">owever, </w:t>
      </w:r>
      <w:r w:rsidR="00BD27CC">
        <w:t>m</w:t>
      </w:r>
      <w:r>
        <w:t>eeting these goals</w:t>
      </w:r>
      <w:r w:rsidR="00E50B0A">
        <w:t xml:space="preserve"> </w:t>
      </w:r>
      <w:r>
        <w:t>will require expansion of the number of EVs on the road, but it will also require more</w:t>
      </w:r>
      <w:r w:rsidR="005C1579">
        <w:t xml:space="preserve"> (Salari, 2022; Anastasiadou and </w:t>
      </w:r>
      <w:proofErr w:type="spellStart"/>
      <w:r w:rsidR="005C1579">
        <w:t>Gavanas</w:t>
      </w:r>
      <w:proofErr w:type="spellEnd"/>
      <w:r w:rsidR="005C1579">
        <w:t>, 2022)</w:t>
      </w:r>
      <w:r>
        <w:t xml:space="preserve">. </w:t>
      </w:r>
      <w:r w:rsidR="00BD27CC">
        <w:t>It r</w:t>
      </w:r>
      <w:r>
        <w:t xml:space="preserve">equires efficient coordination among energy suppliers, infrastructure builders, local authorities, producers and customers. </w:t>
      </w:r>
      <w:r w:rsidR="005F3D7D">
        <w:t>A previous</w:t>
      </w:r>
      <w:r>
        <w:t xml:space="preserve"> study found that the combination of policy incentives, charging </w:t>
      </w:r>
      <w:r>
        <w:lastRenderedPageBreak/>
        <w:t xml:space="preserve">infrastructure, </w:t>
      </w:r>
      <w:proofErr w:type="spellStart"/>
      <w:r>
        <w:t>organisational</w:t>
      </w:r>
      <w:proofErr w:type="spellEnd"/>
      <w:r>
        <w:t xml:space="preserve"> capability, and regulatory support all play a role in the rate and uptake of EVs (Alali, </w:t>
      </w:r>
      <w:proofErr w:type="spellStart"/>
      <w:r>
        <w:t>Niesten</w:t>
      </w:r>
      <w:proofErr w:type="spellEnd"/>
      <w:r>
        <w:t xml:space="preserve"> and Gagliardi, 2022; Jackson, 2023; Sun et al., 2024).</w:t>
      </w:r>
    </w:p>
    <w:p w14:paraId="289A13A0" w14:textId="3F7AF4D6" w:rsidR="00301101" w:rsidRDefault="00301101" w:rsidP="00301101">
      <w:r>
        <w:t>Although there has been significant policy advancement, the institutions are not ready in all regions and among all groups. Differences in charging infrastructure, private parking availability, investment and local governance result in different opportunities for adoption (</w:t>
      </w:r>
      <w:proofErr w:type="spellStart"/>
      <w:r>
        <w:t>Budnitz</w:t>
      </w:r>
      <w:proofErr w:type="spellEnd"/>
      <w:r>
        <w:t xml:space="preserve">, </w:t>
      </w:r>
      <w:proofErr w:type="spellStart"/>
      <w:r>
        <w:t>Meelen</w:t>
      </w:r>
      <w:proofErr w:type="spellEnd"/>
      <w:r>
        <w:t xml:space="preserve"> and Schwanen, 2024; Khader, Wilson and </w:t>
      </w:r>
      <w:proofErr w:type="spellStart"/>
      <w:r>
        <w:t>Tryfonas</w:t>
      </w:r>
      <w:proofErr w:type="spellEnd"/>
      <w:r>
        <w:t xml:space="preserve">, 2025). Moreover, technological convergence has added other challenges by demanding a higher level of integration of transport systems, electricity networks and digital technologies (Pozo-Burgos, </w:t>
      </w:r>
      <w:proofErr w:type="spellStart"/>
      <w:r>
        <w:t>Alpala</w:t>
      </w:r>
      <w:proofErr w:type="spellEnd"/>
      <w:r>
        <w:t xml:space="preserve"> and Heredia-</w:t>
      </w:r>
      <w:proofErr w:type="spellStart"/>
      <w:r>
        <w:t>Campaña</w:t>
      </w:r>
      <w:proofErr w:type="spellEnd"/>
      <w:r>
        <w:t xml:space="preserve">, 2026; </w:t>
      </w:r>
      <w:proofErr w:type="spellStart"/>
      <w:r>
        <w:t>Meelen</w:t>
      </w:r>
      <w:proofErr w:type="spellEnd"/>
      <w:r>
        <w:t xml:space="preserve"> and Schwanen, 2023). These developments are relevant to the </w:t>
      </w:r>
      <w:r w:rsidR="003A6EF9">
        <w:t>UK</w:t>
      </w:r>
      <w:r>
        <w:t xml:space="preserve"> and provide a context in which to review the UK's readiness for sustainable technological transition </w:t>
      </w:r>
      <w:r w:rsidR="003A6EF9">
        <w:t>from</w:t>
      </w:r>
      <w:r>
        <w:t xml:space="preserve"> an institutional perspective.</w:t>
      </w:r>
    </w:p>
    <w:p w14:paraId="72156DF7" w14:textId="144A7E41" w:rsidR="00301101" w:rsidRDefault="00301101" w:rsidP="00C938FC">
      <w:pPr>
        <w:pStyle w:val="Heading2"/>
      </w:pPr>
      <w:bookmarkStart w:id="4" w:name="_Toc238299851"/>
      <w:r>
        <w:t>1.3</w:t>
      </w:r>
      <w:r w:rsidR="005C1579">
        <w:t xml:space="preserve"> </w:t>
      </w:r>
      <w:r>
        <w:t>Aim</w:t>
      </w:r>
      <w:bookmarkEnd w:id="4"/>
    </w:p>
    <w:p w14:paraId="1DFFC6AF" w14:textId="6EB44FDC" w:rsidR="00301101" w:rsidRDefault="00301101" w:rsidP="00301101">
      <w:r>
        <w:t xml:space="preserve">This report </w:t>
      </w:r>
      <w:r w:rsidR="00CA69C8">
        <w:t>aim</w:t>
      </w:r>
      <w:r>
        <w:t xml:space="preserve">s to critically assess and evaluate current research on the role of institutional readiness in promoting technological convergence for Sustainable Development Goals (SDGs) </w:t>
      </w:r>
      <w:r w:rsidR="00CA69C8">
        <w:t>through</w:t>
      </w:r>
      <w:r>
        <w:t xml:space="preserve"> EV adoption in the </w:t>
      </w:r>
      <w:r w:rsidR="00CA69C8">
        <w:t>UK</w:t>
      </w:r>
      <w:r w:rsidR="00225F7B">
        <w:t>,</w:t>
      </w:r>
      <w:r>
        <w:t xml:space="preserve"> and </w:t>
      </w:r>
      <w:r w:rsidR="00225F7B">
        <w:t>focuses</w:t>
      </w:r>
      <w:r>
        <w:t xml:space="preserve"> specifically on the philosophical, methodological and ethical groundings of current studies.</w:t>
      </w:r>
    </w:p>
    <w:p w14:paraId="5CD16E59" w14:textId="38AB0611" w:rsidR="00301101" w:rsidRDefault="00301101" w:rsidP="00C938FC">
      <w:pPr>
        <w:pStyle w:val="Heading2"/>
      </w:pPr>
      <w:bookmarkStart w:id="5" w:name="_Toc238299852"/>
      <w:r>
        <w:t>1.</w:t>
      </w:r>
      <w:r w:rsidR="005C1579">
        <w:t>4</w:t>
      </w:r>
      <w:r>
        <w:t xml:space="preserve"> Objectives</w:t>
      </w:r>
      <w:bookmarkEnd w:id="5"/>
    </w:p>
    <w:p w14:paraId="74959897" w14:textId="0D606FE6" w:rsidR="00301101" w:rsidRDefault="00D93EF9" w:rsidP="00C938FC">
      <w:pPr>
        <w:pStyle w:val="ListParagraph"/>
        <w:numPr>
          <w:ilvl w:val="0"/>
          <w:numId w:val="1"/>
        </w:numPr>
      </w:pPr>
      <w:r>
        <w:t>To c</w:t>
      </w:r>
      <w:r w:rsidR="00301101">
        <w:t>ritically discuss the existing literature on institutional readiness for EVs</w:t>
      </w:r>
    </w:p>
    <w:p w14:paraId="2A0BCDAC" w14:textId="4CEF9ADF" w:rsidR="00301101" w:rsidRDefault="00D93EF9" w:rsidP="00C938FC">
      <w:pPr>
        <w:pStyle w:val="ListParagraph"/>
        <w:numPr>
          <w:ilvl w:val="0"/>
          <w:numId w:val="1"/>
        </w:numPr>
      </w:pPr>
      <w:r>
        <w:t>To a</w:t>
      </w:r>
      <w:r w:rsidR="00301101">
        <w:t>ssess the contribution of technological convergence to sustainable electric mobility.</w:t>
      </w:r>
    </w:p>
    <w:p w14:paraId="21DDF9DB" w14:textId="77E01E6D" w:rsidR="00301101" w:rsidRDefault="00D93EF9" w:rsidP="00C938FC">
      <w:pPr>
        <w:pStyle w:val="ListParagraph"/>
        <w:numPr>
          <w:ilvl w:val="0"/>
          <w:numId w:val="1"/>
        </w:numPr>
      </w:pPr>
      <w:r>
        <w:t>To e</w:t>
      </w:r>
      <w:r w:rsidR="00301101">
        <w:t>valuate the contribution of EV adoption towards the relevant SDGs.</w:t>
      </w:r>
    </w:p>
    <w:p w14:paraId="5BC70D24" w14:textId="503FA25E" w:rsidR="00301101" w:rsidRDefault="00D93EF9" w:rsidP="00C938FC">
      <w:pPr>
        <w:pStyle w:val="ListParagraph"/>
        <w:numPr>
          <w:ilvl w:val="0"/>
          <w:numId w:val="1"/>
        </w:numPr>
      </w:pPr>
      <w:r>
        <w:t>To c</w:t>
      </w:r>
      <w:r w:rsidR="00301101">
        <w:t xml:space="preserve">ritically examine and </w:t>
      </w:r>
      <w:proofErr w:type="spellStart"/>
      <w:r w:rsidR="00301101">
        <w:t>analyse</w:t>
      </w:r>
      <w:proofErr w:type="spellEnd"/>
      <w:r w:rsidR="00301101">
        <w:t xml:space="preserve"> the philosophy, methodology and ethics used in current research.</w:t>
      </w:r>
    </w:p>
    <w:p w14:paraId="7E4FFBF6" w14:textId="55F61393" w:rsidR="00301101" w:rsidRDefault="00D93EF9" w:rsidP="00C938FC">
      <w:pPr>
        <w:pStyle w:val="ListParagraph"/>
        <w:numPr>
          <w:ilvl w:val="0"/>
          <w:numId w:val="1"/>
        </w:numPr>
      </w:pPr>
      <w:r>
        <w:t>To c</w:t>
      </w:r>
      <w:r w:rsidR="00301101">
        <w:t>ritically evaluate one empirical research study as to its research philosophy, methodology, reliability, validity and possible bias.</w:t>
      </w:r>
    </w:p>
    <w:p w14:paraId="5ED6097B" w14:textId="75F7BE2E" w:rsidR="00301101" w:rsidRDefault="00301101" w:rsidP="0039109F">
      <w:pPr>
        <w:pStyle w:val="Heading2"/>
      </w:pPr>
      <w:bookmarkStart w:id="6" w:name="_Toc238299853"/>
      <w:r>
        <w:t>1.</w:t>
      </w:r>
      <w:r w:rsidR="005C1579">
        <w:t>5</w:t>
      </w:r>
      <w:r>
        <w:t xml:space="preserve"> Scope and Delimitations</w:t>
      </w:r>
      <w:bookmarkEnd w:id="6"/>
    </w:p>
    <w:p w14:paraId="4D2AB07B" w14:textId="36A110D5" w:rsidR="00301101" w:rsidRDefault="00301101" w:rsidP="00301101">
      <w:r>
        <w:t xml:space="preserve">This report will </w:t>
      </w:r>
      <w:r w:rsidR="00DE13F3">
        <w:t>focus</w:t>
      </w:r>
      <w:r>
        <w:t xml:space="preserve"> on peer-reviewed research relevant to institutional readiness, technological convergence and EV adoption, especially </w:t>
      </w:r>
      <w:r w:rsidR="00DE13F3">
        <w:t xml:space="preserve">in </w:t>
      </w:r>
      <w:r>
        <w:t xml:space="preserve">the UK. The review mainly focuses on recent publications from 2020 to </w:t>
      </w:r>
      <w:proofErr w:type="gramStart"/>
      <w:r>
        <w:t>2026, but</w:t>
      </w:r>
      <w:proofErr w:type="gramEnd"/>
      <w:r>
        <w:t xml:space="preserve"> selected earlier theoretical works are included whe</w:t>
      </w:r>
      <w:r w:rsidR="00DE13F3">
        <w:t>re</w:t>
      </w:r>
      <w:r>
        <w:t xml:space="preserve"> </w:t>
      </w:r>
      <w:r w:rsidR="00DE13F3">
        <w:t>relevant</w:t>
      </w:r>
      <w:r>
        <w:t xml:space="preserve">. </w:t>
      </w:r>
      <w:r>
        <w:lastRenderedPageBreak/>
        <w:t xml:space="preserve">The report does not require primary empirical data to be collected or </w:t>
      </w:r>
      <w:proofErr w:type="spellStart"/>
      <w:proofErr w:type="gramStart"/>
      <w:r>
        <w:t>analysed</w:t>
      </w:r>
      <w:proofErr w:type="spellEnd"/>
      <w:r w:rsidR="00DE13F3">
        <w:t>,</w:t>
      </w:r>
      <w:r>
        <w:t xml:space="preserve"> but</w:t>
      </w:r>
      <w:proofErr w:type="gramEnd"/>
      <w:r>
        <w:t xml:space="preserve"> focuses on a critical evaluation of existing research.</w:t>
      </w:r>
    </w:p>
    <w:p w14:paraId="642B7E11" w14:textId="31C6D5BF" w:rsidR="00477774" w:rsidRDefault="0039109F" w:rsidP="00477774">
      <w:pPr>
        <w:pStyle w:val="Heading2"/>
      </w:pPr>
      <w:bookmarkStart w:id="7" w:name="_Toc238299854"/>
      <w:r w:rsidRPr="0039109F">
        <w:t>1.</w:t>
      </w:r>
      <w:r w:rsidR="005C1579">
        <w:t>6</w:t>
      </w:r>
      <w:r w:rsidRPr="0039109F">
        <w:t xml:space="preserve"> Structure of the Report</w:t>
      </w:r>
      <w:bookmarkEnd w:id="7"/>
    </w:p>
    <w:p w14:paraId="17E3177A" w14:textId="7DE12E60" w:rsidR="00DE13F3" w:rsidRDefault="00477774" w:rsidP="00477774">
      <w:r>
        <w:t xml:space="preserve">The report is </w:t>
      </w:r>
      <w:proofErr w:type="spellStart"/>
      <w:r>
        <w:t>organised</w:t>
      </w:r>
      <w:proofErr w:type="spellEnd"/>
      <w:r>
        <w:t xml:space="preserve"> into eight chapters. The study begins with an introduction, which contains background, context, aim, objectives and scope of the study in Chapter 1. The literature review method, search strategy, eligibility criteria, quality appraisal and screening process are explained in Chapter 2. In Chapter 3, a literature review is conducted to critically examine the existing studies of institutional readiness, technological convergence, EV adoption, SDGs, theoretical perspectives, contradictions and knowledge gaps. Chapter 4 examines the philosophies and methodology of the research conducted in </w:t>
      </w:r>
      <w:proofErr w:type="gramStart"/>
      <w:r>
        <w:t>the literature</w:t>
      </w:r>
      <w:proofErr w:type="gramEnd"/>
      <w:r>
        <w:t>. Chapter 5 is a critical appraisal of one chosen empirical study. The 44 sources reviewed are discussed in an integrative fashion in Chapter 6. In Chapter 7, the managerial implications and applications to practice are discussed, and in Chapter 8, the report is concluded with recommendations for future research and practice</w:t>
      </w:r>
      <w:r w:rsidR="00301101">
        <w:t>.</w:t>
      </w:r>
    </w:p>
    <w:p w14:paraId="547BB24B" w14:textId="77777777" w:rsidR="005C1579" w:rsidRDefault="005C1579" w:rsidP="005C1579">
      <w:pPr>
        <w:pStyle w:val="Heading1"/>
      </w:pPr>
      <w:bookmarkStart w:id="8" w:name="_Toc238299855"/>
      <w:r>
        <w:t xml:space="preserve">2. </w:t>
      </w:r>
      <w:r w:rsidRPr="005A6A01">
        <w:t>Literature Review Method and Scope</w:t>
      </w:r>
      <w:bookmarkEnd w:id="8"/>
    </w:p>
    <w:p w14:paraId="082AA681" w14:textId="77777777" w:rsidR="00AD4D80" w:rsidRDefault="00AD4D80" w:rsidP="00AD4D80">
      <w:pPr>
        <w:pStyle w:val="Heading2"/>
      </w:pPr>
      <w:bookmarkStart w:id="9" w:name="_Toc238299856"/>
      <w:r>
        <w:t>2.1 Review Design and Rationale</w:t>
      </w:r>
      <w:bookmarkEnd w:id="9"/>
    </w:p>
    <w:p w14:paraId="67426A1E" w14:textId="006DE624" w:rsidR="00AD4D80" w:rsidRDefault="00AD4D80" w:rsidP="00AD4D80">
      <w:r>
        <w:t xml:space="preserve">A structured critical literature review was used to review </w:t>
      </w:r>
      <w:r w:rsidR="00477774">
        <w:t>institutional</w:t>
      </w:r>
      <w:r>
        <w:t xml:space="preserve"> preparedness for the technological convergence to address Sustainable Development Goals (SDGs) by the adoption of Electric Vehicles (EVs) in the </w:t>
      </w:r>
      <w:r w:rsidR="005F3D7D">
        <w:t>UK</w:t>
      </w:r>
      <w:r>
        <w:t xml:space="preserve">. To describe previous studies, a comparison of evidence, contradictions, methodological limitations, and </w:t>
      </w:r>
      <w:r w:rsidR="00477774">
        <w:t xml:space="preserve">to </w:t>
      </w:r>
      <w:r>
        <w:t xml:space="preserve">reveal knowledge gaps, a critical review was appropriate. The review was </w:t>
      </w:r>
      <w:proofErr w:type="spellStart"/>
      <w:r w:rsidR="00477774">
        <w:t>centred</w:t>
      </w:r>
      <w:proofErr w:type="spellEnd"/>
      <w:r>
        <w:t xml:space="preserve"> on the areas of institutional readiness, technological convergence, EV adoption, governance, infrastructure and sustainability. It followed the report's given focus on 'peer-reviewed literature published principally between 2020 and 2026', along with some earlier theoretical/methodological studies when needed</w:t>
      </w:r>
      <w:r w:rsidR="005F3D7D">
        <w:t xml:space="preserve"> (</w:t>
      </w:r>
      <w:r w:rsidR="005F3D7D" w:rsidRPr="00377073">
        <w:t>Chigbu, Atiku and Du Plessis</w:t>
      </w:r>
      <w:r w:rsidR="005F3D7D">
        <w:t>, 2023)</w:t>
      </w:r>
      <w:r>
        <w:t>. Literature identification and selection were conducted transparently using the PRISMA process</w:t>
      </w:r>
      <w:r w:rsidR="005F3D7D">
        <w:t xml:space="preserve"> (Page et al., 2021). B</w:t>
      </w:r>
      <w:r>
        <w:t xml:space="preserve">ut the review was not </w:t>
      </w:r>
      <w:proofErr w:type="spellStart"/>
      <w:r>
        <w:t>analysed</w:t>
      </w:r>
      <w:proofErr w:type="spellEnd"/>
      <w:r>
        <w:t xml:space="preserve"> using the meta-analysis approach</w:t>
      </w:r>
      <w:r w:rsidR="00477774">
        <w:t>,</w:t>
      </w:r>
      <w:r>
        <w:t xml:space="preserve"> as that method is inappropriate for this review because it contains quantitative, qualitative, mixed-method, conceptual and review studies.</w:t>
      </w:r>
    </w:p>
    <w:p w14:paraId="79EDF722" w14:textId="77777777" w:rsidR="00AD4D80" w:rsidRDefault="00AD4D80" w:rsidP="00AD4D80">
      <w:pPr>
        <w:pStyle w:val="Heading2"/>
      </w:pPr>
      <w:bookmarkStart w:id="10" w:name="_Toc238299857"/>
      <w:r>
        <w:lastRenderedPageBreak/>
        <w:t>2.2 Search Strategy</w:t>
      </w:r>
      <w:bookmarkEnd w:id="10"/>
    </w:p>
    <w:p w14:paraId="392EC551" w14:textId="69FD49BC" w:rsidR="00AD4D80" w:rsidRDefault="00AD4D80" w:rsidP="00AD4D80">
      <w:r>
        <w:t>A focused search strategy was constructed on the main concepts of the research aim. Searches were planned to capture evidence that was relevant to the UK or to studies with a clear international link to the UK transition. Concepts of institutions, technology</w:t>
      </w:r>
      <w:r w:rsidR="005F3D7D">
        <w:t>,</w:t>
      </w:r>
      <w:r>
        <w:t xml:space="preserve"> adoption and sustainability were linked using </w:t>
      </w:r>
      <w:r w:rsidR="00477774">
        <w:t>Boolean</w:t>
      </w:r>
      <w:r>
        <w:t xml:space="preserve"> and phrase searching</w:t>
      </w:r>
      <w:r w:rsidR="005F3D7D">
        <w:t xml:space="preserve"> (</w:t>
      </w:r>
      <w:r w:rsidR="005F3D7D" w:rsidRPr="00377073">
        <w:t>Savolainen</w:t>
      </w:r>
      <w:r w:rsidR="005F3D7D">
        <w:t>, 2016)</w:t>
      </w:r>
      <w:r>
        <w:t xml:space="preserve">. Highly relevant review papers were also consulted for additional studies to </w:t>
      </w:r>
      <w:proofErr w:type="spellStart"/>
      <w:r w:rsidR="00477774">
        <w:t>minimise</w:t>
      </w:r>
      <w:proofErr w:type="spellEnd"/>
      <w:r>
        <w:t xml:space="preserve"> the possibility of missing out on influential evidence, and reference lists were consulted. The search strategy and scope </w:t>
      </w:r>
      <w:r w:rsidR="00477774">
        <w:t>are</w:t>
      </w:r>
      <w:r>
        <w:t xml:space="preserve"> </w:t>
      </w:r>
      <w:proofErr w:type="spellStart"/>
      <w:r>
        <w:t>summarised</w:t>
      </w:r>
      <w:proofErr w:type="spellEnd"/>
      <w:r>
        <w:t xml:space="preserve"> in Table 1.</w:t>
      </w:r>
    </w:p>
    <w:p w14:paraId="6946801F" w14:textId="77777777" w:rsidR="009159C0" w:rsidRPr="009159C0" w:rsidRDefault="009159C0" w:rsidP="009159C0">
      <w:pPr>
        <w:spacing w:before="60" w:after="60"/>
        <w:jc w:val="left"/>
        <w:rPr>
          <w:sz w:val="32"/>
          <w:szCs w:val="32"/>
        </w:rPr>
      </w:pPr>
      <w:r w:rsidRPr="009159C0">
        <w:rPr>
          <w:b/>
          <w:szCs w:val="32"/>
        </w:rPr>
        <w:t>Table 1. Search Strategy and Scope</w:t>
      </w:r>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239"/>
        <w:gridCol w:w="8111"/>
      </w:tblGrid>
      <w:tr w:rsidR="009159C0" w14:paraId="762207F2" w14:textId="77777777" w:rsidTr="007C2CDB">
        <w:trPr>
          <w:jc w:val="center"/>
        </w:trPr>
        <w:tc>
          <w:tcPr>
            <w:tcW w:w="0" w:type="auto"/>
            <w:shd w:val="clear" w:color="auto" w:fill="E7E6E6"/>
            <w:vAlign w:val="center"/>
          </w:tcPr>
          <w:p w14:paraId="50AE0372" w14:textId="77777777" w:rsidR="009159C0" w:rsidRPr="009159C0" w:rsidRDefault="009159C0" w:rsidP="009159C0">
            <w:pPr>
              <w:spacing w:after="0"/>
              <w:jc w:val="center"/>
            </w:pPr>
            <w:r w:rsidRPr="009159C0">
              <w:rPr>
                <w:b/>
              </w:rPr>
              <w:t>Element</w:t>
            </w:r>
          </w:p>
        </w:tc>
        <w:tc>
          <w:tcPr>
            <w:tcW w:w="0" w:type="auto"/>
            <w:shd w:val="clear" w:color="auto" w:fill="E7E6E6"/>
            <w:vAlign w:val="center"/>
          </w:tcPr>
          <w:p w14:paraId="3EC7129E" w14:textId="77777777" w:rsidR="009159C0" w:rsidRPr="009159C0" w:rsidRDefault="009159C0" w:rsidP="009159C0">
            <w:pPr>
              <w:spacing w:after="0"/>
              <w:jc w:val="center"/>
            </w:pPr>
            <w:r w:rsidRPr="009159C0">
              <w:rPr>
                <w:b/>
              </w:rPr>
              <w:t>Search strategy</w:t>
            </w:r>
          </w:p>
        </w:tc>
      </w:tr>
      <w:tr w:rsidR="009159C0" w14:paraId="3AA52064" w14:textId="77777777" w:rsidTr="007C2CDB">
        <w:trPr>
          <w:jc w:val="center"/>
        </w:trPr>
        <w:tc>
          <w:tcPr>
            <w:tcW w:w="0" w:type="auto"/>
            <w:vAlign w:val="center"/>
          </w:tcPr>
          <w:p w14:paraId="1297B2DF" w14:textId="77777777" w:rsidR="009159C0" w:rsidRPr="009159C0" w:rsidRDefault="009159C0" w:rsidP="009159C0">
            <w:pPr>
              <w:spacing w:after="0"/>
              <w:jc w:val="left"/>
            </w:pPr>
            <w:r w:rsidRPr="009159C0">
              <w:t>Databases</w:t>
            </w:r>
          </w:p>
        </w:tc>
        <w:tc>
          <w:tcPr>
            <w:tcW w:w="0" w:type="auto"/>
            <w:vAlign w:val="center"/>
          </w:tcPr>
          <w:p w14:paraId="60B5D479" w14:textId="77777777" w:rsidR="009159C0" w:rsidRPr="009159C0" w:rsidRDefault="009159C0" w:rsidP="009159C0">
            <w:pPr>
              <w:spacing w:after="0"/>
              <w:jc w:val="left"/>
            </w:pPr>
            <w:r w:rsidRPr="009159C0">
              <w:t>Scopus; Web of Science; ScienceDirect; Google Scholar</w:t>
            </w:r>
          </w:p>
        </w:tc>
      </w:tr>
      <w:tr w:rsidR="009159C0" w14:paraId="630DE2C9" w14:textId="77777777" w:rsidTr="007C2CDB">
        <w:trPr>
          <w:jc w:val="center"/>
        </w:trPr>
        <w:tc>
          <w:tcPr>
            <w:tcW w:w="0" w:type="auto"/>
            <w:vAlign w:val="center"/>
          </w:tcPr>
          <w:p w14:paraId="6BD86E86" w14:textId="77777777" w:rsidR="009159C0" w:rsidRPr="009159C0" w:rsidRDefault="009159C0" w:rsidP="009159C0">
            <w:pPr>
              <w:spacing w:after="0"/>
              <w:jc w:val="left"/>
            </w:pPr>
            <w:r w:rsidRPr="009159C0">
              <w:t>Period</w:t>
            </w:r>
          </w:p>
        </w:tc>
        <w:tc>
          <w:tcPr>
            <w:tcW w:w="0" w:type="auto"/>
            <w:vAlign w:val="center"/>
          </w:tcPr>
          <w:p w14:paraId="6914EE7B" w14:textId="77777777" w:rsidR="009159C0" w:rsidRPr="009159C0" w:rsidRDefault="009159C0" w:rsidP="009159C0">
            <w:pPr>
              <w:spacing w:after="0"/>
              <w:jc w:val="left"/>
            </w:pPr>
            <w:r w:rsidRPr="009159C0">
              <w:t>Mainly 2020-2026; earlier seminal sources where relevant</w:t>
            </w:r>
          </w:p>
        </w:tc>
      </w:tr>
      <w:tr w:rsidR="009159C0" w14:paraId="0F04465C" w14:textId="77777777" w:rsidTr="007C2CDB">
        <w:trPr>
          <w:jc w:val="center"/>
        </w:trPr>
        <w:tc>
          <w:tcPr>
            <w:tcW w:w="0" w:type="auto"/>
            <w:vAlign w:val="center"/>
          </w:tcPr>
          <w:p w14:paraId="26C22DC2" w14:textId="77777777" w:rsidR="009159C0" w:rsidRPr="009159C0" w:rsidRDefault="009159C0" w:rsidP="009159C0">
            <w:pPr>
              <w:spacing w:after="0"/>
              <w:jc w:val="left"/>
            </w:pPr>
            <w:r w:rsidRPr="009159C0">
              <w:t>Core terms</w:t>
            </w:r>
          </w:p>
        </w:tc>
        <w:tc>
          <w:tcPr>
            <w:tcW w:w="0" w:type="auto"/>
            <w:vAlign w:val="center"/>
          </w:tcPr>
          <w:p w14:paraId="0262452B" w14:textId="77777777" w:rsidR="009159C0" w:rsidRPr="009159C0" w:rsidRDefault="009159C0" w:rsidP="009159C0">
            <w:pPr>
              <w:spacing w:after="0"/>
              <w:jc w:val="left"/>
            </w:pPr>
            <w:r w:rsidRPr="009159C0">
              <w:t>institutional readiness; EV adoption; technological convergence; charging infrastructure; V2G; governance; SDGs; United Kingdom</w:t>
            </w:r>
          </w:p>
        </w:tc>
      </w:tr>
      <w:tr w:rsidR="009159C0" w14:paraId="7D434662" w14:textId="77777777" w:rsidTr="007C2CDB">
        <w:trPr>
          <w:jc w:val="center"/>
        </w:trPr>
        <w:tc>
          <w:tcPr>
            <w:tcW w:w="0" w:type="auto"/>
            <w:vAlign w:val="center"/>
          </w:tcPr>
          <w:p w14:paraId="320BF2B2" w14:textId="77777777" w:rsidR="009159C0" w:rsidRPr="009159C0" w:rsidRDefault="009159C0" w:rsidP="009159C0">
            <w:pPr>
              <w:spacing w:after="0"/>
              <w:jc w:val="left"/>
            </w:pPr>
            <w:r w:rsidRPr="009159C0">
              <w:t>Operators</w:t>
            </w:r>
          </w:p>
        </w:tc>
        <w:tc>
          <w:tcPr>
            <w:tcW w:w="0" w:type="auto"/>
            <w:vAlign w:val="center"/>
          </w:tcPr>
          <w:p w14:paraId="0F6A54C8" w14:textId="77777777" w:rsidR="009159C0" w:rsidRPr="009159C0" w:rsidRDefault="009159C0" w:rsidP="009159C0">
            <w:pPr>
              <w:spacing w:after="0"/>
              <w:jc w:val="left"/>
            </w:pPr>
            <w:r w:rsidRPr="009159C0">
              <w:t>AND/OR; phrase searching; reference-list checking</w:t>
            </w:r>
          </w:p>
        </w:tc>
      </w:tr>
      <w:tr w:rsidR="009159C0" w14:paraId="5DA9A85B" w14:textId="77777777" w:rsidTr="007C2CDB">
        <w:trPr>
          <w:jc w:val="center"/>
        </w:trPr>
        <w:tc>
          <w:tcPr>
            <w:tcW w:w="0" w:type="auto"/>
            <w:vAlign w:val="center"/>
          </w:tcPr>
          <w:p w14:paraId="18F0139E" w14:textId="77777777" w:rsidR="009159C0" w:rsidRPr="009159C0" w:rsidRDefault="009159C0" w:rsidP="009159C0">
            <w:pPr>
              <w:spacing w:after="0"/>
              <w:jc w:val="left"/>
            </w:pPr>
            <w:r w:rsidRPr="009159C0">
              <w:t>Scope</w:t>
            </w:r>
          </w:p>
        </w:tc>
        <w:tc>
          <w:tcPr>
            <w:tcW w:w="0" w:type="auto"/>
            <w:vAlign w:val="center"/>
          </w:tcPr>
          <w:p w14:paraId="4D2D4B2C" w14:textId="77777777" w:rsidR="009159C0" w:rsidRPr="009159C0" w:rsidRDefault="009159C0" w:rsidP="009159C0">
            <w:pPr>
              <w:spacing w:after="0"/>
              <w:jc w:val="left"/>
            </w:pPr>
            <w:r w:rsidRPr="009159C0">
              <w:t>UK focus, supplemented by transferable international evidence</w:t>
            </w:r>
          </w:p>
        </w:tc>
      </w:tr>
    </w:tbl>
    <w:p w14:paraId="535B2AD6" w14:textId="77777777" w:rsidR="009159C0" w:rsidRDefault="009159C0" w:rsidP="009159C0">
      <w:pPr>
        <w:pStyle w:val="Heading2"/>
      </w:pPr>
      <w:bookmarkStart w:id="11" w:name="_Toc238299858"/>
      <w:r w:rsidRPr="009159C0">
        <w:t>2.3 Inclusion, Exclusion and Quality Appraisal</w:t>
      </w:r>
      <w:bookmarkEnd w:id="11"/>
    </w:p>
    <w:p w14:paraId="5451469C" w14:textId="5FD5ACFD" w:rsidR="00AD4D80" w:rsidRDefault="00AD4D80" w:rsidP="00AD4D80">
      <w:r>
        <w:t>Studies were evaluated using predetermined eligibility criteria for greater consistency, and to avoid arbitrary selection</w:t>
      </w:r>
      <w:r w:rsidR="005F3D7D">
        <w:t xml:space="preserve"> (</w:t>
      </w:r>
      <w:r w:rsidR="005F3D7D" w:rsidRPr="00377073">
        <w:t>Jia and Stern</w:t>
      </w:r>
      <w:r w:rsidR="005F3D7D">
        <w:t>, 2026)</w:t>
      </w:r>
      <w:r>
        <w:t>. Research that addressed at least one key aspect of the research question and that gives evidence that can reasonably be used to inform the UK context was given priority. Table 2 lists the inclusion/exclusion criteria.</w:t>
      </w:r>
    </w:p>
    <w:p w14:paraId="6A2B31EB" w14:textId="77777777" w:rsidR="009159C0" w:rsidRPr="009159C0" w:rsidRDefault="009159C0" w:rsidP="009159C0">
      <w:pPr>
        <w:spacing w:before="60" w:after="60"/>
        <w:jc w:val="left"/>
        <w:rPr>
          <w:sz w:val="32"/>
          <w:szCs w:val="32"/>
        </w:rPr>
      </w:pPr>
      <w:r w:rsidRPr="009159C0">
        <w:rPr>
          <w:b/>
          <w:szCs w:val="32"/>
        </w:rPr>
        <w:t>Table 2. Inclusion and Exclusion Criteria</w:t>
      </w:r>
    </w:p>
    <w:tbl>
      <w:tblPr>
        <w:tblW w:w="5000" w:type="pct"/>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738"/>
        <w:gridCol w:w="3906"/>
        <w:gridCol w:w="3706"/>
      </w:tblGrid>
      <w:tr w:rsidR="009159C0" w14:paraId="556D4A29" w14:textId="77777777" w:rsidTr="007C2CDB">
        <w:trPr>
          <w:jc w:val="center"/>
        </w:trPr>
        <w:tc>
          <w:tcPr>
            <w:tcW w:w="929" w:type="pct"/>
            <w:shd w:val="clear" w:color="auto" w:fill="E7E6E6"/>
            <w:vAlign w:val="center"/>
          </w:tcPr>
          <w:p w14:paraId="1626F2AB" w14:textId="77777777" w:rsidR="009159C0" w:rsidRPr="009159C0" w:rsidRDefault="009159C0" w:rsidP="009159C0">
            <w:pPr>
              <w:spacing w:after="0"/>
              <w:jc w:val="center"/>
              <w:rPr>
                <w:szCs w:val="40"/>
              </w:rPr>
            </w:pPr>
            <w:r w:rsidRPr="009159C0">
              <w:rPr>
                <w:b/>
                <w:szCs w:val="40"/>
              </w:rPr>
              <w:t>Criterion</w:t>
            </w:r>
          </w:p>
        </w:tc>
        <w:tc>
          <w:tcPr>
            <w:tcW w:w="2089" w:type="pct"/>
            <w:shd w:val="clear" w:color="auto" w:fill="E7E6E6"/>
            <w:vAlign w:val="center"/>
          </w:tcPr>
          <w:p w14:paraId="6F384BFB" w14:textId="77777777" w:rsidR="009159C0" w:rsidRPr="009159C0" w:rsidRDefault="009159C0" w:rsidP="009159C0">
            <w:pPr>
              <w:spacing w:after="0"/>
              <w:jc w:val="center"/>
              <w:rPr>
                <w:szCs w:val="40"/>
              </w:rPr>
            </w:pPr>
            <w:r w:rsidRPr="009159C0">
              <w:rPr>
                <w:b/>
                <w:szCs w:val="40"/>
              </w:rPr>
              <w:t>Inclusion</w:t>
            </w:r>
          </w:p>
        </w:tc>
        <w:tc>
          <w:tcPr>
            <w:tcW w:w="1982" w:type="pct"/>
            <w:shd w:val="clear" w:color="auto" w:fill="E7E6E6"/>
            <w:vAlign w:val="center"/>
          </w:tcPr>
          <w:p w14:paraId="5DC7CF6C" w14:textId="77777777" w:rsidR="009159C0" w:rsidRPr="009159C0" w:rsidRDefault="009159C0" w:rsidP="009159C0">
            <w:pPr>
              <w:spacing w:after="0"/>
              <w:jc w:val="center"/>
              <w:rPr>
                <w:szCs w:val="40"/>
              </w:rPr>
            </w:pPr>
            <w:r w:rsidRPr="009159C0">
              <w:rPr>
                <w:b/>
                <w:szCs w:val="40"/>
              </w:rPr>
              <w:t>Exclusion</w:t>
            </w:r>
          </w:p>
        </w:tc>
      </w:tr>
      <w:tr w:rsidR="009159C0" w14:paraId="03AC2896" w14:textId="77777777" w:rsidTr="007C2CDB">
        <w:trPr>
          <w:jc w:val="center"/>
        </w:trPr>
        <w:tc>
          <w:tcPr>
            <w:tcW w:w="929" w:type="pct"/>
            <w:vAlign w:val="center"/>
          </w:tcPr>
          <w:p w14:paraId="5CC2DE42" w14:textId="77777777" w:rsidR="009159C0" w:rsidRPr="009159C0" w:rsidRDefault="009159C0" w:rsidP="009159C0">
            <w:pPr>
              <w:spacing w:after="0"/>
              <w:jc w:val="left"/>
              <w:rPr>
                <w:szCs w:val="40"/>
              </w:rPr>
            </w:pPr>
            <w:r w:rsidRPr="009159C0">
              <w:rPr>
                <w:szCs w:val="40"/>
              </w:rPr>
              <w:t>Source type</w:t>
            </w:r>
          </w:p>
        </w:tc>
        <w:tc>
          <w:tcPr>
            <w:tcW w:w="2089" w:type="pct"/>
            <w:vAlign w:val="center"/>
          </w:tcPr>
          <w:p w14:paraId="3AD5823D" w14:textId="77777777" w:rsidR="009159C0" w:rsidRPr="009159C0" w:rsidRDefault="009159C0" w:rsidP="009159C0">
            <w:pPr>
              <w:spacing w:after="0"/>
              <w:jc w:val="left"/>
              <w:rPr>
                <w:szCs w:val="40"/>
              </w:rPr>
            </w:pPr>
            <w:r w:rsidRPr="009159C0">
              <w:rPr>
                <w:szCs w:val="40"/>
              </w:rPr>
              <w:t>Peer-reviewed journal articles and reviews</w:t>
            </w:r>
          </w:p>
        </w:tc>
        <w:tc>
          <w:tcPr>
            <w:tcW w:w="1982" w:type="pct"/>
            <w:vAlign w:val="center"/>
          </w:tcPr>
          <w:p w14:paraId="2BF22618" w14:textId="77777777" w:rsidR="009159C0" w:rsidRPr="009159C0" w:rsidRDefault="009159C0" w:rsidP="009159C0">
            <w:pPr>
              <w:spacing w:after="0"/>
              <w:jc w:val="left"/>
              <w:rPr>
                <w:szCs w:val="40"/>
              </w:rPr>
            </w:pPr>
            <w:r w:rsidRPr="009159C0">
              <w:rPr>
                <w:szCs w:val="40"/>
              </w:rPr>
              <w:t>Blogs, opinion pieces and unclear sources</w:t>
            </w:r>
          </w:p>
        </w:tc>
      </w:tr>
      <w:tr w:rsidR="009159C0" w14:paraId="6644363C" w14:textId="77777777" w:rsidTr="007C2CDB">
        <w:trPr>
          <w:jc w:val="center"/>
        </w:trPr>
        <w:tc>
          <w:tcPr>
            <w:tcW w:w="929" w:type="pct"/>
            <w:vAlign w:val="center"/>
          </w:tcPr>
          <w:p w14:paraId="7E9DA900" w14:textId="77777777" w:rsidR="009159C0" w:rsidRPr="009159C0" w:rsidRDefault="009159C0" w:rsidP="009159C0">
            <w:pPr>
              <w:spacing w:after="0"/>
              <w:jc w:val="left"/>
              <w:rPr>
                <w:szCs w:val="40"/>
              </w:rPr>
            </w:pPr>
            <w:r w:rsidRPr="009159C0">
              <w:rPr>
                <w:szCs w:val="40"/>
              </w:rPr>
              <w:t>Topic</w:t>
            </w:r>
          </w:p>
        </w:tc>
        <w:tc>
          <w:tcPr>
            <w:tcW w:w="2089" w:type="pct"/>
            <w:vAlign w:val="center"/>
          </w:tcPr>
          <w:p w14:paraId="01697325" w14:textId="77777777" w:rsidR="009159C0" w:rsidRPr="009159C0" w:rsidRDefault="009159C0" w:rsidP="009159C0">
            <w:pPr>
              <w:spacing w:after="0"/>
              <w:jc w:val="left"/>
              <w:rPr>
                <w:szCs w:val="40"/>
              </w:rPr>
            </w:pPr>
            <w:r w:rsidRPr="009159C0">
              <w:rPr>
                <w:szCs w:val="40"/>
              </w:rPr>
              <w:t>EV adoption, readiness, governance, infrastructure, convergence or SDGs</w:t>
            </w:r>
          </w:p>
        </w:tc>
        <w:tc>
          <w:tcPr>
            <w:tcW w:w="1982" w:type="pct"/>
            <w:vAlign w:val="center"/>
          </w:tcPr>
          <w:p w14:paraId="4572F595" w14:textId="77777777" w:rsidR="009159C0" w:rsidRPr="009159C0" w:rsidRDefault="009159C0" w:rsidP="009159C0">
            <w:pPr>
              <w:spacing w:after="0"/>
              <w:jc w:val="left"/>
              <w:rPr>
                <w:szCs w:val="40"/>
              </w:rPr>
            </w:pPr>
            <w:r w:rsidRPr="009159C0">
              <w:rPr>
                <w:szCs w:val="40"/>
              </w:rPr>
              <w:t>Unrelated topics or purely technical engineering studies</w:t>
            </w:r>
          </w:p>
        </w:tc>
      </w:tr>
      <w:tr w:rsidR="009159C0" w14:paraId="2371F8FC" w14:textId="77777777" w:rsidTr="007C2CDB">
        <w:trPr>
          <w:jc w:val="center"/>
        </w:trPr>
        <w:tc>
          <w:tcPr>
            <w:tcW w:w="929" w:type="pct"/>
            <w:vAlign w:val="center"/>
          </w:tcPr>
          <w:p w14:paraId="61E190AF" w14:textId="77777777" w:rsidR="009159C0" w:rsidRPr="009159C0" w:rsidRDefault="009159C0" w:rsidP="009159C0">
            <w:pPr>
              <w:spacing w:after="0"/>
              <w:jc w:val="left"/>
              <w:rPr>
                <w:szCs w:val="40"/>
              </w:rPr>
            </w:pPr>
            <w:r w:rsidRPr="009159C0">
              <w:rPr>
                <w:szCs w:val="40"/>
              </w:rPr>
              <w:lastRenderedPageBreak/>
              <w:t>Geography</w:t>
            </w:r>
          </w:p>
        </w:tc>
        <w:tc>
          <w:tcPr>
            <w:tcW w:w="2089" w:type="pct"/>
            <w:vAlign w:val="center"/>
          </w:tcPr>
          <w:p w14:paraId="25787134" w14:textId="77777777" w:rsidR="009159C0" w:rsidRPr="009159C0" w:rsidRDefault="009159C0" w:rsidP="009159C0">
            <w:pPr>
              <w:spacing w:after="0"/>
              <w:jc w:val="left"/>
              <w:rPr>
                <w:szCs w:val="40"/>
              </w:rPr>
            </w:pPr>
            <w:r w:rsidRPr="009159C0">
              <w:rPr>
                <w:szCs w:val="40"/>
              </w:rPr>
              <w:t>UK studies and transferable international evidence</w:t>
            </w:r>
          </w:p>
        </w:tc>
        <w:tc>
          <w:tcPr>
            <w:tcW w:w="1982" w:type="pct"/>
            <w:vAlign w:val="center"/>
          </w:tcPr>
          <w:p w14:paraId="189B9363" w14:textId="77777777" w:rsidR="009159C0" w:rsidRPr="009159C0" w:rsidRDefault="009159C0" w:rsidP="009159C0">
            <w:pPr>
              <w:spacing w:after="0"/>
              <w:jc w:val="left"/>
              <w:rPr>
                <w:szCs w:val="40"/>
              </w:rPr>
            </w:pPr>
            <w:r w:rsidRPr="009159C0">
              <w:rPr>
                <w:szCs w:val="40"/>
              </w:rPr>
              <w:t>Contexts with no reasonable UK relevance</w:t>
            </w:r>
          </w:p>
        </w:tc>
      </w:tr>
      <w:tr w:rsidR="009159C0" w14:paraId="3A56FA2B" w14:textId="77777777" w:rsidTr="007C2CDB">
        <w:trPr>
          <w:jc w:val="center"/>
        </w:trPr>
        <w:tc>
          <w:tcPr>
            <w:tcW w:w="929" w:type="pct"/>
            <w:vAlign w:val="center"/>
          </w:tcPr>
          <w:p w14:paraId="6669A1FA" w14:textId="77777777" w:rsidR="009159C0" w:rsidRPr="009159C0" w:rsidRDefault="009159C0" w:rsidP="009159C0">
            <w:pPr>
              <w:spacing w:after="0"/>
              <w:jc w:val="left"/>
              <w:rPr>
                <w:szCs w:val="40"/>
              </w:rPr>
            </w:pPr>
            <w:r w:rsidRPr="009159C0">
              <w:rPr>
                <w:szCs w:val="40"/>
              </w:rPr>
              <w:t>Publication period</w:t>
            </w:r>
          </w:p>
        </w:tc>
        <w:tc>
          <w:tcPr>
            <w:tcW w:w="2089" w:type="pct"/>
            <w:vAlign w:val="center"/>
          </w:tcPr>
          <w:p w14:paraId="7D77EA21" w14:textId="77777777" w:rsidR="009159C0" w:rsidRPr="009159C0" w:rsidRDefault="009159C0" w:rsidP="009159C0">
            <w:pPr>
              <w:spacing w:after="0"/>
              <w:jc w:val="left"/>
              <w:rPr>
                <w:szCs w:val="40"/>
              </w:rPr>
            </w:pPr>
            <w:r w:rsidRPr="009159C0">
              <w:rPr>
                <w:szCs w:val="40"/>
              </w:rPr>
              <w:t>Mainly 2020-2026; earlier seminal works</w:t>
            </w:r>
          </w:p>
        </w:tc>
        <w:tc>
          <w:tcPr>
            <w:tcW w:w="1982" w:type="pct"/>
            <w:vAlign w:val="center"/>
          </w:tcPr>
          <w:p w14:paraId="7C5DECEB" w14:textId="77777777" w:rsidR="009159C0" w:rsidRPr="009159C0" w:rsidRDefault="009159C0" w:rsidP="009159C0">
            <w:pPr>
              <w:spacing w:after="0"/>
              <w:jc w:val="left"/>
              <w:rPr>
                <w:szCs w:val="40"/>
              </w:rPr>
            </w:pPr>
            <w:r w:rsidRPr="009159C0">
              <w:rPr>
                <w:szCs w:val="40"/>
              </w:rPr>
              <w:t>Older non-seminal studies</w:t>
            </w:r>
          </w:p>
        </w:tc>
      </w:tr>
      <w:tr w:rsidR="009159C0" w14:paraId="0BC7A763" w14:textId="77777777" w:rsidTr="007C2CDB">
        <w:trPr>
          <w:jc w:val="center"/>
        </w:trPr>
        <w:tc>
          <w:tcPr>
            <w:tcW w:w="929" w:type="pct"/>
            <w:vAlign w:val="center"/>
          </w:tcPr>
          <w:p w14:paraId="35C814C5" w14:textId="77777777" w:rsidR="009159C0" w:rsidRPr="009159C0" w:rsidRDefault="009159C0" w:rsidP="009159C0">
            <w:pPr>
              <w:spacing w:after="0"/>
              <w:jc w:val="left"/>
              <w:rPr>
                <w:szCs w:val="40"/>
              </w:rPr>
            </w:pPr>
            <w:r w:rsidRPr="009159C0">
              <w:rPr>
                <w:szCs w:val="40"/>
              </w:rPr>
              <w:t>Methodological relevance</w:t>
            </w:r>
          </w:p>
        </w:tc>
        <w:tc>
          <w:tcPr>
            <w:tcW w:w="2089" w:type="pct"/>
            <w:vAlign w:val="center"/>
          </w:tcPr>
          <w:p w14:paraId="57D1988A" w14:textId="77777777" w:rsidR="009159C0" w:rsidRPr="009159C0" w:rsidRDefault="009159C0" w:rsidP="009159C0">
            <w:pPr>
              <w:spacing w:after="0"/>
              <w:jc w:val="left"/>
              <w:rPr>
                <w:szCs w:val="40"/>
              </w:rPr>
            </w:pPr>
            <w:r w:rsidRPr="009159C0">
              <w:rPr>
                <w:szCs w:val="40"/>
              </w:rPr>
              <w:t>Clear methods and usable evidence</w:t>
            </w:r>
          </w:p>
        </w:tc>
        <w:tc>
          <w:tcPr>
            <w:tcW w:w="1982" w:type="pct"/>
            <w:vAlign w:val="center"/>
          </w:tcPr>
          <w:p w14:paraId="1ED5D135" w14:textId="77777777" w:rsidR="009159C0" w:rsidRPr="009159C0" w:rsidRDefault="009159C0" w:rsidP="009159C0">
            <w:pPr>
              <w:spacing w:after="0"/>
              <w:jc w:val="left"/>
              <w:rPr>
                <w:szCs w:val="40"/>
              </w:rPr>
            </w:pPr>
            <w:r w:rsidRPr="009159C0">
              <w:rPr>
                <w:szCs w:val="40"/>
              </w:rPr>
              <w:t>Insufficient methodological transparency</w:t>
            </w:r>
          </w:p>
        </w:tc>
      </w:tr>
    </w:tbl>
    <w:p w14:paraId="4D0EB6AC" w14:textId="4DAA72C0" w:rsidR="00AD4D80" w:rsidRDefault="00AD4D80" w:rsidP="00AD4D80">
      <w:r>
        <w:t>Quality appraisal was performed after the eligibility screening. Instead of a fixed cutoff, the methodological credibility, transparency and relevance of each source was examined</w:t>
      </w:r>
      <w:r w:rsidR="00970368">
        <w:t xml:space="preserve"> (</w:t>
      </w:r>
      <w:r w:rsidR="00970368" w:rsidRPr="00377073">
        <w:t>Remington</w:t>
      </w:r>
      <w:r w:rsidR="00970368">
        <w:t>, 2020)</w:t>
      </w:r>
      <w:r>
        <w:t xml:space="preserve">. This was suitable as there are various traditions of research in </w:t>
      </w:r>
      <w:proofErr w:type="gramStart"/>
      <w:r>
        <w:t>the literature</w:t>
      </w:r>
      <w:proofErr w:type="gramEnd"/>
      <w:r>
        <w:t xml:space="preserve"> that do not fit even </w:t>
      </w:r>
      <w:r w:rsidR="007C2CDB">
        <w:t>a</w:t>
      </w:r>
      <w:r>
        <w:t xml:space="preserve"> single design criterion.</w:t>
      </w:r>
    </w:p>
    <w:p w14:paraId="29B41CF3" w14:textId="77777777" w:rsidR="009159C0" w:rsidRPr="009159C0" w:rsidRDefault="009159C0" w:rsidP="009159C0">
      <w:pPr>
        <w:spacing w:before="60" w:after="60"/>
        <w:jc w:val="left"/>
      </w:pPr>
      <w:r w:rsidRPr="009159C0">
        <w:rPr>
          <w:b/>
        </w:rPr>
        <w:t>Table 3. Quality Appraisal Framework</w:t>
      </w:r>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4A0" w:firstRow="1" w:lastRow="0" w:firstColumn="1" w:lastColumn="0" w:noHBand="0" w:noVBand="1"/>
      </w:tblPr>
      <w:tblGrid>
        <w:gridCol w:w="2952"/>
        <w:gridCol w:w="7128"/>
      </w:tblGrid>
      <w:tr w:rsidR="009159C0" w:rsidRPr="009159C0" w14:paraId="5322BE12" w14:textId="77777777" w:rsidTr="0032674A">
        <w:trPr>
          <w:jc w:val="center"/>
        </w:trPr>
        <w:tc>
          <w:tcPr>
            <w:tcW w:w="2952" w:type="dxa"/>
            <w:shd w:val="clear" w:color="auto" w:fill="E7E6E6"/>
            <w:vAlign w:val="center"/>
          </w:tcPr>
          <w:p w14:paraId="7DC7591C" w14:textId="77777777" w:rsidR="009159C0" w:rsidRPr="009159C0" w:rsidRDefault="009159C0" w:rsidP="009159C0">
            <w:pPr>
              <w:spacing w:after="0"/>
              <w:jc w:val="center"/>
            </w:pPr>
            <w:r w:rsidRPr="009159C0">
              <w:rPr>
                <w:b/>
              </w:rPr>
              <w:t>Appraisal area</w:t>
            </w:r>
          </w:p>
        </w:tc>
        <w:tc>
          <w:tcPr>
            <w:tcW w:w="7128" w:type="dxa"/>
            <w:shd w:val="clear" w:color="auto" w:fill="E7E6E6"/>
            <w:vAlign w:val="center"/>
          </w:tcPr>
          <w:p w14:paraId="63B28845" w14:textId="77777777" w:rsidR="009159C0" w:rsidRPr="009159C0" w:rsidRDefault="009159C0" w:rsidP="009159C0">
            <w:pPr>
              <w:spacing w:after="0"/>
              <w:jc w:val="center"/>
            </w:pPr>
            <w:r w:rsidRPr="009159C0">
              <w:rPr>
                <w:b/>
              </w:rPr>
              <w:t>Assessment question</w:t>
            </w:r>
          </w:p>
        </w:tc>
      </w:tr>
      <w:tr w:rsidR="009159C0" w:rsidRPr="009159C0" w14:paraId="4862DCC7" w14:textId="77777777" w:rsidTr="0032674A">
        <w:trPr>
          <w:jc w:val="center"/>
        </w:trPr>
        <w:tc>
          <w:tcPr>
            <w:tcW w:w="2952" w:type="dxa"/>
            <w:vAlign w:val="center"/>
          </w:tcPr>
          <w:p w14:paraId="76E28DCE" w14:textId="77777777" w:rsidR="009159C0" w:rsidRPr="009159C0" w:rsidRDefault="009159C0" w:rsidP="009159C0">
            <w:pPr>
              <w:spacing w:after="0"/>
              <w:jc w:val="left"/>
            </w:pPr>
            <w:r w:rsidRPr="009159C0">
              <w:t>Research aim</w:t>
            </w:r>
          </w:p>
        </w:tc>
        <w:tc>
          <w:tcPr>
            <w:tcW w:w="7128" w:type="dxa"/>
            <w:vAlign w:val="center"/>
          </w:tcPr>
          <w:p w14:paraId="6C670CCC" w14:textId="77777777" w:rsidR="009159C0" w:rsidRPr="009159C0" w:rsidRDefault="009159C0" w:rsidP="009159C0">
            <w:pPr>
              <w:spacing w:after="0"/>
              <w:jc w:val="left"/>
            </w:pPr>
            <w:r w:rsidRPr="009159C0">
              <w:t>Is the purpose clearly stated?</w:t>
            </w:r>
          </w:p>
        </w:tc>
      </w:tr>
      <w:tr w:rsidR="009159C0" w:rsidRPr="009159C0" w14:paraId="20BF7D9C" w14:textId="77777777" w:rsidTr="0032674A">
        <w:trPr>
          <w:jc w:val="center"/>
        </w:trPr>
        <w:tc>
          <w:tcPr>
            <w:tcW w:w="2952" w:type="dxa"/>
            <w:vAlign w:val="center"/>
          </w:tcPr>
          <w:p w14:paraId="13BCA313" w14:textId="77777777" w:rsidR="009159C0" w:rsidRPr="009159C0" w:rsidRDefault="009159C0" w:rsidP="009159C0">
            <w:pPr>
              <w:spacing w:after="0"/>
              <w:jc w:val="left"/>
            </w:pPr>
            <w:r w:rsidRPr="009159C0">
              <w:t>Design</w:t>
            </w:r>
          </w:p>
        </w:tc>
        <w:tc>
          <w:tcPr>
            <w:tcW w:w="7128" w:type="dxa"/>
            <w:vAlign w:val="center"/>
          </w:tcPr>
          <w:p w14:paraId="46C8CF24" w14:textId="77777777" w:rsidR="009159C0" w:rsidRPr="009159C0" w:rsidRDefault="009159C0" w:rsidP="009159C0">
            <w:pPr>
              <w:spacing w:after="0"/>
              <w:jc w:val="left"/>
            </w:pPr>
            <w:r w:rsidRPr="009159C0">
              <w:t>Is the method appropriate to the aim?</w:t>
            </w:r>
          </w:p>
        </w:tc>
      </w:tr>
      <w:tr w:rsidR="009159C0" w:rsidRPr="009159C0" w14:paraId="761BECE5" w14:textId="77777777" w:rsidTr="0032674A">
        <w:trPr>
          <w:jc w:val="center"/>
        </w:trPr>
        <w:tc>
          <w:tcPr>
            <w:tcW w:w="2952" w:type="dxa"/>
            <w:vAlign w:val="center"/>
          </w:tcPr>
          <w:p w14:paraId="6D4281DE" w14:textId="77777777" w:rsidR="009159C0" w:rsidRPr="009159C0" w:rsidRDefault="009159C0" w:rsidP="009159C0">
            <w:pPr>
              <w:spacing w:after="0"/>
              <w:jc w:val="left"/>
            </w:pPr>
            <w:r w:rsidRPr="009159C0">
              <w:t>Data and analysis</w:t>
            </w:r>
          </w:p>
        </w:tc>
        <w:tc>
          <w:tcPr>
            <w:tcW w:w="7128" w:type="dxa"/>
            <w:vAlign w:val="center"/>
          </w:tcPr>
          <w:p w14:paraId="2B7D0455" w14:textId="77777777" w:rsidR="009159C0" w:rsidRPr="009159C0" w:rsidRDefault="009159C0" w:rsidP="009159C0">
            <w:pPr>
              <w:spacing w:after="0"/>
              <w:jc w:val="left"/>
            </w:pPr>
            <w:r w:rsidRPr="009159C0">
              <w:t>Are sources, collection and analysis transparent?</w:t>
            </w:r>
          </w:p>
        </w:tc>
      </w:tr>
      <w:tr w:rsidR="009159C0" w:rsidRPr="009159C0" w14:paraId="621C807E" w14:textId="77777777" w:rsidTr="0032674A">
        <w:trPr>
          <w:jc w:val="center"/>
        </w:trPr>
        <w:tc>
          <w:tcPr>
            <w:tcW w:w="2952" w:type="dxa"/>
            <w:vAlign w:val="center"/>
          </w:tcPr>
          <w:p w14:paraId="285BF9FD" w14:textId="77777777" w:rsidR="009159C0" w:rsidRPr="009159C0" w:rsidRDefault="009159C0" w:rsidP="009159C0">
            <w:pPr>
              <w:spacing w:after="0"/>
              <w:jc w:val="left"/>
            </w:pPr>
            <w:r w:rsidRPr="009159C0">
              <w:t>Evidence</w:t>
            </w:r>
          </w:p>
        </w:tc>
        <w:tc>
          <w:tcPr>
            <w:tcW w:w="7128" w:type="dxa"/>
            <w:vAlign w:val="center"/>
          </w:tcPr>
          <w:p w14:paraId="6B922EDB" w14:textId="77777777" w:rsidR="009159C0" w:rsidRPr="009159C0" w:rsidRDefault="009159C0" w:rsidP="009159C0">
            <w:pPr>
              <w:spacing w:after="0"/>
              <w:jc w:val="left"/>
            </w:pPr>
            <w:r w:rsidRPr="009159C0">
              <w:t>Are conclusions supported by findings?</w:t>
            </w:r>
          </w:p>
        </w:tc>
      </w:tr>
      <w:tr w:rsidR="009159C0" w:rsidRPr="009159C0" w14:paraId="3127AAAC" w14:textId="77777777" w:rsidTr="0032674A">
        <w:trPr>
          <w:jc w:val="center"/>
        </w:trPr>
        <w:tc>
          <w:tcPr>
            <w:tcW w:w="2952" w:type="dxa"/>
            <w:vAlign w:val="center"/>
          </w:tcPr>
          <w:p w14:paraId="7A7A4234" w14:textId="77777777" w:rsidR="009159C0" w:rsidRPr="009159C0" w:rsidRDefault="009159C0" w:rsidP="009159C0">
            <w:pPr>
              <w:spacing w:after="0"/>
              <w:jc w:val="left"/>
            </w:pPr>
            <w:r w:rsidRPr="009159C0">
              <w:t>Limitations and relevance</w:t>
            </w:r>
          </w:p>
        </w:tc>
        <w:tc>
          <w:tcPr>
            <w:tcW w:w="7128" w:type="dxa"/>
            <w:vAlign w:val="center"/>
          </w:tcPr>
          <w:p w14:paraId="3F4ABC54" w14:textId="77777777" w:rsidR="009159C0" w:rsidRPr="009159C0" w:rsidRDefault="009159C0" w:rsidP="009159C0">
            <w:pPr>
              <w:spacing w:after="0"/>
              <w:jc w:val="left"/>
            </w:pPr>
            <w:r w:rsidRPr="009159C0">
              <w:t xml:space="preserve">Are limitations acknowledged and </w:t>
            </w:r>
            <w:proofErr w:type="gramStart"/>
            <w:r w:rsidRPr="009159C0">
              <w:t>is</w:t>
            </w:r>
            <w:proofErr w:type="gramEnd"/>
            <w:r w:rsidRPr="009159C0">
              <w:t xml:space="preserve"> the study relevant?</w:t>
            </w:r>
          </w:p>
        </w:tc>
      </w:tr>
    </w:tbl>
    <w:p w14:paraId="4882C2D2" w14:textId="77777777" w:rsidR="00AD4D80" w:rsidRDefault="00AD4D80" w:rsidP="00AD4D80">
      <w:pPr>
        <w:pStyle w:val="Heading2"/>
      </w:pPr>
      <w:bookmarkStart w:id="12" w:name="_Toc238299859"/>
      <w:r>
        <w:t>2.4 Screening, Coding and Thematic Synthesis</w:t>
      </w:r>
      <w:bookmarkEnd w:id="12"/>
    </w:p>
    <w:p w14:paraId="5B78C010" w14:textId="0DB4E69A" w:rsidR="00AD4D80" w:rsidRDefault="00AD4D80" w:rsidP="00AD4D80">
      <w:r>
        <w:t>The screening process was conducted in phases. Duplication of records, if identified, was eliminated</w:t>
      </w:r>
      <w:r w:rsidR="009159C0">
        <w:t>,</w:t>
      </w:r>
      <w:r>
        <w:t xml:space="preserve"> and then titles and abstracts were screened for relevance. Full evaluations of potentially suitable publications were then conducted using the inclusion/exclusion and quality criteria</w:t>
      </w:r>
      <w:r w:rsidR="00E2448C">
        <w:t xml:space="preserve"> (</w:t>
      </w:r>
      <w:proofErr w:type="spellStart"/>
      <w:r w:rsidR="00E2448C" w:rsidRPr="00791682">
        <w:t>Damarell</w:t>
      </w:r>
      <w:proofErr w:type="spellEnd"/>
      <w:r w:rsidR="00E2448C" w:rsidRPr="00791682">
        <w:t>, Morgan and Tieman</w:t>
      </w:r>
      <w:r w:rsidR="00E2448C">
        <w:t>, 2020)</w:t>
      </w:r>
      <w:r>
        <w:t xml:space="preserve">. The 44 references in the final report come from the existing report, but the numbers of initial database hits, duplicates, title-and-abstract exclusions or full-text exclusions are not recorded. </w:t>
      </w:r>
      <w:proofErr w:type="gramStart"/>
      <w:r>
        <w:t>As a consequence</w:t>
      </w:r>
      <w:proofErr w:type="gramEnd"/>
      <w:r>
        <w:t xml:space="preserve">, the actual corpus size is recorded as n </w:t>
      </w:r>
      <w:r w:rsidR="00970368">
        <w:t>=</w:t>
      </w:r>
      <w:r>
        <w:t xml:space="preserve"> 44, and intermediate corpus sizes are not estimated, as they are not found in the verified corpus.</w:t>
      </w:r>
    </w:p>
    <w:p w14:paraId="30329F73" w14:textId="458D2B01" w:rsidR="00B87205" w:rsidRDefault="00B87205" w:rsidP="00B87205">
      <w:pPr>
        <w:jc w:val="center"/>
      </w:pPr>
      <w:r>
        <w:rPr>
          <w:noProof/>
        </w:rPr>
        <w:lastRenderedPageBreak/>
        <w:drawing>
          <wp:inline distT="0" distB="0" distL="0" distR="0" wp14:anchorId="28D065DC" wp14:editId="1C5F1C3F">
            <wp:extent cx="4749799" cy="3562350"/>
            <wp:effectExtent l="0" t="0" r="0" b="0"/>
            <wp:docPr id="1690616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56422" cy="3567317"/>
                    </a:xfrm>
                    <a:prstGeom prst="rect">
                      <a:avLst/>
                    </a:prstGeom>
                    <a:noFill/>
                  </pic:spPr>
                </pic:pic>
              </a:graphicData>
            </a:graphic>
          </wp:inline>
        </w:drawing>
      </w:r>
    </w:p>
    <w:p w14:paraId="0157C1C4" w14:textId="77777777" w:rsidR="00B87205" w:rsidRDefault="00B87205" w:rsidP="00B87205">
      <w:pPr>
        <w:jc w:val="center"/>
        <w:rPr>
          <w:b/>
          <w:bCs/>
        </w:rPr>
      </w:pPr>
      <w:r w:rsidRPr="00B87205">
        <w:rPr>
          <w:b/>
          <w:bCs/>
        </w:rPr>
        <w:t>Figure 1. PRISMA-style Flow of Literature Identification and Selection</w:t>
      </w:r>
    </w:p>
    <w:p w14:paraId="58EC59FA" w14:textId="5A0D1534" w:rsidR="005F3D7D" w:rsidRPr="00B87205" w:rsidRDefault="005F3D7D" w:rsidP="00B87205">
      <w:pPr>
        <w:jc w:val="center"/>
        <w:rPr>
          <w:b/>
          <w:bCs/>
        </w:rPr>
      </w:pPr>
      <w:r>
        <w:rPr>
          <w:b/>
          <w:bCs/>
        </w:rPr>
        <w:t>Source: (</w:t>
      </w:r>
      <w:r w:rsidRPr="005F3D7D">
        <w:rPr>
          <w:b/>
          <w:bCs/>
        </w:rPr>
        <w:t>Adapted from Page et al., 2021)</w:t>
      </w:r>
    </w:p>
    <w:p w14:paraId="7BC2A9F3" w14:textId="529807FE" w:rsidR="00DE13F3" w:rsidRDefault="00AD4D80" w:rsidP="00B87205">
      <w:r>
        <w:t xml:space="preserve">Eligible studies were coded </w:t>
      </w:r>
      <w:proofErr w:type="gramStart"/>
      <w:r>
        <w:t xml:space="preserve">on the </w:t>
      </w:r>
      <w:r w:rsidR="009159C0">
        <w:t>basis</w:t>
      </w:r>
      <w:r>
        <w:t xml:space="preserve"> of</w:t>
      </w:r>
      <w:proofErr w:type="gramEnd"/>
      <w:r>
        <w:t xml:space="preserve"> repeated ideas, findings and methodological aspects. The codes were </w:t>
      </w:r>
      <w:proofErr w:type="spellStart"/>
      <w:r w:rsidR="009159C0">
        <w:t>categorised</w:t>
      </w:r>
      <w:proofErr w:type="spellEnd"/>
      <w:r>
        <w:t xml:space="preserve"> into four major themes: institutional readiness and governance; technological convergence; EV adoption and infrastructure; sustainability and SDG contribution. Other coding identified policy consistency, </w:t>
      </w:r>
      <w:proofErr w:type="spellStart"/>
      <w:r>
        <w:t>organisation</w:t>
      </w:r>
      <w:proofErr w:type="spellEnd"/>
      <w:r>
        <w:t xml:space="preserve"> capability, regional inequality, theoretical views and methodological constraints. Themes were </w:t>
      </w:r>
      <w:proofErr w:type="spellStart"/>
      <w:r>
        <w:t>synthesi</w:t>
      </w:r>
      <w:r w:rsidR="009159C0">
        <w:t>s</w:t>
      </w:r>
      <w:r>
        <w:t>ed</w:t>
      </w:r>
      <w:proofErr w:type="spellEnd"/>
      <w:r>
        <w:t xml:space="preserve"> to highlight research that agreed or disagreed about topic areas and under-researched relationships between topics </w:t>
      </w:r>
      <w:r w:rsidR="007C2CDB">
        <w:t>across</w:t>
      </w:r>
      <w:r>
        <w:t xml:space="preserve"> the studies, and this formed the basis for the critical discussion.</w:t>
      </w:r>
    </w:p>
    <w:p w14:paraId="4978278D" w14:textId="2F28C8A9" w:rsidR="00E55507" w:rsidRDefault="00AD4D80" w:rsidP="00AD4D80">
      <w:pPr>
        <w:pStyle w:val="Heading1"/>
      </w:pPr>
      <w:bookmarkStart w:id="13" w:name="_Toc238299860"/>
      <w:r>
        <w:t xml:space="preserve">3. </w:t>
      </w:r>
      <w:r w:rsidR="00E55507" w:rsidRPr="00E55507">
        <w:t>Critical Review of Existing Literature</w:t>
      </w:r>
      <w:bookmarkEnd w:id="13"/>
    </w:p>
    <w:p w14:paraId="21921E92" w14:textId="5A12A0A2" w:rsidR="00E55507" w:rsidRDefault="00BA34A1" w:rsidP="00E55507">
      <w:r>
        <w:t>This chapter aims</w:t>
      </w:r>
      <w:r w:rsidR="00E55507">
        <w:t xml:space="preserve"> to critically examine literature that addresses institutional readiness for technological convergence to </w:t>
      </w:r>
      <w:r w:rsidR="00BF6678">
        <w:t>achieve</w:t>
      </w:r>
      <w:r w:rsidR="00E55507">
        <w:t xml:space="preserve"> Sustainable Development Goals (SDGs) through </w:t>
      </w:r>
      <w:r w:rsidR="00BF6678">
        <w:t>the adoption of Electric Vehicles (EVs)</w:t>
      </w:r>
      <w:r w:rsidR="00E55507">
        <w:t xml:space="preserve"> in the United Kingdom</w:t>
      </w:r>
      <w:r w:rsidR="00BF6678">
        <w:t xml:space="preserve"> (UK)</w:t>
      </w:r>
      <w:r w:rsidR="00E55507">
        <w:t xml:space="preserve">. This chapter does not simply </w:t>
      </w:r>
      <w:proofErr w:type="spellStart"/>
      <w:r w:rsidR="00E55507">
        <w:t>summarise</w:t>
      </w:r>
      <w:proofErr w:type="spellEnd"/>
      <w:r w:rsidR="00E55507">
        <w:t xml:space="preserve"> previous </w:t>
      </w:r>
      <w:proofErr w:type="gramStart"/>
      <w:r w:rsidR="00E55507">
        <w:t>studies, but</w:t>
      </w:r>
      <w:proofErr w:type="gramEnd"/>
      <w:r w:rsidR="00E55507">
        <w:t xml:space="preserve"> critically </w:t>
      </w:r>
      <w:proofErr w:type="spellStart"/>
      <w:r w:rsidR="00E55507">
        <w:t>synthesises</w:t>
      </w:r>
      <w:proofErr w:type="spellEnd"/>
      <w:r w:rsidR="00E55507">
        <w:t xml:space="preserve"> the existing knowledge by discussing the commonalities in the findings, comparing opinions, methodological variations and gaps in </w:t>
      </w:r>
      <w:r w:rsidR="00E55507">
        <w:lastRenderedPageBreak/>
        <w:t xml:space="preserve">knowledge. </w:t>
      </w:r>
      <w:r w:rsidR="00007E09">
        <w:t>T</w:t>
      </w:r>
      <w:r w:rsidR="00E55507">
        <w:t xml:space="preserve">he review addresses institutional, technological and sustainability aspects of EV adoption </w:t>
      </w:r>
      <w:proofErr w:type="gramStart"/>
      <w:r w:rsidR="00E55507">
        <w:t>and also</w:t>
      </w:r>
      <w:proofErr w:type="gramEnd"/>
      <w:r w:rsidR="00E55507">
        <w:t xml:space="preserve"> covers theoretical perspectives which have influenced the current research.</w:t>
      </w:r>
    </w:p>
    <w:p w14:paraId="3A1CE25F" w14:textId="7A30146B" w:rsidR="00E55507" w:rsidRDefault="00AD4D80" w:rsidP="00007E09">
      <w:pPr>
        <w:pStyle w:val="Heading2"/>
      </w:pPr>
      <w:bookmarkStart w:id="14" w:name="_Toc238299861"/>
      <w:r>
        <w:t>3</w:t>
      </w:r>
      <w:r w:rsidR="00E55507">
        <w:t>.1 Institutional Readiness</w:t>
      </w:r>
      <w:bookmarkEnd w:id="14"/>
    </w:p>
    <w:p w14:paraId="012525B7" w14:textId="3F2BFD5C" w:rsidR="00E55507" w:rsidRDefault="00E55507" w:rsidP="00E55507">
      <w:r>
        <w:t>The concept of institutional readiness has become a key element in comprehending the successful transition to electric mobility.</w:t>
      </w:r>
      <w:r w:rsidR="00716332">
        <w:t xml:space="preserve"> </w:t>
      </w:r>
      <w:r>
        <w:t xml:space="preserve">Early studies mostly attributed the adoption of EVs to technological innovation and consumer acceptance, whereas more recent studies dispute </w:t>
      </w:r>
      <w:r w:rsidR="00716332">
        <w:t>whether</w:t>
      </w:r>
      <w:r>
        <w:t xml:space="preserve"> technological progress </w:t>
      </w:r>
      <w:r w:rsidR="00716332">
        <w:t xml:space="preserve">alone </w:t>
      </w:r>
      <w:r>
        <w:t xml:space="preserve">is enough </w:t>
      </w:r>
      <w:r w:rsidR="00716332">
        <w:t xml:space="preserve">or not </w:t>
      </w:r>
      <w:r>
        <w:t xml:space="preserve">to bring about sustainable transport transitions. </w:t>
      </w:r>
      <w:r w:rsidR="00110EC0">
        <w:t xml:space="preserve">Jackson (2023) and </w:t>
      </w:r>
      <w:proofErr w:type="spellStart"/>
      <w:r w:rsidR="00110EC0">
        <w:t>Meelen</w:t>
      </w:r>
      <w:proofErr w:type="spellEnd"/>
      <w:r w:rsidR="00110EC0">
        <w:t xml:space="preserve"> and </w:t>
      </w:r>
      <w:proofErr w:type="spellStart"/>
      <w:r w:rsidR="00110EC0">
        <w:t>Schwanen</w:t>
      </w:r>
      <w:proofErr w:type="spellEnd"/>
      <w:r w:rsidR="00110EC0">
        <w:t xml:space="preserve"> (2023)</w:t>
      </w:r>
      <w:r>
        <w:t xml:space="preserve"> argue</w:t>
      </w:r>
      <w:r w:rsidR="00BE4D55">
        <w:t xml:space="preserve"> </w:t>
      </w:r>
      <w:r>
        <w:t xml:space="preserve">that what really matters for the effectiveness of EV adoption are the capacities of institutions to create coherent policies, coordinate stakeholders, create supportive regulatory frameworks and provide adequate infrastructure. Thus, institutional readiness can be viewed as the </w:t>
      </w:r>
      <w:r w:rsidR="00047B02">
        <w:t>combination</w:t>
      </w:r>
      <w:r>
        <w:t xml:space="preserve"> of the abilities of governments, </w:t>
      </w:r>
      <w:r w:rsidR="00B847C6">
        <w:t>regulatory</w:t>
      </w:r>
      <w:r>
        <w:t xml:space="preserve"> institutions, businesses and supporting institutions to help drive technological transformation through governance, investment and </w:t>
      </w:r>
      <w:proofErr w:type="spellStart"/>
      <w:r>
        <w:t>organising</w:t>
      </w:r>
      <w:proofErr w:type="spellEnd"/>
      <w:r>
        <w:t>.</w:t>
      </w:r>
    </w:p>
    <w:p w14:paraId="092490BC" w14:textId="55EA2816" w:rsidR="00E55507" w:rsidRDefault="00E55507" w:rsidP="00E55507">
      <w:r>
        <w:t xml:space="preserve">Governance is one of the most powerful facets of institutional readiness, as the shift to electric mobility will only come about when </w:t>
      </w:r>
      <w:r w:rsidR="00B847C6">
        <w:t>several</w:t>
      </w:r>
      <w:r>
        <w:t xml:space="preserve"> actors work together, not in isolation, with one another. However, according to Alali, </w:t>
      </w:r>
      <w:proofErr w:type="spellStart"/>
      <w:r>
        <w:t>Niesten</w:t>
      </w:r>
      <w:proofErr w:type="spellEnd"/>
      <w:r>
        <w:t xml:space="preserve"> and Gagliardi (2022), financial incentives help drive </w:t>
      </w:r>
      <w:r w:rsidR="00047B02">
        <w:t>swift</w:t>
      </w:r>
      <w:r>
        <w:t xml:space="preserve"> electrification when they come along with stable regulatory frameworks and longer-term institutional buy-</w:t>
      </w:r>
      <w:proofErr w:type="gramStart"/>
      <w:r>
        <w:t>in</w:t>
      </w:r>
      <w:proofErr w:type="gramEnd"/>
      <w:r>
        <w:t>. Likewise, Jackson (2023) highlights the need to coordinate transport, energy and environmental policies to lower investment and infrastructure provider uncertainty. The results show that institutional readiness should be considered as an ongoing governance process and not an institutional state.</w:t>
      </w:r>
    </w:p>
    <w:p w14:paraId="5AD13910" w14:textId="4F68BEA0" w:rsidR="00E55507" w:rsidRDefault="00E55507" w:rsidP="00E55507">
      <w:r>
        <w:t xml:space="preserve">Regulatory policies also help to </w:t>
      </w:r>
      <w:r w:rsidR="009A6D87">
        <w:t>determine</w:t>
      </w:r>
      <w:r>
        <w:t xml:space="preserve"> the rate and uniformity of EV adoption. Governments can affect the development of the market by setting vehicle emission standards, taxation policies, charging regulations, </w:t>
      </w:r>
      <w:r w:rsidR="0075381E">
        <w:t xml:space="preserve">and </w:t>
      </w:r>
      <w:r>
        <w:t xml:space="preserve">charging investment incentives. But the effectiveness of regulation requires not only that </w:t>
      </w:r>
      <w:r w:rsidR="0075381E">
        <w:t xml:space="preserve">the </w:t>
      </w:r>
      <w:r>
        <w:t xml:space="preserve">policy </w:t>
      </w:r>
      <w:r w:rsidR="00FA1477">
        <w:t>be</w:t>
      </w:r>
      <w:r>
        <w:t xml:space="preserve"> available, but also that </w:t>
      </w:r>
      <w:r w:rsidR="0075381E">
        <w:t xml:space="preserve">the </w:t>
      </w:r>
      <w:r>
        <w:t xml:space="preserve">policy </w:t>
      </w:r>
      <w:r w:rsidR="00FA1477">
        <w:t>be</w:t>
      </w:r>
      <w:r>
        <w:t xml:space="preserve"> consistent. Sun et al. (2024) show that the results of these charging-support mechanisms vary according to the mechanisms' design and implementation. Similarly, Hopkins et al. (2023) suggest that 'disjointed policy frameworks' can produce consumer and investor uncertainty and constrain infrastructure investment. The </w:t>
      </w:r>
      <w:r w:rsidR="00FA1477">
        <w:t>selected</w:t>
      </w:r>
      <w:r>
        <w:t xml:space="preserve"> studies indicate that policy stability is a critical factor in facilitating institutional readiness alongside policy ambition.</w:t>
      </w:r>
    </w:p>
    <w:p w14:paraId="5E49A594" w14:textId="09FE92C1" w:rsidR="00CD1F37" w:rsidRDefault="00CD1F37" w:rsidP="00CD1F37">
      <w:r>
        <w:lastRenderedPageBreak/>
        <w:t xml:space="preserve">Infrastructure readiness is another key factor of institutional capacity. Charging networks </w:t>
      </w:r>
      <w:r w:rsidR="007C2CDB">
        <w:t>are</w:t>
      </w:r>
      <w:r>
        <w:t xml:space="preserve"> one of the most often cited problems, where they are directly linked to consumer confidence and </w:t>
      </w:r>
      <w:r w:rsidR="007C2CDB">
        <w:t xml:space="preserve">the </w:t>
      </w:r>
      <w:r>
        <w:t xml:space="preserve">viability of operations. But more recent research cautions against infrastructure metrics </w:t>
      </w:r>
      <w:proofErr w:type="gramStart"/>
      <w:r>
        <w:t>being based</w:t>
      </w:r>
      <w:proofErr w:type="gramEnd"/>
      <w:r>
        <w:t xml:space="preserve"> on the number of charging stations. </w:t>
      </w:r>
      <w:proofErr w:type="spellStart"/>
      <w:r>
        <w:t>Budnitz</w:t>
      </w:r>
      <w:proofErr w:type="spellEnd"/>
      <w:r>
        <w:t xml:space="preserve"> et al. (2024) demonstrate that the accessibility of charging stations, the location and residential parking are important considerations for providing charging opportunities in the UK. Similarly, England and Wales are not equally charging station rich, with Khader, Wilson and </w:t>
      </w:r>
      <w:proofErr w:type="spellStart"/>
      <w:r>
        <w:t>Tryfonas</w:t>
      </w:r>
      <w:proofErr w:type="spellEnd"/>
      <w:r>
        <w:t xml:space="preserve"> (2025) demonstrating that the national investment does not necessarily result in the regional benefits that are intended. The results cover infrastructure readiness beyond just expanding infrastructure, such as accessibility, distribution and institutional planning.</w:t>
      </w:r>
    </w:p>
    <w:p w14:paraId="02E6C3E4" w14:textId="183A8244" w:rsidR="00E55507" w:rsidRDefault="00CD1F37" w:rsidP="00CD1F37">
      <w:r>
        <w:t xml:space="preserve">Institutional readiness is also a part of </w:t>
      </w:r>
      <w:proofErr w:type="spellStart"/>
      <w:r>
        <w:t>organisational</w:t>
      </w:r>
      <w:proofErr w:type="spellEnd"/>
      <w:r>
        <w:t xml:space="preserve"> capability. </w:t>
      </w:r>
      <w:proofErr w:type="spellStart"/>
      <w:r>
        <w:t>Organisations</w:t>
      </w:r>
      <w:proofErr w:type="spellEnd"/>
      <w:r>
        <w:t xml:space="preserve"> must change their ways of working, investment policies, employee skills and management processes, and anticipate changing needs for regulation to support electric mobility. </w:t>
      </w:r>
      <w:proofErr w:type="spellStart"/>
      <w:r>
        <w:t>Organisations</w:t>
      </w:r>
      <w:proofErr w:type="spellEnd"/>
      <w:r>
        <w:t xml:space="preserve"> are not simply replacing old technologies with new </w:t>
      </w:r>
      <w:proofErr w:type="gramStart"/>
      <w:r>
        <w:t>ones, but</w:t>
      </w:r>
      <w:proofErr w:type="gramEnd"/>
      <w:r>
        <w:t xml:space="preserve"> are adopting them within their current workflows and cultures, according to </w:t>
      </w:r>
      <w:proofErr w:type="spellStart"/>
      <w:r>
        <w:t>Meelen</w:t>
      </w:r>
      <w:proofErr w:type="spellEnd"/>
      <w:r>
        <w:t xml:space="preserve"> and </w:t>
      </w:r>
      <w:proofErr w:type="spellStart"/>
      <w:r>
        <w:t>Schwanen</w:t>
      </w:r>
      <w:proofErr w:type="spellEnd"/>
      <w:r>
        <w:t xml:space="preserve"> (2023). </w:t>
      </w:r>
      <w:r w:rsidR="00E55507">
        <w:t xml:space="preserve">Therefore, changing to this requires </w:t>
      </w:r>
      <w:proofErr w:type="spellStart"/>
      <w:r w:rsidR="00B377C4">
        <w:t>organisational</w:t>
      </w:r>
      <w:proofErr w:type="spellEnd"/>
      <w:r w:rsidR="00E55507">
        <w:t xml:space="preserve"> learning, working with stakeholders, and adaptive management, not just investing in </w:t>
      </w:r>
      <w:proofErr w:type="gramStart"/>
      <w:r w:rsidR="00E55507">
        <w:t>the technology</w:t>
      </w:r>
      <w:proofErr w:type="gramEnd"/>
      <w:r w:rsidR="00D0155F">
        <w:t xml:space="preserve"> (</w:t>
      </w:r>
      <w:r w:rsidR="00D0155F" w:rsidRPr="00395D2C">
        <w:rPr>
          <w:rFonts w:eastAsia="Times New Roman" w:cs="Times New Roman"/>
        </w:rPr>
        <w:t>Abdullah</w:t>
      </w:r>
      <w:r w:rsidR="00D0155F">
        <w:rPr>
          <w:rFonts w:eastAsia="Times New Roman" w:cs="Times New Roman"/>
        </w:rPr>
        <w:t xml:space="preserve"> et al., 2022)</w:t>
      </w:r>
      <w:r w:rsidR="00E55507">
        <w:t xml:space="preserve">. This view enhances institutional preparedness by not only acknowledging businesses and public institutions as key actors in enabling technological </w:t>
      </w:r>
      <w:proofErr w:type="gramStart"/>
      <w:r w:rsidR="00E55507">
        <w:t>transformation, but</w:t>
      </w:r>
      <w:proofErr w:type="gramEnd"/>
      <w:r w:rsidR="00E55507">
        <w:t xml:space="preserve"> also presenting them as viable options for interactive learning.</w:t>
      </w:r>
    </w:p>
    <w:p w14:paraId="69F5C1E4" w14:textId="504CF520" w:rsidR="00E55507" w:rsidRDefault="00E55507" w:rsidP="00E55507">
      <w:r>
        <w:t>Evidence from the UK supports the multi-faceted nature of institutional readiness. The UK has ambitious policies to promote EV uptake</w:t>
      </w:r>
      <w:r w:rsidR="00FA489D">
        <w:t>,</w:t>
      </w:r>
      <w:r>
        <w:t xml:space="preserve"> and uptake has been </w:t>
      </w:r>
      <w:r w:rsidR="00FA489D">
        <w:t>irregular</w:t>
      </w:r>
      <w:r>
        <w:t xml:space="preserve"> by region and stakeholder. Local authority capacity</w:t>
      </w:r>
      <w:r w:rsidR="00477774">
        <w:t>,</w:t>
      </w:r>
      <w:r>
        <w:t xml:space="preserve"> infrastructure provision and priorities remain to have an impact on adoption opportunities (</w:t>
      </w:r>
      <w:proofErr w:type="spellStart"/>
      <w:r>
        <w:t>Budnitz</w:t>
      </w:r>
      <w:proofErr w:type="spellEnd"/>
      <w:r>
        <w:t xml:space="preserve">, </w:t>
      </w:r>
      <w:proofErr w:type="spellStart"/>
      <w:r>
        <w:t>Meelen</w:t>
      </w:r>
      <w:proofErr w:type="spellEnd"/>
      <w:r>
        <w:t xml:space="preserve"> and Schwanen, 2024; Khader, Wilson and </w:t>
      </w:r>
      <w:proofErr w:type="spellStart"/>
      <w:r>
        <w:t>Tryfonas</w:t>
      </w:r>
      <w:proofErr w:type="spellEnd"/>
      <w:r>
        <w:t>, 2025). So, national policy commitment is not guaranteed to be received uniformly by the national institutions.</w:t>
      </w:r>
    </w:p>
    <w:p w14:paraId="141C2D49" w14:textId="659DF7B0" w:rsidR="00E55507" w:rsidRDefault="00E55507" w:rsidP="00E55507">
      <w:r>
        <w:t xml:space="preserve">In general, </w:t>
      </w:r>
      <w:proofErr w:type="gramStart"/>
      <w:r>
        <w:t>the literature</w:t>
      </w:r>
      <w:proofErr w:type="gramEnd"/>
      <w:r>
        <w:t xml:space="preserve"> shows a wide consensus that institutional readiness is not limited to the policy or infrastructure. But the existing studies tend to look at governance, regulation, infrastructure, and </w:t>
      </w:r>
      <w:proofErr w:type="spellStart"/>
      <w:r>
        <w:t>organisational</w:t>
      </w:r>
      <w:proofErr w:type="spellEnd"/>
      <w:r>
        <w:t xml:space="preserve"> capability in isolation and not as part of a cohesive institutional system. Moreover, most empirical studies use a cross-sectional design</w:t>
      </w:r>
      <w:r w:rsidR="004E16BC">
        <w:t>,</w:t>
      </w:r>
      <w:r>
        <w:t xml:space="preserve"> which only gives a limited understanding of the development of institutional readiness over time</w:t>
      </w:r>
      <w:r w:rsidR="00D0155F">
        <w:t xml:space="preserve"> (</w:t>
      </w:r>
      <w:r w:rsidR="00D0155F" w:rsidRPr="00395D2C">
        <w:rPr>
          <w:rFonts w:eastAsia="Times New Roman" w:cs="Times New Roman"/>
        </w:rPr>
        <w:t xml:space="preserve">Anwar, </w:t>
      </w:r>
      <w:proofErr w:type="spellStart"/>
      <w:r w:rsidR="00D0155F" w:rsidRPr="00395D2C">
        <w:rPr>
          <w:rFonts w:eastAsia="Times New Roman" w:cs="Times New Roman"/>
        </w:rPr>
        <w:t>Wardley</w:t>
      </w:r>
      <w:proofErr w:type="spellEnd"/>
      <w:r w:rsidR="00D0155F" w:rsidRPr="00395D2C">
        <w:rPr>
          <w:rFonts w:eastAsia="Times New Roman" w:cs="Times New Roman"/>
        </w:rPr>
        <w:t xml:space="preserve"> and </w:t>
      </w:r>
      <w:r w:rsidR="00D0155F" w:rsidRPr="00395D2C">
        <w:rPr>
          <w:rFonts w:eastAsia="Times New Roman" w:cs="Times New Roman"/>
        </w:rPr>
        <w:lastRenderedPageBreak/>
        <w:t>Khalid</w:t>
      </w:r>
      <w:r w:rsidR="00D0155F">
        <w:rPr>
          <w:rFonts w:eastAsia="Times New Roman" w:cs="Times New Roman"/>
        </w:rPr>
        <w:t>, 2025)</w:t>
      </w:r>
      <w:r>
        <w:t xml:space="preserve">. These constraints point to the need for further research that is more integrated and longitudinal to capture the dynamic interaction between institutions, </w:t>
      </w:r>
      <w:proofErr w:type="spellStart"/>
      <w:r>
        <w:t>organisations</w:t>
      </w:r>
      <w:proofErr w:type="spellEnd"/>
      <w:r>
        <w:t xml:space="preserve"> and technological change.</w:t>
      </w:r>
    </w:p>
    <w:p w14:paraId="180211C1" w14:textId="1D9B2D7B" w:rsidR="00E55507" w:rsidRDefault="00AD4D80" w:rsidP="00E22277">
      <w:pPr>
        <w:pStyle w:val="Heading2"/>
      </w:pPr>
      <w:bookmarkStart w:id="15" w:name="_Toc238299862"/>
      <w:r>
        <w:t>3</w:t>
      </w:r>
      <w:r w:rsidR="00E55507">
        <w:t>.2 Technological Convergence</w:t>
      </w:r>
      <w:bookmarkEnd w:id="15"/>
    </w:p>
    <w:p w14:paraId="226FD07D" w14:textId="3BC39B8A" w:rsidR="00E55507" w:rsidRDefault="00E55507" w:rsidP="00E55507">
      <w:r>
        <w:t xml:space="preserve">Technological convergence is a key feature of today's electric mobility. Electric vehicles are more integrated </w:t>
      </w:r>
      <w:r w:rsidR="007E18A7">
        <w:t>into</w:t>
      </w:r>
      <w:r>
        <w:t xml:space="preserve"> a multi-layer system of energy </w:t>
      </w:r>
      <w:r w:rsidR="007E18A7">
        <w:t>networks</w:t>
      </w:r>
      <w:r>
        <w:t xml:space="preserve">, digital communication, intelligent transport infrastructure and advanced </w:t>
      </w:r>
      <w:r w:rsidR="008D353A">
        <w:t>battery</w:t>
      </w:r>
      <w:r>
        <w:t xml:space="preserve"> systems rather than being standalone technologies</w:t>
      </w:r>
      <w:r w:rsidR="00B97660">
        <w:t xml:space="preserve"> (</w:t>
      </w:r>
      <w:proofErr w:type="spellStart"/>
      <w:r w:rsidR="00B97660">
        <w:t>Lipu</w:t>
      </w:r>
      <w:proofErr w:type="spellEnd"/>
      <w:r w:rsidR="00B97660">
        <w:t xml:space="preserve"> et al., 2022)</w:t>
      </w:r>
      <w:r>
        <w:t>. Particularly, the adoption of EVs is influenced not just by vehicle innovation, but also by the deployment of several complementary technologies that work together and play a role in sustainable mobility (</w:t>
      </w:r>
      <w:proofErr w:type="spellStart"/>
      <w:r>
        <w:t>Emodi</w:t>
      </w:r>
      <w:proofErr w:type="spellEnd"/>
      <w:r>
        <w:t xml:space="preserve"> et al., 2023).</w:t>
      </w:r>
    </w:p>
    <w:p w14:paraId="369E07CE" w14:textId="54AD2F44" w:rsidR="00E55507" w:rsidRDefault="00E55507" w:rsidP="00E55507">
      <w:r>
        <w:t xml:space="preserve">One of the largest changes within the technological convergence is the smart charging system. Smart charging is different to traditional top-down-top-up charging as it allows electricity demand to adapt to the grid, electricity price and renewables. This helps to save energy and </w:t>
      </w:r>
      <w:r w:rsidR="00AF499F">
        <w:t>lessen</w:t>
      </w:r>
      <w:r>
        <w:t xml:space="preserve"> the strain on electricity networks at peak hours</w:t>
      </w:r>
      <w:r w:rsidR="00D0155F">
        <w:t xml:space="preserve"> (</w:t>
      </w:r>
      <w:r w:rsidR="00D0155F" w:rsidRPr="00233C30">
        <w:rPr>
          <w:color w:val="222222"/>
          <w:shd w:val="clear" w:color="auto" w:fill="FFFFFF"/>
        </w:rPr>
        <w:t>Correia</w:t>
      </w:r>
      <w:r w:rsidR="00D0155F">
        <w:rPr>
          <w:color w:val="222222"/>
          <w:shd w:val="clear" w:color="auto" w:fill="FFFFFF"/>
        </w:rPr>
        <w:t>, 2025)</w:t>
      </w:r>
      <w:r>
        <w:t>. Likewise, the integration of the grid allows electric vehicles to act as dynamic elements of larger energy systems, not just as passive electricity consumers (Yi and Song, 2025). These advances underscore the growing convergence of technology to enable broader application of EVs beyond transportation.</w:t>
      </w:r>
    </w:p>
    <w:p w14:paraId="679E2CBF" w14:textId="4F0C84D1" w:rsidR="00E55507" w:rsidRDefault="00E55507" w:rsidP="00E55507">
      <w:r>
        <w:t xml:space="preserve">The integration is enhanced by vehicle-to-grid (V2G) technology, which allows stored energy from electric vehicles to be fed back into the power grid when needed. V2G is not only a technological innovation but also an </w:t>
      </w:r>
      <w:proofErr w:type="spellStart"/>
      <w:r>
        <w:t>organisational</w:t>
      </w:r>
      <w:proofErr w:type="spellEnd"/>
      <w:r>
        <w:t xml:space="preserve"> change, as it necessitates institutional arrangements, business models and operational practices to change (</w:t>
      </w:r>
      <w:proofErr w:type="spellStart"/>
      <w:r>
        <w:t>Meelen</w:t>
      </w:r>
      <w:proofErr w:type="spellEnd"/>
      <w:r>
        <w:t xml:space="preserve"> and Schwanen, 2023). Similarly, Pozo-Burgos, </w:t>
      </w:r>
      <w:proofErr w:type="spellStart"/>
      <w:r>
        <w:t>Alpala</w:t>
      </w:r>
      <w:proofErr w:type="spellEnd"/>
      <w:r>
        <w:t xml:space="preserve"> and Heredia-</w:t>
      </w:r>
      <w:proofErr w:type="spellStart"/>
      <w:r>
        <w:t>Campaña</w:t>
      </w:r>
      <w:proofErr w:type="spellEnd"/>
      <w:r>
        <w:t xml:space="preserve"> (2026) point out that V2G is a key mechanism to facilitate the use of renewables and help enhance </w:t>
      </w:r>
      <w:r w:rsidR="002927B5">
        <w:t xml:space="preserve">the </w:t>
      </w:r>
      <w:r>
        <w:t xml:space="preserve">resilience of the electricity system. Both studies, however, </w:t>
      </w:r>
      <w:proofErr w:type="spellStart"/>
      <w:r w:rsidR="002927B5">
        <w:t>recognise</w:t>
      </w:r>
      <w:proofErr w:type="spellEnd"/>
      <w:r>
        <w:t xml:space="preserve"> that technology</w:t>
      </w:r>
      <w:proofErr w:type="gramStart"/>
      <w:r>
        <w:t>, in itself, does</w:t>
      </w:r>
      <w:proofErr w:type="gramEnd"/>
      <w:r>
        <w:t xml:space="preserve"> not ensure successful implementation if there are no supportive governance and institutional arrangements.</w:t>
      </w:r>
    </w:p>
    <w:p w14:paraId="651B5399" w14:textId="15BADF58" w:rsidR="00FF2E26" w:rsidRDefault="00E55507" w:rsidP="00FF2E26">
      <w:proofErr w:type="spellStart"/>
      <w:r>
        <w:t>Digitalisation</w:t>
      </w:r>
      <w:proofErr w:type="spellEnd"/>
      <w:r>
        <w:t xml:space="preserve"> is also driving technological convergence with the use of </w:t>
      </w:r>
      <w:r w:rsidR="0069504A">
        <w:t>artificial intelligence (</w:t>
      </w:r>
      <w:r>
        <w:t>AI</w:t>
      </w:r>
      <w:r w:rsidR="0069504A">
        <w:t>)</w:t>
      </w:r>
      <w:r>
        <w:t xml:space="preserve">, </w:t>
      </w:r>
      <w:r w:rsidR="0069504A">
        <w:t>Internet of Things (</w:t>
      </w:r>
      <w:r>
        <w:t xml:space="preserve">IoT) technologies and digital platforms. </w:t>
      </w:r>
      <w:proofErr w:type="spellStart"/>
      <w:r w:rsidR="00FF2E26">
        <w:t>Optimised</w:t>
      </w:r>
      <w:proofErr w:type="spellEnd"/>
      <w:r w:rsidR="00FF2E26">
        <w:t xml:space="preserve"> battery usage, predictive maintenance, energy forecasting, </w:t>
      </w:r>
      <w:r w:rsidR="00477774">
        <w:t xml:space="preserve">and </w:t>
      </w:r>
      <w:r w:rsidR="00FF2E26">
        <w:t xml:space="preserve">intelligent battery charging; these are all </w:t>
      </w:r>
      <w:r w:rsidR="00477774">
        <w:t>enabled</w:t>
      </w:r>
      <w:r w:rsidR="00FF2E26">
        <w:t xml:space="preserve"> </w:t>
      </w:r>
      <w:proofErr w:type="gramStart"/>
      <w:r w:rsidR="00FF2E26">
        <w:t>by the use of</w:t>
      </w:r>
      <w:proofErr w:type="gramEnd"/>
      <w:r w:rsidR="00FF2E26">
        <w:t xml:space="preserve"> AI and IoT technologies</w:t>
      </w:r>
      <w:r w:rsidR="00477774">
        <w:t>,</w:t>
      </w:r>
      <w:r w:rsidR="00FF2E26">
        <w:t xml:space="preserve"> enabling the real-time exchange of information between vehicles, charging stations and energy distribution systems (</w:t>
      </w:r>
      <w:proofErr w:type="spellStart"/>
      <w:r w:rsidR="00FF2E26">
        <w:t>Emodi</w:t>
      </w:r>
      <w:proofErr w:type="spellEnd"/>
      <w:r w:rsidR="00FF2E26">
        <w:t xml:space="preserve"> et al., 2023; </w:t>
      </w:r>
      <w:proofErr w:type="spellStart"/>
      <w:r w:rsidR="00FF2E26">
        <w:t>Lipu</w:t>
      </w:r>
      <w:proofErr w:type="spellEnd"/>
      <w:r w:rsidR="00FF2E26">
        <w:t xml:space="preserve"> et al., 2022). These </w:t>
      </w:r>
      <w:r w:rsidR="00FF2E26">
        <w:lastRenderedPageBreak/>
        <w:t xml:space="preserve">technologies lead to a more efficient system and </w:t>
      </w:r>
      <w:proofErr w:type="gramStart"/>
      <w:r w:rsidR="00FF2E26">
        <w:t>a better</w:t>
      </w:r>
      <w:proofErr w:type="gramEnd"/>
      <w:r w:rsidR="00FF2E26">
        <w:t xml:space="preserve"> user experience, but they also increase complexity, </w:t>
      </w:r>
      <w:r w:rsidR="00477774">
        <w:t>cybersecurity</w:t>
      </w:r>
      <w:r w:rsidR="00FF2E26">
        <w:t xml:space="preserve"> threats, and governance requirements. Technological convergence thus reinforces the need to have institutional readiness that </w:t>
      </w:r>
      <w:proofErr w:type="gramStart"/>
      <w:r w:rsidR="00FF2E26">
        <w:t>has to</w:t>
      </w:r>
      <w:proofErr w:type="gramEnd"/>
      <w:r w:rsidR="00FF2E26">
        <w:t xml:space="preserve"> catch up with technological innovation</w:t>
      </w:r>
      <w:r w:rsidR="00D0155F">
        <w:t xml:space="preserve"> (</w:t>
      </w:r>
      <w:r w:rsidR="00D0155F" w:rsidRPr="00233C30">
        <w:t>Chen</w:t>
      </w:r>
      <w:r w:rsidR="00D0155F">
        <w:t xml:space="preserve"> et al., 2023)</w:t>
      </w:r>
      <w:r w:rsidR="00FF2E26">
        <w:t>.</w:t>
      </w:r>
    </w:p>
    <w:p w14:paraId="16D6D6A0" w14:textId="7978EDBB" w:rsidR="00E55507" w:rsidRDefault="00FF2E26" w:rsidP="00FF2E26">
      <w:r>
        <w:t>Although most literature describes a positive effect of technological convergence on the potential for long-term use of electric mobility, the majority focuses on a technology-</w:t>
      </w:r>
      <w:proofErr w:type="spellStart"/>
      <w:r>
        <w:t>centred</w:t>
      </w:r>
      <w:proofErr w:type="spellEnd"/>
      <w:r>
        <w:t xml:space="preserve"> perspective, with a relatively small number of studies taking </w:t>
      </w:r>
      <w:proofErr w:type="spellStart"/>
      <w:r>
        <w:t>organisational</w:t>
      </w:r>
      <w:proofErr w:type="spellEnd"/>
      <w:r>
        <w:t xml:space="preserve"> capability, governance and policy implementation into consideration. This implies that there is no holistic institutional framework for discussion of technological readiness. In this imbalance, further research is needed to integrate technological innovation approaches with institutional and managerial approaches to gain a better understanding of sustainable electric mobility</w:t>
      </w:r>
      <w:r w:rsidR="00E55507">
        <w:t>.</w:t>
      </w:r>
    </w:p>
    <w:p w14:paraId="4A881BC3" w14:textId="78692F73" w:rsidR="00EC44CA" w:rsidRDefault="00AD4D80" w:rsidP="00E22277">
      <w:pPr>
        <w:pStyle w:val="Heading2"/>
      </w:pPr>
      <w:bookmarkStart w:id="16" w:name="_Toc238299863"/>
      <w:r>
        <w:t>3</w:t>
      </w:r>
      <w:r w:rsidR="00EC44CA">
        <w:t>.3 Electric Vehicle Adoption</w:t>
      </w:r>
      <w:bookmarkEnd w:id="16"/>
    </w:p>
    <w:p w14:paraId="5285AAE8" w14:textId="4FA559CD" w:rsidR="007D01C5" w:rsidRDefault="007D01C5" w:rsidP="007D01C5">
      <w:r>
        <w:t xml:space="preserve">The shift to EVs is now </w:t>
      </w:r>
      <w:proofErr w:type="spellStart"/>
      <w:r w:rsidR="00477774">
        <w:t>recognised</w:t>
      </w:r>
      <w:proofErr w:type="spellEnd"/>
      <w:r>
        <w:t xml:space="preserve"> as a socio-technical transition process and not an easy consumer choice. Previous studies have concentrated on vehicle cost, policy stability, charging availability</w:t>
      </w:r>
      <w:r w:rsidR="00477774">
        <w:t>,</w:t>
      </w:r>
      <w:r>
        <w:t xml:space="preserve"> trust and </w:t>
      </w:r>
      <w:proofErr w:type="spellStart"/>
      <w:r>
        <w:t>organisational</w:t>
      </w:r>
      <w:proofErr w:type="spellEnd"/>
      <w:r>
        <w:t xml:space="preserve"> capacity (Jackson, 2023; </w:t>
      </w:r>
      <w:proofErr w:type="spellStart"/>
      <w:r>
        <w:t>Meelen</w:t>
      </w:r>
      <w:proofErr w:type="spellEnd"/>
      <w:r>
        <w:t xml:space="preserve"> </w:t>
      </w:r>
      <w:r w:rsidR="00477774">
        <w:t>and</w:t>
      </w:r>
      <w:r>
        <w:t xml:space="preserve"> Schwanen, 2023); however, recent literature has shown that this is not the case. But this broader perspective is important, as the price or range of the car is not the only factor that can remove institutional and infrastructural obstacles.</w:t>
      </w:r>
    </w:p>
    <w:p w14:paraId="6CFA62E4" w14:textId="081D5178" w:rsidR="007D01C5" w:rsidRDefault="007D01C5" w:rsidP="007D01C5">
      <w:r>
        <w:t xml:space="preserve">Financial incentives are possible to encourage uptake, but this is debatable. Incentives can be a factor that helps to ease the process of fleet electrification, along with regulatory certainty and </w:t>
      </w:r>
      <w:proofErr w:type="spellStart"/>
      <w:r>
        <w:t>organisational</w:t>
      </w:r>
      <w:proofErr w:type="spellEnd"/>
      <w:r>
        <w:t xml:space="preserve"> readiness, as proposed by Alali, </w:t>
      </w:r>
      <w:proofErr w:type="spellStart"/>
      <w:r>
        <w:t>Niesten</w:t>
      </w:r>
      <w:proofErr w:type="spellEnd"/>
      <w:r>
        <w:t xml:space="preserve"> and Gagliardi (2022). Another factor contributing to the adoption of electric vehicles is likely to be the predictability of the policy and reliable charging facilities for long-haul adoption, as suggested by Hopkins et al. (2023). Incentives thus need to be seen as part of a broader institutional approach and not as a standalone solution.</w:t>
      </w:r>
    </w:p>
    <w:p w14:paraId="22331C12" w14:textId="096523DB" w:rsidR="00EC44CA" w:rsidRDefault="007D01C5" w:rsidP="007D01C5">
      <w:r>
        <w:t>Release of charging stations, range anxiety and familiarity with technology continue to be key considerations, but ones that vary between users and locations</w:t>
      </w:r>
      <w:r w:rsidR="00EC44CA">
        <w:t xml:space="preserve">. </w:t>
      </w:r>
      <w:proofErr w:type="spellStart"/>
      <w:r w:rsidR="00EC44CA">
        <w:t>Budnitz</w:t>
      </w:r>
      <w:proofErr w:type="spellEnd"/>
      <w:r w:rsidR="00EC44CA">
        <w:t xml:space="preserve">, </w:t>
      </w:r>
      <w:proofErr w:type="spellStart"/>
      <w:r w:rsidR="00EC44CA">
        <w:t>Meelen</w:t>
      </w:r>
      <w:proofErr w:type="spellEnd"/>
      <w:r w:rsidR="00EC44CA">
        <w:t xml:space="preserve"> and </w:t>
      </w:r>
      <w:proofErr w:type="spellStart"/>
      <w:r w:rsidR="00EC44CA">
        <w:t>Schwanen</w:t>
      </w:r>
      <w:proofErr w:type="spellEnd"/>
      <w:r w:rsidR="00EC44CA">
        <w:t xml:space="preserve"> (2024) show that private parking and residential charging have a significant impact on adoption opportunities for the UK. Moreover, geographical inequalities in charging provision are identified by Khader, Wilson and </w:t>
      </w:r>
      <w:proofErr w:type="spellStart"/>
      <w:r w:rsidR="00EC44CA">
        <w:t>Tryfonas</w:t>
      </w:r>
      <w:proofErr w:type="spellEnd"/>
      <w:r w:rsidR="00EC44CA">
        <w:t xml:space="preserve"> (2025). The results question </w:t>
      </w:r>
      <w:r w:rsidR="00C60989">
        <w:t>national-level</w:t>
      </w:r>
      <w:r w:rsidR="00EC44CA">
        <w:t xml:space="preserve"> adoption models</w:t>
      </w:r>
      <w:r w:rsidR="00C60989">
        <w:t>,</w:t>
      </w:r>
      <w:r w:rsidR="00EC44CA">
        <w:t xml:space="preserve"> which assume consumers are a </w:t>
      </w:r>
      <w:r w:rsidR="00C60989">
        <w:t>homogeneous</w:t>
      </w:r>
      <w:r w:rsidR="00EC44CA">
        <w:t xml:space="preserve"> group. Many of the papers are also based on an </w:t>
      </w:r>
      <w:r w:rsidR="00EC44CA">
        <w:lastRenderedPageBreak/>
        <w:t xml:space="preserve">intention to purchase, not actual </w:t>
      </w:r>
      <w:proofErr w:type="spellStart"/>
      <w:r w:rsidR="00EC44CA">
        <w:t>behaviour</w:t>
      </w:r>
      <w:proofErr w:type="spellEnd"/>
      <w:r w:rsidR="00EC44CA">
        <w:t>, which reduces the confidence in predictions of future EV uptake.</w:t>
      </w:r>
    </w:p>
    <w:p w14:paraId="1DC899A9" w14:textId="33083E13" w:rsidR="00EC44CA" w:rsidRDefault="00AD4D80" w:rsidP="00E22277">
      <w:pPr>
        <w:pStyle w:val="Heading2"/>
      </w:pPr>
      <w:bookmarkStart w:id="17" w:name="_Toc238299864"/>
      <w:r>
        <w:t>3</w:t>
      </w:r>
      <w:r w:rsidR="00EC44CA">
        <w:t>.4 Sustainable Development Goals</w:t>
      </w:r>
      <w:bookmarkEnd w:id="17"/>
    </w:p>
    <w:p w14:paraId="33BBA7EF" w14:textId="77777777" w:rsidR="00EC44CA" w:rsidRDefault="00EC44CA" w:rsidP="00EC44CA">
      <w:r>
        <w:t xml:space="preserve">SDG 7, SDG 9, SDG 11 and SDG 13 are often mentioned in conjunction with EV adoption as they can contribute to clean energy, innovation, sustainable cities and climate action. But </w:t>
      </w:r>
      <w:proofErr w:type="gramStart"/>
      <w:r>
        <w:t>the literature</w:t>
      </w:r>
      <w:proofErr w:type="gramEnd"/>
      <w:r>
        <w:t xml:space="preserve"> can also take the position that electrification is sustainable by itself. Its contribution in practice is dependent on electricity generation, battery production, charging systems and charging lifecycle emissions (</w:t>
      </w:r>
      <w:proofErr w:type="spellStart"/>
      <w:r>
        <w:t>Emodi</w:t>
      </w:r>
      <w:proofErr w:type="spellEnd"/>
      <w:r>
        <w:t xml:space="preserve"> et al., 2023; </w:t>
      </w:r>
      <w:proofErr w:type="spellStart"/>
      <w:r>
        <w:t>Lipu</w:t>
      </w:r>
      <w:proofErr w:type="spellEnd"/>
      <w:r>
        <w:t xml:space="preserve"> et al., 2022).</w:t>
      </w:r>
    </w:p>
    <w:p w14:paraId="412656DD" w14:textId="339EC90F" w:rsidR="00EC44CA" w:rsidRDefault="00EC44CA" w:rsidP="00EC44CA">
      <w:r>
        <w:t xml:space="preserve">Smart charging and V2G can enhance the integration of renewables and grid flexibility (Yi and Song, 2025). However, Pozo-Burgos, </w:t>
      </w:r>
      <w:proofErr w:type="spellStart"/>
      <w:r>
        <w:t>Alpala</w:t>
      </w:r>
      <w:proofErr w:type="spellEnd"/>
      <w:r>
        <w:t xml:space="preserve"> and Heredia-</w:t>
      </w:r>
      <w:proofErr w:type="spellStart"/>
      <w:r>
        <w:t>Campaña</w:t>
      </w:r>
      <w:proofErr w:type="spellEnd"/>
      <w:r>
        <w:t xml:space="preserve"> (2026) </w:t>
      </w:r>
      <w:r w:rsidR="00624D37">
        <w:t>advise</w:t>
      </w:r>
      <w:r>
        <w:t xml:space="preserve"> that environmental benefits are diminished when electricity is still </w:t>
      </w:r>
      <w:r w:rsidR="0018184D">
        <w:t>carbon-intensive</w:t>
      </w:r>
      <w:r>
        <w:t xml:space="preserve"> or battery supply chains have </w:t>
      </w:r>
      <w:r w:rsidR="0018184D">
        <w:t>high</w:t>
      </w:r>
      <w:r>
        <w:t xml:space="preserve"> environmental costs. This reveals a vulnerability in research which quantifies sustainability primarily in terms of reductions in tailpipe emissions</w:t>
      </w:r>
      <w:r w:rsidR="00D0155F">
        <w:t xml:space="preserve"> (</w:t>
      </w:r>
      <w:r w:rsidR="00D0155F" w:rsidRPr="00233C30">
        <w:t>Chen</w:t>
      </w:r>
      <w:r w:rsidR="00D0155F">
        <w:t xml:space="preserve"> et al., 2023)</w:t>
      </w:r>
      <w:r>
        <w:t>.</w:t>
      </w:r>
    </w:p>
    <w:p w14:paraId="76DF2A5B" w14:textId="74453B24" w:rsidR="00EC44CA" w:rsidRDefault="00EC44CA" w:rsidP="00EC44CA">
      <w:r>
        <w:t>The social dimension is also not well</w:t>
      </w:r>
      <w:r w:rsidR="00624D37">
        <w:t>-</w:t>
      </w:r>
      <w:r>
        <w:t>developed. Access to charging stations may be restricted for lower-income households and communities lacking off-street parking due to unequal charging access, vehicle affordability, and regional disparities (</w:t>
      </w:r>
      <w:proofErr w:type="spellStart"/>
      <w:r>
        <w:t>Budnitz</w:t>
      </w:r>
      <w:proofErr w:type="spellEnd"/>
      <w:r>
        <w:t xml:space="preserve">, </w:t>
      </w:r>
      <w:proofErr w:type="spellStart"/>
      <w:r>
        <w:t>Meelen</w:t>
      </w:r>
      <w:proofErr w:type="spellEnd"/>
      <w:r>
        <w:t xml:space="preserve"> and Schwanen, 2024). This means that fast EV uptake can help to achieve environmental </w:t>
      </w:r>
      <w:proofErr w:type="gramStart"/>
      <w:r>
        <w:t>goals, but</w:t>
      </w:r>
      <w:proofErr w:type="gramEnd"/>
      <w:r>
        <w:t xml:space="preserve"> can also create social inequalities. The SDG contribution of EVs should thus be measured by environmental, economic and social outcomes, not just numbers of EVs</w:t>
      </w:r>
    </w:p>
    <w:p w14:paraId="6A68EF99" w14:textId="2D2BA6D6" w:rsidR="00EC44CA" w:rsidRDefault="00AD4D80" w:rsidP="00E22277">
      <w:pPr>
        <w:pStyle w:val="Heading2"/>
      </w:pPr>
      <w:bookmarkStart w:id="18" w:name="_Toc238299865"/>
      <w:r>
        <w:t>3</w:t>
      </w:r>
      <w:r w:rsidR="00EC44CA">
        <w:t>.5 Major Theoretical Perspectives</w:t>
      </w:r>
      <w:bookmarkEnd w:id="18"/>
    </w:p>
    <w:p w14:paraId="56BCBB3D" w14:textId="702A1167" w:rsidR="00EC44CA" w:rsidRDefault="00EC44CA" w:rsidP="00EC44CA">
      <w:r>
        <w:t>The Technology</w:t>
      </w:r>
      <w:r w:rsidR="006E3D0C">
        <w:t>-</w:t>
      </w:r>
      <w:proofErr w:type="spellStart"/>
      <w:r>
        <w:t>Organisation</w:t>
      </w:r>
      <w:proofErr w:type="spellEnd"/>
      <w:r w:rsidR="006E3D0C">
        <w:t>-</w:t>
      </w:r>
      <w:r>
        <w:t xml:space="preserve">Environment framework, Diffusion of Innovation theory, the Technology Acceptance Model and the Multi-Level Perspective are commonly used in EV research. The TOE framework is helpful because it links technological capability to </w:t>
      </w:r>
      <w:proofErr w:type="spellStart"/>
      <w:r>
        <w:t>organisational</w:t>
      </w:r>
      <w:proofErr w:type="spellEnd"/>
      <w:r>
        <w:t xml:space="preserve"> and environmental conditions</w:t>
      </w:r>
      <w:r w:rsidR="00B814F4">
        <w:t xml:space="preserve"> (</w:t>
      </w:r>
      <w:proofErr w:type="spellStart"/>
      <w:r w:rsidR="00B814F4" w:rsidRPr="004F3E70">
        <w:t>Picoto</w:t>
      </w:r>
      <w:proofErr w:type="spellEnd"/>
      <w:r w:rsidR="00B814F4" w:rsidRPr="004F3E70">
        <w:t>, Bélanger and Palma-dos-Reis</w:t>
      </w:r>
      <w:r w:rsidR="00B814F4">
        <w:t>, 2014)</w:t>
      </w:r>
      <w:r>
        <w:t>. But because it is often used in cross-sectional studies, it restricts the understanding of how readiness evolves.</w:t>
      </w:r>
    </w:p>
    <w:p w14:paraId="2167FA44" w14:textId="449079D6" w:rsidR="00EC44CA" w:rsidRDefault="00EC44CA" w:rsidP="00EC44CA">
      <w:r>
        <w:t xml:space="preserve">Perceived usefulness, ease of use and </w:t>
      </w:r>
      <w:proofErr w:type="spellStart"/>
      <w:r>
        <w:t>behavioural</w:t>
      </w:r>
      <w:proofErr w:type="spellEnd"/>
      <w:r>
        <w:t xml:space="preserve"> intention are explained by the Diffusion of Innovation and the Technology Acceptance Model, but they underestimate the role of regulation, infrastructure and institutional power</w:t>
      </w:r>
      <w:r w:rsidR="00A85470">
        <w:t xml:space="preserve"> (</w:t>
      </w:r>
      <w:bookmarkStart w:id="19" w:name="_Hlk235311604"/>
      <w:proofErr w:type="spellStart"/>
      <w:r w:rsidR="00A85470" w:rsidRPr="004F3E70">
        <w:t>Aizstrauta</w:t>
      </w:r>
      <w:proofErr w:type="spellEnd"/>
      <w:r w:rsidR="00A85470" w:rsidRPr="004F3E70">
        <w:t xml:space="preserve">, </w:t>
      </w:r>
      <w:proofErr w:type="spellStart"/>
      <w:r w:rsidR="00A85470" w:rsidRPr="004F3E70">
        <w:t>Ginters</w:t>
      </w:r>
      <w:proofErr w:type="spellEnd"/>
      <w:r w:rsidR="00A85470" w:rsidRPr="004F3E70">
        <w:t xml:space="preserve"> and Eroles</w:t>
      </w:r>
      <w:bookmarkEnd w:id="19"/>
      <w:r w:rsidR="00A85470" w:rsidRPr="004F3E70">
        <w:t xml:space="preserve">, </w:t>
      </w:r>
      <w:r w:rsidR="00A85470">
        <w:t>2015)</w:t>
      </w:r>
      <w:r>
        <w:t>. They are thus more appropriate for the analysis of individual acceptance than national technological transitions.</w:t>
      </w:r>
    </w:p>
    <w:p w14:paraId="79D6C07F" w14:textId="5DB701F4" w:rsidR="00494FB6" w:rsidRDefault="00EC44CA" w:rsidP="00EC44CA">
      <w:r>
        <w:lastRenderedPageBreak/>
        <w:t xml:space="preserve">The Multi-Level Perspective provides a more comprehensive explanation by focusing on interactions between technological niches and established systems and external pressures. Its advantage is that it </w:t>
      </w:r>
      <w:proofErr w:type="gramStart"/>
      <w:r>
        <w:t>is able to</w:t>
      </w:r>
      <w:proofErr w:type="gramEnd"/>
      <w:r>
        <w:t xml:space="preserve"> capture systemic change; it can be conceptually broad and give little guidance on how to implement it in the </w:t>
      </w:r>
      <w:proofErr w:type="spellStart"/>
      <w:r>
        <w:t>organisation</w:t>
      </w:r>
      <w:proofErr w:type="spellEnd"/>
      <w:r>
        <w:t xml:space="preserve"> (</w:t>
      </w:r>
      <w:proofErr w:type="spellStart"/>
      <w:r>
        <w:t>Meelen</w:t>
      </w:r>
      <w:proofErr w:type="spellEnd"/>
      <w:r>
        <w:t xml:space="preserve"> and Schwanen, 2023). In general, none of the theories is sufficient to explain EV adoption, technological convergence and institutional readiness. It is more suitable to adopt a framework that integrates the </w:t>
      </w:r>
      <w:proofErr w:type="spellStart"/>
      <w:r>
        <w:t>behavioural</w:t>
      </w:r>
      <w:proofErr w:type="spellEnd"/>
      <w:r>
        <w:t xml:space="preserve">, </w:t>
      </w:r>
      <w:proofErr w:type="spellStart"/>
      <w:r>
        <w:t>organisational</w:t>
      </w:r>
      <w:proofErr w:type="spellEnd"/>
      <w:r>
        <w:t xml:space="preserve"> and socio-technical aspects.</w:t>
      </w:r>
    </w:p>
    <w:p w14:paraId="0CA3ECE6" w14:textId="2CDCC0D3" w:rsidR="00E22277" w:rsidRDefault="00AD4D80" w:rsidP="00E22277">
      <w:pPr>
        <w:pStyle w:val="Heading2"/>
      </w:pPr>
      <w:bookmarkStart w:id="20" w:name="_Toc238299866"/>
      <w:r>
        <w:t>3</w:t>
      </w:r>
      <w:r w:rsidR="00E22277">
        <w:t>.6 Contradictions</w:t>
      </w:r>
      <w:bookmarkEnd w:id="20"/>
    </w:p>
    <w:p w14:paraId="07C3F412" w14:textId="3E0D1B1A" w:rsidR="00E22277" w:rsidRDefault="00E22277" w:rsidP="00E22277">
      <w:r>
        <w:t xml:space="preserve">As the literature shows, there is a widespread consensus that institutional readiness and technological convergence are crucial to speed </w:t>
      </w:r>
      <w:r w:rsidR="002019D7">
        <w:t xml:space="preserve">up </w:t>
      </w:r>
      <w:r>
        <w:t xml:space="preserve">EV adoption. But there is significant ambiguity </w:t>
      </w:r>
      <w:r w:rsidR="002019D7">
        <w:t>about</w:t>
      </w:r>
      <w:r>
        <w:t xml:space="preserve"> what </w:t>
      </w:r>
      <w:r w:rsidR="002019D7">
        <w:t>the key factors are that</w:t>
      </w:r>
      <w:r>
        <w:t xml:space="preserve"> most strongly </w:t>
      </w:r>
      <w:r w:rsidR="002019D7">
        <w:t>affect</w:t>
      </w:r>
      <w:r>
        <w:t xml:space="preserve"> this transition. Financial incentives are cited as the main motivation for EV adoption by some, while policy stability, governance and charging infrastructure are deemed to have a more significant effect on consumer and </w:t>
      </w:r>
      <w:proofErr w:type="spellStart"/>
      <w:r>
        <w:t>organisational</w:t>
      </w:r>
      <w:proofErr w:type="spellEnd"/>
      <w:r>
        <w:t xml:space="preserve"> EV adoption decisions by others (Alali, </w:t>
      </w:r>
      <w:proofErr w:type="spellStart"/>
      <w:r>
        <w:t>Niesten</w:t>
      </w:r>
      <w:proofErr w:type="spellEnd"/>
      <w:r>
        <w:t xml:space="preserve"> and Gagliardi, 2022; Jackson, 2023). The differences in these findings and the results from the other studies indicate a need for a broader economic and policy lens when considering EV use.</w:t>
      </w:r>
    </w:p>
    <w:p w14:paraId="03771914" w14:textId="3B76265C" w:rsidR="00E22277" w:rsidRDefault="00E22277" w:rsidP="00E22277">
      <w:r>
        <w:t xml:space="preserve">There </w:t>
      </w:r>
      <w:r w:rsidR="002019D7">
        <w:t>are</w:t>
      </w:r>
      <w:r>
        <w:t xml:space="preserve"> also conflicting views around the sustainability advantages of </w:t>
      </w:r>
      <w:r w:rsidR="002019D7">
        <w:t>using EVs</w:t>
      </w:r>
      <w:r>
        <w:t xml:space="preserve"> Numerous studies describe EVs as a viable means of reducing GHGs and meeting </w:t>
      </w:r>
      <w:r w:rsidR="0036628C">
        <w:t>the SDGs</w:t>
      </w:r>
      <w:r>
        <w:t>. Other studies, however, state that such benefits are subject to the electricity generation sources, battery manufacturing processes, recycling systems and institutional capacity (</w:t>
      </w:r>
      <w:proofErr w:type="spellStart"/>
      <w:r>
        <w:t>Emodi</w:t>
      </w:r>
      <w:proofErr w:type="spellEnd"/>
      <w:r>
        <w:t xml:space="preserve"> et al., 2023; Pozo-Burgos, </w:t>
      </w:r>
      <w:proofErr w:type="spellStart"/>
      <w:r>
        <w:t>Alpala</w:t>
      </w:r>
      <w:proofErr w:type="spellEnd"/>
      <w:r>
        <w:t xml:space="preserve"> and Heredia-</w:t>
      </w:r>
      <w:proofErr w:type="spellStart"/>
      <w:r>
        <w:t>Campaña</w:t>
      </w:r>
      <w:proofErr w:type="spellEnd"/>
      <w:r>
        <w:t>, 2026). Therefore, it is important to note that environmental improvements cannot be taken for granted by simply expanding EV use figures.</w:t>
      </w:r>
    </w:p>
    <w:p w14:paraId="0B09D322" w14:textId="2727B6A2" w:rsidR="00E22277" w:rsidRDefault="00E22277" w:rsidP="00E22277">
      <w:r>
        <w:t xml:space="preserve">Theoretical inconsistency also </w:t>
      </w:r>
      <w:proofErr w:type="spellStart"/>
      <w:r>
        <w:t>characterises</w:t>
      </w:r>
      <w:proofErr w:type="spellEnd"/>
      <w:r>
        <w:t xml:space="preserve"> </w:t>
      </w:r>
      <w:proofErr w:type="gramStart"/>
      <w:r>
        <w:t>the literature</w:t>
      </w:r>
      <w:proofErr w:type="gramEnd"/>
      <w:r>
        <w:t xml:space="preserve">. The </w:t>
      </w:r>
      <w:proofErr w:type="spellStart"/>
      <w:r>
        <w:t>behavioural</w:t>
      </w:r>
      <w:proofErr w:type="spellEnd"/>
      <w:r>
        <w:t xml:space="preserve"> theories tend to focus on the decision of the individual</w:t>
      </w:r>
      <w:r w:rsidR="0036628C">
        <w:t>,</w:t>
      </w:r>
      <w:r>
        <w:t xml:space="preserve"> while the socio-technical and </w:t>
      </w:r>
      <w:proofErr w:type="spellStart"/>
      <w:r>
        <w:t>organisational</w:t>
      </w:r>
      <w:proofErr w:type="spellEnd"/>
      <w:r>
        <w:t xml:space="preserve"> theories make a case for institutional change and governance. Research to date does not offer a coherent account of technological transition; instead, it offers partial accounts.</w:t>
      </w:r>
    </w:p>
    <w:p w14:paraId="12F5820A" w14:textId="04B1A7E7" w:rsidR="00E22277" w:rsidRDefault="00AD4D80" w:rsidP="00E22277">
      <w:pPr>
        <w:pStyle w:val="Heading2"/>
      </w:pPr>
      <w:bookmarkStart w:id="21" w:name="_Toc238299867"/>
      <w:r>
        <w:t>3</w:t>
      </w:r>
      <w:r w:rsidR="00E22277">
        <w:t>.7 Knowledge Gaps</w:t>
      </w:r>
      <w:bookmarkEnd w:id="21"/>
    </w:p>
    <w:p w14:paraId="6F8A866F" w14:textId="661BD290" w:rsidR="00E22277" w:rsidRDefault="00E22277" w:rsidP="00E22277">
      <w:r>
        <w:t xml:space="preserve">While the EV research is advancing quickly, there are still several research gaps that need to be addressed. First, a lot of the literature focuses on institutional readiness and technological </w:t>
      </w:r>
      <w:r>
        <w:lastRenderedPageBreak/>
        <w:t>innovation, and there is limited integration between these two interrelated aspects of the topic</w:t>
      </w:r>
      <w:r w:rsidR="007C2CDB">
        <w:t>;</w:t>
      </w:r>
      <w:r>
        <w:t xml:space="preserve"> consumer </w:t>
      </w:r>
      <w:proofErr w:type="spellStart"/>
      <w:r>
        <w:t>behaviour</w:t>
      </w:r>
      <w:proofErr w:type="spellEnd"/>
      <w:r>
        <w:t xml:space="preserve"> is examined separately. This limits the ability to assess the combined effect of governance, </w:t>
      </w:r>
      <w:proofErr w:type="spellStart"/>
      <w:r w:rsidR="0036628C">
        <w:t>organisational</w:t>
      </w:r>
      <w:proofErr w:type="spellEnd"/>
      <w:r>
        <w:t xml:space="preserve"> ability and technological convergence on EV adoption.</w:t>
      </w:r>
    </w:p>
    <w:p w14:paraId="30543122" w14:textId="24377BC3" w:rsidR="00E22277" w:rsidRDefault="00E22277" w:rsidP="00E22277">
      <w:r>
        <w:t xml:space="preserve">Second, most existing studies adopt </w:t>
      </w:r>
      <w:r w:rsidR="0036628C">
        <w:t xml:space="preserve">a </w:t>
      </w:r>
      <w:r>
        <w:t xml:space="preserve">cross-sectional design, quantitative analysis method, and focus on </w:t>
      </w:r>
      <w:r w:rsidR="0036628C">
        <w:t xml:space="preserve">a </w:t>
      </w:r>
      <w:r>
        <w:t>single time point of adoption. These types of approaches offer limited information on the nature of institutional readiness as the technologies, policies and markets grow and develop. Comparatively few longitudinal and mixed-method studies exist.</w:t>
      </w:r>
    </w:p>
    <w:p w14:paraId="28EDB2E7" w14:textId="11BC6664" w:rsidR="00E22277" w:rsidRDefault="00E22277" w:rsidP="00E22277">
      <w:r>
        <w:t>Third, the UK is considered a frontrunner market for EV adoption, but few studies examine the differences in infrastructure provision</w:t>
      </w:r>
      <w:r w:rsidR="0036628C">
        <w:t>,</w:t>
      </w:r>
      <w:r>
        <w:t xml:space="preserve"> institutional capacity and governance effectiveness. There is some existing evidence that national policy commitments are not necessarily followed locally, requiring further place-based research.</w:t>
      </w:r>
    </w:p>
    <w:p w14:paraId="41F521AF" w14:textId="1A02DF6B" w:rsidR="00E22277" w:rsidRDefault="00E22277" w:rsidP="00E22277">
      <w:r>
        <w:t>Last</w:t>
      </w:r>
      <w:r w:rsidR="0036628C">
        <w:t>ly</w:t>
      </w:r>
      <w:r>
        <w:t xml:space="preserve">, there </w:t>
      </w:r>
      <w:r w:rsidR="0036628C">
        <w:t>are</w:t>
      </w:r>
      <w:r>
        <w:t xml:space="preserve"> only a few studies that explicitly link institutional readiness and technological convergence to the </w:t>
      </w:r>
      <w:r w:rsidR="0036628C">
        <w:t>SDGs</w:t>
      </w:r>
      <w:r>
        <w:t xml:space="preserve">. Current studies focus mainly on assessing the adoption, infrastructure or environmental performance individually without </w:t>
      </w:r>
      <w:proofErr w:type="gramStart"/>
      <w:r>
        <w:t>taking into account</w:t>
      </w:r>
      <w:proofErr w:type="gramEnd"/>
      <w:r>
        <w:t xml:space="preserve"> their combined contribution to sustainable development. Filling these gaps would help to capture a broader picture of the UK's journey towards sustainable electric mobility.</w:t>
      </w:r>
    </w:p>
    <w:p w14:paraId="6E3622FE" w14:textId="7A2487F4" w:rsidR="00215EDE" w:rsidRDefault="00E22277" w:rsidP="00B87205">
      <w:r>
        <w:t xml:space="preserve">The literature review in this chapter critically </w:t>
      </w:r>
      <w:proofErr w:type="spellStart"/>
      <w:r>
        <w:t>analysed</w:t>
      </w:r>
      <w:proofErr w:type="spellEnd"/>
      <w:r>
        <w:t xml:space="preserve"> the key concepts of institutional readiness, technological convergence, adoption of EVs and their role in sustainable development. This review shows that coordinated governance, supportive rules and regulations, </w:t>
      </w:r>
      <w:proofErr w:type="spellStart"/>
      <w:r>
        <w:t>organised</w:t>
      </w:r>
      <w:proofErr w:type="spellEnd"/>
      <w:r>
        <w:t xml:space="preserve"> capacity and integrated technological systems are necessary components for the successful adoption of EVs, which are not just technological innovations. It also identifies key paradoxes regarding the relative significance of financial incentive, infrastructure and institutional capacity and diverse perspectives on the sustainability implications of EVs </w:t>
      </w:r>
      <w:proofErr w:type="gramStart"/>
      <w:r>
        <w:t>In</w:t>
      </w:r>
      <w:proofErr w:type="gramEnd"/>
      <w:r>
        <w:t xml:space="preserve"> addition, the literature shows conceptual gaps, methodological weaknesses and significant gaps in empirical research, especially on how institutional readiness, technological convergence and the Sustainable Development Goals are connected to the context of the UK. The results provide the conceptual basis for the following chapter that critically considers the research philosophies and methodological approaches that </w:t>
      </w:r>
      <w:proofErr w:type="gramStart"/>
      <w:r>
        <w:t>underlie</w:t>
      </w:r>
      <w:proofErr w:type="gramEnd"/>
      <w:r>
        <w:t xml:space="preserve"> existing research.</w:t>
      </w:r>
    </w:p>
    <w:p w14:paraId="11B8B7A9" w14:textId="7E1DF4B3" w:rsidR="00FB09C6" w:rsidRDefault="009159C0" w:rsidP="009159C0">
      <w:pPr>
        <w:pStyle w:val="Heading1"/>
      </w:pPr>
      <w:bookmarkStart w:id="22" w:name="_Toc238299868"/>
      <w:r>
        <w:lastRenderedPageBreak/>
        <w:t xml:space="preserve">4. </w:t>
      </w:r>
      <w:r w:rsidR="00215EDE" w:rsidRPr="00215EDE">
        <w:t>Research Philosophies and Methodological Evaluation</w:t>
      </w:r>
      <w:bookmarkEnd w:id="22"/>
    </w:p>
    <w:p w14:paraId="27EC7D4E" w14:textId="7D798FF8" w:rsidR="00BE0830" w:rsidRDefault="00BE0830" w:rsidP="00BE0830">
      <w:r>
        <w:t xml:space="preserve">The chapter </w:t>
      </w:r>
      <w:r w:rsidR="000C33AC">
        <w:t>is</w:t>
      </w:r>
      <w:r>
        <w:t xml:space="preserve"> a critical review of the research philosophies and methodologies that inform research on institutional readiness</w:t>
      </w:r>
      <w:r w:rsidR="007F2278">
        <w:t>,</w:t>
      </w:r>
      <w:r>
        <w:t xml:space="preserve"> technological convergence and electric vehicle (EV) uptake. It is important to </w:t>
      </w:r>
      <w:proofErr w:type="gramStart"/>
      <w:r>
        <w:t>have an understanding of</w:t>
      </w:r>
      <w:proofErr w:type="gramEnd"/>
      <w:r>
        <w:t xml:space="preserve"> the philosophical assumptions behind research since they affect the researcher's definition of reality, methods of evidence gathering and interpretations of results. The existing research on EV </w:t>
      </w:r>
      <w:r w:rsidR="00654F07">
        <w:t>adoption</w:t>
      </w:r>
      <w:r>
        <w:t xml:space="preserve"> has taken many different philosophical approaches and methodologies, which have led to a variety of accounts of what drives sustainable transport transitions. Hence, the ontological and epistemological bases of the already existing research are explored in this chapter, and the research approaches and methodological selections that are typically taken in the literature are critically discussed. The purpose of this chapter is to outline the advantages and disadvantages of these methods and to develop a sound </w:t>
      </w:r>
      <w:r w:rsidR="00B838EC">
        <w:t>methodological</w:t>
      </w:r>
      <w:r>
        <w:t xml:space="preserve"> basis for the critical evaluation of these methods that will be conducted in the next chapter</w:t>
      </w:r>
      <w:r w:rsidR="007C2CDB">
        <w:t>.</w:t>
      </w:r>
    </w:p>
    <w:p w14:paraId="486E79AE" w14:textId="1267EEA9" w:rsidR="00BE0830" w:rsidRDefault="009159C0" w:rsidP="00746495">
      <w:pPr>
        <w:pStyle w:val="Heading2"/>
      </w:pPr>
      <w:bookmarkStart w:id="23" w:name="_Toc238299869"/>
      <w:r>
        <w:t>4</w:t>
      </w:r>
      <w:r w:rsidR="00BE0830">
        <w:t>.1 Ontology and Epistemology</w:t>
      </w:r>
      <w:bookmarkEnd w:id="23"/>
    </w:p>
    <w:p w14:paraId="732B2D23" w14:textId="3F6F2830" w:rsidR="00BE0830" w:rsidRDefault="00193CA2" w:rsidP="00BE0830">
      <w:r>
        <w:t>O</w:t>
      </w:r>
      <w:r w:rsidR="00BE0830">
        <w:t xml:space="preserve">ntology and epistemology </w:t>
      </w:r>
      <w:r>
        <w:t xml:space="preserve">include </w:t>
      </w:r>
      <w:r w:rsidR="00BE0830">
        <w:t>the philosophical underpinnings of research, which influence ways of understanding reality and ways of gaining knowledge</w:t>
      </w:r>
      <w:r w:rsidR="00A85470">
        <w:t xml:space="preserve"> (</w:t>
      </w:r>
      <w:bookmarkStart w:id="24" w:name="_Hlk235311666"/>
      <w:r w:rsidR="00A85470" w:rsidRPr="004F3E70">
        <w:t>Goertz and Mahoney</w:t>
      </w:r>
      <w:bookmarkEnd w:id="24"/>
      <w:r w:rsidR="00FD5BE8">
        <w:t>, 201</w:t>
      </w:r>
      <w:r w:rsidR="00137A65">
        <w:t>2).</w:t>
      </w:r>
      <w:r w:rsidR="00BE0830">
        <w:t xml:space="preserve"> </w:t>
      </w:r>
      <w:r w:rsidR="002C6974">
        <w:t>O</w:t>
      </w:r>
      <w:r w:rsidR="00BE0830">
        <w:t xml:space="preserve">ntology is related to the nature of reality, and it asks: </w:t>
      </w:r>
      <w:r w:rsidR="00237B7A">
        <w:t>Is</w:t>
      </w:r>
      <w:r w:rsidR="00BE0830">
        <w:t xml:space="preserve"> there something out there, and are social phenomena independent of human perception or constructed through social interaction? Epistemology, on the other hand, investigates </w:t>
      </w:r>
      <w:proofErr w:type="gramStart"/>
      <w:r w:rsidR="00BE0830">
        <w:t>the ways</w:t>
      </w:r>
      <w:proofErr w:type="gramEnd"/>
      <w:r w:rsidR="00BE0830">
        <w:t xml:space="preserve"> of learning and the types of reliable evidence</w:t>
      </w:r>
      <w:r w:rsidR="00435AFC">
        <w:t xml:space="preserve"> (</w:t>
      </w:r>
      <w:r w:rsidR="00435AFC" w:rsidRPr="004F3E70">
        <w:t>Al-Saadi,</w:t>
      </w:r>
      <w:r w:rsidR="00435AFC">
        <w:t xml:space="preserve"> 2014)</w:t>
      </w:r>
      <w:r w:rsidR="00BE0830">
        <w:t>. These philosophical assumptions affect the research design, data collection process, analysis and interpretation.</w:t>
      </w:r>
    </w:p>
    <w:p w14:paraId="4B2DCA31" w14:textId="54AE9E2F" w:rsidR="007842C3" w:rsidRDefault="00BE0830" w:rsidP="00BE0830">
      <w:r>
        <w:t xml:space="preserve">There are two main ontological views in the literature about EV adoption. Most of the quantitative studies share an objectivist ontology which assumes that institutional readiness, technological capability and consumers' </w:t>
      </w:r>
      <w:proofErr w:type="spellStart"/>
      <w:r>
        <w:t>behaviour</w:t>
      </w:r>
      <w:proofErr w:type="spellEnd"/>
      <w:r>
        <w:t xml:space="preserve"> are measurable realities that can be </w:t>
      </w:r>
      <w:proofErr w:type="spellStart"/>
      <w:r>
        <w:t>analysed</w:t>
      </w:r>
      <w:proofErr w:type="spellEnd"/>
      <w:r>
        <w:t xml:space="preserve"> by objective indicators like charging infrastructure, adoption rate and policy effectiveness (Alali, </w:t>
      </w:r>
      <w:proofErr w:type="spellStart"/>
      <w:r>
        <w:t>Niesten</w:t>
      </w:r>
      <w:proofErr w:type="spellEnd"/>
      <w:r>
        <w:t xml:space="preserve"> and Gagliardi, 2022). This view helps researchers </w:t>
      </w:r>
      <w:proofErr w:type="spellStart"/>
      <w:r w:rsidR="007842C3">
        <w:t>analyse</w:t>
      </w:r>
      <w:proofErr w:type="spellEnd"/>
      <w:r>
        <w:t xml:space="preserve"> variables across regions and </w:t>
      </w:r>
      <w:r w:rsidR="00FD5BE8">
        <w:t>identify</w:t>
      </w:r>
      <w:r>
        <w:t xml:space="preserve"> significant relationships between </w:t>
      </w:r>
      <w:r w:rsidR="00FD5BE8">
        <w:t>them</w:t>
      </w:r>
      <w:r>
        <w:t xml:space="preserve">. </w:t>
      </w:r>
    </w:p>
    <w:p w14:paraId="65276599" w14:textId="36D7A335" w:rsidR="00BE0830" w:rsidRDefault="00BE0830" w:rsidP="00BE0830">
      <w:r>
        <w:t xml:space="preserve">But the objectivist viewpoint has some </w:t>
      </w:r>
      <w:r w:rsidR="003F14F2" w:rsidRPr="003F14F2">
        <w:t>limitations</w:t>
      </w:r>
      <w:r>
        <w:t xml:space="preserve">. Governance quality, </w:t>
      </w:r>
      <w:proofErr w:type="spellStart"/>
      <w:r>
        <w:t>organisational</w:t>
      </w:r>
      <w:proofErr w:type="spellEnd"/>
      <w:r>
        <w:t xml:space="preserve"> culture and stakeholder relationships are other factors that contribute to institutional readiness but are more likely to be intangible elements that cannot be measured. Thus, using only objective measures can </w:t>
      </w:r>
      <w:r>
        <w:lastRenderedPageBreak/>
        <w:t>make technological transitions appear very simple, especially when they are linked to institutional processes</w:t>
      </w:r>
      <w:r w:rsidR="00D0155F">
        <w:t xml:space="preserve"> (</w:t>
      </w:r>
      <w:r w:rsidR="00D0155F" w:rsidRPr="00395D2C">
        <w:rPr>
          <w:rFonts w:eastAsia="Times New Roman" w:cs="Times New Roman"/>
        </w:rPr>
        <w:t>Gouveia</w:t>
      </w:r>
      <w:r w:rsidR="00D0155F">
        <w:rPr>
          <w:rFonts w:eastAsia="Times New Roman" w:cs="Times New Roman"/>
        </w:rPr>
        <w:t xml:space="preserve"> et al., 2024)</w:t>
      </w:r>
      <w:r>
        <w:t>.</w:t>
      </w:r>
      <w:r w:rsidR="003F14F2">
        <w:t xml:space="preserve"> </w:t>
      </w:r>
      <w:r>
        <w:t>Therefore, only using objective measures can simplify the complex institutional processes that affect technological transitions.</w:t>
      </w:r>
    </w:p>
    <w:p w14:paraId="247309E8" w14:textId="2A8B064F" w:rsidR="00BE0830" w:rsidRDefault="00BE0830" w:rsidP="00BE0830">
      <w:r>
        <w:t xml:space="preserve">Other researchers have a constructivist concept of ontology, which suggests that institutional readiness and technological change are socially constructed by the interaction between governments, </w:t>
      </w:r>
      <w:proofErr w:type="spellStart"/>
      <w:r>
        <w:t>organisations</w:t>
      </w:r>
      <w:proofErr w:type="spellEnd"/>
      <w:r>
        <w:t>, businesses and citizens (</w:t>
      </w:r>
      <w:proofErr w:type="spellStart"/>
      <w:r>
        <w:t>Meelen</w:t>
      </w:r>
      <w:proofErr w:type="spellEnd"/>
      <w:r>
        <w:t xml:space="preserve"> and Schwanen, 2023). </w:t>
      </w:r>
      <w:r w:rsidR="007E3D47" w:rsidRPr="007E3D47">
        <w:t>From this perspective</w:t>
      </w:r>
      <w:r>
        <w:t xml:space="preserve">, </w:t>
      </w:r>
      <w:r w:rsidR="00DC5F91">
        <w:t xml:space="preserve">the </w:t>
      </w:r>
      <w:r>
        <w:t xml:space="preserve">success of EV adoption depends on policy preferences, </w:t>
      </w:r>
      <w:proofErr w:type="spellStart"/>
      <w:r w:rsidR="00DC5F91">
        <w:t>organisational</w:t>
      </w:r>
      <w:proofErr w:type="spellEnd"/>
      <w:r>
        <w:t xml:space="preserve"> approaches, and local circumstances. In qualitative studies, the aim is thus to gain insight into the perceptions of the various stakeholders of technological change instead of measuring preset variables. This is a method that yields </w:t>
      </w:r>
      <w:r w:rsidR="007E3D47">
        <w:t xml:space="preserve">a </w:t>
      </w:r>
      <w:r>
        <w:t xml:space="preserve">more contextually rich </w:t>
      </w:r>
      <w:proofErr w:type="gramStart"/>
      <w:r>
        <w:t>understanding, but</w:t>
      </w:r>
      <w:proofErr w:type="gramEnd"/>
      <w:r>
        <w:t xml:space="preserve"> can result in a less </w:t>
      </w:r>
      <w:proofErr w:type="spellStart"/>
      <w:r>
        <w:t>generali</w:t>
      </w:r>
      <w:r w:rsidR="007E3D47">
        <w:t>s</w:t>
      </w:r>
      <w:r>
        <w:t>able</w:t>
      </w:r>
      <w:proofErr w:type="spellEnd"/>
      <w:r>
        <w:t xml:space="preserve"> understanding of the findings for the context under study.</w:t>
      </w:r>
    </w:p>
    <w:p w14:paraId="4D114D3B" w14:textId="3BBCFB67" w:rsidR="00BE0830" w:rsidRDefault="00BE0830" w:rsidP="00BE0830">
      <w:r>
        <w:t xml:space="preserve">The epistemological </w:t>
      </w:r>
      <w:r w:rsidR="00FE46C8" w:rsidRPr="00FE46C8">
        <w:t>assumptions</w:t>
      </w:r>
      <w:r>
        <w:t xml:space="preserve"> found in the literature are also diverse. The epistemology of most empirical studies is positivist. Research on EV adoption is dominated by large-scale surveys, regression models and secondary data, partly because researchers can gain insights into trends in large populations.</w:t>
      </w:r>
      <w:r w:rsidR="00FE46C8">
        <w:t xml:space="preserve"> </w:t>
      </w:r>
      <w:r>
        <w:t xml:space="preserve">Large-scale surveys, regression models and secondary data are the main sources of research on EV adoption because they allow researchers to find patterns in large populations of people (Jackson, 2023). The positivist studies have helped a lot in understanding the market trends, infrastructure development, and effectiveness of policies. However, they often forget to account for the social and </w:t>
      </w:r>
      <w:proofErr w:type="spellStart"/>
      <w:r w:rsidR="00FE46C8">
        <w:t>organisational</w:t>
      </w:r>
      <w:proofErr w:type="spellEnd"/>
      <w:r>
        <w:t xml:space="preserve"> processes that lead to the development of institutional readiness over time</w:t>
      </w:r>
      <w:r w:rsidR="005F1924">
        <w:t xml:space="preserve"> (</w:t>
      </w:r>
      <w:r w:rsidR="005F1924" w:rsidRPr="00C15A22">
        <w:t>Viviani</w:t>
      </w:r>
      <w:r w:rsidR="005F1924">
        <w:t xml:space="preserve"> et al., 2024)</w:t>
      </w:r>
      <w:r>
        <w:t>.</w:t>
      </w:r>
    </w:p>
    <w:p w14:paraId="65961222" w14:textId="7677AEC4" w:rsidR="00BE0830" w:rsidRDefault="00BE0830" w:rsidP="00BE0830">
      <w:r>
        <w:t xml:space="preserve">In contrast, Interpretivist studies suggest that an understanding of technological transitions needs to </w:t>
      </w:r>
      <w:proofErr w:type="gramStart"/>
      <w:r>
        <w:t>take into account</w:t>
      </w:r>
      <w:proofErr w:type="gramEnd"/>
      <w:r>
        <w:t xml:space="preserve"> the experiences, perceptions and interactions of policy makers, </w:t>
      </w:r>
      <w:proofErr w:type="spellStart"/>
      <w:r>
        <w:t>organisations</w:t>
      </w:r>
      <w:proofErr w:type="spellEnd"/>
      <w:r>
        <w:t xml:space="preserve"> and consumers</w:t>
      </w:r>
      <w:r w:rsidR="005F1924">
        <w:t xml:space="preserve"> (</w:t>
      </w:r>
      <w:r w:rsidR="005F1924" w:rsidRPr="00C15A22">
        <w:t>See Wei and Homer,</w:t>
      </w:r>
      <w:r w:rsidR="005F1924">
        <w:t xml:space="preserve"> </w:t>
      </w:r>
      <w:r w:rsidR="00E72708">
        <w:t>2025)</w:t>
      </w:r>
      <w:r>
        <w:t xml:space="preserve">. Interviews, case studies and document analyses add insights that go beyond numerical data and illuminate governance challenges and </w:t>
      </w:r>
      <w:proofErr w:type="spellStart"/>
      <w:r>
        <w:t>organisational</w:t>
      </w:r>
      <w:proofErr w:type="spellEnd"/>
      <w:r>
        <w:t xml:space="preserve"> adaptation in ways that cannot be captured by numerical data alone. Interpretivist research is useful for gaining insight into the context, but it is </w:t>
      </w:r>
      <w:proofErr w:type="spellStart"/>
      <w:r>
        <w:t>critici</w:t>
      </w:r>
      <w:r w:rsidR="00D64CDE">
        <w:t>s</w:t>
      </w:r>
      <w:r>
        <w:t>ed</w:t>
      </w:r>
      <w:proofErr w:type="spellEnd"/>
      <w:r>
        <w:t xml:space="preserve"> for the lack of </w:t>
      </w:r>
      <w:proofErr w:type="spellStart"/>
      <w:r>
        <w:t>generali</w:t>
      </w:r>
      <w:r w:rsidR="00D64CDE">
        <w:t>s</w:t>
      </w:r>
      <w:r>
        <w:t>ability</w:t>
      </w:r>
      <w:proofErr w:type="spellEnd"/>
      <w:r>
        <w:t xml:space="preserve"> and subjectivity of the researcher.</w:t>
      </w:r>
    </w:p>
    <w:p w14:paraId="1B82BD59" w14:textId="26E21B32" w:rsidR="00BE0830" w:rsidRDefault="00BE0830" w:rsidP="00BE0830">
      <w:r>
        <w:t xml:space="preserve">Overall, </w:t>
      </w:r>
      <w:r w:rsidR="00D64CDE">
        <w:t>neither philosophy</w:t>
      </w:r>
      <w:r>
        <w:t xml:space="preserve"> alone </w:t>
      </w:r>
      <w:r w:rsidR="00D64CDE">
        <w:t>is</w:t>
      </w:r>
      <w:r>
        <w:t xml:space="preserve"> sufficient to explain institutional readiness for technological convergence. While positivism provides a way of adding measurable evidence to inform the evaluation of policies, interpretivism </w:t>
      </w:r>
      <w:r w:rsidR="00D64CDE">
        <w:t>explains</w:t>
      </w:r>
      <w:r>
        <w:t xml:space="preserve"> the institutional and </w:t>
      </w:r>
      <w:proofErr w:type="spellStart"/>
      <w:r>
        <w:t>organisational</w:t>
      </w:r>
      <w:proofErr w:type="spellEnd"/>
      <w:r>
        <w:t xml:space="preserve"> processes that </w:t>
      </w:r>
      <w:r>
        <w:lastRenderedPageBreak/>
        <w:t>underlie technological change. As such</w:t>
      </w:r>
      <w:r w:rsidR="00D64CDE">
        <w:t>,</w:t>
      </w:r>
      <w:r>
        <w:t xml:space="preserve"> there has been a growing literature that suggests that an objective measure, with some understanding of the context, is the most pragmatic view. It is especially fitting for EV research to be integrated in this kind of philosophical way, as sustainable mobility has a technological, institutional and </w:t>
      </w:r>
      <w:proofErr w:type="spellStart"/>
      <w:r>
        <w:t>behavioural</w:t>
      </w:r>
      <w:proofErr w:type="spellEnd"/>
      <w:r>
        <w:t xml:space="preserve"> aspect that cannot be explained using one philosophical approach.</w:t>
      </w:r>
    </w:p>
    <w:p w14:paraId="6B5C5BA1" w14:textId="5F90CD65" w:rsidR="00220FA9" w:rsidRDefault="009159C0" w:rsidP="00220FA9">
      <w:pPr>
        <w:pStyle w:val="Heading2"/>
      </w:pPr>
      <w:bookmarkStart w:id="25" w:name="_Toc238299870"/>
      <w:r>
        <w:t>4</w:t>
      </w:r>
      <w:r w:rsidR="00220FA9" w:rsidRPr="00220FA9">
        <w:t>.2 Research Approaches and Methodological Choices</w:t>
      </w:r>
      <w:bookmarkEnd w:id="25"/>
    </w:p>
    <w:p w14:paraId="1AC86361" w14:textId="658B3970" w:rsidR="00BE0830" w:rsidRDefault="00BE0830" w:rsidP="00BE0830">
      <w:r>
        <w:t xml:space="preserve">The research philosophy affects methodological choice because it guides the process of evidence collection and interpretation. The deductive, inductive and mixed method approaches are the typical methods used in the literature on institutional readiness and EV adoption, with the deductive approach being the dominant one. Both are important for their </w:t>
      </w:r>
      <w:proofErr w:type="gramStart"/>
      <w:r>
        <w:t>contribution, but</w:t>
      </w:r>
      <w:proofErr w:type="gramEnd"/>
      <w:r>
        <w:t xml:space="preserve"> also have methodological drawbacks</w:t>
      </w:r>
      <w:r w:rsidR="007C2CDB">
        <w:t>.</w:t>
      </w:r>
    </w:p>
    <w:p w14:paraId="576CC21B" w14:textId="68551D4B" w:rsidR="00BE0830" w:rsidRDefault="00BE0830" w:rsidP="00BE0830">
      <w:r>
        <w:t xml:space="preserve">The current literature is dominated by </w:t>
      </w:r>
      <w:r w:rsidR="00D64CDE">
        <w:t xml:space="preserve">a </w:t>
      </w:r>
      <w:r>
        <w:t>deductive approach. Typically, researchers start with a known theory, such as the Technology</w:t>
      </w:r>
      <w:r w:rsidR="00D64CDE">
        <w:t>-</w:t>
      </w:r>
      <w:proofErr w:type="spellStart"/>
      <w:r>
        <w:t>Organisation</w:t>
      </w:r>
      <w:proofErr w:type="spellEnd"/>
      <w:r w:rsidR="00D64CDE">
        <w:t>-</w:t>
      </w:r>
      <w:r>
        <w:t xml:space="preserve">Environment framework or the Technology Acceptance Model, and test hypotheses which are already formulated using quantitative data. This method would be especially effective in studying the relationship between two variables, such as government subsidies and charging station usage. </w:t>
      </w:r>
      <w:r w:rsidR="00E72708">
        <w:t>(</w:t>
      </w:r>
      <w:proofErr w:type="spellStart"/>
      <w:r w:rsidR="00E72708" w:rsidRPr="00C15A22">
        <w:t>Stinder</w:t>
      </w:r>
      <w:proofErr w:type="spellEnd"/>
      <w:r w:rsidR="00E72708">
        <w:t>,</w:t>
      </w:r>
      <w:r w:rsidR="00E72708" w:rsidRPr="00C15A22">
        <w:t xml:space="preserve"> Schelte and </w:t>
      </w:r>
      <w:proofErr w:type="spellStart"/>
      <w:r w:rsidR="00E72708" w:rsidRPr="00C15A22">
        <w:t>Severengiz</w:t>
      </w:r>
      <w:proofErr w:type="spellEnd"/>
      <w:r w:rsidR="00E72708">
        <w:t>, 2022)</w:t>
      </w:r>
      <w:r>
        <w:t xml:space="preserve"> It has a structured format that enhances reliability and allows comparison of studies. Deductive research, however, typically assumes that prior theories sufficiently capture technological transition and </w:t>
      </w:r>
      <w:proofErr w:type="gramStart"/>
      <w:r>
        <w:t>is</w:t>
      </w:r>
      <w:proofErr w:type="gramEnd"/>
      <w:r>
        <w:t xml:space="preserve"> less likely to be able to find novel institutional factors or new governance issues.</w:t>
      </w:r>
    </w:p>
    <w:p w14:paraId="1F301D20" w14:textId="218283CA" w:rsidR="00BE0830" w:rsidRDefault="00BE0830" w:rsidP="00BE0830">
      <w:r>
        <w:t xml:space="preserve">The inductive approach is less prevalent but makes significant contributions in generating theory from empirical observations. The use of qualitative case studies, interviews and policy analysis can help researchers to investigate the lived experience of technological change in </w:t>
      </w:r>
      <w:proofErr w:type="spellStart"/>
      <w:r>
        <w:t>organisations</w:t>
      </w:r>
      <w:proofErr w:type="spellEnd"/>
      <w:r>
        <w:t>, policy makers and consumer groups</w:t>
      </w:r>
      <w:r w:rsidR="00E72708">
        <w:t xml:space="preserve"> (</w:t>
      </w:r>
      <w:r w:rsidR="00E72708" w:rsidRPr="00C15A22">
        <w:t>de Graaf</w:t>
      </w:r>
      <w:r w:rsidR="00E72708">
        <w:t xml:space="preserve"> et al., 2026)</w:t>
      </w:r>
      <w:r>
        <w:t xml:space="preserve">. Studies are especially useful in the context of institutional readiness, as governance processes, institutional learning and stakeholder cooperation can be specific to the context. However, the conclusions drawn from inductive research can be challenging to </w:t>
      </w:r>
      <w:proofErr w:type="spellStart"/>
      <w:r>
        <w:t>generalise</w:t>
      </w:r>
      <w:proofErr w:type="spellEnd"/>
      <w:r>
        <w:t>, especially if it is based on a small number of cases or participants.</w:t>
      </w:r>
    </w:p>
    <w:p w14:paraId="190ADF7F" w14:textId="1297006A" w:rsidR="00E06A8A" w:rsidRDefault="00BE0830" w:rsidP="00395D2C">
      <w:r>
        <w:t xml:space="preserve">The recent literature has made it more common to recommend deductive and inductive reasoning, which can be done as a combination of both, through mixed-method research. Mixed-method studies combine statistical analysis and qualitative evidence, which results in a more </w:t>
      </w:r>
      <w:r>
        <w:lastRenderedPageBreak/>
        <w:t>comprehensive understanding of technological transitions. This methodological pluralism is a result of an increased awareness that indicators are not the sole ways of understanding institutional readiness, nor are stakeholder perceptions.</w:t>
      </w:r>
    </w:p>
    <w:p w14:paraId="7B65B3D7" w14:textId="234EF104" w:rsidR="004A6E38" w:rsidRDefault="00B87205" w:rsidP="004A6E38">
      <w:pPr>
        <w:pStyle w:val="Heading1"/>
      </w:pPr>
      <w:bookmarkStart w:id="26" w:name="_Toc238299871"/>
      <w:r>
        <w:t xml:space="preserve">5. </w:t>
      </w:r>
      <w:r w:rsidR="00E06A8A" w:rsidRPr="00E06A8A">
        <w:t>Critical Appraisal of a Selected Research Study</w:t>
      </w:r>
      <w:bookmarkEnd w:id="26"/>
    </w:p>
    <w:p w14:paraId="32BD2F24" w14:textId="78FACABB" w:rsidR="004A6E38" w:rsidRDefault="004A6E38" w:rsidP="004A6E38">
      <w:r>
        <w:t>The study titled ‘</w:t>
      </w:r>
      <w:r w:rsidRPr="004A6E38">
        <w:t>The impact of UK financial incentives on the adoption of electric fleets: The moderation effect of GDP change</w:t>
      </w:r>
      <w:r>
        <w:t xml:space="preserve">’ by Alali, </w:t>
      </w:r>
      <w:proofErr w:type="spellStart"/>
      <w:r>
        <w:t>Niesten</w:t>
      </w:r>
      <w:proofErr w:type="spellEnd"/>
      <w:r>
        <w:t xml:space="preserve"> and Gagliardi (2022) was chosen for critical appraisal due to its direct focus on EV adoption in the UK and its relevance to the present study's analysis of institutional readiness, policy support and sustainable transport transition. The article was published in </w:t>
      </w:r>
      <w:r w:rsidRPr="004A6E38">
        <w:rPr>
          <w:i/>
          <w:iCs/>
        </w:rPr>
        <w:t>Transportation Research Part A: Policy and Practice</w:t>
      </w:r>
      <w:r>
        <w:t>, thus increasing the academic relevance and credibility.</w:t>
      </w:r>
    </w:p>
    <w:p w14:paraId="38362212" w14:textId="55EF9FC7" w:rsidR="004A6E38" w:rsidRDefault="004A6E38" w:rsidP="004A6E38">
      <w:r>
        <w:t xml:space="preserve">The study is mainly in line </w:t>
      </w:r>
      <w:proofErr w:type="gramStart"/>
      <w:r>
        <w:t>with a positivist</w:t>
      </w:r>
      <w:proofErr w:type="gramEnd"/>
      <w:r>
        <w:t xml:space="preserve"> epistemology and objectivist ontology on a philosophical level. The broader literature search shows that </w:t>
      </w:r>
      <w:r w:rsidRPr="004A6E38">
        <w:t xml:space="preserve">Alali, </w:t>
      </w:r>
      <w:proofErr w:type="spellStart"/>
      <w:r w:rsidRPr="004A6E38">
        <w:t>Niesten</w:t>
      </w:r>
      <w:proofErr w:type="spellEnd"/>
      <w:r w:rsidRPr="004A6E38">
        <w:t xml:space="preserve"> and Gagliardi </w:t>
      </w:r>
      <w:r>
        <w:t xml:space="preserve">(2022) present a study that </w:t>
      </w:r>
      <w:proofErr w:type="spellStart"/>
      <w:r>
        <w:t>recognises</w:t>
      </w:r>
      <w:proofErr w:type="spellEnd"/>
      <w:r>
        <w:t xml:space="preserve"> the factors of institutional readiness, policy effectiveness and adoption as measurable phenomena that can be explored through objective indicators. This orientation is appropriate where the objective is to establish relationships between financial incentives, economic conditions and EV adoption. It also allows for a comparison to be made systematically and gives proof which can help shape government policy.</w:t>
      </w:r>
    </w:p>
    <w:p w14:paraId="36044A55" w14:textId="3760DD1D" w:rsidR="004A6E38" w:rsidRDefault="004A6E38" w:rsidP="004A6E38">
      <w:r>
        <w:t xml:space="preserve">In terms of methodology, the study takes a mostly deductive and quantitative approach, aiming to </w:t>
      </w:r>
      <w:proofErr w:type="spellStart"/>
      <w:r>
        <w:t>analyse</w:t>
      </w:r>
      <w:proofErr w:type="spellEnd"/>
      <w:r>
        <w:t xml:space="preserve"> the financial incentives and the relationship between them and fleet electrification, while taking GDP as a moderating variable. One of the advantages of this method is that it can be used to test, in a structured way, theoretically informed relationships, and yield results which can be compared with results from other quantitative EV studies. The broader literature reviewed in this report also reports that financial incentives, together with stable regulatory environments and long-term institutional support, can spur the electrification process.</w:t>
      </w:r>
    </w:p>
    <w:p w14:paraId="0AB21145" w14:textId="4ED6A013" w:rsidR="004A6E38" w:rsidRDefault="004A6E38" w:rsidP="004A6E38">
      <w:r>
        <w:t xml:space="preserve">However, some caveats need to be noted. Measurable economic and policy variables can be used to help focus on institutional readiness, while reducing the focus on aspects of </w:t>
      </w:r>
      <w:proofErr w:type="spellStart"/>
      <w:r>
        <w:t>organisational</w:t>
      </w:r>
      <w:proofErr w:type="spellEnd"/>
      <w:r>
        <w:t xml:space="preserve"> culture, stakeholder relationships, local governance capacity, and user experiences. The report itself warns that these intangible dimensions might not be effectively measured by objective </w:t>
      </w:r>
      <w:r>
        <w:lastRenderedPageBreak/>
        <w:t>indicators. In this way, the study can show that there are statistical relationships, but it does not explain the institutional processes that cause such relationships.</w:t>
      </w:r>
    </w:p>
    <w:p w14:paraId="6C4D29D4" w14:textId="624D3468" w:rsidR="004A6E38" w:rsidRDefault="004A6E38" w:rsidP="004A6E38">
      <w:r>
        <w:t xml:space="preserve">The structured quantitative design has advantages in terms of reliability and validity, which increases consistency and replicability. But certain factors could restrict external validity, such as the influence of changing infrastructure, policy conditions and regional differences on EV adoption. Other potential biases could occur because the variables selected for analysis are not the same and because only measurable variables are used. In general, </w:t>
      </w:r>
      <w:r w:rsidRPr="004A6E38">
        <w:t xml:space="preserve">Alali, </w:t>
      </w:r>
      <w:proofErr w:type="spellStart"/>
      <w:r w:rsidRPr="004A6E38">
        <w:t>Niesten</w:t>
      </w:r>
      <w:proofErr w:type="spellEnd"/>
      <w:r w:rsidRPr="004A6E38">
        <w:t xml:space="preserve"> and Gagliardi </w:t>
      </w:r>
      <w:r>
        <w:t xml:space="preserve">(2022) offer valuable evidence in relation to policy </w:t>
      </w:r>
      <w:proofErr w:type="gramStart"/>
      <w:r>
        <w:t>incentives, and</w:t>
      </w:r>
      <w:proofErr w:type="gramEnd"/>
      <w:r>
        <w:t xml:space="preserve"> would benefit from some additional qualitative or mixed methods evidence on the mechanisms of the </w:t>
      </w:r>
      <w:proofErr w:type="spellStart"/>
      <w:r>
        <w:t>organisations</w:t>
      </w:r>
      <w:proofErr w:type="spellEnd"/>
      <w:r>
        <w:t xml:space="preserve"> and institutions.</w:t>
      </w:r>
    </w:p>
    <w:p w14:paraId="53393AFA" w14:textId="0A289905" w:rsidR="001B6FC8" w:rsidRDefault="004A6E38" w:rsidP="001B6FC8">
      <w:pPr>
        <w:pStyle w:val="Heading1"/>
      </w:pPr>
      <w:bookmarkStart w:id="27" w:name="_Toc238299872"/>
      <w:r>
        <w:t xml:space="preserve">6. Integrative </w:t>
      </w:r>
      <w:r w:rsidR="000C33AC" w:rsidRPr="000C33AC">
        <w:t>Discussion</w:t>
      </w:r>
      <w:bookmarkEnd w:id="27"/>
    </w:p>
    <w:p w14:paraId="7075C9FC" w14:textId="77777777" w:rsidR="001B6FC8" w:rsidRDefault="001B6FC8" w:rsidP="001B6FC8">
      <w:r>
        <w:t xml:space="preserve">The 44 sources reviewed in this study all conclude that in the United Kingdom, the adoption of electric vehicles (EVs) is dependent on an interplay between institutional preparedness, technological convergence, infrastructure, </w:t>
      </w:r>
      <w:proofErr w:type="spellStart"/>
      <w:r>
        <w:t>organisational</w:t>
      </w:r>
      <w:proofErr w:type="spellEnd"/>
      <w:r>
        <w:t xml:space="preserve"> capacity and public policy and sustainability goals. The evidence base is multidisciplinary, and spans transport studies, transport management, environmental science, engineering and public policy, and approaches the research in a variety of ways, with varying research philosophies and methodological designs. An integrative assessment of </w:t>
      </w:r>
      <w:proofErr w:type="gramStart"/>
      <w:r>
        <w:t>the literature</w:t>
      </w:r>
      <w:proofErr w:type="gramEnd"/>
      <w:r>
        <w:t xml:space="preserve"> thus needs to be mindful of the substantive findings, as well as the philosophical assumptions, ethical issues, reliability and validity of evidence on which these findings are based.</w:t>
      </w:r>
    </w:p>
    <w:p w14:paraId="0924445F" w14:textId="4B0A121E" w:rsidR="001B6FC8" w:rsidRDefault="001B6FC8" w:rsidP="001B6FC8">
      <w:pPr>
        <w:pStyle w:val="Heading2"/>
      </w:pPr>
      <w:bookmarkStart w:id="28" w:name="_Toc238299873"/>
      <w:r>
        <w:t>6.1 Research Philosophical Perspectives</w:t>
      </w:r>
      <w:bookmarkEnd w:id="28"/>
    </w:p>
    <w:p w14:paraId="4F5F9D18" w14:textId="54FA8C1A" w:rsidR="001B6FC8" w:rsidRDefault="001B6FC8" w:rsidP="001B6FC8">
      <w:r>
        <w:t xml:space="preserve">Much of the literature that was reviewed shares a general perspective of positivist epistemology and objectivist ontology. In quantitative research, EV adoption, infrastructure availability, financial incentives, technological readiness and policy effectiveness are assumed to be measurable phenomena that can be expressed by indicators and statistically </w:t>
      </w:r>
      <w:proofErr w:type="spellStart"/>
      <w:r>
        <w:t>analysed</w:t>
      </w:r>
      <w:proofErr w:type="spellEnd"/>
      <w:r w:rsidR="00D0155F">
        <w:t xml:space="preserve"> (</w:t>
      </w:r>
      <w:r w:rsidR="00D0155F" w:rsidRPr="00395D2C">
        <w:rPr>
          <w:rFonts w:eastAsia="Times New Roman" w:cs="Times New Roman"/>
        </w:rPr>
        <w:t>Javanmardi</w:t>
      </w:r>
      <w:r w:rsidR="00D0155F">
        <w:rPr>
          <w:rFonts w:eastAsia="Times New Roman" w:cs="Times New Roman"/>
        </w:rPr>
        <w:t xml:space="preserve"> et al., 2023)</w:t>
      </w:r>
      <w:r>
        <w:t xml:space="preserve">. The methodological discussion from the report already known indicates this orientation, in research that includes surveys, regression models and secondary data. Relationships between identifiable variables are generally addressed in studies like Alali, </w:t>
      </w:r>
      <w:proofErr w:type="spellStart"/>
      <w:r>
        <w:t>Niesten</w:t>
      </w:r>
      <w:proofErr w:type="spellEnd"/>
      <w:r>
        <w:t xml:space="preserve"> and Gagliardi (2022), </w:t>
      </w:r>
      <w:r>
        <w:lastRenderedPageBreak/>
        <w:t xml:space="preserve">Palit, Bari and </w:t>
      </w:r>
      <w:proofErr w:type="spellStart"/>
      <w:r>
        <w:t>Karmaker</w:t>
      </w:r>
      <w:proofErr w:type="spellEnd"/>
      <w:r>
        <w:t xml:space="preserve"> (2022), Khader, Wilson and </w:t>
      </w:r>
      <w:proofErr w:type="spellStart"/>
      <w:r>
        <w:t>Tryfonas</w:t>
      </w:r>
      <w:proofErr w:type="spellEnd"/>
      <w:r>
        <w:t xml:space="preserve"> (2025) and Xie, Raval and Deb (2026).</w:t>
      </w:r>
    </w:p>
    <w:p w14:paraId="714344E2" w14:textId="0E2FB559" w:rsidR="001B6FC8" w:rsidRDefault="001B6FC8" w:rsidP="001B6FC8">
      <w:r>
        <w:t xml:space="preserve">This means that through this orientation, researchers </w:t>
      </w:r>
      <w:proofErr w:type="gramStart"/>
      <w:r>
        <w:t>are able to</w:t>
      </w:r>
      <w:proofErr w:type="gramEnd"/>
      <w:r>
        <w:t xml:space="preserve"> compare the patterns between </w:t>
      </w:r>
      <w:proofErr w:type="spellStart"/>
      <w:r>
        <w:t>organisations</w:t>
      </w:r>
      <w:proofErr w:type="spellEnd"/>
      <w:r>
        <w:t xml:space="preserve">, consumers or geographic areas. It's especially valuable for policy due to the ability to measure consistently variables like charging-station distribution, financial incentives, adoption rates, and market conditions. But positivist studies may also limit the definition of institutional readiness. Other aspects of readiness such as governance quality, </w:t>
      </w:r>
      <w:proofErr w:type="spellStart"/>
      <w:r>
        <w:t>organisational</w:t>
      </w:r>
      <w:proofErr w:type="spellEnd"/>
      <w:r>
        <w:t xml:space="preserve"> culture, stakeholder relationships and institutional learning may be more complex and less amenable to numerical measurement. The report acknowledges the possibility of "over-simplification of complex institutional processes" through an exclusively objective perspective.</w:t>
      </w:r>
    </w:p>
    <w:p w14:paraId="438A86E9" w14:textId="44F174FF" w:rsidR="001B6FC8" w:rsidRDefault="001B6FC8" w:rsidP="001B6FC8">
      <w:r>
        <w:t xml:space="preserve">The second type of </w:t>
      </w:r>
      <w:proofErr w:type="gramStart"/>
      <w:r>
        <w:t>studies</w:t>
      </w:r>
      <w:proofErr w:type="gramEnd"/>
      <w:r>
        <w:t xml:space="preserve"> is based on the interpretivist and constructivist precepts, especially when the researchers focus on the </w:t>
      </w:r>
      <w:proofErr w:type="spellStart"/>
      <w:r>
        <w:t>organisational</w:t>
      </w:r>
      <w:proofErr w:type="spellEnd"/>
      <w:r>
        <w:t xml:space="preserve"> experience, interaction with stakeholders or on the processes taking place in the specific context of the </w:t>
      </w:r>
      <w:proofErr w:type="spellStart"/>
      <w:r>
        <w:t>organisation</w:t>
      </w:r>
      <w:proofErr w:type="spellEnd"/>
      <w:r>
        <w:t xml:space="preserve">. </w:t>
      </w:r>
      <w:proofErr w:type="spellStart"/>
      <w:r>
        <w:t>Meelen</w:t>
      </w:r>
      <w:proofErr w:type="spellEnd"/>
      <w:r>
        <w:t xml:space="preserve"> and </w:t>
      </w:r>
      <w:proofErr w:type="spellStart"/>
      <w:r>
        <w:t>Schwanen</w:t>
      </w:r>
      <w:proofErr w:type="spellEnd"/>
      <w:r>
        <w:t xml:space="preserve"> (2023) have, for example, explored the integration of V2G technology by </w:t>
      </w:r>
      <w:proofErr w:type="spellStart"/>
      <w:r>
        <w:t>organisations</w:t>
      </w:r>
      <w:proofErr w:type="spellEnd"/>
      <w:r>
        <w:t xml:space="preserve">, and many other qualitative and mixed methods studies highlight the perception of technological change among consumers, policymakers and </w:t>
      </w:r>
      <w:proofErr w:type="spellStart"/>
      <w:r>
        <w:t>organisations</w:t>
      </w:r>
      <w:proofErr w:type="spellEnd"/>
      <w:r>
        <w:t xml:space="preserve">. The report states that although interpretivist studies may lack generalizability, they offer more context around governance problems and adaptation of the </w:t>
      </w:r>
      <w:proofErr w:type="spellStart"/>
      <w:r w:rsidR="007C2CDB">
        <w:t>organisation</w:t>
      </w:r>
      <w:proofErr w:type="spellEnd"/>
      <w:r>
        <w:t>.</w:t>
      </w:r>
    </w:p>
    <w:p w14:paraId="34666D9D" w14:textId="2E14B9D1" w:rsidR="001B6FC8" w:rsidRDefault="001B6FC8" w:rsidP="001B6FC8">
      <w:r>
        <w:t xml:space="preserve">In the 44 sources, neither philosophical perspective is found in isolation. Measurement and comparison research are in </w:t>
      </w:r>
      <w:proofErr w:type="spellStart"/>
      <w:r>
        <w:t>favour</w:t>
      </w:r>
      <w:proofErr w:type="spellEnd"/>
      <w:r>
        <w:t xml:space="preserve"> of positivist research, and explanation of why the institutional process differs from </w:t>
      </w:r>
      <w:proofErr w:type="gramStart"/>
      <w:r>
        <w:t>setting to setting</w:t>
      </w:r>
      <w:proofErr w:type="gramEnd"/>
      <w:r>
        <w:t xml:space="preserve"> research is in </w:t>
      </w:r>
      <w:proofErr w:type="spellStart"/>
      <w:r>
        <w:t>favour</w:t>
      </w:r>
      <w:proofErr w:type="spellEnd"/>
      <w:r>
        <w:t xml:space="preserve"> of interpretivist research. It reinforces methodological pluralism, especially mixed methods that are based on both quantitative and qualitative analysis. Mixed methods have already been identified in </w:t>
      </w:r>
      <w:proofErr w:type="gramStart"/>
      <w:r>
        <w:t>the literature</w:t>
      </w:r>
      <w:proofErr w:type="gramEnd"/>
      <w:r>
        <w:t xml:space="preserve"> as a useful approach to understand sustainable mobility transitions, and they are gaining in relevance.</w:t>
      </w:r>
    </w:p>
    <w:p w14:paraId="3B71FAD8" w14:textId="4A0800E3" w:rsidR="001B6FC8" w:rsidRDefault="001B6FC8" w:rsidP="001B6FC8">
      <w:pPr>
        <w:pStyle w:val="Heading2"/>
      </w:pPr>
      <w:bookmarkStart w:id="29" w:name="_Toc238299874"/>
      <w:r>
        <w:t>6.2 Ethical Considerations</w:t>
      </w:r>
      <w:bookmarkEnd w:id="29"/>
    </w:p>
    <w:p w14:paraId="1EB0FB06" w14:textId="77777777" w:rsidR="001B6FC8" w:rsidRDefault="001B6FC8" w:rsidP="001B6FC8">
      <w:r>
        <w:t>The literature reviewed is not always comprehensive enough to draw conclusions about which ethical approval, consent or confidentiality procedures were followed in each study. Thus, it is not possible to make a uniform assessment of the formal compliance with research-ethics principles in all 44 sources. However, there are several contentious ethical issues evident in the evidence base.</w:t>
      </w:r>
    </w:p>
    <w:p w14:paraId="069AE4C2" w14:textId="77777777" w:rsidR="001B6FC8" w:rsidRDefault="001B6FC8" w:rsidP="001B6FC8"/>
    <w:p w14:paraId="51FD3DC7" w14:textId="440D1BDC" w:rsidR="001B6FC8" w:rsidRDefault="001B6FC8" w:rsidP="001B6FC8">
      <w:r>
        <w:t xml:space="preserve">Accessibility of EVs is a key concern. Research into infrastructure roll-out and uptake has revealed that the rewards of electrification are not even. The importance of private parking and residential charging has been highlighted by </w:t>
      </w:r>
      <w:proofErr w:type="spellStart"/>
      <w:r>
        <w:t>Budnitz</w:t>
      </w:r>
      <w:proofErr w:type="spellEnd"/>
      <w:r>
        <w:t xml:space="preserve"> et al. (2024)</w:t>
      </w:r>
      <w:r w:rsidR="007C2CDB">
        <w:t>,</w:t>
      </w:r>
      <w:r>
        <w:t xml:space="preserve"> and geographical inequalities in charging provision were identified by Khader, Wilson and </w:t>
      </w:r>
      <w:proofErr w:type="spellStart"/>
      <w:r>
        <w:t>Tryfonas</w:t>
      </w:r>
      <w:proofErr w:type="spellEnd"/>
      <w:r>
        <w:t xml:space="preserve"> (2025). The review thus challenges national adoption models which assume that consumers have the same opportunities. This has ethical implications </w:t>
      </w:r>
      <w:r w:rsidR="007C2CDB">
        <w:t>for</w:t>
      </w:r>
      <w:r>
        <w:t xml:space="preserve"> fairness as </w:t>
      </w:r>
      <w:r w:rsidR="007C2CDB">
        <w:t>lower-income</w:t>
      </w:r>
      <w:r>
        <w:t xml:space="preserve"> households, those without off-street parking and those living in poorly served areas may be more likely to experience higher barriers to EV transition.</w:t>
      </w:r>
    </w:p>
    <w:p w14:paraId="2A09333B" w14:textId="267E45DD" w:rsidR="001B6FC8" w:rsidRDefault="001B6FC8" w:rsidP="001B6FC8">
      <w:r>
        <w:t xml:space="preserve">There is also the ethical issue of environmental responsibility. While EVs are often thought of as connected to SDG 7, SDG 9, SDG 11 and SDG 13, the literature warns that electrification is not necessarily sustainable. Environmental </w:t>
      </w:r>
      <w:proofErr w:type="gramStart"/>
      <w:r>
        <w:t>benefit is</w:t>
      </w:r>
      <w:proofErr w:type="gramEnd"/>
      <w:r>
        <w:t xml:space="preserve"> influenced by electricity generation, battery production, charging systems, and battery life cycle emissions. </w:t>
      </w:r>
    </w:p>
    <w:p w14:paraId="3DFF1A9A" w14:textId="3071FB7B" w:rsidR="001B6FC8" w:rsidRDefault="001B6FC8" w:rsidP="001B6FC8">
      <w:r>
        <w:t>Ethical and governance issues are also raised by technological convergence. Literature indicates that while AI and IoT technologies can enhance efficiency and user experience, they can also introduce complexities, cybersecurity risks and governance demands. Therefore, data protection, security, technological accountability and the responsible management of digitally connected mobility systems must also be considered in ethical analysis.</w:t>
      </w:r>
    </w:p>
    <w:p w14:paraId="7FC5F4BE" w14:textId="63D05605" w:rsidR="001B6FC8" w:rsidRDefault="001B6FC8" w:rsidP="001B6FC8">
      <w:pPr>
        <w:pStyle w:val="Heading2"/>
      </w:pPr>
      <w:bookmarkStart w:id="30" w:name="_Toc238299875"/>
      <w:r>
        <w:t>6</w:t>
      </w:r>
      <w:r w:rsidRPr="001B6FC8">
        <w:t>.3 Reliability and Validity of the Evidence Base</w:t>
      </w:r>
      <w:bookmarkEnd w:id="30"/>
    </w:p>
    <w:p w14:paraId="25A160C0" w14:textId="0628BD9E" w:rsidR="001B6FC8" w:rsidRDefault="001B6FC8" w:rsidP="001B6FC8">
      <w:r>
        <w:t xml:space="preserve">The reliability of the evidence that is reviewed varies with the different research designs. There is procedural consistency in quantitative studies, as the variables and analytical procedures can be </w:t>
      </w:r>
      <w:proofErr w:type="spellStart"/>
      <w:r w:rsidR="001D057E">
        <w:t>standardised</w:t>
      </w:r>
      <w:proofErr w:type="spellEnd"/>
      <w:r w:rsidR="001D057E">
        <w:t xml:space="preserve"> (</w:t>
      </w:r>
      <w:r w:rsidR="001D057E" w:rsidRPr="00233C30">
        <w:t>Kumar and Alok</w:t>
      </w:r>
      <w:r w:rsidR="001D057E">
        <w:t>, 2020)</w:t>
      </w:r>
      <w:r>
        <w:t xml:space="preserve">. Also, deductive designs that are guided by theories increase the comparability of studies. These are </w:t>
      </w:r>
      <w:proofErr w:type="spellStart"/>
      <w:r>
        <w:t>formalised</w:t>
      </w:r>
      <w:proofErr w:type="spellEnd"/>
      <w:r>
        <w:t xml:space="preserve"> methods that increase reliability and allow the testing of the relationships among variables, the report states.</w:t>
      </w:r>
    </w:p>
    <w:p w14:paraId="759EBEF7" w14:textId="1DC3C5B3" w:rsidR="001B6FC8" w:rsidRDefault="001B6FC8" w:rsidP="001B6FC8">
      <w:r>
        <w:t xml:space="preserve">The EV sector, however, is in a state of flux, which introduces reliability issues. Policy, infrastructure, charging technology, energy markets and </w:t>
      </w:r>
      <w:proofErr w:type="spellStart"/>
      <w:r>
        <w:t>organisations</w:t>
      </w:r>
      <w:proofErr w:type="spellEnd"/>
      <w:r>
        <w:t xml:space="preserve"> evolve. Numerous studies are correlational (cross-sectional) and thus only provide information for a specific time point. This is cited as one of the limitations in </w:t>
      </w:r>
      <w:proofErr w:type="gramStart"/>
      <w:r>
        <w:t>the literature</w:t>
      </w:r>
      <w:proofErr w:type="gramEnd"/>
      <w:r w:rsidR="007C2CDB">
        <w:t>,</w:t>
      </w:r>
      <w:r>
        <w:t xml:space="preserve"> as institutional readiness evolves as </w:t>
      </w:r>
      <w:proofErr w:type="gramStart"/>
      <w:r>
        <w:t xml:space="preserve">the </w:t>
      </w:r>
      <w:r>
        <w:lastRenderedPageBreak/>
        <w:t>technologies</w:t>
      </w:r>
      <w:proofErr w:type="gramEnd"/>
      <w:r>
        <w:t>, policies and markets change. Therefore, more consensus in findings over time would come from more use of longitudinal designs.</w:t>
      </w:r>
    </w:p>
    <w:p w14:paraId="35BCD2C0" w14:textId="60C291AC" w:rsidR="001B6FC8" w:rsidRDefault="001B6FC8" w:rsidP="001B6FC8">
      <w:r>
        <w:t xml:space="preserve">There is also a lack of uniformity in terms of validity. The validity of the construct becomes questionable when such general concepts as institutional readiness are measured by only one or two indicators. There are studies available that indicate that readiness consists of governance, regulation, infrastructure and </w:t>
      </w:r>
      <w:proofErr w:type="spellStart"/>
      <w:r>
        <w:t>organisational</w:t>
      </w:r>
      <w:proofErr w:type="spellEnd"/>
      <w:r>
        <w:t xml:space="preserve"> capability, but </w:t>
      </w:r>
      <w:proofErr w:type="gramStart"/>
      <w:r>
        <w:t>the majority of</w:t>
      </w:r>
      <w:proofErr w:type="gramEnd"/>
      <w:r>
        <w:t xml:space="preserve"> studies address each of these separately. A study measuring charging density or financial incentives for the charging station, for example, may thus give valid evidence with respect to one aspect of readiness, but may not include the larger institutional construct at all.</w:t>
      </w:r>
    </w:p>
    <w:p w14:paraId="6952E3A0" w14:textId="3A737F23" w:rsidR="001B6FC8" w:rsidRDefault="001B6FC8" w:rsidP="001B6FC8">
      <w:proofErr w:type="gramStart"/>
      <w:r>
        <w:t>The external</w:t>
      </w:r>
      <w:proofErr w:type="gramEnd"/>
      <w:r>
        <w:t xml:space="preserve"> validity is also limited. It is not possible to simply transfer lessons learnt from one region or stakeholder group to another UK-wide, as infrastructure, local authority capacity and availability of private parking </w:t>
      </w:r>
      <w:r w:rsidR="007C2CDB">
        <w:t>are</w:t>
      </w:r>
      <w:r>
        <w:t xml:space="preserve"> diverse. The potential for variation in local results from national policy has been shown in the literature. Further, some adoption research relies on types of measures that only predict future adoption </w:t>
      </w:r>
      <w:proofErr w:type="spellStart"/>
      <w:r>
        <w:t>behaviour</w:t>
      </w:r>
      <w:proofErr w:type="spellEnd"/>
      <w:r>
        <w:t xml:space="preserve">, not current </w:t>
      </w:r>
      <w:proofErr w:type="spellStart"/>
      <w:r>
        <w:t>behaviour</w:t>
      </w:r>
      <w:proofErr w:type="spellEnd"/>
      <w:r>
        <w:t>, which limits confidence in the predictions of future uptake.</w:t>
      </w:r>
    </w:p>
    <w:p w14:paraId="331EEE68" w14:textId="28305540" w:rsidR="001B6FC8" w:rsidRDefault="001B6FC8" w:rsidP="001B6FC8">
      <w:pPr>
        <w:pStyle w:val="Heading2"/>
      </w:pPr>
      <w:bookmarkStart w:id="31" w:name="_Toc238299876"/>
      <w:r>
        <w:t>6.4 Integrated Methodological Implications</w:t>
      </w:r>
      <w:bookmarkEnd w:id="31"/>
    </w:p>
    <w:p w14:paraId="3792FAB4" w14:textId="1ABEB1EC" w:rsidR="001B6FC8" w:rsidRDefault="001B6FC8" w:rsidP="001B6FC8">
      <w:r>
        <w:t xml:space="preserve">Overall, the sources reveal that the best understanding of EV transition is developed if multiple philosophical and methodological approaches are applied together. While quantitative research offers measurable, comparable, and policy-relevant evidence, qualitative research delivers in-depth explanations of governance, institutional learning and </w:t>
      </w:r>
      <w:proofErr w:type="spellStart"/>
      <w:r>
        <w:t>organisational</w:t>
      </w:r>
      <w:proofErr w:type="spellEnd"/>
      <w:r>
        <w:t xml:space="preserve"> adaptation. Triangulating these types of evidence, and </w:t>
      </w:r>
      <w:proofErr w:type="spellStart"/>
      <w:r>
        <w:t>minimising</w:t>
      </w:r>
      <w:proofErr w:type="spellEnd"/>
      <w:r>
        <w:t xml:space="preserve"> the drawbacks of using one research tradition, is given the opportunity in mixed-method research.</w:t>
      </w:r>
    </w:p>
    <w:p w14:paraId="30CA2F95" w14:textId="3BBDD1CA" w:rsidR="004A6E38" w:rsidRDefault="001B6FC8" w:rsidP="001B6FC8">
      <w:r>
        <w:t xml:space="preserve">Furthermore, literature shows that there is no single theory that fully covers the concept of institutional readiness, technological convergence and EV adoption. The three models each explain a different aspect, but none </w:t>
      </w:r>
      <w:proofErr w:type="gramStart"/>
      <w:r>
        <w:t>on</w:t>
      </w:r>
      <w:proofErr w:type="gramEnd"/>
      <w:r>
        <w:t xml:space="preserve"> their own is comprehensive. None of the models is complete by </w:t>
      </w:r>
      <w:proofErr w:type="gramStart"/>
      <w:r>
        <w:t>itself</w:t>
      </w:r>
      <w:proofErr w:type="gramEnd"/>
      <w:r>
        <w:t xml:space="preserve">, but they each lend themselves to a different aspect. Future studies should thus use more integrated, longitudinal and </w:t>
      </w:r>
      <w:proofErr w:type="gramStart"/>
      <w:r w:rsidR="007C2CDB">
        <w:t>mixed-method</w:t>
      </w:r>
      <w:proofErr w:type="gramEnd"/>
      <w:r>
        <w:t xml:space="preserve"> designs and pay more attention to ethical issues, like equity, lifecycle sustainability and digital governance. Overall, the evidence is extensive but would be enhanced by studies that link measurable adoption results to institutional and social processes of sustainable technological transition.</w:t>
      </w:r>
    </w:p>
    <w:p w14:paraId="111B8BA1" w14:textId="00B22DA5" w:rsidR="001B6FC8" w:rsidRDefault="001B6FC8" w:rsidP="001B6FC8">
      <w:pPr>
        <w:pStyle w:val="Heading1"/>
      </w:pPr>
      <w:bookmarkStart w:id="32" w:name="_Toc238299877"/>
      <w:r>
        <w:lastRenderedPageBreak/>
        <w:t xml:space="preserve">7. </w:t>
      </w:r>
      <w:r w:rsidRPr="001B6FC8">
        <w:t>Managerial Implications and Application to Practice</w:t>
      </w:r>
      <w:bookmarkEnd w:id="32"/>
    </w:p>
    <w:p w14:paraId="2C321AAC" w14:textId="4BD5F4F9" w:rsidR="003026C5" w:rsidRDefault="003026C5" w:rsidP="003026C5">
      <w:r>
        <w:t xml:space="preserve">The results of the literature review have several implications for managers, policy makers, local authorities and </w:t>
      </w:r>
      <w:proofErr w:type="spellStart"/>
      <w:r>
        <w:t>organisations</w:t>
      </w:r>
      <w:proofErr w:type="spellEnd"/>
      <w:r>
        <w:t xml:space="preserve"> who are part of the UK electric vehicle (EV) transition. Institutional readiness should not be considered a technology issue, but rather a managerial one, as a coordinated responsibility. To achieve effective EV uptake, governments, regulators, infrastructure providers, </w:t>
      </w:r>
      <w:proofErr w:type="spellStart"/>
      <w:r>
        <w:t>organisations</w:t>
      </w:r>
      <w:proofErr w:type="spellEnd"/>
      <w:r>
        <w:t xml:space="preserve"> and stakeholders need to collaborate on policy, regulation, infrastructure investment, and </w:t>
      </w:r>
      <w:proofErr w:type="spellStart"/>
      <w:r>
        <w:t>organisational</w:t>
      </w:r>
      <w:proofErr w:type="spellEnd"/>
      <w:r>
        <w:t xml:space="preserve"> capacity</w:t>
      </w:r>
      <w:r w:rsidR="00E2448C">
        <w:t xml:space="preserve"> (Zaino et al., 2024)</w:t>
      </w:r>
      <w:r>
        <w:t>. The literature suggests that policy stability and long-term institutional commitment are especially significant because the lack of stability or consistency in policies can lead to uncertainty for investors, infrastructure providers and consumers.</w:t>
      </w:r>
    </w:p>
    <w:p w14:paraId="4A360E27" w14:textId="01978807" w:rsidR="003026C5" w:rsidRDefault="003026C5" w:rsidP="003026C5">
      <w:r>
        <w:t>Second, managers and local authorities should not only ramp up the number of charging stations available, but also their accessibility, geographical distribution and their suitability for those who do not have private parking</w:t>
      </w:r>
      <w:r w:rsidR="00E2448C">
        <w:t xml:space="preserve"> (Ghani et al., 2025)</w:t>
      </w:r>
      <w:r>
        <w:t xml:space="preserve">. The UK experience demonstrates a lack of uniformity in charging provision around the country </w:t>
      </w:r>
      <w:proofErr w:type="gramStart"/>
      <w:r>
        <w:t>and also</w:t>
      </w:r>
      <w:proofErr w:type="gramEnd"/>
      <w:r>
        <w:t xml:space="preserve"> that not all national provision is being replicated in the regions to achieve the same gains</w:t>
      </w:r>
      <w:r w:rsidR="00E2448C">
        <w:t xml:space="preserve"> (</w:t>
      </w:r>
      <w:r w:rsidR="00E2448C" w:rsidRPr="00791682">
        <w:t xml:space="preserve">Pemberton, </w:t>
      </w:r>
      <w:proofErr w:type="spellStart"/>
      <w:r w:rsidR="00E2448C" w:rsidRPr="00791682">
        <w:t>Nobajas</w:t>
      </w:r>
      <w:proofErr w:type="spellEnd"/>
      <w:r w:rsidR="00E2448C" w:rsidRPr="00791682">
        <w:t xml:space="preserve"> and Waller</w:t>
      </w:r>
      <w:r w:rsidR="00E2448C">
        <w:t>, 2021)</w:t>
      </w:r>
      <w:r>
        <w:t>. Hence, there is a need to involve local demand, social equity and regional capacity in infrastructure planning.</w:t>
      </w:r>
    </w:p>
    <w:p w14:paraId="5597CB92" w14:textId="4D2E9953" w:rsidR="003026C5" w:rsidRDefault="003026C5" w:rsidP="003026C5">
      <w:r>
        <w:t xml:space="preserve">Third, investing in the internal capability of </w:t>
      </w:r>
      <w:proofErr w:type="spellStart"/>
      <w:r>
        <w:t>organisations</w:t>
      </w:r>
      <w:proofErr w:type="spellEnd"/>
      <w:r>
        <w:t xml:space="preserve">, such as employee skills, </w:t>
      </w:r>
      <w:proofErr w:type="spellStart"/>
      <w:r>
        <w:t>organisational</w:t>
      </w:r>
      <w:proofErr w:type="spellEnd"/>
      <w:r>
        <w:t xml:space="preserve"> learning, adaptive management, and stakeholder engagement in the adoption of EV technology is essential</w:t>
      </w:r>
      <w:r w:rsidR="00E2448C">
        <w:t xml:space="preserve"> (</w:t>
      </w:r>
      <w:proofErr w:type="spellStart"/>
      <w:r w:rsidR="00E2448C" w:rsidRPr="00791682">
        <w:t>Fatorachian</w:t>
      </w:r>
      <w:proofErr w:type="spellEnd"/>
      <w:r w:rsidR="00E2448C" w:rsidRPr="00791682">
        <w:t xml:space="preserve"> and Kazemi, </w:t>
      </w:r>
      <w:r w:rsidR="00E2448C">
        <w:t>2025)</w:t>
      </w:r>
      <w:r>
        <w:t xml:space="preserve">. The literature indicates that transitioning to technology needs to be accompanied by a </w:t>
      </w:r>
      <w:proofErr w:type="spellStart"/>
      <w:r>
        <w:t>reorganisation</w:t>
      </w:r>
      <w:proofErr w:type="spellEnd"/>
      <w:r>
        <w:t xml:space="preserve"> of working practices and management processes, not just the substitution of traditional vehicles for EVs</w:t>
      </w:r>
    </w:p>
    <w:p w14:paraId="5A192B87" w14:textId="3BE23C93" w:rsidR="003026C5" w:rsidRDefault="003026C5" w:rsidP="003026C5">
      <w:r>
        <w:t xml:space="preserve">Technological convergence brings with it practical duties. </w:t>
      </w:r>
      <w:proofErr w:type="spellStart"/>
      <w:r>
        <w:t>Organisations</w:t>
      </w:r>
      <w:proofErr w:type="spellEnd"/>
      <w:r>
        <w:t xml:space="preserve"> adopting smart charging, Vehicle-to-Grid (V2G), AI and IoT technologies need to establish appropriate governance, cybersecurity and data management systems as the connectivity introduces new governance and operational risks</w:t>
      </w:r>
      <w:r w:rsidR="00E2448C">
        <w:t xml:space="preserve"> (</w:t>
      </w:r>
      <w:r w:rsidR="00E2448C" w:rsidRPr="00791682">
        <w:t>Cavus</w:t>
      </w:r>
      <w:r w:rsidR="00E2448C">
        <w:t xml:space="preserve"> et al., 2025)</w:t>
      </w:r>
      <w:r>
        <w:t>.</w:t>
      </w:r>
    </w:p>
    <w:p w14:paraId="30FD3B3E" w14:textId="29B11191" w:rsidR="001B6FC8" w:rsidRDefault="003026C5" w:rsidP="003026C5">
      <w:r>
        <w:t xml:space="preserve">Lastly, managerial decisions should not be based on EV adoption alone. Sustainability should be </w:t>
      </w:r>
      <w:proofErr w:type="gramStart"/>
      <w:r>
        <w:t>taken into account</w:t>
      </w:r>
      <w:proofErr w:type="gramEnd"/>
      <w:r>
        <w:t xml:space="preserve">. Managers should </w:t>
      </w:r>
      <w:proofErr w:type="gramStart"/>
      <w:r>
        <w:t>take into account</w:t>
      </w:r>
      <w:proofErr w:type="gramEnd"/>
      <w:r>
        <w:t xml:space="preserve"> the sources of electricity, EV battery life cycle effects, accessibility of infrastructure and social inclusion when evaluating EV-related </w:t>
      </w:r>
      <w:r>
        <w:lastRenderedPageBreak/>
        <w:t>investments</w:t>
      </w:r>
      <w:r w:rsidR="00E2448C">
        <w:t xml:space="preserve"> (</w:t>
      </w:r>
      <w:r w:rsidR="00E2448C" w:rsidRPr="00791682">
        <w:t>Tilly</w:t>
      </w:r>
      <w:r w:rsidR="00E2448C">
        <w:t xml:space="preserve"> et al., 2024)</w:t>
      </w:r>
      <w:r>
        <w:t>. In general, the following integrated approach to application to practice is required</w:t>
      </w:r>
      <w:r w:rsidR="001219B5">
        <w:t>: investment</w:t>
      </w:r>
      <w:r>
        <w:t xml:space="preserve"> in technology, coordination of institutions, </w:t>
      </w:r>
      <w:proofErr w:type="spellStart"/>
      <w:r>
        <w:t>organisational</w:t>
      </w:r>
      <w:proofErr w:type="spellEnd"/>
      <w:r>
        <w:t xml:space="preserve"> capacity, responsible sustainability management, and equitable infrastructure planning.</w:t>
      </w:r>
    </w:p>
    <w:p w14:paraId="3E74029E" w14:textId="5CF73072" w:rsidR="003026C5" w:rsidRDefault="003026C5" w:rsidP="003026C5">
      <w:pPr>
        <w:pStyle w:val="Heading1"/>
      </w:pPr>
      <w:bookmarkStart w:id="33" w:name="_Toc238299878"/>
      <w:r>
        <w:t xml:space="preserve">8. </w:t>
      </w:r>
      <w:r w:rsidRPr="003026C5">
        <w:t>Conclusion and Recommendations</w:t>
      </w:r>
      <w:bookmarkEnd w:id="33"/>
    </w:p>
    <w:p w14:paraId="56860978" w14:textId="3BA0E52A" w:rsidR="003026C5" w:rsidRDefault="003026C5" w:rsidP="003026C5">
      <w:pPr>
        <w:pStyle w:val="Heading2"/>
      </w:pPr>
      <w:bookmarkStart w:id="34" w:name="_Toc238299879"/>
      <w:r>
        <w:t>8.1 Conclusion</w:t>
      </w:r>
      <w:bookmarkEnd w:id="34"/>
    </w:p>
    <w:p w14:paraId="25CACF3D" w14:textId="3F3DB0B5" w:rsidR="003026C5" w:rsidRDefault="003026C5" w:rsidP="003026C5">
      <w:r>
        <w:t xml:space="preserve">The literature on institutional preparedness for technological convergence to meet Sustainable Development Goals (SDGs) through the adoption of electric vehicles (EVs) in the United Kingdom was reviewed, and the available evidence was </w:t>
      </w:r>
      <w:proofErr w:type="spellStart"/>
      <w:r>
        <w:t>analysed</w:t>
      </w:r>
      <w:proofErr w:type="spellEnd"/>
      <w:r>
        <w:t xml:space="preserve"> in a critical manner. The evidence presented suggests that EV transition is not just a 'technological process'. However, the interaction between governance, regulatory stability, infrastructure provision, </w:t>
      </w:r>
      <w:proofErr w:type="spellStart"/>
      <w:r>
        <w:t>organisational</w:t>
      </w:r>
      <w:proofErr w:type="spellEnd"/>
      <w:r>
        <w:t xml:space="preserve"> capability, stakeholder coordination and complementary technologies, including smart charging, Vehicle-to-Grid (V2G), artificial intelligence and Internet of Things (IoT) systems, is important for successful adoption. Thus, it can be concluded from the literature reviewed that the adoption of EVs is a larger-scale socio-technical and institutional change process.</w:t>
      </w:r>
    </w:p>
    <w:p w14:paraId="088C5B33" w14:textId="1BA7DDA5" w:rsidR="003026C5" w:rsidRDefault="003026C5" w:rsidP="003026C5">
      <w:r>
        <w:t xml:space="preserve">There were also significant differences in research philosophies and methodology. </w:t>
      </w:r>
      <w:r w:rsidR="007C2CDB">
        <w:t>Quantitative</w:t>
      </w:r>
      <w:r>
        <w:t xml:space="preserve"> and positivist studies offer evidence about incentives, infrastructure and adoption patterns which are measurable and comparable</w:t>
      </w:r>
      <w:r w:rsidR="001219B5">
        <w:t>.</w:t>
      </w:r>
      <w:r>
        <w:t xml:space="preserve"> </w:t>
      </w:r>
      <w:r w:rsidR="001219B5">
        <w:t>I</w:t>
      </w:r>
      <w:r>
        <w:t xml:space="preserve">nterpretivist and qualitative studies offer a greater understanding of </w:t>
      </w:r>
      <w:proofErr w:type="spellStart"/>
      <w:r>
        <w:t>organisational</w:t>
      </w:r>
      <w:proofErr w:type="spellEnd"/>
      <w:r>
        <w:t xml:space="preserve"> practices, stakeholder experiences and governance processes. Neither of these two approaches provides a full account of institutional readiness. Mixed-method and longitudinal studies are thus very useful in combining measured results with contextual explanations.</w:t>
      </w:r>
    </w:p>
    <w:p w14:paraId="0B937132" w14:textId="6290E174" w:rsidR="003026C5" w:rsidRDefault="003026C5" w:rsidP="003026C5">
      <w:r>
        <w:t xml:space="preserve">There are </w:t>
      </w:r>
      <w:proofErr w:type="gramStart"/>
      <w:r>
        <w:t>a number of</w:t>
      </w:r>
      <w:proofErr w:type="gramEnd"/>
      <w:r>
        <w:t xml:space="preserve"> constraints in current evidence. There are many studies that have used cross-sectional designs that offer less insight into how readiness evolves across time, and many studies look at institutional readiness as separate from each other. The challenges to assumptions of uniformity of outcomes from national policy also include regional disparities in charging infrastructure and </w:t>
      </w:r>
      <w:proofErr w:type="spellStart"/>
      <w:r>
        <w:t>organisational</w:t>
      </w:r>
      <w:proofErr w:type="spellEnd"/>
      <w:r>
        <w:t xml:space="preserve"> capacity, and disparities in access to EV technology. In addition to vehicle adoption, electricity generation, battery production, charging infrastructure and impacts over the lifetime of EVs all contribute to the sustainability impact.</w:t>
      </w:r>
    </w:p>
    <w:p w14:paraId="6AE4A232" w14:textId="0A15435E" w:rsidR="003026C5" w:rsidRDefault="003026C5" w:rsidP="003026C5">
      <w:pPr>
        <w:pStyle w:val="Heading2"/>
      </w:pPr>
      <w:bookmarkStart w:id="35" w:name="_Toc238299880"/>
      <w:r>
        <w:lastRenderedPageBreak/>
        <w:t>8.2 Recommendations</w:t>
      </w:r>
      <w:bookmarkEnd w:id="35"/>
    </w:p>
    <w:p w14:paraId="0E789849" w14:textId="6CC61B27" w:rsidR="003026C5" w:rsidRDefault="003026C5" w:rsidP="003026C5">
      <w:r>
        <w:t xml:space="preserve">The following recommendations are suggested </w:t>
      </w:r>
      <w:proofErr w:type="gramStart"/>
      <w:r>
        <w:t>as a result of</w:t>
      </w:r>
      <w:proofErr w:type="gramEnd"/>
      <w:r>
        <w:t xml:space="preserve"> the evidence reviewed:</w:t>
      </w:r>
    </w:p>
    <w:p w14:paraId="4376DC38" w14:textId="1E6B0BF6" w:rsidR="003026C5" w:rsidRDefault="003026C5" w:rsidP="003026C5">
      <w:r w:rsidRPr="003026C5">
        <w:rPr>
          <w:b/>
          <w:bCs/>
        </w:rPr>
        <w:t>Use of integrated institutional approaches:</w:t>
      </w:r>
      <w:r>
        <w:t xml:space="preserve"> Research for the future should combine governance, regulation, infrastructure, </w:t>
      </w:r>
      <w:proofErr w:type="spellStart"/>
      <w:r>
        <w:t>organisational</w:t>
      </w:r>
      <w:proofErr w:type="spellEnd"/>
      <w:r>
        <w:t xml:space="preserve"> capability and technological convergence in an integrated way</w:t>
      </w:r>
      <w:r w:rsidR="001219B5">
        <w:t xml:space="preserve"> (</w:t>
      </w:r>
      <w:r w:rsidR="001219B5" w:rsidRPr="00952488">
        <w:t>Siaw and Amankwah-Amoah</w:t>
      </w:r>
      <w:r w:rsidR="001219B5">
        <w:t>, 2026)</w:t>
      </w:r>
      <w:r>
        <w:t>.</w:t>
      </w:r>
    </w:p>
    <w:p w14:paraId="41EB36EC" w14:textId="3D4EFA3A" w:rsidR="003026C5" w:rsidRDefault="003026C5" w:rsidP="003026C5">
      <w:r w:rsidRPr="003026C5">
        <w:rPr>
          <w:b/>
          <w:bCs/>
        </w:rPr>
        <w:t>Expand long-term research on longitudinal and mixed-method approaches:</w:t>
      </w:r>
      <w:r>
        <w:t xml:space="preserve"> Research should cover policy, </w:t>
      </w:r>
      <w:proofErr w:type="spellStart"/>
      <w:r>
        <w:t>organisational</w:t>
      </w:r>
      <w:proofErr w:type="spellEnd"/>
      <w:r>
        <w:t xml:space="preserve"> and technological change over time, and include qualitative stakeholder evidence</w:t>
      </w:r>
      <w:r w:rsidR="001219B5">
        <w:t xml:space="preserve"> (</w:t>
      </w:r>
      <w:r w:rsidR="001219B5" w:rsidRPr="00952488">
        <w:t>Brunetti</w:t>
      </w:r>
      <w:r w:rsidR="001219B5">
        <w:t xml:space="preserve"> et al., 2020)</w:t>
      </w:r>
      <w:r>
        <w:t>.</w:t>
      </w:r>
    </w:p>
    <w:p w14:paraId="77A6C8C2" w14:textId="769B9287" w:rsidR="003026C5" w:rsidRDefault="003026C5" w:rsidP="003026C5">
      <w:r w:rsidRPr="003026C5">
        <w:rPr>
          <w:b/>
          <w:bCs/>
        </w:rPr>
        <w:t>Improve place-based investigation:</w:t>
      </w:r>
      <w:r>
        <w:t xml:space="preserve"> Focus should be placed more on differences in the UK between regions, local authorities and communities when it comes to accessibility to charging and institutional capacity</w:t>
      </w:r>
      <w:r w:rsidR="001219B5">
        <w:t xml:space="preserve"> (</w:t>
      </w:r>
      <w:r w:rsidR="001219B5" w:rsidRPr="00952488">
        <w:t>Lowndes and Gardner</w:t>
      </w:r>
      <w:r w:rsidR="001219B5">
        <w:t>, 2016)</w:t>
      </w:r>
      <w:r>
        <w:t>.</w:t>
      </w:r>
      <w:r w:rsidR="001219B5">
        <w:t xml:space="preserve"> </w:t>
      </w:r>
    </w:p>
    <w:p w14:paraId="5470B030" w14:textId="77777777" w:rsidR="003026C5" w:rsidRDefault="003026C5" w:rsidP="003026C5">
      <w:r w:rsidRPr="003026C5">
        <w:rPr>
          <w:b/>
          <w:bCs/>
        </w:rPr>
        <w:t>Integrate equity and ethics into EV policy:</w:t>
      </w:r>
      <w:r>
        <w:t xml:space="preserve"> Poverty, access without private parking, data governance, cyber security and distributional equity should be part of EV policy.</w:t>
      </w:r>
    </w:p>
    <w:p w14:paraId="02240911" w14:textId="5063A866" w:rsidR="003026C5" w:rsidRDefault="003026C5" w:rsidP="003026C5">
      <w:r w:rsidRPr="003026C5">
        <w:rPr>
          <w:b/>
          <w:bCs/>
        </w:rPr>
        <w:t>Evaluate sustainability in a holistic manner:</w:t>
      </w:r>
      <w:r>
        <w:t xml:space="preserve"> Consider lifecycle emissions, electricity sources, battery manufacturing, recycling and social impacts in addition to adoption</w:t>
      </w:r>
      <w:r w:rsidR="001219B5">
        <w:t xml:space="preserve"> (</w:t>
      </w:r>
      <w:proofErr w:type="spellStart"/>
      <w:r w:rsidR="001219B5" w:rsidRPr="00952488">
        <w:t>Gianvincenzi</w:t>
      </w:r>
      <w:proofErr w:type="spellEnd"/>
      <w:r w:rsidR="001219B5">
        <w:t xml:space="preserve"> et al., 2024)</w:t>
      </w:r>
      <w:r>
        <w:t>.</w:t>
      </w:r>
    </w:p>
    <w:p w14:paraId="342D5E81" w14:textId="145F8C8F" w:rsidR="003026C5" w:rsidRDefault="003026C5" w:rsidP="003026C5">
      <w:r w:rsidRPr="003026C5">
        <w:rPr>
          <w:b/>
          <w:bCs/>
        </w:rPr>
        <w:t xml:space="preserve">Enhance </w:t>
      </w:r>
      <w:proofErr w:type="spellStart"/>
      <w:r w:rsidRPr="003026C5">
        <w:rPr>
          <w:b/>
          <w:bCs/>
        </w:rPr>
        <w:t>organisations'</w:t>
      </w:r>
      <w:proofErr w:type="spellEnd"/>
      <w:r w:rsidRPr="003026C5">
        <w:rPr>
          <w:b/>
          <w:bCs/>
        </w:rPr>
        <w:t xml:space="preserve"> readiness:</w:t>
      </w:r>
      <w:r>
        <w:t xml:space="preserve"> Public and private </w:t>
      </w:r>
      <w:proofErr w:type="spellStart"/>
      <w:r>
        <w:t>organisations</w:t>
      </w:r>
      <w:proofErr w:type="spellEnd"/>
      <w:r>
        <w:t xml:space="preserve"> should develop technologies, engage with stakeholders, adapt to change and coordinate with other sectors to prepare for technological convergence</w:t>
      </w:r>
      <w:r w:rsidR="001219B5">
        <w:t xml:space="preserve"> (</w:t>
      </w:r>
      <w:r w:rsidR="001219B5" w:rsidRPr="00952488">
        <w:t>Siaw and Amankwah-Amoah</w:t>
      </w:r>
      <w:r w:rsidR="001219B5">
        <w:t>, 2026)</w:t>
      </w:r>
      <w:r>
        <w:t>.</w:t>
      </w:r>
    </w:p>
    <w:p w14:paraId="72617AFE" w14:textId="1FD0E902" w:rsidR="003026C5" w:rsidRPr="003026C5" w:rsidRDefault="003026C5" w:rsidP="003026C5">
      <w:r>
        <w:t xml:space="preserve">The need for the UK to have sustainable electric mobility </w:t>
      </w:r>
      <w:r w:rsidR="00005136">
        <w:t>requires</w:t>
      </w:r>
      <w:r>
        <w:t xml:space="preserve"> coordination of institutional, technological and </w:t>
      </w:r>
      <w:proofErr w:type="spellStart"/>
      <w:r>
        <w:t>organisational</w:t>
      </w:r>
      <w:proofErr w:type="spellEnd"/>
      <w:r>
        <w:t xml:space="preserve"> readiness, and not technological innovation or only financial incentives.</w:t>
      </w:r>
    </w:p>
    <w:p w14:paraId="30DC7238" w14:textId="0CF09440" w:rsidR="00220FA9" w:rsidRPr="005F0269" w:rsidRDefault="00220FA9" w:rsidP="005F0269">
      <w:pPr>
        <w:spacing w:before="0" w:after="160" w:line="278" w:lineRule="auto"/>
        <w:jc w:val="left"/>
        <w:rPr>
          <w:rFonts w:eastAsiaTheme="majorEastAsia" w:cstheme="majorBidi"/>
          <w:b/>
          <w:color w:val="000000" w:themeColor="text1"/>
          <w:sz w:val="32"/>
          <w:szCs w:val="40"/>
        </w:rPr>
      </w:pPr>
    </w:p>
    <w:p w14:paraId="35B502D7" w14:textId="345579BF" w:rsidR="007D797C" w:rsidRDefault="00FB09C6" w:rsidP="007D797C">
      <w:pPr>
        <w:spacing w:before="0" w:after="160" w:line="278" w:lineRule="auto"/>
        <w:jc w:val="left"/>
      </w:pPr>
      <w:r>
        <w:br w:type="page"/>
      </w:r>
    </w:p>
    <w:p w14:paraId="1A34313E" w14:textId="1BB85C23" w:rsidR="007D797C" w:rsidRDefault="007D797C" w:rsidP="007D797C">
      <w:pPr>
        <w:pStyle w:val="Heading1"/>
      </w:pPr>
      <w:bookmarkStart w:id="36" w:name="_Toc238299881"/>
      <w:r>
        <w:lastRenderedPageBreak/>
        <w:t>References</w:t>
      </w:r>
      <w:bookmarkEnd w:id="36"/>
    </w:p>
    <w:p w14:paraId="6C71B846" w14:textId="77777777" w:rsidR="00005136" w:rsidRPr="00233C30" w:rsidRDefault="00005136" w:rsidP="00005136">
      <w:pPr>
        <w:pStyle w:val="NormalWeb"/>
        <w:spacing w:before="120" w:beforeAutospacing="0" w:after="120" w:afterAutospacing="0" w:line="360" w:lineRule="auto"/>
        <w:ind w:left="720" w:hanging="720"/>
        <w:jc w:val="both"/>
      </w:pPr>
      <w:r w:rsidRPr="00233C30">
        <w:t xml:space="preserve">Abdelkareem, M.A., Olabi, A.G., </w:t>
      </w:r>
      <w:proofErr w:type="spellStart"/>
      <w:r w:rsidRPr="00233C30">
        <w:t>AlMallahi</w:t>
      </w:r>
      <w:proofErr w:type="spellEnd"/>
      <w:r w:rsidRPr="00233C30">
        <w:t xml:space="preserve">, M.N., Mahmoud, M. and </w:t>
      </w:r>
      <w:proofErr w:type="spellStart"/>
      <w:r w:rsidRPr="00233C30">
        <w:t>Elgendi</w:t>
      </w:r>
      <w:proofErr w:type="spellEnd"/>
      <w:r w:rsidRPr="00233C30">
        <w:t xml:space="preserve">, M. (2025). Contributions of electric vehicles towards </w:t>
      </w:r>
      <w:proofErr w:type="gramStart"/>
      <w:r w:rsidRPr="00233C30">
        <w:t>the sustainable</w:t>
      </w:r>
      <w:proofErr w:type="gramEnd"/>
      <w:r w:rsidRPr="00233C30">
        <w:t xml:space="preserve"> development goals. </w:t>
      </w:r>
      <w:r w:rsidRPr="00233C30">
        <w:rPr>
          <w:i/>
          <w:iCs/>
        </w:rPr>
        <w:t>Energy Conversion and Management: X</w:t>
      </w:r>
      <w:r w:rsidRPr="00233C30">
        <w:t xml:space="preserve">, [online] p.101170. </w:t>
      </w:r>
      <w:hyperlink r:id="rId9" w:history="1">
        <w:r w:rsidRPr="00233C30">
          <w:rPr>
            <w:rStyle w:val="Hyperlink"/>
            <w:rFonts w:eastAsiaTheme="majorEastAsia"/>
          </w:rPr>
          <w:t>https://doi.org/10.1016/j.ecmx.2025.101170</w:t>
        </w:r>
      </w:hyperlink>
      <w:r w:rsidRPr="00233C30">
        <w:t>.</w:t>
      </w:r>
    </w:p>
    <w:p w14:paraId="61B7539B" w14:textId="77777777" w:rsidR="00005136" w:rsidRPr="00395D2C" w:rsidRDefault="00005136" w:rsidP="00005136">
      <w:pPr>
        <w:ind w:left="720" w:hanging="720"/>
        <w:rPr>
          <w:rFonts w:eastAsia="Times New Roman" w:cs="Times New Roman"/>
        </w:rPr>
      </w:pPr>
      <w:r w:rsidRPr="00395D2C">
        <w:rPr>
          <w:rFonts w:eastAsia="Times New Roman" w:cs="Times New Roman"/>
        </w:rPr>
        <w:t xml:space="preserve">Abdullah, H.M., Gastli, A., Ben-Brahim, L. and Mohammed, S.O. (2022). Planning and Optimizing Electric-Vehicle Charging Infrastructure Through System Dynamics. </w:t>
      </w:r>
      <w:r w:rsidRPr="00395D2C">
        <w:rPr>
          <w:rFonts w:eastAsia="Times New Roman" w:cs="Times New Roman"/>
          <w:i/>
          <w:iCs/>
        </w:rPr>
        <w:t>IEEE Access</w:t>
      </w:r>
      <w:r w:rsidRPr="00395D2C">
        <w:rPr>
          <w:rFonts w:eastAsia="Times New Roman" w:cs="Times New Roman"/>
        </w:rPr>
        <w:t xml:space="preserve">, [online] 10, pp.17495–17514. </w:t>
      </w:r>
      <w:hyperlink r:id="rId10" w:history="1">
        <w:r w:rsidRPr="00395D2C">
          <w:rPr>
            <w:rStyle w:val="Hyperlink"/>
            <w:rFonts w:eastAsia="Times New Roman" w:cs="Times New Roman"/>
          </w:rPr>
          <w:t>https://doi.org/10.1109/ACCESS.2022.3149944</w:t>
        </w:r>
      </w:hyperlink>
      <w:r w:rsidRPr="00395D2C">
        <w:rPr>
          <w:rFonts w:eastAsia="Times New Roman" w:cs="Times New Roman"/>
        </w:rPr>
        <w:t>.</w:t>
      </w:r>
    </w:p>
    <w:p w14:paraId="510F5D04" w14:textId="77777777" w:rsidR="00005136" w:rsidRPr="00395D2C" w:rsidRDefault="00005136" w:rsidP="00005136">
      <w:pPr>
        <w:ind w:left="720" w:hanging="720"/>
        <w:rPr>
          <w:rFonts w:eastAsia="Times New Roman" w:cs="Times New Roman"/>
        </w:rPr>
      </w:pPr>
      <w:r w:rsidRPr="00395D2C">
        <w:rPr>
          <w:rFonts w:eastAsia="Times New Roman" w:cs="Times New Roman"/>
        </w:rPr>
        <w:t xml:space="preserve">Acheampong, T.Y. and Tóth, G.L. (2026). Who Benefits from the EV Transition? Electric Vehicle Adoption and Progress Toward the SDGs Across Income Groups. </w:t>
      </w:r>
      <w:r w:rsidRPr="00395D2C">
        <w:rPr>
          <w:rFonts w:eastAsia="Times New Roman" w:cs="Times New Roman"/>
          <w:i/>
          <w:iCs/>
        </w:rPr>
        <w:t>World Electric Vehicle Journal</w:t>
      </w:r>
      <w:r w:rsidRPr="00395D2C">
        <w:rPr>
          <w:rFonts w:eastAsia="Times New Roman" w:cs="Times New Roman"/>
        </w:rPr>
        <w:t xml:space="preserve">, 17(1), p.34. </w:t>
      </w:r>
      <w:hyperlink r:id="rId11" w:history="1">
        <w:r w:rsidRPr="00395D2C">
          <w:rPr>
            <w:rStyle w:val="Hyperlink"/>
            <w:rFonts w:eastAsia="Times New Roman" w:cs="Times New Roman"/>
          </w:rPr>
          <w:t>https://doi.org/10.3390/wevj17010034</w:t>
        </w:r>
      </w:hyperlink>
      <w:r w:rsidRPr="00395D2C">
        <w:rPr>
          <w:rFonts w:eastAsia="Times New Roman" w:cs="Times New Roman"/>
        </w:rPr>
        <w:t>.</w:t>
      </w:r>
    </w:p>
    <w:p w14:paraId="55703805" w14:textId="77777777" w:rsidR="00005136" w:rsidRDefault="00005136" w:rsidP="00005136">
      <w:pPr>
        <w:ind w:left="720" w:hanging="720"/>
      </w:pPr>
      <w:proofErr w:type="spellStart"/>
      <w:r w:rsidRPr="004F3E70">
        <w:t>Aizstrauta</w:t>
      </w:r>
      <w:proofErr w:type="spellEnd"/>
      <w:r w:rsidRPr="004F3E70">
        <w:t xml:space="preserve">, D., </w:t>
      </w:r>
      <w:proofErr w:type="spellStart"/>
      <w:r w:rsidRPr="004F3E70">
        <w:t>Ginters</w:t>
      </w:r>
      <w:proofErr w:type="spellEnd"/>
      <w:r w:rsidRPr="004F3E70">
        <w:t>, E. and Eroles, M.A.P.</w:t>
      </w:r>
      <w:r>
        <w:t xml:space="preserve"> (</w:t>
      </w:r>
      <w:r w:rsidRPr="004F3E70">
        <w:t>2015</w:t>
      </w:r>
      <w:r>
        <w:t>)</w:t>
      </w:r>
      <w:r w:rsidRPr="004F3E70">
        <w:t>. Applying theory of diffusion of innovations to evaluate technology acceptance and sustainability. </w:t>
      </w:r>
      <w:r w:rsidRPr="004F3E70">
        <w:rPr>
          <w:i/>
          <w:iCs/>
        </w:rPr>
        <w:t>Procedia Computer Science</w:t>
      </w:r>
      <w:r w:rsidRPr="004F3E70">
        <w:t>, </w:t>
      </w:r>
      <w:r w:rsidRPr="004F3E70">
        <w:rPr>
          <w:i/>
          <w:iCs/>
        </w:rPr>
        <w:t>43</w:t>
      </w:r>
      <w:r w:rsidRPr="004F3E70">
        <w:t>, pp.69-77.</w:t>
      </w:r>
    </w:p>
    <w:p w14:paraId="4D22024A" w14:textId="77777777" w:rsidR="00005136" w:rsidRPr="00233C30" w:rsidRDefault="00005136" w:rsidP="00005136">
      <w:pPr>
        <w:pStyle w:val="NormalWeb"/>
        <w:spacing w:before="120" w:beforeAutospacing="0" w:after="120" w:afterAutospacing="0" w:line="360" w:lineRule="auto"/>
        <w:ind w:left="720" w:hanging="720"/>
        <w:jc w:val="both"/>
      </w:pPr>
      <w:r w:rsidRPr="00233C30">
        <w:t xml:space="preserve">Alali, L., </w:t>
      </w:r>
      <w:proofErr w:type="spellStart"/>
      <w:r w:rsidRPr="00233C30">
        <w:t>Niesten</w:t>
      </w:r>
      <w:proofErr w:type="spellEnd"/>
      <w:r w:rsidRPr="00233C30">
        <w:t xml:space="preserve">, E. and Gagliardi, D. (2022). The impact of UK financial incentives on the adoption of electric fleets: The moderation effect of GDP change. </w:t>
      </w:r>
      <w:r w:rsidRPr="00233C30">
        <w:rPr>
          <w:i/>
          <w:iCs/>
        </w:rPr>
        <w:t>Transportation Research Part A: Policy and Practice</w:t>
      </w:r>
      <w:r w:rsidRPr="00233C30">
        <w:t xml:space="preserve">, [online] 161, pp.200–220. </w:t>
      </w:r>
      <w:hyperlink r:id="rId12" w:history="1">
        <w:r w:rsidRPr="00233C30">
          <w:rPr>
            <w:rStyle w:val="Hyperlink"/>
            <w:rFonts w:eastAsiaTheme="majorEastAsia"/>
          </w:rPr>
          <w:t>https://doi.org/10.1016/j.tra.2022.04.011</w:t>
        </w:r>
      </w:hyperlink>
      <w:r w:rsidRPr="00233C30">
        <w:t>.</w:t>
      </w:r>
    </w:p>
    <w:p w14:paraId="2CBEAEFF" w14:textId="77777777" w:rsidR="00005136" w:rsidRDefault="00005136" w:rsidP="00005136">
      <w:pPr>
        <w:ind w:left="720" w:hanging="720"/>
      </w:pPr>
      <w:bookmarkStart w:id="37" w:name="_Hlk235311722"/>
      <w:r w:rsidRPr="00D0155F">
        <w:t>Al-Saadi</w:t>
      </w:r>
      <w:r w:rsidRPr="004F3E70">
        <w:t>,</w:t>
      </w:r>
      <w:bookmarkEnd w:id="37"/>
      <w:r w:rsidRPr="004F3E70">
        <w:t xml:space="preserve"> H.</w:t>
      </w:r>
      <w:r>
        <w:t xml:space="preserve"> (</w:t>
      </w:r>
      <w:r w:rsidRPr="004F3E70">
        <w:t>2014</w:t>
      </w:r>
      <w:r>
        <w:t>)</w:t>
      </w:r>
      <w:r w:rsidRPr="004F3E70">
        <w:t>. Demystifying Ontology and Epistemology in research methods. </w:t>
      </w:r>
      <w:r w:rsidRPr="004F3E70">
        <w:rPr>
          <w:i/>
          <w:iCs/>
        </w:rPr>
        <w:t>Research gate</w:t>
      </w:r>
      <w:r w:rsidRPr="004F3E70">
        <w:t>, </w:t>
      </w:r>
      <w:r w:rsidRPr="004F3E70">
        <w:rPr>
          <w:i/>
          <w:iCs/>
        </w:rPr>
        <w:t>1</w:t>
      </w:r>
      <w:r w:rsidRPr="004F3E70">
        <w:t>(1), pp.1-10.</w:t>
      </w:r>
    </w:p>
    <w:p w14:paraId="2A4C2582" w14:textId="77777777" w:rsidR="00005136" w:rsidRPr="00395D2C" w:rsidRDefault="00005136" w:rsidP="00005136">
      <w:pPr>
        <w:ind w:left="720" w:hanging="720"/>
        <w:rPr>
          <w:rFonts w:eastAsia="Times New Roman" w:cs="Times New Roman"/>
        </w:rPr>
      </w:pPr>
      <w:r w:rsidRPr="00395D2C">
        <w:rPr>
          <w:rFonts w:eastAsia="Times New Roman" w:cs="Times New Roman"/>
        </w:rPr>
        <w:t xml:space="preserve">Anastasiadou, K. and </w:t>
      </w:r>
      <w:proofErr w:type="spellStart"/>
      <w:r w:rsidRPr="00395D2C">
        <w:rPr>
          <w:rFonts w:eastAsia="Times New Roman" w:cs="Times New Roman"/>
        </w:rPr>
        <w:t>Gavanas</w:t>
      </w:r>
      <w:proofErr w:type="spellEnd"/>
      <w:r w:rsidRPr="00395D2C">
        <w:rPr>
          <w:rFonts w:eastAsia="Times New Roman" w:cs="Times New Roman"/>
        </w:rPr>
        <w:t xml:space="preserve">, N. (2022). State-of-the-Art Review of the Key Factors Affecting Electric Vehicle Adoption by Consumers. </w:t>
      </w:r>
      <w:r w:rsidRPr="00395D2C">
        <w:rPr>
          <w:rFonts w:eastAsia="Times New Roman" w:cs="Times New Roman"/>
          <w:i/>
          <w:iCs/>
        </w:rPr>
        <w:t>Energies</w:t>
      </w:r>
      <w:r w:rsidRPr="00395D2C">
        <w:rPr>
          <w:rFonts w:eastAsia="Times New Roman" w:cs="Times New Roman"/>
        </w:rPr>
        <w:t xml:space="preserve">, [online] 15(24), p.9409. </w:t>
      </w:r>
      <w:hyperlink r:id="rId13" w:history="1">
        <w:r w:rsidRPr="00395D2C">
          <w:rPr>
            <w:rStyle w:val="Hyperlink"/>
            <w:rFonts w:eastAsia="Times New Roman" w:cs="Times New Roman"/>
          </w:rPr>
          <w:t>https://doi.org/10.3390/en15249409</w:t>
        </w:r>
      </w:hyperlink>
      <w:r w:rsidRPr="00395D2C">
        <w:rPr>
          <w:rFonts w:eastAsia="Times New Roman" w:cs="Times New Roman"/>
        </w:rPr>
        <w:t>.</w:t>
      </w:r>
    </w:p>
    <w:p w14:paraId="4647C0E5" w14:textId="77777777" w:rsidR="00005136" w:rsidRPr="00395D2C" w:rsidRDefault="00005136" w:rsidP="00005136">
      <w:pPr>
        <w:ind w:left="720" w:hanging="720"/>
        <w:rPr>
          <w:rFonts w:eastAsia="Times New Roman" w:cs="Times New Roman"/>
        </w:rPr>
      </w:pPr>
      <w:r w:rsidRPr="00395D2C">
        <w:rPr>
          <w:rFonts w:eastAsia="Times New Roman" w:cs="Times New Roman"/>
        </w:rPr>
        <w:t xml:space="preserve">Anwar, A., </w:t>
      </w:r>
      <w:proofErr w:type="spellStart"/>
      <w:r w:rsidRPr="00395D2C">
        <w:rPr>
          <w:rFonts w:eastAsia="Times New Roman" w:cs="Times New Roman"/>
        </w:rPr>
        <w:t>Wardley</w:t>
      </w:r>
      <w:proofErr w:type="spellEnd"/>
      <w:r w:rsidRPr="00395D2C">
        <w:rPr>
          <w:rFonts w:eastAsia="Times New Roman" w:cs="Times New Roman"/>
        </w:rPr>
        <w:t xml:space="preserve">, L.J. and Khalid, A. (2025). The customer knowledge gap and electric vehicle adoption: a meta-Analytic Review and future Research agenda. </w:t>
      </w:r>
      <w:r w:rsidRPr="00395D2C">
        <w:rPr>
          <w:rFonts w:eastAsia="Times New Roman" w:cs="Times New Roman"/>
          <w:i/>
          <w:iCs/>
        </w:rPr>
        <w:t>Applied Economics</w:t>
      </w:r>
      <w:r w:rsidRPr="00395D2C">
        <w:rPr>
          <w:rFonts w:eastAsia="Times New Roman" w:cs="Times New Roman"/>
        </w:rPr>
        <w:t xml:space="preserve">, pp.1–19. </w:t>
      </w:r>
      <w:hyperlink r:id="rId14" w:history="1">
        <w:r w:rsidRPr="00395D2C">
          <w:rPr>
            <w:rStyle w:val="Hyperlink"/>
            <w:rFonts w:eastAsia="Times New Roman" w:cs="Times New Roman"/>
          </w:rPr>
          <w:t>https://doi.org/10.1080/00036846.2025.2516164</w:t>
        </w:r>
      </w:hyperlink>
      <w:r w:rsidRPr="00395D2C">
        <w:rPr>
          <w:rFonts w:eastAsia="Times New Roman" w:cs="Times New Roman"/>
        </w:rPr>
        <w:t>.</w:t>
      </w:r>
    </w:p>
    <w:p w14:paraId="49BFF4C5" w14:textId="77777777" w:rsidR="00005136" w:rsidRPr="00395D2C" w:rsidRDefault="00005136" w:rsidP="00005136">
      <w:pPr>
        <w:ind w:left="720" w:hanging="720"/>
        <w:rPr>
          <w:rFonts w:eastAsia="Times New Roman" w:cs="Times New Roman"/>
        </w:rPr>
      </w:pPr>
      <w:r w:rsidRPr="00395D2C">
        <w:rPr>
          <w:rFonts w:eastAsia="Times New Roman" w:cs="Times New Roman"/>
        </w:rPr>
        <w:t xml:space="preserve">Arefin, A.A., Meraj, S.T., Lipu, M.S.H., Rahman, </w:t>
      </w:r>
      <w:proofErr w:type="spellStart"/>
      <w:r w:rsidRPr="00395D2C">
        <w:rPr>
          <w:rFonts w:eastAsia="Times New Roman" w:cs="Times New Roman"/>
        </w:rPr>
        <w:t>Md.S</w:t>
      </w:r>
      <w:proofErr w:type="spellEnd"/>
      <w:r w:rsidRPr="00395D2C">
        <w:rPr>
          <w:rFonts w:eastAsia="Times New Roman" w:cs="Times New Roman"/>
        </w:rPr>
        <w:t xml:space="preserve">., Rahman, T., Hasan, K., Sarker, M.R. and Muttaqi, K.M. (2025). Societal, environmental, and economic impacts of electric vehicles </w:t>
      </w:r>
      <w:r w:rsidRPr="00395D2C">
        <w:rPr>
          <w:rFonts w:eastAsia="Times New Roman" w:cs="Times New Roman"/>
        </w:rPr>
        <w:lastRenderedPageBreak/>
        <w:t xml:space="preserve">towards achieving sustainable development goals. </w:t>
      </w:r>
      <w:r w:rsidRPr="00395D2C">
        <w:rPr>
          <w:rFonts w:eastAsia="Times New Roman" w:cs="Times New Roman"/>
          <w:i/>
          <w:iCs/>
        </w:rPr>
        <w:t>Results in Engineering</w:t>
      </w:r>
      <w:r w:rsidRPr="00395D2C">
        <w:rPr>
          <w:rFonts w:eastAsia="Times New Roman" w:cs="Times New Roman"/>
        </w:rPr>
        <w:t xml:space="preserve">, [online] 27, p.107060. </w:t>
      </w:r>
      <w:hyperlink r:id="rId15" w:history="1">
        <w:r w:rsidRPr="00395D2C">
          <w:rPr>
            <w:rStyle w:val="Hyperlink"/>
            <w:rFonts w:eastAsia="Times New Roman" w:cs="Times New Roman"/>
          </w:rPr>
          <w:t>https://doi.org/10.1016/j.rineng.2025.107060</w:t>
        </w:r>
      </w:hyperlink>
      <w:r w:rsidRPr="00395D2C">
        <w:rPr>
          <w:rFonts w:eastAsia="Times New Roman" w:cs="Times New Roman"/>
        </w:rPr>
        <w:t>.</w:t>
      </w:r>
    </w:p>
    <w:p w14:paraId="641E12C4" w14:textId="77777777" w:rsidR="00005136" w:rsidRDefault="00005136" w:rsidP="00005136">
      <w:pPr>
        <w:ind w:left="720" w:hanging="720"/>
      </w:pPr>
      <w:r w:rsidRPr="00952488">
        <w:t xml:space="preserve">Brunetti, F., Matt, D.T., Bonfanti, A., De Longhi, A., Pedrini, G. and </w:t>
      </w:r>
      <w:proofErr w:type="spellStart"/>
      <w:r w:rsidRPr="00952488">
        <w:t>Orzes</w:t>
      </w:r>
      <w:proofErr w:type="spellEnd"/>
      <w:r w:rsidRPr="00952488">
        <w:t>, G.</w:t>
      </w:r>
      <w:r>
        <w:t xml:space="preserve"> (</w:t>
      </w:r>
      <w:r w:rsidRPr="00952488">
        <w:t>2020</w:t>
      </w:r>
      <w:r>
        <w:t>)</w:t>
      </w:r>
      <w:r w:rsidRPr="00952488">
        <w:t>. Digital transformation challenges: strategies emerging from a multi-stakeholder approach. </w:t>
      </w:r>
      <w:r w:rsidRPr="00952488">
        <w:rPr>
          <w:i/>
          <w:iCs/>
        </w:rPr>
        <w:t>The TQM journal</w:t>
      </w:r>
      <w:r w:rsidRPr="00952488">
        <w:t>, </w:t>
      </w:r>
      <w:r w:rsidRPr="00952488">
        <w:rPr>
          <w:i/>
          <w:iCs/>
        </w:rPr>
        <w:t>32</w:t>
      </w:r>
      <w:r w:rsidRPr="00952488">
        <w:t>(4), pp.697-724.</w:t>
      </w:r>
    </w:p>
    <w:p w14:paraId="70C2C3F0" w14:textId="77777777" w:rsidR="00005136" w:rsidRPr="00233C30" w:rsidRDefault="00005136" w:rsidP="00005136">
      <w:pPr>
        <w:pStyle w:val="NormalWeb"/>
        <w:spacing w:before="120" w:beforeAutospacing="0" w:after="120" w:afterAutospacing="0" w:line="360" w:lineRule="auto"/>
        <w:ind w:left="720" w:hanging="720"/>
        <w:jc w:val="both"/>
      </w:pPr>
      <w:proofErr w:type="spellStart"/>
      <w:r w:rsidRPr="00233C30">
        <w:t>Budnitz</w:t>
      </w:r>
      <w:proofErr w:type="spellEnd"/>
      <w:r w:rsidRPr="00233C30">
        <w:t xml:space="preserve">, H., Toon </w:t>
      </w:r>
      <w:proofErr w:type="spellStart"/>
      <w:r w:rsidRPr="00233C30">
        <w:t>Meelen</w:t>
      </w:r>
      <w:proofErr w:type="spellEnd"/>
      <w:r w:rsidRPr="00233C30">
        <w:t xml:space="preserve"> and Schwanen, T. (2024). Electric vehicle adoption intentions among UK residents parking in shared and public spaces. </w:t>
      </w:r>
      <w:r w:rsidRPr="00233C30">
        <w:rPr>
          <w:i/>
          <w:iCs/>
        </w:rPr>
        <w:t>Transportation</w:t>
      </w:r>
      <w:r w:rsidRPr="00233C30">
        <w:t xml:space="preserve">. </w:t>
      </w:r>
      <w:hyperlink r:id="rId16" w:history="1">
        <w:r w:rsidRPr="00233C30">
          <w:rPr>
            <w:rStyle w:val="Hyperlink"/>
            <w:rFonts w:eastAsiaTheme="majorEastAsia"/>
          </w:rPr>
          <w:t>https://doi.org/10.1007/s11116-024-10518-0</w:t>
        </w:r>
      </w:hyperlink>
      <w:r w:rsidRPr="00233C30">
        <w:t>.</w:t>
      </w:r>
    </w:p>
    <w:p w14:paraId="7AE3CD1D" w14:textId="77777777" w:rsidR="00005136" w:rsidRDefault="00005136" w:rsidP="00005136">
      <w:pPr>
        <w:ind w:left="720" w:hanging="720"/>
      </w:pPr>
      <w:r w:rsidRPr="00791682">
        <w:t>Cavus, M., Ayan, H., Bell, M. and Dissanayake, D.</w:t>
      </w:r>
      <w:r>
        <w:t xml:space="preserve"> (</w:t>
      </w:r>
      <w:r w:rsidRPr="00791682">
        <w:t>2025</w:t>
      </w:r>
      <w:r>
        <w:t>)</w:t>
      </w:r>
      <w:r w:rsidRPr="00791682">
        <w:t xml:space="preserve">. Advances in energy storage, AI </w:t>
      </w:r>
      <w:proofErr w:type="spellStart"/>
      <w:r w:rsidRPr="00791682">
        <w:t>optimisation</w:t>
      </w:r>
      <w:proofErr w:type="spellEnd"/>
      <w:r w:rsidRPr="00791682">
        <w:t>, and cybersecurity for electric vehicle grid integration. </w:t>
      </w:r>
      <w:r w:rsidRPr="00791682">
        <w:rPr>
          <w:i/>
          <w:iCs/>
        </w:rPr>
        <w:t>Energies</w:t>
      </w:r>
      <w:r w:rsidRPr="00791682">
        <w:t>, </w:t>
      </w:r>
      <w:r w:rsidRPr="00791682">
        <w:rPr>
          <w:i/>
          <w:iCs/>
        </w:rPr>
        <w:t>18</w:t>
      </w:r>
      <w:r w:rsidRPr="00791682">
        <w:t>(17), p.4599.</w:t>
      </w:r>
    </w:p>
    <w:p w14:paraId="1040C65A" w14:textId="77777777" w:rsidR="00005136" w:rsidRPr="00233C30" w:rsidRDefault="00005136" w:rsidP="00005136">
      <w:pPr>
        <w:pStyle w:val="NormalWeb"/>
        <w:spacing w:before="120" w:beforeAutospacing="0" w:after="120" w:afterAutospacing="0" w:line="360" w:lineRule="auto"/>
        <w:ind w:left="720" w:hanging="720"/>
        <w:jc w:val="both"/>
      </w:pPr>
      <w:r w:rsidRPr="00233C30">
        <w:t xml:space="preserve">Chen, T., Zhang, X.-P., Wang, J., Li, J., Wu, C., Hu, M. and Bian, H. (2020). A Review on Electric Vehicle Charging Infrastructure Development in the UK. </w:t>
      </w:r>
      <w:r w:rsidRPr="00233C30">
        <w:rPr>
          <w:i/>
          <w:iCs/>
        </w:rPr>
        <w:t>Journal of Modern Power Systems and Clean Energy</w:t>
      </w:r>
      <w:r w:rsidRPr="00233C30">
        <w:t xml:space="preserve">, [online] 8(2), pp.193–205. </w:t>
      </w:r>
      <w:hyperlink r:id="rId17" w:history="1">
        <w:r w:rsidRPr="00233C30">
          <w:rPr>
            <w:rStyle w:val="Hyperlink"/>
            <w:rFonts w:eastAsiaTheme="majorEastAsia"/>
          </w:rPr>
          <w:t>https://doi.org/10.35833/mpce.2018.000374</w:t>
        </w:r>
      </w:hyperlink>
      <w:r w:rsidRPr="00233C30">
        <w:t>.</w:t>
      </w:r>
    </w:p>
    <w:p w14:paraId="20062511" w14:textId="77777777" w:rsidR="00005136" w:rsidRDefault="00005136" w:rsidP="00005136">
      <w:pPr>
        <w:ind w:left="720" w:hanging="720"/>
      </w:pPr>
      <w:r w:rsidRPr="00377073">
        <w:t>Chigbu, U.E., Atiku, S.O. and Du Plessis, C.C.</w:t>
      </w:r>
      <w:r>
        <w:t xml:space="preserve"> (</w:t>
      </w:r>
      <w:r w:rsidRPr="00377073">
        <w:t>2023</w:t>
      </w:r>
      <w:r>
        <w:t>)</w:t>
      </w:r>
      <w:r w:rsidRPr="00377073">
        <w:t xml:space="preserve">. The science of literature reviews: Searching, identifying, selecting, and </w:t>
      </w:r>
      <w:proofErr w:type="spellStart"/>
      <w:r w:rsidRPr="00377073">
        <w:t>synthesising</w:t>
      </w:r>
      <w:proofErr w:type="spellEnd"/>
      <w:r w:rsidRPr="00377073">
        <w:t>. </w:t>
      </w:r>
      <w:r w:rsidRPr="00377073">
        <w:rPr>
          <w:i/>
          <w:iCs/>
        </w:rPr>
        <w:t>Publications</w:t>
      </w:r>
      <w:r w:rsidRPr="00377073">
        <w:t>, </w:t>
      </w:r>
      <w:r w:rsidRPr="00377073">
        <w:rPr>
          <w:i/>
          <w:iCs/>
        </w:rPr>
        <w:t>11</w:t>
      </w:r>
      <w:r w:rsidRPr="00377073">
        <w:t>(1), p.2.</w:t>
      </w:r>
    </w:p>
    <w:p w14:paraId="26C8C3C3" w14:textId="77777777" w:rsidR="00005136" w:rsidRPr="00233C30" w:rsidRDefault="00005136" w:rsidP="00005136">
      <w:pPr>
        <w:pStyle w:val="NormalWeb"/>
        <w:spacing w:before="120" w:beforeAutospacing="0" w:after="120" w:afterAutospacing="0" w:line="360" w:lineRule="auto"/>
        <w:ind w:left="720" w:hanging="720"/>
        <w:jc w:val="both"/>
        <w:rPr>
          <w:color w:val="222222"/>
          <w:shd w:val="clear" w:color="auto" w:fill="FFFFFF"/>
        </w:rPr>
      </w:pPr>
      <w:r w:rsidRPr="00233C30">
        <w:rPr>
          <w:color w:val="222222"/>
          <w:shd w:val="clear" w:color="auto" w:fill="FFFFFF"/>
        </w:rPr>
        <w:t xml:space="preserve">Correia, G. (2025). Increasing transport sustainability through the integration </w:t>
      </w:r>
      <w:proofErr w:type="gramStart"/>
      <w:r w:rsidRPr="00233C30">
        <w:rPr>
          <w:color w:val="222222"/>
          <w:shd w:val="clear" w:color="auto" w:fill="FFFFFF"/>
        </w:rPr>
        <w:t>between</w:t>
      </w:r>
      <w:proofErr w:type="gramEnd"/>
      <w:r w:rsidRPr="00233C30">
        <w:rPr>
          <w:color w:val="222222"/>
          <w:shd w:val="clear" w:color="auto" w:fill="FFFFFF"/>
        </w:rPr>
        <w:t xml:space="preserve"> power grids and electric mobility systems. </w:t>
      </w:r>
      <w:proofErr w:type="spellStart"/>
      <w:r w:rsidRPr="00233C30">
        <w:rPr>
          <w:i/>
          <w:iCs/>
          <w:color w:val="222222"/>
          <w:shd w:val="clear" w:color="auto" w:fill="FFFFFF"/>
        </w:rPr>
        <w:t>npj</w:t>
      </w:r>
      <w:proofErr w:type="spellEnd"/>
      <w:r w:rsidRPr="00233C30">
        <w:rPr>
          <w:i/>
          <w:iCs/>
          <w:color w:val="222222"/>
          <w:shd w:val="clear" w:color="auto" w:fill="FFFFFF"/>
        </w:rPr>
        <w:t xml:space="preserve"> Sustainable Mobility and Transport</w:t>
      </w:r>
      <w:r w:rsidRPr="00233C30">
        <w:rPr>
          <w:color w:val="222222"/>
          <w:shd w:val="clear" w:color="auto" w:fill="FFFFFF"/>
        </w:rPr>
        <w:t>, </w:t>
      </w:r>
      <w:r w:rsidRPr="00233C30">
        <w:rPr>
          <w:i/>
          <w:iCs/>
          <w:color w:val="222222"/>
          <w:shd w:val="clear" w:color="auto" w:fill="FFFFFF"/>
        </w:rPr>
        <w:t>2</w:t>
      </w:r>
      <w:r w:rsidRPr="00233C30">
        <w:rPr>
          <w:color w:val="222222"/>
          <w:shd w:val="clear" w:color="auto" w:fill="FFFFFF"/>
        </w:rPr>
        <w:t>(1), p.17.</w:t>
      </w:r>
    </w:p>
    <w:p w14:paraId="7F0AC75C" w14:textId="77777777" w:rsidR="00005136" w:rsidRDefault="00005136" w:rsidP="00005136">
      <w:pPr>
        <w:ind w:left="720" w:hanging="720"/>
      </w:pPr>
      <w:proofErr w:type="spellStart"/>
      <w:r w:rsidRPr="00791682">
        <w:t>Damarell</w:t>
      </w:r>
      <w:proofErr w:type="spellEnd"/>
      <w:r w:rsidRPr="00791682">
        <w:t>, R.A., Morgan, D.D. and Tieman, J.J.</w:t>
      </w:r>
      <w:r>
        <w:t xml:space="preserve"> (</w:t>
      </w:r>
      <w:r w:rsidRPr="00791682">
        <w:t>2020</w:t>
      </w:r>
      <w:r>
        <w:t>)</w:t>
      </w:r>
      <w:r w:rsidRPr="00791682">
        <w:t>. General practitioner strategies for managing patients with multimorbidity: a systematic review and thematic synthesis of qualitative research. </w:t>
      </w:r>
      <w:r w:rsidRPr="00791682">
        <w:rPr>
          <w:i/>
          <w:iCs/>
        </w:rPr>
        <w:t>BMC Family Practice</w:t>
      </w:r>
      <w:r w:rsidRPr="00791682">
        <w:t>, </w:t>
      </w:r>
      <w:r w:rsidRPr="00791682">
        <w:rPr>
          <w:i/>
          <w:iCs/>
        </w:rPr>
        <w:t>21</w:t>
      </w:r>
      <w:r w:rsidRPr="00791682">
        <w:t>(1), p.131.</w:t>
      </w:r>
    </w:p>
    <w:p w14:paraId="5B8F051D" w14:textId="77777777" w:rsidR="00005136" w:rsidRDefault="00005136" w:rsidP="00005136">
      <w:pPr>
        <w:pStyle w:val="NormalWeb"/>
        <w:spacing w:before="120" w:beforeAutospacing="0" w:after="120" w:afterAutospacing="0" w:line="360" w:lineRule="auto"/>
        <w:ind w:left="720" w:hanging="720"/>
        <w:jc w:val="both"/>
      </w:pPr>
      <w:r w:rsidRPr="00C15A22">
        <w:t>de Graaf, J.A., Stok, F.M., de Wit, J.B. and Bal, M.</w:t>
      </w:r>
      <w:r>
        <w:t xml:space="preserve"> (</w:t>
      </w:r>
      <w:r w:rsidRPr="00C15A22">
        <w:t>2026</w:t>
      </w:r>
      <w:r>
        <w:t>)</w:t>
      </w:r>
      <w:r w:rsidRPr="00C15A22">
        <w:t>. Understanding behavioral factors influencing EV smart charging: A mixed-method study of citizens’ capabilities, opportunities, and motivations. </w:t>
      </w:r>
      <w:r w:rsidRPr="00C15A22">
        <w:rPr>
          <w:i/>
          <w:iCs/>
        </w:rPr>
        <w:t>Energy Policy</w:t>
      </w:r>
      <w:r w:rsidRPr="00C15A22">
        <w:t>, </w:t>
      </w:r>
      <w:r w:rsidRPr="00C15A22">
        <w:rPr>
          <w:i/>
          <w:iCs/>
        </w:rPr>
        <w:t>210</w:t>
      </w:r>
      <w:r w:rsidRPr="00C15A22">
        <w:t>, p.115060.</w:t>
      </w:r>
    </w:p>
    <w:p w14:paraId="18C40A92" w14:textId="77777777" w:rsidR="00005136" w:rsidRPr="00395D2C" w:rsidRDefault="00005136" w:rsidP="00005136">
      <w:pPr>
        <w:ind w:left="720" w:hanging="720"/>
        <w:rPr>
          <w:rFonts w:eastAsia="Times New Roman" w:cs="Times New Roman"/>
        </w:rPr>
      </w:pPr>
      <w:proofErr w:type="spellStart"/>
      <w:r w:rsidRPr="00395D2C">
        <w:rPr>
          <w:rFonts w:eastAsia="Times New Roman" w:cs="Times New Roman"/>
        </w:rPr>
        <w:t>Emodi</w:t>
      </w:r>
      <w:proofErr w:type="spellEnd"/>
      <w:r w:rsidRPr="00395D2C">
        <w:rPr>
          <w:rFonts w:eastAsia="Times New Roman" w:cs="Times New Roman"/>
        </w:rPr>
        <w:t xml:space="preserve">, N.V., Akuru, U.B., </w:t>
      </w:r>
      <w:proofErr w:type="spellStart"/>
      <w:r w:rsidRPr="00395D2C">
        <w:rPr>
          <w:rFonts w:eastAsia="Times New Roman" w:cs="Times New Roman"/>
        </w:rPr>
        <w:t>Dioha</w:t>
      </w:r>
      <w:proofErr w:type="spellEnd"/>
      <w:r w:rsidRPr="00395D2C">
        <w:rPr>
          <w:rFonts w:eastAsia="Times New Roman" w:cs="Times New Roman"/>
        </w:rPr>
        <w:t xml:space="preserve">, M.O., </w:t>
      </w:r>
      <w:proofErr w:type="spellStart"/>
      <w:r w:rsidRPr="00395D2C">
        <w:rPr>
          <w:rFonts w:eastAsia="Times New Roman" w:cs="Times New Roman"/>
        </w:rPr>
        <w:t>Adoba</w:t>
      </w:r>
      <w:proofErr w:type="spellEnd"/>
      <w:r w:rsidRPr="00395D2C">
        <w:rPr>
          <w:rFonts w:eastAsia="Times New Roman" w:cs="Times New Roman"/>
        </w:rPr>
        <w:t xml:space="preserve">, P., Kuhudzai, R.J. and </w:t>
      </w:r>
      <w:proofErr w:type="spellStart"/>
      <w:r w:rsidRPr="00395D2C">
        <w:rPr>
          <w:rFonts w:eastAsia="Times New Roman" w:cs="Times New Roman"/>
        </w:rPr>
        <w:t>Bamisile</w:t>
      </w:r>
      <w:proofErr w:type="spellEnd"/>
      <w:r w:rsidRPr="00395D2C">
        <w:rPr>
          <w:rFonts w:eastAsia="Times New Roman" w:cs="Times New Roman"/>
        </w:rPr>
        <w:t xml:space="preserve">, O. (2023). The Role of </w:t>
      </w:r>
      <w:proofErr w:type="gramStart"/>
      <w:r w:rsidRPr="00395D2C">
        <w:rPr>
          <w:rFonts w:eastAsia="Times New Roman" w:cs="Times New Roman"/>
        </w:rPr>
        <w:t>Internet of</w:t>
      </w:r>
      <w:proofErr w:type="gramEnd"/>
      <w:r w:rsidRPr="00395D2C">
        <w:rPr>
          <w:rFonts w:eastAsia="Times New Roman" w:cs="Times New Roman"/>
        </w:rPr>
        <w:t xml:space="preserve"> Things on Electric Vehicle Charging Infrastructure and Consumer Experience. </w:t>
      </w:r>
      <w:r w:rsidRPr="00395D2C">
        <w:rPr>
          <w:rFonts w:eastAsia="Times New Roman" w:cs="Times New Roman"/>
          <w:i/>
          <w:iCs/>
        </w:rPr>
        <w:t>Energies</w:t>
      </w:r>
      <w:r w:rsidRPr="00395D2C">
        <w:rPr>
          <w:rFonts w:eastAsia="Times New Roman" w:cs="Times New Roman"/>
        </w:rPr>
        <w:t xml:space="preserve">, [online] 16(10), p.4248. </w:t>
      </w:r>
      <w:hyperlink r:id="rId18" w:history="1">
        <w:r w:rsidRPr="00395D2C">
          <w:rPr>
            <w:rStyle w:val="Hyperlink"/>
            <w:rFonts w:eastAsia="Times New Roman" w:cs="Times New Roman"/>
          </w:rPr>
          <w:t>https://doi.org/10.3390/en16104248</w:t>
        </w:r>
      </w:hyperlink>
      <w:r w:rsidRPr="00395D2C">
        <w:rPr>
          <w:rFonts w:eastAsia="Times New Roman" w:cs="Times New Roman"/>
        </w:rPr>
        <w:t>.</w:t>
      </w:r>
    </w:p>
    <w:p w14:paraId="33D63F22" w14:textId="77777777" w:rsidR="00005136" w:rsidRDefault="00005136" w:rsidP="00005136">
      <w:pPr>
        <w:ind w:left="720" w:hanging="720"/>
      </w:pPr>
      <w:proofErr w:type="spellStart"/>
      <w:r w:rsidRPr="00791682">
        <w:lastRenderedPageBreak/>
        <w:t>Fatorachian</w:t>
      </w:r>
      <w:proofErr w:type="spellEnd"/>
      <w:r w:rsidRPr="00791682">
        <w:t>, H. and Kazemi, H.</w:t>
      </w:r>
      <w:r>
        <w:t xml:space="preserve"> (</w:t>
      </w:r>
      <w:r w:rsidRPr="00791682">
        <w:t>2025</w:t>
      </w:r>
      <w:r>
        <w:t>)</w:t>
      </w:r>
      <w:r w:rsidRPr="00791682">
        <w:t>. Leveraging technology and sustainability practices for smart mobility and green logistics: a dual-theoretical approach to adoption dynamics. </w:t>
      </w:r>
      <w:r w:rsidRPr="00791682">
        <w:rPr>
          <w:i/>
          <w:iCs/>
        </w:rPr>
        <w:t>International Journal of Sustainable Engineering</w:t>
      </w:r>
      <w:r w:rsidRPr="00791682">
        <w:t>, </w:t>
      </w:r>
      <w:r w:rsidRPr="00791682">
        <w:rPr>
          <w:i/>
          <w:iCs/>
        </w:rPr>
        <w:t>18</w:t>
      </w:r>
      <w:r w:rsidRPr="00791682">
        <w:t>(1), p.2531890.</w:t>
      </w:r>
    </w:p>
    <w:p w14:paraId="3D40C8C1" w14:textId="77777777" w:rsidR="00005136" w:rsidRPr="00233C30" w:rsidRDefault="00005136" w:rsidP="00005136">
      <w:pPr>
        <w:pStyle w:val="NormalWeb"/>
        <w:spacing w:before="120" w:beforeAutospacing="0" w:after="120" w:afterAutospacing="0" w:line="360" w:lineRule="auto"/>
        <w:ind w:left="720" w:hanging="720"/>
        <w:jc w:val="both"/>
        <w:rPr>
          <w:color w:val="222222"/>
          <w:shd w:val="clear" w:color="auto" w:fill="FFFFFF"/>
        </w:rPr>
      </w:pPr>
      <w:r w:rsidRPr="00233C30">
        <w:rPr>
          <w:color w:val="222222"/>
          <w:shd w:val="clear" w:color="auto" w:fill="FFFFFF"/>
        </w:rPr>
        <w:t xml:space="preserve">Ghani, A.A., Abdullah, N., </w:t>
      </w:r>
      <w:proofErr w:type="spellStart"/>
      <w:r w:rsidRPr="00233C30">
        <w:rPr>
          <w:color w:val="222222"/>
          <w:shd w:val="clear" w:color="auto" w:fill="FFFFFF"/>
        </w:rPr>
        <w:t>Saidur</w:t>
      </w:r>
      <w:proofErr w:type="spellEnd"/>
      <w:r w:rsidRPr="00233C30">
        <w:rPr>
          <w:color w:val="222222"/>
          <w:shd w:val="clear" w:color="auto" w:fill="FFFFFF"/>
        </w:rPr>
        <w:t>, R. and Pandey, A.K. (2025). Assessing technological-driven challenges and policies associated with electric vehicle (EV) adoption. </w:t>
      </w:r>
      <w:r w:rsidRPr="00233C30">
        <w:rPr>
          <w:i/>
          <w:iCs/>
          <w:color w:val="222222"/>
          <w:shd w:val="clear" w:color="auto" w:fill="FFFFFF"/>
        </w:rPr>
        <w:t>Transport Policy</w:t>
      </w:r>
      <w:r w:rsidRPr="00233C30">
        <w:rPr>
          <w:color w:val="222222"/>
          <w:shd w:val="clear" w:color="auto" w:fill="FFFFFF"/>
        </w:rPr>
        <w:t>, </w:t>
      </w:r>
      <w:r w:rsidRPr="00233C30">
        <w:rPr>
          <w:i/>
          <w:iCs/>
          <w:color w:val="222222"/>
          <w:shd w:val="clear" w:color="auto" w:fill="FFFFFF"/>
        </w:rPr>
        <w:t>169</w:t>
      </w:r>
      <w:r w:rsidRPr="00233C30">
        <w:rPr>
          <w:color w:val="222222"/>
          <w:shd w:val="clear" w:color="auto" w:fill="FFFFFF"/>
        </w:rPr>
        <w:t>, pp.167-177.</w:t>
      </w:r>
    </w:p>
    <w:p w14:paraId="79625FF0" w14:textId="77777777" w:rsidR="00005136" w:rsidRPr="00D65948" w:rsidRDefault="00005136" w:rsidP="00005136">
      <w:pPr>
        <w:pStyle w:val="NormalWeb"/>
        <w:spacing w:before="120" w:beforeAutospacing="0" w:after="120" w:afterAutospacing="0" w:line="360" w:lineRule="auto"/>
        <w:ind w:left="720" w:hanging="720"/>
        <w:jc w:val="both"/>
      </w:pPr>
      <w:r w:rsidRPr="00952488">
        <w:t>Gianvincenzi, M., Marconi, M., Mosconi, E.M., Favi, C. and Tola, F.</w:t>
      </w:r>
      <w:r>
        <w:t xml:space="preserve"> (</w:t>
      </w:r>
      <w:r w:rsidRPr="00952488">
        <w:t>2024</w:t>
      </w:r>
      <w:r>
        <w:t>)</w:t>
      </w:r>
      <w:r w:rsidRPr="00952488">
        <w:t>. Systematic review of battery life cycle management: a framework for European regulation compliance. </w:t>
      </w:r>
      <w:r w:rsidRPr="00952488">
        <w:rPr>
          <w:i/>
          <w:iCs/>
        </w:rPr>
        <w:t>Sustainability</w:t>
      </w:r>
      <w:r w:rsidRPr="00952488">
        <w:t>, </w:t>
      </w:r>
      <w:r w:rsidRPr="00952488">
        <w:rPr>
          <w:i/>
          <w:iCs/>
        </w:rPr>
        <w:t>16</w:t>
      </w:r>
      <w:r w:rsidRPr="00952488">
        <w:t>(22), p.10026.</w:t>
      </w:r>
    </w:p>
    <w:p w14:paraId="4E07737F" w14:textId="77777777" w:rsidR="00005136" w:rsidRDefault="00005136" w:rsidP="00005136">
      <w:pPr>
        <w:ind w:left="720" w:hanging="720"/>
      </w:pPr>
      <w:r w:rsidRPr="004F3E70">
        <w:t>Goertz, G. and Mahoney, J</w:t>
      </w:r>
      <w:r>
        <w:t>. (</w:t>
      </w:r>
      <w:r w:rsidRPr="004F3E70">
        <w:t>2012</w:t>
      </w:r>
      <w:r>
        <w:t>)</w:t>
      </w:r>
      <w:r w:rsidRPr="004F3E70">
        <w:t xml:space="preserve">. Concepts and </w:t>
      </w:r>
      <w:proofErr w:type="gramStart"/>
      <w:r w:rsidRPr="004F3E70">
        <w:t>measurement</w:t>
      </w:r>
      <w:proofErr w:type="gramEnd"/>
      <w:r w:rsidRPr="004F3E70">
        <w:t>: Ontology and epistemology. </w:t>
      </w:r>
      <w:r w:rsidRPr="004F3E70">
        <w:rPr>
          <w:i/>
          <w:iCs/>
        </w:rPr>
        <w:t>Social Science Information</w:t>
      </w:r>
      <w:r w:rsidRPr="004F3E70">
        <w:t>, </w:t>
      </w:r>
      <w:r w:rsidRPr="004F3E70">
        <w:rPr>
          <w:i/>
          <w:iCs/>
        </w:rPr>
        <w:t>51</w:t>
      </w:r>
      <w:r w:rsidRPr="004F3E70">
        <w:t>(2), pp.205-216.</w:t>
      </w:r>
    </w:p>
    <w:p w14:paraId="0EE6ABFA" w14:textId="77777777" w:rsidR="00005136" w:rsidRPr="00395D2C" w:rsidRDefault="00005136" w:rsidP="00005136">
      <w:pPr>
        <w:ind w:left="720" w:hanging="720"/>
        <w:rPr>
          <w:rFonts w:cs="Times New Roman"/>
        </w:rPr>
      </w:pPr>
      <w:r w:rsidRPr="00395D2C">
        <w:rPr>
          <w:rFonts w:eastAsia="Times New Roman" w:cs="Times New Roman"/>
        </w:rPr>
        <w:t xml:space="preserve">Gouveia, S., Daniel, Abrantes, J.L., López, A.J., Silva, E., Gouveia, E. and Santos, V. (2024). Electrifying Strategic Management: Leveraging Electric Vehicles for Sustainable Value Creation? </w:t>
      </w:r>
      <w:r w:rsidRPr="00395D2C">
        <w:rPr>
          <w:rFonts w:eastAsia="Times New Roman" w:cs="Times New Roman"/>
          <w:i/>
          <w:iCs/>
        </w:rPr>
        <w:t>Energies</w:t>
      </w:r>
      <w:r w:rsidRPr="00395D2C">
        <w:rPr>
          <w:rFonts w:eastAsia="Times New Roman" w:cs="Times New Roman"/>
        </w:rPr>
        <w:t xml:space="preserve">, [online] 17(18), pp.4581–4581. </w:t>
      </w:r>
      <w:hyperlink r:id="rId19" w:history="1">
        <w:r w:rsidRPr="00395D2C">
          <w:rPr>
            <w:rStyle w:val="Hyperlink"/>
            <w:rFonts w:eastAsia="Times New Roman" w:cs="Times New Roman"/>
          </w:rPr>
          <w:t>https://doi.org/10.3390/en17184581</w:t>
        </w:r>
      </w:hyperlink>
      <w:r w:rsidRPr="00395D2C">
        <w:rPr>
          <w:rStyle w:val="Hyperlink"/>
          <w:rFonts w:eastAsia="Times New Roman" w:cs="Times New Roman"/>
        </w:rPr>
        <w:t>.</w:t>
      </w:r>
    </w:p>
    <w:p w14:paraId="42604B52" w14:textId="77777777" w:rsidR="00005136" w:rsidRPr="00233C30" w:rsidRDefault="00005136" w:rsidP="00005136">
      <w:pPr>
        <w:pStyle w:val="NormalWeb"/>
        <w:spacing w:before="120" w:beforeAutospacing="0" w:after="120" w:afterAutospacing="0" w:line="360" w:lineRule="auto"/>
        <w:ind w:left="720" w:hanging="720"/>
        <w:jc w:val="both"/>
      </w:pPr>
      <w:r w:rsidRPr="00233C30">
        <w:t xml:space="preserve">Hopkins, E., </w:t>
      </w:r>
      <w:proofErr w:type="spellStart"/>
      <w:r w:rsidRPr="00233C30">
        <w:t>Potoglou</w:t>
      </w:r>
      <w:proofErr w:type="spellEnd"/>
      <w:r w:rsidRPr="00233C30">
        <w:t xml:space="preserve">, D., Orford, S. and Cipcigan, L. (2023). Can the equitable roll out of electric vehicle charging infrastructure be achieved? </w:t>
      </w:r>
      <w:r w:rsidRPr="00233C30">
        <w:rPr>
          <w:i/>
          <w:iCs/>
        </w:rPr>
        <w:t>Renewable and Sustainable Energy Reviews</w:t>
      </w:r>
      <w:r w:rsidRPr="00233C30">
        <w:t xml:space="preserve">, 182, pp.113398–113398. </w:t>
      </w:r>
      <w:hyperlink r:id="rId20" w:history="1">
        <w:r w:rsidRPr="00233C30">
          <w:rPr>
            <w:rStyle w:val="Hyperlink"/>
            <w:rFonts w:eastAsiaTheme="majorEastAsia"/>
          </w:rPr>
          <w:t>https://doi.org/10.1016/j.rser.2023.113398</w:t>
        </w:r>
      </w:hyperlink>
      <w:r w:rsidRPr="00233C30">
        <w:t>.</w:t>
      </w:r>
    </w:p>
    <w:p w14:paraId="033656CB" w14:textId="77777777" w:rsidR="00005136" w:rsidRPr="00233C30" w:rsidRDefault="00005136" w:rsidP="00005136">
      <w:pPr>
        <w:pStyle w:val="NormalWeb"/>
        <w:spacing w:before="120" w:beforeAutospacing="0" w:after="120" w:afterAutospacing="0" w:line="360" w:lineRule="auto"/>
        <w:ind w:left="720" w:hanging="720"/>
        <w:jc w:val="both"/>
      </w:pPr>
      <w:r w:rsidRPr="00233C30">
        <w:t xml:space="preserve">Jackson, J. (2023). </w:t>
      </w:r>
      <w:proofErr w:type="spellStart"/>
      <w:r w:rsidRPr="00233C30">
        <w:t>Decarbonisation</w:t>
      </w:r>
      <w:proofErr w:type="spellEnd"/>
      <w:r w:rsidRPr="00233C30">
        <w:t xml:space="preserve"> through </w:t>
      </w:r>
      <w:proofErr w:type="spellStart"/>
      <w:r w:rsidRPr="00233C30">
        <w:t>modernisation</w:t>
      </w:r>
      <w:proofErr w:type="spellEnd"/>
      <w:r w:rsidRPr="00233C30">
        <w:t xml:space="preserve">: The UK’s EV transition as a vehicle for industrial change. </w:t>
      </w:r>
      <w:r w:rsidRPr="00233C30">
        <w:rPr>
          <w:i/>
          <w:iCs/>
        </w:rPr>
        <w:t>Competition &amp; Change</w:t>
      </w:r>
      <w:r w:rsidRPr="00233C30">
        <w:t xml:space="preserve">, 28(2). </w:t>
      </w:r>
      <w:hyperlink r:id="rId21" w:history="1">
        <w:r w:rsidRPr="00233C30">
          <w:rPr>
            <w:rStyle w:val="Hyperlink"/>
            <w:rFonts w:eastAsiaTheme="majorEastAsia"/>
          </w:rPr>
          <w:t>https://doi.org/10.1177/10245294231223320</w:t>
        </w:r>
      </w:hyperlink>
      <w:r w:rsidRPr="00233C30">
        <w:t>.</w:t>
      </w:r>
    </w:p>
    <w:p w14:paraId="56AC6098" w14:textId="77777777" w:rsidR="00005136" w:rsidRPr="00395D2C" w:rsidRDefault="00005136" w:rsidP="00005136">
      <w:pPr>
        <w:ind w:left="720" w:hanging="720"/>
        <w:rPr>
          <w:rFonts w:eastAsia="Times New Roman" w:cs="Times New Roman"/>
        </w:rPr>
      </w:pPr>
      <w:r w:rsidRPr="00395D2C">
        <w:rPr>
          <w:rFonts w:eastAsia="Times New Roman" w:cs="Times New Roman"/>
        </w:rPr>
        <w:t xml:space="preserve">Javanmardi, E., Hoque, M., Tauheed, A. and Umar, M. (2023). Evaluating the Factors Affecting Electric Vehicles Adoption Considering the Sustainable Development Level. </w:t>
      </w:r>
      <w:r w:rsidRPr="00395D2C">
        <w:rPr>
          <w:rFonts w:eastAsia="Times New Roman" w:cs="Times New Roman"/>
          <w:i/>
          <w:iCs/>
        </w:rPr>
        <w:t>World Electric Vehicle Journal</w:t>
      </w:r>
      <w:r w:rsidRPr="00395D2C">
        <w:rPr>
          <w:rFonts w:eastAsia="Times New Roman" w:cs="Times New Roman"/>
        </w:rPr>
        <w:t xml:space="preserve">, 14(5), p.120. </w:t>
      </w:r>
      <w:hyperlink r:id="rId22" w:history="1">
        <w:r w:rsidRPr="00395D2C">
          <w:rPr>
            <w:rStyle w:val="Hyperlink"/>
            <w:rFonts w:eastAsia="Times New Roman" w:cs="Times New Roman"/>
          </w:rPr>
          <w:t>https://doi.org/10.3390/wevj14050120</w:t>
        </w:r>
      </w:hyperlink>
      <w:r w:rsidRPr="00395D2C">
        <w:rPr>
          <w:rFonts w:eastAsia="Times New Roman" w:cs="Times New Roman"/>
        </w:rPr>
        <w:t>.</w:t>
      </w:r>
    </w:p>
    <w:p w14:paraId="2E027F90" w14:textId="77777777" w:rsidR="00005136" w:rsidRDefault="00005136" w:rsidP="00005136">
      <w:pPr>
        <w:ind w:left="720" w:hanging="720"/>
      </w:pPr>
      <w:r w:rsidRPr="00377073">
        <w:t>Jia, R.M. and Stern, C.</w:t>
      </w:r>
      <w:r>
        <w:t xml:space="preserve"> (</w:t>
      </w:r>
      <w:r w:rsidRPr="00377073">
        <w:t>2026</w:t>
      </w:r>
      <w:r>
        <w:t>)</w:t>
      </w:r>
      <w:r w:rsidRPr="00377073">
        <w:t>. The inclusion or exclusion of studies based on critical appraisal results in JBI qualitative systematic reviews: An analysis of practices. </w:t>
      </w:r>
      <w:r w:rsidRPr="00377073">
        <w:rPr>
          <w:i/>
          <w:iCs/>
        </w:rPr>
        <w:t>Research Synthesis Methods</w:t>
      </w:r>
      <w:r w:rsidRPr="00377073">
        <w:t>, </w:t>
      </w:r>
      <w:r w:rsidRPr="00377073">
        <w:rPr>
          <w:i/>
          <w:iCs/>
        </w:rPr>
        <w:t>17</w:t>
      </w:r>
      <w:r w:rsidRPr="00377073">
        <w:t>(2), pp.277-292.</w:t>
      </w:r>
    </w:p>
    <w:p w14:paraId="30E487B6" w14:textId="77777777" w:rsidR="00005136" w:rsidRPr="00233C30" w:rsidRDefault="00005136" w:rsidP="00005136">
      <w:pPr>
        <w:pStyle w:val="NormalWeb"/>
        <w:spacing w:before="120" w:beforeAutospacing="0" w:after="120" w:afterAutospacing="0" w:line="360" w:lineRule="auto"/>
        <w:ind w:left="720" w:hanging="720"/>
        <w:jc w:val="both"/>
      </w:pPr>
      <w:r w:rsidRPr="00233C30">
        <w:t xml:space="preserve">Khader, M., Wilson, R.E. and </w:t>
      </w:r>
      <w:proofErr w:type="spellStart"/>
      <w:r w:rsidRPr="00233C30">
        <w:t>Tryfonas</w:t>
      </w:r>
      <w:proofErr w:type="spellEnd"/>
      <w:r w:rsidRPr="00233C30">
        <w:t xml:space="preserve">, T. (2025). Factors influencing the spatial distribution of EV adoption – a case study in England. </w:t>
      </w:r>
      <w:r w:rsidRPr="00233C30">
        <w:rPr>
          <w:i/>
          <w:iCs/>
        </w:rPr>
        <w:t>Transportation Planning and Technology</w:t>
      </w:r>
      <w:r w:rsidRPr="00233C30">
        <w:t xml:space="preserve">, 48(4), pp.1–19. </w:t>
      </w:r>
      <w:hyperlink r:id="rId23" w:history="1">
        <w:r w:rsidRPr="00233C30">
          <w:rPr>
            <w:rStyle w:val="Hyperlink"/>
            <w:rFonts w:eastAsiaTheme="majorEastAsia"/>
          </w:rPr>
          <w:t>https://doi.org/10.1080/03081060.2024.2449127</w:t>
        </w:r>
      </w:hyperlink>
      <w:r w:rsidRPr="00233C30">
        <w:t>.</w:t>
      </w:r>
    </w:p>
    <w:p w14:paraId="4A372722" w14:textId="77777777" w:rsidR="00005136" w:rsidRDefault="00005136" w:rsidP="00005136">
      <w:pPr>
        <w:ind w:left="720" w:hanging="720"/>
      </w:pPr>
      <w:r w:rsidRPr="00377073">
        <w:lastRenderedPageBreak/>
        <w:t>Khurshid, A., Khan, K. and Cifuentes-Faura, J.</w:t>
      </w:r>
      <w:r>
        <w:t xml:space="preserve"> (</w:t>
      </w:r>
      <w:r w:rsidRPr="00377073">
        <w:t>2023</w:t>
      </w:r>
      <w:r>
        <w:t>)</w:t>
      </w:r>
      <w:r w:rsidRPr="00377073">
        <w:t xml:space="preserve">. 2030 Agenda of sustainable transport: Can current progress lead towards carbon </w:t>
      </w:r>
      <w:proofErr w:type="gramStart"/>
      <w:r w:rsidRPr="00377073">
        <w:t>neutrality?.</w:t>
      </w:r>
      <w:proofErr w:type="gramEnd"/>
      <w:r w:rsidRPr="00377073">
        <w:t> </w:t>
      </w:r>
      <w:r w:rsidRPr="00377073">
        <w:rPr>
          <w:i/>
          <w:iCs/>
        </w:rPr>
        <w:t>Transportation Research Part D: Transport and Environment</w:t>
      </w:r>
      <w:r w:rsidRPr="00377073">
        <w:t>, </w:t>
      </w:r>
      <w:r w:rsidRPr="00377073">
        <w:rPr>
          <w:i/>
          <w:iCs/>
        </w:rPr>
        <w:t>122</w:t>
      </w:r>
      <w:r w:rsidRPr="00377073">
        <w:t>, p.103869.</w:t>
      </w:r>
    </w:p>
    <w:p w14:paraId="40E53146" w14:textId="77777777" w:rsidR="00005136" w:rsidRDefault="00005136" w:rsidP="00005136">
      <w:pPr>
        <w:ind w:left="720" w:hanging="720"/>
      </w:pPr>
      <w:r w:rsidRPr="00377073">
        <w:t>Krannich, A.L. and Reiser, D.</w:t>
      </w:r>
      <w:r>
        <w:t xml:space="preserve"> (</w:t>
      </w:r>
      <w:r w:rsidRPr="00377073">
        <w:t>2023</w:t>
      </w:r>
      <w:r>
        <w:t>)</w:t>
      </w:r>
      <w:r w:rsidRPr="00377073">
        <w:t>. United nations sustainable development goals 2030, the. In </w:t>
      </w:r>
      <w:r w:rsidRPr="00377073">
        <w:rPr>
          <w:i/>
          <w:iCs/>
        </w:rPr>
        <w:t>Encyclopedia of sustainable management</w:t>
      </w:r>
      <w:r w:rsidRPr="00377073">
        <w:t> (pp. 3862-3867). Cham: Springer International Publishing.</w:t>
      </w:r>
    </w:p>
    <w:p w14:paraId="33A00FD0" w14:textId="77777777" w:rsidR="00005136" w:rsidRPr="00233C30" w:rsidRDefault="00005136" w:rsidP="00005136">
      <w:pPr>
        <w:pStyle w:val="NormalWeb"/>
        <w:spacing w:before="120" w:beforeAutospacing="0" w:after="120" w:afterAutospacing="0" w:line="360" w:lineRule="auto"/>
        <w:ind w:left="720" w:hanging="720"/>
        <w:jc w:val="both"/>
      </w:pPr>
      <w:r w:rsidRPr="00233C30">
        <w:t xml:space="preserve">Kumar, R.R. and Alok, K. (2020). Adoption of electric vehicle: A literature review and prospects for sustainability. </w:t>
      </w:r>
      <w:r w:rsidRPr="00233C30">
        <w:rPr>
          <w:i/>
          <w:iCs/>
        </w:rPr>
        <w:t>Journal of Cleaner Production</w:t>
      </w:r>
      <w:r w:rsidRPr="00233C30">
        <w:t xml:space="preserve">, [online] 253(1), p.119911. </w:t>
      </w:r>
      <w:hyperlink r:id="rId24" w:history="1">
        <w:r w:rsidRPr="00233C30">
          <w:rPr>
            <w:rStyle w:val="Hyperlink"/>
            <w:rFonts w:eastAsiaTheme="majorEastAsia"/>
          </w:rPr>
          <w:t>https://doi.org/10.1016/j.jclepro.2019.119911</w:t>
        </w:r>
      </w:hyperlink>
      <w:r w:rsidRPr="00233C30">
        <w:t>.</w:t>
      </w:r>
    </w:p>
    <w:p w14:paraId="1E8B800C" w14:textId="77777777" w:rsidR="00005136" w:rsidRPr="00395D2C" w:rsidRDefault="00005136" w:rsidP="00005136">
      <w:pPr>
        <w:ind w:left="720" w:hanging="720"/>
        <w:rPr>
          <w:rFonts w:eastAsia="Times New Roman" w:cs="Times New Roman"/>
        </w:rPr>
      </w:pPr>
      <w:r w:rsidRPr="00395D2C">
        <w:rPr>
          <w:rFonts w:eastAsia="Times New Roman" w:cs="Times New Roman"/>
        </w:rPr>
        <w:t xml:space="preserve">Lipu, M.S.H., Mamun, A.A., Ansari, S., Miah, M.S., Hasan, K., Meraj, S.T., Abdolrasol, M.G.M., Rahman, T., Maruf, M.H., Sarker, M.R., </w:t>
      </w:r>
      <w:proofErr w:type="spellStart"/>
      <w:r w:rsidRPr="00395D2C">
        <w:rPr>
          <w:rFonts w:eastAsia="Times New Roman" w:cs="Times New Roman"/>
        </w:rPr>
        <w:t>Aljanad</w:t>
      </w:r>
      <w:proofErr w:type="spellEnd"/>
      <w:r w:rsidRPr="00395D2C">
        <w:rPr>
          <w:rFonts w:eastAsia="Times New Roman" w:cs="Times New Roman"/>
        </w:rPr>
        <w:t xml:space="preserve">, A. and Tan, N.M.L. (2022). Battery Management, Key Technologies, Methods, Issues, and Future Trends of Electric Vehicles: A Pathway toward Achieving Sustainable Development Goals. </w:t>
      </w:r>
      <w:r w:rsidRPr="00395D2C">
        <w:rPr>
          <w:rFonts w:eastAsia="Times New Roman" w:cs="Times New Roman"/>
          <w:i/>
          <w:iCs/>
        </w:rPr>
        <w:t>Batteries</w:t>
      </w:r>
      <w:r w:rsidRPr="00395D2C">
        <w:rPr>
          <w:rFonts w:eastAsia="Times New Roman" w:cs="Times New Roman"/>
        </w:rPr>
        <w:t xml:space="preserve">, [online] 8(9), p.119. </w:t>
      </w:r>
      <w:hyperlink r:id="rId25" w:history="1">
        <w:r w:rsidRPr="00395D2C">
          <w:rPr>
            <w:rStyle w:val="Hyperlink"/>
            <w:rFonts w:eastAsia="Times New Roman" w:cs="Times New Roman"/>
          </w:rPr>
          <w:t>https://doi.org/10.3390/batteries8090119</w:t>
        </w:r>
      </w:hyperlink>
      <w:r w:rsidRPr="00395D2C">
        <w:rPr>
          <w:rFonts w:eastAsia="Times New Roman" w:cs="Times New Roman"/>
        </w:rPr>
        <w:t>.</w:t>
      </w:r>
    </w:p>
    <w:p w14:paraId="68BC0BE5" w14:textId="77777777" w:rsidR="00005136" w:rsidRDefault="00005136" w:rsidP="00005136">
      <w:pPr>
        <w:ind w:left="720" w:hanging="720"/>
      </w:pPr>
      <w:r w:rsidRPr="00952488">
        <w:t>Lowndes, V. and Gardner, A.</w:t>
      </w:r>
      <w:r>
        <w:t xml:space="preserve"> (</w:t>
      </w:r>
      <w:r w:rsidRPr="00952488">
        <w:t>2016</w:t>
      </w:r>
      <w:r>
        <w:t>)</w:t>
      </w:r>
      <w:r w:rsidRPr="00952488">
        <w:t>. Local governance under the conservatives: Super-austerity, devolution and the ‘smarter state’. </w:t>
      </w:r>
      <w:r w:rsidRPr="00952488">
        <w:rPr>
          <w:i/>
          <w:iCs/>
        </w:rPr>
        <w:t>Local government studies</w:t>
      </w:r>
      <w:r w:rsidRPr="00952488">
        <w:t>, </w:t>
      </w:r>
      <w:r w:rsidRPr="00952488">
        <w:rPr>
          <w:i/>
          <w:iCs/>
        </w:rPr>
        <w:t>42</w:t>
      </w:r>
      <w:r w:rsidRPr="00952488">
        <w:t>(3), pp.357-375.</w:t>
      </w:r>
    </w:p>
    <w:p w14:paraId="11215199" w14:textId="77777777" w:rsidR="00005136" w:rsidRPr="00233C30" w:rsidRDefault="00005136" w:rsidP="00005136">
      <w:pPr>
        <w:pStyle w:val="NormalWeb"/>
        <w:spacing w:before="120" w:beforeAutospacing="0" w:after="120" w:afterAutospacing="0" w:line="360" w:lineRule="auto"/>
        <w:ind w:left="720" w:hanging="720"/>
        <w:jc w:val="both"/>
        <w:rPr>
          <w:color w:val="222222"/>
          <w:shd w:val="clear" w:color="auto" w:fill="FFFFFF"/>
        </w:rPr>
      </w:pPr>
      <w:proofErr w:type="spellStart"/>
      <w:r w:rsidRPr="00233C30">
        <w:rPr>
          <w:color w:val="222222"/>
          <w:shd w:val="clear" w:color="auto" w:fill="FFFFFF"/>
        </w:rPr>
        <w:t>Meelen</w:t>
      </w:r>
      <w:proofErr w:type="spellEnd"/>
      <w:r w:rsidRPr="00233C30">
        <w:rPr>
          <w:color w:val="222222"/>
          <w:shd w:val="clear" w:color="auto" w:fill="FFFFFF"/>
        </w:rPr>
        <w:t>, T. and Schwanen, T. (2023). Organizations as users in sustainability transitions: Embedding Vehicle-to-Grid technology in the United Kingdom. </w:t>
      </w:r>
      <w:r w:rsidRPr="00233C30">
        <w:rPr>
          <w:i/>
          <w:iCs/>
          <w:color w:val="222222"/>
          <w:shd w:val="clear" w:color="auto" w:fill="FFFFFF"/>
        </w:rPr>
        <w:t>Energy Research &amp; Social Science</w:t>
      </w:r>
      <w:r w:rsidRPr="00233C30">
        <w:rPr>
          <w:color w:val="222222"/>
          <w:shd w:val="clear" w:color="auto" w:fill="FFFFFF"/>
        </w:rPr>
        <w:t>, </w:t>
      </w:r>
      <w:r w:rsidRPr="00233C30">
        <w:rPr>
          <w:i/>
          <w:iCs/>
          <w:color w:val="222222"/>
          <w:shd w:val="clear" w:color="auto" w:fill="FFFFFF"/>
        </w:rPr>
        <w:t>106</w:t>
      </w:r>
      <w:r w:rsidRPr="00233C30">
        <w:rPr>
          <w:color w:val="222222"/>
          <w:shd w:val="clear" w:color="auto" w:fill="FFFFFF"/>
        </w:rPr>
        <w:t>, p.103303.</w:t>
      </w:r>
    </w:p>
    <w:p w14:paraId="4644024B" w14:textId="77777777" w:rsidR="00005136" w:rsidRDefault="00005136" w:rsidP="00005136">
      <w:pPr>
        <w:ind w:left="720" w:hanging="720"/>
      </w:pPr>
      <w:r w:rsidRPr="00377073">
        <w:t xml:space="preserve">Page, M.J., McKenzie, J.E., Bossuyt, P.M., </w:t>
      </w:r>
      <w:proofErr w:type="spellStart"/>
      <w:r w:rsidRPr="00377073">
        <w:t>Boutron</w:t>
      </w:r>
      <w:proofErr w:type="spellEnd"/>
      <w:r w:rsidRPr="00377073">
        <w:t xml:space="preserve">, I., Hoffmann, T.C., Mulrow, C.D., </w:t>
      </w:r>
      <w:proofErr w:type="spellStart"/>
      <w:r w:rsidRPr="00377073">
        <w:t>Shamseer</w:t>
      </w:r>
      <w:proofErr w:type="spellEnd"/>
      <w:r w:rsidRPr="00377073">
        <w:t>, L., Tetzlaff, J.M., Akl, E.A., Brennan, S.E. and Chou, R.</w:t>
      </w:r>
      <w:r>
        <w:t xml:space="preserve"> (</w:t>
      </w:r>
      <w:r w:rsidRPr="00377073">
        <w:t>2021</w:t>
      </w:r>
      <w:r>
        <w:t>)</w:t>
      </w:r>
      <w:r w:rsidRPr="00377073">
        <w:t>. The PRISMA 2020 statement: an updated guideline for reporting systematic reviews. </w:t>
      </w:r>
      <w:proofErr w:type="spellStart"/>
      <w:r w:rsidRPr="00377073">
        <w:rPr>
          <w:i/>
          <w:iCs/>
        </w:rPr>
        <w:t>bmj</w:t>
      </w:r>
      <w:proofErr w:type="spellEnd"/>
      <w:r w:rsidRPr="00377073">
        <w:t>, </w:t>
      </w:r>
      <w:r w:rsidRPr="00377073">
        <w:rPr>
          <w:i/>
          <w:iCs/>
        </w:rPr>
        <w:t>372</w:t>
      </w:r>
      <w:r w:rsidRPr="00377073">
        <w:t>.</w:t>
      </w:r>
    </w:p>
    <w:p w14:paraId="3A18DB6D" w14:textId="77777777" w:rsidR="00005136" w:rsidRDefault="00005136" w:rsidP="00005136">
      <w:pPr>
        <w:pStyle w:val="NormalWeb"/>
        <w:spacing w:before="120" w:beforeAutospacing="0" w:after="120" w:afterAutospacing="0" w:line="360" w:lineRule="auto"/>
        <w:ind w:left="720" w:hanging="720"/>
        <w:jc w:val="both"/>
      </w:pPr>
      <w:r w:rsidRPr="00C15A22">
        <w:t xml:space="preserve">Palit, T., Bari, A.M. and </w:t>
      </w:r>
      <w:proofErr w:type="spellStart"/>
      <w:r w:rsidRPr="00C15A22">
        <w:t>Karmaker</w:t>
      </w:r>
      <w:proofErr w:type="spellEnd"/>
      <w:r w:rsidRPr="00C15A22">
        <w:t>, C.L.</w:t>
      </w:r>
      <w:r>
        <w:t xml:space="preserve"> (</w:t>
      </w:r>
      <w:r w:rsidRPr="00C15A22">
        <w:t>2022</w:t>
      </w:r>
      <w:r>
        <w:t>)</w:t>
      </w:r>
      <w:r w:rsidRPr="00C15A22">
        <w:t>. An integrated Principal Component Analysis and Interpretive Structural Modeling approach for electric vehicle adoption decisions in sustainable transportation systems. </w:t>
      </w:r>
      <w:r w:rsidRPr="00C15A22">
        <w:rPr>
          <w:i/>
          <w:iCs/>
        </w:rPr>
        <w:t>Decision Analytics Journal</w:t>
      </w:r>
      <w:r w:rsidRPr="00C15A22">
        <w:t>, </w:t>
      </w:r>
      <w:r w:rsidRPr="00C15A22">
        <w:rPr>
          <w:i/>
          <w:iCs/>
        </w:rPr>
        <w:t>4</w:t>
      </w:r>
      <w:r w:rsidRPr="00C15A22">
        <w:t>, p.100119.</w:t>
      </w:r>
    </w:p>
    <w:p w14:paraId="66A6B8D1" w14:textId="77777777" w:rsidR="00005136" w:rsidRDefault="00005136" w:rsidP="00005136">
      <w:pPr>
        <w:ind w:left="720" w:hanging="720"/>
      </w:pPr>
      <w:r w:rsidRPr="00377073">
        <w:t>Patil, G., Pode, G., Diouf, B. and Pode, R.</w:t>
      </w:r>
      <w:r>
        <w:t xml:space="preserve"> (</w:t>
      </w:r>
      <w:r w:rsidRPr="00377073">
        <w:t>2024</w:t>
      </w:r>
      <w:r>
        <w:t>)</w:t>
      </w:r>
      <w:r w:rsidRPr="00377073">
        <w:t xml:space="preserve">. Sustainable decarbonization of road transport: policies, </w:t>
      </w:r>
      <w:proofErr w:type="gramStart"/>
      <w:r w:rsidRPr="00377073">
        <w:t>current status</w:t>
      </w:r>
      <w:proofErr w:type="gramEnd"/>
      <w:r w:rsidRPr="00377073">
        <w:t>, and challenges of electric vehicles. </w:t>
      </w:r>
      <w:r w:rsidRPr="00377073">
        <w:rPr>
          <w:i/>
          <w:iCs/>
        </w:rPr>
        <w:t>Sustainability</w:t>
      </w:r>
      <w:r w:rsidRPr="00377073">
        <w:t>, </w:t>
      </w:r>
      <w:r w:rsidRPr="00377073">
        <w:rPr>
          <w:i/>
          <w:iCs/>
        </w:rPr>
        <w:t>16</w:t>
      </w:r>
      <w:r w:rsidRPr="00377073">
        <w:t>(18), p.8058.</w:t>
      </w:r>
    </w:p>
    <w:p w14:paraId="250D0A10" w14:textId="77777777" w:rsidR="00005136" w:rsidRDefault="00005136" w:rsidP="00005136">
      <w:pPr>
        <w:ind w:left="720" w:hanging="720"/>
      </w:pPr>
      <w:r w:rsidRPr="00791682">
        <w:lastRenderedPageBreak/>
        <w:t xml:space="preserve">Pemberton, S., </w:t>
      </w:r>
      <w:proofErr w:type="spellStart"/>
      <w:r w:rsidRPr="00791682">
        <w:t>Nobajas</w:t>
      </w:r>
      <w:proofErr w:type="spellEnd"/>
      <w:r w:rsidRPr="00791682">
        <w:t>, A. and Waller, R.</w:t>
      </w:r>
      <w:r>
        <w:t xml:space="preserve"> (</w:t>
      </w:r>
      <w:r w:rsidRPr="00791682">
        <w:t>2021</w:t>
      </w:r>
      <w:r>
        <w:t>)</w:t>
      </w:r>
      <w:r w:rsidRPr="00791682">
        <w:t>. Rapid charging provision, multiplicity and battery electric vehicle (BEV) mobility in the UK. </w:t>
      </w:r>
      <w:r w:rsidRPr="00791682">
        <w:rPr>
          <w:i/>
          <w:iCs/>
        </w:rPr>
        <w:t>Journal of Transport Geography</w:t>
      </w:r>
      <w:r w:rsidRPr="00791682">
        <w:t>, </w:t>
      </w:r>
      <w:r w:rsidRPr="00791682">
        <w:rPr>
          <w:i/>
          <w:iCs/>
        </w:rPr>
        <w:t>95</w:t>
      </w:r>
      <w:r w:rsidRPr="00791682">
        <w:t>, p.103137.</w:t>
      </w:r>
    </w:p>
    <w:p w14:paraId="0047BD04" w14:textId="77777777" w:rsidR="00005136" w:rsidRDefault="00005136" w:rsidP="00005136">
      <w:pPr>
        <w:ind w:left="720" w:hanging="720"/>
      </w:pPr>
      <w:bookmarkStart w:id="38" w:name="_Hlk235311545"/>
      <w:proofErr w:type="spellStart"/>
      <w:r w:rsidRPr="004F3E70">
        <w:t>Picoto</w:t>
      </w:r>
      <w:proofErr w:type="spellEnd"/>
      <w:r w:rsidRPr="004F3E70">
        <w:t>, W.N., Bélanger, F. and Palma-dos-Reis</w:t>
      </w:r>
      <w:bookmarkEnd w:id="38"/>
      <w:r w:rsidRPr="004F3E70">
        <w:t>, A</w:t>
      </w:r>
      <w:r>
        <w:t>. (</w:t>
      </w:r>
      <w:r w:rsidRPr="004F3E70">
        <w:t>2014</w:t>
      </w:r>
      <w:r>
        <w:t>)</w:t>
      </w:r>
      <w:r w:rsidRPr="004F3E70">
        <w:t>. A technology–</w:t>
      </w:r>
      <w:proofErr w:type="spellStart"/>
      <w:r w:rsidRPr="004F3E70">
        <w:t>organisation</w:t>
      </w:r>
      <w:proofErr w:type="spellEnd"/>
      <w:r w:rsidRPr="004F3E70">
        <w:t>–environment (TOE)-based m-business value instrument. </w:t>
      </w:r>
      <w:r w:rsidRPr="004F3E70">
        <w:rPr>
          <w:i/>
          <w:iCs/>
        </w:rPr>
        <w:t>International Journal of Mobile Communications</w:t>
      </w:r>
      <w:r w:rsidRPr="004F3E70">
        <w:t>, </w:t>
      </w:r>
      <w:r w:rsidRPr="004F3E70">
        <w:rPr>
          <w:i/>
          <w:iCs/>
        </w:rPr>
        <w:t>12</w:t>
      </w:r>
      <w:r w:rsidRPr="004F3E70">
        <w:t>(1), pp.78-101.</w:t>
      </w:r>
    </w:p>
    <w:p w14:paraId="5B2AF494" w14:textId="77777777" w:rsidR="00005136" w:rsidRPr="00395D2C" w:rsidRDefault="00005136" w:rsidP="00005136">
      <w:pPr>
        <w:ind w:left="720" w:hanging="720"/>
        <w:rPr>
          <w:rFonts w:eastAsia="Times New Roman" w:cs="Times New Roman"/>
        </w:rPr>
      </w:pPr>
      <w:r w:rsidRPr="00395D2C">
        <w:rPr>
          <w:rFonts w:cs="Times New Roman"/>
          <w:color w:val="222222"/>
          <w:shd w:val="clear" w:color="auto" w:fill="FFFFFF"/>
        </w:rPr>
        <w:t xml:space="preserve">Pozo-Burgos, E.J., </w:t>
      </w:r>
      <w:proofErr w:type="spellStart"/>
      <w:r w:rsidRPr="00395D2C">
        <w:rPr>
          <w:rFonts w:cs="Times New Roman"/>
          <w:color w:val="222222"/>
          <w:shd w:val="clear" w:color="auto" w:fill="FFFFFF"/>
        </w:rPr>
        <w:t>Alpala</w:t>
      </w:r>
      <w:proofErr w:type="spellEnd"/>
      <w:r w:rsidRPr="00395D2C">
        <w:rPr>
          <w:rFonts w:cs="Times New Roman"/>
          <w:color w:val="222222"/>
          <w:shd w:val="clear" w:color="auto" w:fill="FFFFFF"/>
        </w:rPr>
        <w:t>, L.O. and Heredia-</w:t>
      </w:r>
      <w:proofErr w:type="spellStart"/>
      <w:r w:rsidRPr="00395D2C">
        <w:rPr>
          <w:rFonts w:cs="Times New Roman"/>
          <w:color w:val="222222"/>
          <w:shd w:val="clear" w:color="auto" w:fill="FFFFFF"/>
        </w:rPr>
        <w:t>Campaña</w:t>
      </w:r>
      <w:proofErr w:type="spellEnd"/>
      <w:r w:rsidRPr="00395D2C">
        <w:rPr>
          <w:rFonts w:cs="Times New Roman"/>
          <w:color w:val="222222"/>
          <w:shd w:val="clear" w:color="auto" w:fill="FFFFFF"/>
        </w:rPr>
        <w:t>, A.L. (2026). Electric Mobility Transition, Intelligent Digital Platforms, and Grid–Vehicle Integration Models: A Systematic Review. </w:t>
      </w:r>
      <w:r w:rsidRPr="00395D2C">
        <w:rPr>
          <w:rFonts w:cs="Times New Roman"/>
          <w:i/>
          <w:iCs/>
          <w:color w:val="222222"/>
          <w:shd w:val="clear" w:color="auto" w:fill="FFFFFF"/>
        </w:rPr>
        <w:t>World Electric Vehicle Journal</w:t>
      </w:r>
      <w:r w:rsidRPr="00395D2C">
        <w:rPr>
          <w:rFonts w:cs="Times New Roman"/>
          <w:color w:val="222222"/>
          <w:shd w:val="clear" w:color="auto" w:fill="FFFFFF"/>
        </w:rPr>
        <w:t>, </w:t>
      </w:r>
      <w:r w:rsidRPr="00395D2C">
        <w:rPr>
          <w:rFonts w:cs="Times New Roman"/>
          <w:i/>
          <w:iCs/>
          <w:color w:val="222222"/>
          <w:shd w:val="clear" w:color="auto" w:fill="FFFFFF"/>
        </w:rPr>
        <w:t>17</w:t>
      </w:r>
      <w:r w:rsidRPr="00395D2C">
        <w:rPr>
          <w:rFonts w:cs="Times New Roman"/>
          <w:color w:val="222222"/>
          <w:shd w:val="clear" w:color="auto" w:fill="FFFFFF"/>
        </w:rPr>
        <w:t>(3), p.123.</w:t>
      </w:r>
    </w:p>
    <w:p w14:paraId="19F5BF77" w14:textId="77777777" w:rsidR="00005136" w:rsidRDefault="00005136" w:rsidP="00005136">
      <w:pPr>
        <w:ind w:left="720" w:hanging="720"/>
      </w:pPr>
      <w:r w:rsidRPr="00377073">
        <w:t>Remington, R.</w:t>
      </w:r>
      <w:r>
        <w:t xml:space="preserve"> (</w:t>
      </w:r>
      <w:r w:rsidRPr="00377073">
        <w:t>2020</w:t>
      </w:r>
      <w:r>
        <w:t>)</w:t>
      </w:r>
      <w:r w:rsidRPr="00377073">
        <w:t>. Quality appraisal. In </w:t>
      </w:r>
      <w:r w:rsidRPr="00377073">
        <w:rPr>
          <w:i/>
          <w:iCs/>
        </w:rPr>
        <w:t>A step-by-step guide to conducting an integrative review</w:t>
      </w:r>
      <w:r w:rsidRPr="00377073">
        <w:t> (pp. 45-55). Cham: Springer International Publishing.</w:t>
      </w:r>
    </w:p>
    <w:p w14:paraId="03BEF719" w14:textId="77777777" w:rsidR="00005136" w:rsidRDefault="00005136" w:rsidP="00005136">
      <w:pPr>
        <w:pStyle w:val="NormalWeb"/>
        <w:spacing w:before="120" w:beforeAutospacing="0" w:after="120" w:afterAutospacing="0" w:line="360" w:lineRule="auto"/>
        <w:ind w:left="720" w:hanging="720"/>
        <w:jc w:val="both"/>
      </w:pPr>
      <w:r w:rsidRPr="00C96BB7">
        <w:t>Salari, N.</w:t>
      </w:r>
      <w:r>
        <w:t xml:space="preserve"> (</w:t>
      </w:r>
      <w:r w:rsidRPr="00C96BB7">
        <w:t>2022</w:t>
      </w:r>
      <w:r>
        <w:t>)</w:t>
      </w:r>
      <w:r w:rsidRPr="00C96BB7">
        <w:t xml:space="preserve">. Electric vehicles adoption </w:t>
      </w:r>
      <w:proofErr w:type="spellStart"/>
      <w:r w:rsidRPr="00C96BB7">
        <w:t>behaviour</w:t>
      </w:r>
      <w:proofErr w:type="spellEnd"/>
      <w:r w:rsidRPr="00C96BB7">
        <w:t xml:space="preserve">: </w:t>
      </w:r>
      <w:proofErr w:type="spellStart"/>
      <w:r w:rsidRPr="00C96BB7">
        <w:t>Synthesising</w:t>
      </w:r>
      <w:proofErr w:type="spellEnd"/>
      <w:r w:rsidRPr="00C96BB7">
        <w:t xml:space="preserve"> the technology readiness index with environmentalism values and instrumental attributes. </w:t>
      </w:r>
      <w:r w:rsidRPr="00C96BB7">
        <w:rPr>
          <w:i/>
          <w:iCs/>
        </w:rPr>
        <w:t>Transportation Research Part A: Policy and Practice</w:t>
      </w:r>
      <w:r w:rsidRPr="00C96BB7">
        <w:t>, </w:t>
      </w:r>
      <w:r w:rsidRPr="00C96BB7">
        <w:rPr>
          <w:i/>
          <w:iCs/>
        </w:rPr>
        <w:t>164</w:t>
      </w:r>
      <w:r w:rsidRPr="00C96BB7">
        <w:t>, pp.60-81.</w:t>
      </w:r>
    </w:p>
    <w:p w14:paraId="501A3CC4" w14:textId="77777777" w:rsidR="00005136" w:rsidRDefault="00005136" w:rsidP="00005136">
      <w:pPr>
        <w:ind w:left="720" w:hanging="720"/>
      </w:pPr>
      <w:r w:rsidRPr="00377073">
        <w:t xml:space="preserve">Savolainen, R. </w:t>
      </w:r>
      <w:r>
        <w:t>(</w:t>
      </w:r>
      <w:r w:rsidRPr="00377073">
        <w:t>2016</w:t>
      </w:r>
      <w:r>
        <w:t>)</w:t>
      </w:r>
      <w:r w:rsidRPr="00377073">
        <w:t>. Information seeking and searching strategies as plans and patterns of action: A conceptual analysis. </w:t>
      </w:r>
      <w:r w:rsidRPr="00377073">
        <w:rPr>
          <w:i/>
          <w:iCs/>
        </w:rPr>
        <w:t>Journal of Documentation</w:t>
      </w:r>
      <w:r w:rsidRPr="00377073">
        <w:t>, </w:t>
      </w:r>
      <w:r w:rsidRPr="00377073">
        <w:rPr>
          <w:i/>
          <w:iCs/>
        </w:rPr>
        <w:t>72</w:t>
      </w:r>
      <w:r w:rsidRPr="00377073">
        <w:t>(6), pp.1154-1180.</w:t>
      </w:r>
    </w:p>
    <w:p w14:paraId="199A1E5F" w14:textId="77777777" w:rsidR="00005136" w:rsidRDefault="00005136" w:rsidP="00005136">
      <w:pPr>
        <w:pStyle w:val="NormalWeb"/>
        <w:spacing w:before="120" w:beforeAutospacing="0" w:after="120" w:afterAutospacing="0" w:line="360" w:lineRule="auto"/>
        <w:ind w:left="720" w:hanging="720"/>
        <w:jc w:val="both"/>
      </w:pPr>
      <w:r w:rsidRPr="00C15A22">
        <w:t>See Wei, C. and Homer, S.T.</w:t>
      </w:r>
      <w:r>
        <w:t xml:space="preserve"> (</w:t>
      </w:r>
      <w:r w:rsidRPr="00C15A22">
        <w:t>2025</w:t>
      </w:r>
      <w:r>
        <w:t>)</w:t>
      </w:r>
      <w:r w:rsidRPr="00C15A22">
        <w:t>. Sustainability in emerging markets: how familiarity shapes consumer experiences in the EV industry through a consumer culture Theory perspective in Malaysia. </w:t>
      </w:r>
      <w:r w:rsidRPr="00C15A22">
        <w:rPr>
          <w:i/>
          <w:iCs/>
        </w:rPr>
        <w:t>Asia Pacific Business Review</w:t>
      </w:r>
      <w:r w:rsidRPr="00C15A22">
        <w:t>, pp.1-24.</w:t>
      </w:r>
    </w:p>
    <w:p w14:paraId="488BDCF5" w14:textId="77777777" w:rsidR="00005136" w:rsidRDefault="00005136" w:rsidP="00005136">
      <w:pPr>
        <w:ind w:left="720" w:hanging="720"/>
      </w:pPr>
      <w:r w:rsidRPr="00952488">
        <w:t>Siaw, C.A. and Amankwah-Amoah, J.</w:t>
      </w:r>
      <w:r>
        <w:t xml:space="preserve"> (</w:t>
      </w:r>
      <w:r w:rsidRPr="00952488">
        <w:t>2026</w:t>
      </w:r>
      <w:r>
        <w:t>)</w:t>
      </w:r>
      <w:r w:rsidRPr="00952488">
        <w:t>. Sustainable technology evolution in innovation ecosystems: A regulatory framework for (non)-convergent technologies. </w:t>
      </w:r>
      <w:r w:rsidRPr="00952488">
        <w:rPr>
          <w:i/>
          <w:iCs/>
        </w:rPr>
        <w:t>Technological Forecasting and Social Change</w:t>
      </w:r>
      <w:r w:rsidRPr="00952488">
        <w:t>, </w:t>
      </w:r>
      <w:r w:rsidRPr="00952488">
        <w:rPr>
          <w:i/>
          <w:iCs/>
        </w:rPr>
        <w:t>226</w:t>
      </w:r>
      <w:r w:rsidRPr="00952488">
        <w:t>, p.124593.</w:t>
      </w:r>
    </w:p>
    <w:p w14:paraId="38A8708E" w14:textId="77777777" w:rsidR="00005136" w:rsidRPr="00233C30" w:rsidRDefault="00005136" w:rsidP="00005136">
      <w:pPr>
        <w:pStyle w:val="NormalWeb"/>
        <w:spacing w:before="120" w:beforeAutospacing="0" w:after="120" w:afterAutospacing="0" w:line="360" w:lineRule="auto"/>
        <w:ind w:left="720" w:hanging="720"/>
        <w:jc w:val="both"/>
        <w:rPr>
          <w:color w:val="222222"/>
          <w:shd w:val="clear" w:color="auto" w:fill="FFFFFF"/>
        </w:rPr>
      </w:pPr>
      <w:r w:rsidRPr="00233C30">
        <w:rPr>
          <w:color w:val="222222"/>
          <w:shd w:val="clear" w:color="auto" w:fill="FFFFFF"/>
        </w:rPr>
        <w:t xml:space="preserve">Singh, G., Misra, S.C., </w:t>
      </w:r>
      <w:proofErr w:type="spellStart"/>
      <w:r w:rsidRPr="00233C30">
        <w:rPr>
          <w:color w:val="222222"/>
          <w:shd w:val="clear" w:color="auto" w:fill="FFFFFF"/>
        </w:rPr>
        <w:t>Daultani</w:t>
      </w:r>
      <w:proofErr w:type="spellEnd"/>
      <w:r w:rsidRPr="00233C30">
        <w:rPr>
          <w:color w:val="222222"/>
          <w:shd w:val="clear" w:color="auto" w:fill="FFFFFF"/>
        </w:rPr>
        <w:t>, Y. and Singh, S. (2024). Electric vehicle adoption and sustainability: Insights from the bibliometric analysis, cluster analysis, and morphology analysis. </w:t>
      </w:r>
      <w:r w:rsidRPr="00233C30">
        <w:rPr>
          <w:i/>
          <w:iCs/>
          <w:color w:val="222222"/>
          <w:shd w:val="clear" w:color="auto" w:fill="FFFFFF"/>
        </w:rPr>
        <w:t>Operations Management Research</w:t>
      </w:r>
      <w:r w:rsidRPr="00233C30">
        <w:rPr>
          <w:color w:val="222222"/>
          <w:shd w:val="clear" w:color="auto" w:fill="FFFFFF"/>
        </w:rPr>
        <w:t>, </w:t>
      </w:r>
      <w:r w:rsidRPr="00233C30">
        <w:rPr>
          <w:i/>
          <w:iCs/>
          <w:color w:val="222222"/>
          <w:shd w:val="clear" w:color="auto" w:fill="FFFFFF"/>
        </w:rPr>
        <w:t>17</w:t>
      </w:r>
      <w:r w:rsidRPr="00233C30">
        <w:rPr>
          <w:color w:val="222222"/>
          <w:shd w:val="clear" w:color="auto" w:fill="FFFFFF"/>
        </w:rPr>
        <w:t>(2), pp.635-659.</w:t>
      </w:r>
    </w:p>
    <w:p w14:paraId="30F2D15A" w14:textId="77777777" w:rsidR="00005136" w:rsidRDefault="00005136" w:rsidP="00005136">
      <w:pPr>
        <w:pStyle w:val="NormalWeb"/>
        <w:spacing w:before="120" w:beforeAutospacing="0" w:after="120" w:afterAutospacing="0" w:line="360" w:lineRule="auto"/>
        <w:ind w:left="720" w:hanging="720"/>
        <w:jc w:val="both"/>
      </w:pPr>
      <w:proofErr w:type="spellStart"/>
      <w:r w:rsidRPr="00C15A22">
        <w:t>Stinder</w:t>
      </w:r>
      <w:proofErr w:type="spellEnd"/>
      <w:r w:rsidRPr="00C15A22">
        <w:t xml:space="preserve">, A.K., Schelte, N. and </w:t>
      </w:r>
      <w:proofErr w:type="spellStart"/>
      <w:r w:rsidRPr="00C15A22">
        <w:t>Severengiz</w:t>
      </w:r>
      <w:proofErr w:type="spellEnd"/>
      <w:r w:rsidRPr="00C15A22">
        <w:t>, S.</w:t>
      </w:r>
      <w:r>
        <w:t xml:space="preserve"> (</w:t>
      </w:r>
      <w:r w:rsidRPr="00C15A22">
        <w:t>2022</w:t>
      </w:r>
      <w:r>
        <w:t>)</w:t>
      </w:r>
      <w:r w:rsidRPr="00C15A22">
        <w:t>. Application of mixed methods in transdisciplinary research projects on sustainable mobility. </w:t>
      </w:r>
      <w:r w:rsidRPr="00C15A22">
        <w:rPr>
          <w:i/>
          <w:iCs/>
        </w:rPr>
        <w:t>Sustainability</w:t>
      </w:r>
      <w:r w:rsidRPr="00C15A22">
        <w:t>, </w:t>
      </w:r>
      <w:r w:rsidRPr="00C15A22">
        <w:rPr>
          <w:i/>
          <w:iCs/>
        </w:rPr>
        <w:t>14</w:t>
      </w:r>
      <w:r w:rsidRPr="00C15A22">
        <w:t>(11), p.6867.</w:t>
      </w:r>
    </w:p>
    <w:p w14:paraId="6E563465" w14:textId="77777777" w:rsidR="00005136" w:rsidRPr="00233C30" w:rsidRDefault="00005136" w:rsidP="00005136">
      <w:pPr>
        <w:pStyle w:val="NormalWeb"/>
        <w:spacing w:before="120" w:beforeAutospacing="0" w:after="120" w:afterAutospacing="0" w:line="360" w:lineRule="auto"/>
        <w:ind w:left="720" w:hanging="720"/>
        <w:jc w:val="both"/>
      </w:pPr>
      <w:r w:rsidRPr="00233C30">
        <w:lastRenderedPageBreak/>
        <w:t xml:space="preserve">Sun, J., Sun, S., Chen, B. and Hu, Y. (2024). Charging change: </w:t>
      </w:r>
      <w:proofErr w:type="spellStart"/>
      <w:r w:rsidRPr="00233C30">
        <w:t>Analysing</w:t>
      </w:r>
      <w:proofErr w:type="spellEnd"/>
      <w:r w:rsidRPr="00233C30">
        <w:t xml:space="preserve"> the UK’s electric vehicle infrastructure policies and market dynamics. </w:t>
      </w:r>
      <w:r w:rsidRPr="00233C30">
        <w:rPr>
          <w:i/>
          <w:iCs/>
        </w:rPr>
        <w:t>Energy policy</w:t>
      </w:r>
      <w:r w:rsidRPr="00233C30">
        <w:t xml:space="preserve">, [online] 191, pp.114178–114178. </w:t>
      </w:r>
      <w:hyperlink r:id="rId26" w:history="1">
        <w:r w:rsidRPr="00233C30">
          <w:rPr>
            <w:rStyle w:val="Hyperlink"/>
            <w:rFonts w:eastAsiaTheme="majorEastAsia"/>
          </w:rPr>
          <w:t>https://doi.org/10.1016/j.enpol.2024.114178</w:t>
        </w:r>
      </w:hyperlink>
      <w:r w:rsidRPr="00233C30">
        <w:t>.</w:t>
      </w:r>
    </w:p>
    <w:p w14:paraId="7C250A90" w14:textId="77777777" w:rsidR="00005136" w:rsidRDefault="00005136" w:rsidP="00005136">
      <w:pPr>
        <w:ind w:left="720" w:hanging="720"/>
      </w:pPr>
      <w:r w:rsidRPr="00791682">
        <w:t xml:space="preserve">Tilly, N., </w:t>
      </w:r>
      <w:proofErr w:type="spellStart"/>
      <w:r w:rsidRPr="00791682">
        <w:t>Yigitcanlar</w:t>
      </w:r>
      <w:proofErr w:type="spellEnd"/>
      <w:r w:rsidRPr="00791682">
        <w:t xml:space="preserve">, T., </w:t>
      </w:r>
      <w:proofErr w:type="spellStart"/>
      <w:r w:rsidRPr="00791682">
        <w:t>Degirmenci</w:t>
      </w:r>
      <w:proofErr w:type="spellEnd"/>
      <w:r w:rsidRPr="00791682">
        <w:t>, K. and Paz, A.</w:t>
      </w:r>
      <w:r>
        <w:t xml:space="preserve"> (</w:t>
      </w:r>
      <w:r w:rsidRPr="00791682">
        <w:t>2024</w:t>
      </w:r>
      <w:r>
        <w:t>)</w:t>
      </w:r>
      <w:r w:rsidRPr="00791682">
        <w:t>. How sustainable is electric vehicle adoption? a critical systematic literature review. </w:t>
      </w:r>
      <w:r w:rsidRPr="00791682">
        <w:rPr>
          <w:i/>
          <w:iCs/>
        </w:rPr>
        <w:t>A Critical Systematic Literature Review</w:t>
      </w:r>
      <w:r w:rsidRPr="00791682">
        <w:t>.</w:t>
      </w:r>
    </w:p>
    <w:p w14:paraId="34132A87" w14:textId="77777777" w:rsidR="00005136" w:rsidRDefault="00005136" w:rsidP="00005136">
      <w:pPr>
        <w:pStyle w:val="NormalWeb"/>
        <w:spacing w:before="120" w:beforeAutospacing="0" w:after="120" w:afterAutospacing="0" w:line="360" w:lineRule="auto"/>
        <w:ind w:left="720" w:hanging="720"/>
        <w:jc w:val="both"/>
      </w:pPr>
      <w:r w:rsidRPr="00C15A22">
        <w:t xml:space="preserve">Viviani, S., Gulino, M.S., Rinaldi, A. and </w:t>
      </w:r>
      <w:proofErr w:type="spellStart"/>
      <w:r w:rsidRPr="00C15A22">
        <w:t>Vangi</w:t>
      </w:r>
      <w:proofErr w:type="spellEnd"/>
      <w:r w:rsidRPr="00C15A22">
        <w:t>, D.</w:t>
      </w:r>
      <w:r>
        <w:t xml:space="preserve"> (</w:t>
      </w:r>
      <w:r w:rsidRPr="00C15A22">
        <w:t>2024</w:t>
      </w:r>
      <w:r>
        <w:t>)</w:t>
      </w:r>
      <w:r w:rsidRPr="00C15A22">
        <w:t xml:space="preserve">. An interdisciplinary double-diamond design thinking model for urban transport product innovation: a design framework for innovation combining mixed methods for developing the electric </w:t>
      </w:r>
      <w:proofErr w:type="spellStart"/>
      <w:r w:rsidRPr="00C15A22">
        <w:t>microvehicle</w:t>
      </w:r>
      <w:proofErr w:type="spellEnd"/>
      <w:r w:rsidRPr="00C15A22">
        <w:t xml:space="preserve"> “</w:t>
      </w:r>
      <w:proofErr w:type="spellStart"/>
      <w:r w:rsidRPr="00C15A22">
        <w:t>leonardo</w:t>
      </w:r>
      <w:proofErr w:type="spellEnd"/>
      <w:r w:rsidRPr="00C15A22">
        <w:t xml:space="preserve"> project”. </w:t>
      </w:r>
      <w:r w:rsidRPr="00C15A22">
        <w:rPr>
          <w:i/>
          <w:iCs/>
        </w:rPr>
        <w:t>Energies</w:t>
      </w:r>
      <w:r w:rsidRPr="00C15A22">
        <w:t>, </w:t>
      </w:r>
      <w:r w:rsidRPr="00C15A22">
        <w:rPr>
          <w:i/>
          <w:iCs/>
        </w:rPr>
        <w:t>17</w:t>
      </w:r>
      <w:r w:rsidRPr="00C15A22">
        <w:t>(23), p.5918.</w:t>
      </w:r>
    </w:p>
    <w:p w14:paraId="5E534C64" w14:textId="77777777" w:rsidR="00005136" w:rsidRDefault="00005136" w:rsidP="00005136">
      <w:pPr>
        <w:pStyle w:val="NormalWeb"/>
        <w:spacing w:before="120" w:beforeAutospacing="0" w:after="120" w:afterAutospacing="0" w:line="360" w:lineRule="auto"/>
        <w:ind w:left="720" w:hanging="720"/>
        <w:jc w:val="both"/>
      </w:pPr>
      <w:r w:rsidRPr="00C15A22">
        <w:t>Xie, X., Raval, S. and Deb, S.</w:t>
      </w:r>
      <w:r>
        <w:t xml:space="preserve"> (</w:t>
      </w:r>
      <w:r w:rsidRPr="00C15A22">
        <w:t>2026</w:t>
      </w:r>
      <w:r>
        <w:t>)</w:t>
      </w:r>
      <w:r w:rsidRPr="00C15A22">
        <w:t>. User Experience of Public Electric Vehicle Charging Infrastructure in Shanghai: A Quantitative Analysis. </w:t>
      </w:r>
      <w:r w:rsidRPr="00C15A22">
        <w:rPr>
          <w:i/>
          <w:iCs/>
        </w:rPr>
        <w:t>World Electric Vehicle Journal</w:t>
      </w:r>
      <w:r w:rsidRPr="00C15A22">
        <w:t>, </w:t>
      </w:r>
      <w:r w:rsidRPr="00C15A22">
        <w:rPr>
          <w:i/>
          <w:iCs/>
        </w:rPr>
        <w:t>17</w:t>
      </w:r>
      <w:r w:rsidRPr="00C15A22">
        <w:t>(1), p.28.</w:t>
      </w:r>
    </w:p>
    <w:p w14:paraId="3CA67FE1" w14:textId="77777777" w:rsidR="00005136" w:rsidRPr="00395D2C" w:rsidRDefault="00005136" w:rsidP="00005136">
      <w:pPr>
        <w:ind w:left="720" w:hanging="720"/>
        <w:rPr>
          <w:rFonts w:eastAsia="Times New Roman" w:cs="Times New Roman"/>
        </w:rPr>
      </w:pPr>
      <w:r w:rsidRPr="00395D2C">
        <w:rPr>
          <w:rFonts w:cs="Times New Roman"/>
          <w:color w:val="222222"/>
          <w:shd w:val="clear" w:color="auto" w:fill="FFFFFF"/>
        </w:rPr>
        <w:t>Yi, S.K. and Song, C.H. (2025). A Dual-Level Prediction Approach for Uncovering Technology Convergence Opportunities: The Case of Electric Vehicles. </w:t>
      </w:r>
      <w:r w:rsidRPr="00395D2C">
        <w:rPr>
          <w:rFonts w:cs="Times New Roman"/>
          <w:i/>
          <w:iCs/>
          <w:color w:val="222222"/>
          <w:shd w:val="clear" w:color="auto" w:fill="FFFFFF"/>
        </w:rPr>
        <w:t>Sustainability</w:t>
      </w:r>
      <w:r w:rsidRPr="00395D2C">
        <w:rPr>
          <w:rFonts w:cs="Times New Roman"/>
          <w:color w:val="222222"/>
          <w:shd w:val="clear" w:color="auto" w:fill="FFFFFF"/>
        </w:rPr>
        <w:t>, </w:t>
      </w:r>
      <w:r w:rsidRPr="00395D2C">
        <w:rPr>
          <w:rFonts w:cs="Times New Roman"/>
          <w:i/>
          <w:iCs/>
          <w:color w:val="222222"/>
          <w:shd w:val="clear" w:color="auto" w:fill="FFFFFF"/>
        </w:rPr>
        <w:t>17</w:t>
      </w:r>
      <w:r w:rsidRPr="00395D2C">
        <w:rPr>
          <w:rFonts w:cs="Times New Roman"/>
          <w:color w:val="222222"/>
          <w:shd w:val="clear" w:color="auto" w:fill="FFFFFF"/>
        </w:rPr>
        <w:t>(8), p.3607.</w:t>
      </w:r>
    </w:p>
    <w:p w14:paraId="5A84B5A0" w14:textId="77777777" w:rsidR="00005136" w:rsidRDefault="00005136" w:rsidP="00005136">
      <w:pPr>
        <w:pStyle w:val="NormalWeb"/>
        <w:spacing w:before="120" w:beforeAutospacing="0" w:after="120" w:afterAutospacing="0" w:line="360" w:lineRule="auto"/>
        <w:ind w:left="720" w:hanging="720"/>
        <w:jc w:val="both"/>
      </w:pPr>
      <w:r w:rsidRPr="00233C30">
        <w:t xml:space="preserve">Zaino, R., Ahmed, V., Alhammadi, A.M. and </w:t>
      </w:r>
      <w:proofErr w:type="spellStart"/>
      <w:r w:rsidRPr="00233C30">
        <w:t>Alghoush</w:t>
      </w:r>
      <w:proofErr w:type="spellEnd"/>
      <w:r w:rsidRPr="00233C30">
        <w:t xml:space="preserve">, M. (2024). Electric Vehicle Adoption: A Comprehensive Systematic Review of Technological, Environmental, Organizational and Policy Impacts. </w:t>
      </w:r>
      <w:r w:rsidRPr="00233C30">
        <w:rPr>
          <w:i/>
          <w:iCs/>
        </w:rPr>
        <w:t>World Electric Vehicle Journal</w:t>
      </w:r>
      <w:r w:rsidRPr="00233C30">
        <w:t xml:space="preserve">, [online] 15(8), p.375. </w:t>
      </w:r>
      <w:hyperlink r:id="rId27" w:history="1">
        <w:r w:rsidRPr="00233C30">
          <w:rPr>
            <w:rStyle w:val="Hyperlink"/>
            <w:rFonts w:eastAsiaTheme="majorEastAsia"/>
          </w:rPr>
          <w:t>https://doi.org/10.3390/wevj15080375</w:t>
        </w:r>
      </w:hyperlink>
      <w:r w:rsidRPr="00233C30">
        <w:t>.</w:t>
      </w:r>
    </w:p>
    <w:p w14:paraId="1AB2F172" w14:textId="71D21A9B" w:rsidR="00FB09C6" w:rsidRPr="00005136" w:rsidRDefault="00FB09C6" w:rsidP="00005136"/>
    <w:p w14:paraId="5DE5713D" w14:textId="77777777" w:rsidR="00FB09C6" w:rsidRDefault="00FB09C6" w:rsidP="00FB09C6"/>
    <w:p w14:paraId="46938062" w14:textId="77777777" w:rsidR="00EC44CA" w:rsidRPr="00E55507" w:rsidRDefault="00EC44CA" w:rsidP="00E22277"/>
    <w:sectPr w:rsidR="00EC44CA" w:rsidRPr="00E5550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4D1D02" w14:textId="77777777" w:rsidR="001B235C" w:rsidRDefault="001B235C" w:rsidP="00CE063C">
      <w:pPr>
        <w:spacing w:before="0" w:after="0" w:line="240" w:lineRule="auto"/>
      </w:pPr>
      <w:r>
        <w:separator/>
      </w:r>
    </w:p>
  </w:endnote>
  <w:endnote w:type="continuationSeparator" w:id="0">
    <w:p w14:paraId="4BD8B27D" w14:textId="77777777" w:rsidR="001B235C" w:rsidRDefault="001B235C" w:rsidP="00CE06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340398"/>
      <w:docPartObj>
        <w:docPartGallery w:val="Page Numbers (Bottom of Page)"/>
        <w:docPartUnique/>
      </w:docPartObj>
    </w:sdtPr>
    <w:sdtEndPr>
      <w:rPr>
        <w:noProof/>
      </w:rPr>
    </w:sdtEndPr>
    <w:sdtContent>
      <w:p w14:paraId="413764E3" w14:textId="248755F8" w:rsidR="00CE063C" w:rsidRDefault="00CE06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8A2FB5" w14:textId="77777777" w:rsidR="00CE063C" w:rsidRDefault="00CE0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5362C" w14:textId="77777777" w:rsidR="001B235C" w:rsidRDefault="001B235C" w:rsidP="00CE063C">
      <w:pPr>
        <w:spacing w:before="0" w:after="0" w:line="240" w:lineRule="auto"/>
      </w:pPr>
      <w:r>
        <w:separator/>
      </w:r>
    </w:p>
  </w:footnote>
  <w:footnote w:type="continuationSeparator" w:id="0">
    <w:p w14:paraId="50413B61" w14:textId="77777777" w:rsidR="001B235C" w:rsidRDefault="001B235C" w:rsidP="00CE06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E4E9D"/>
    <w:multiLevelType w:val="hybridMultilevel"/>
    <w:tmpl w:val="521E9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C5D45F6"/>
    <w:multiLevelType w:val="hybridMultilevel"/>
    <w:tmpl w:val="5582BE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3752937">
    <w:abstractNumId w:val="0"/>
  </w:num>
  <w:num w:numId="2" w16cid:durableId="12573972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727"/>
    <w:rsid w:val="00005136"/>
    <w:rsid w:val="00007E09"/>
    <w:rsid w:val="00047B02"/>
    <w:rsid w:val="000C33AC"/>
    <w:rsid w:val="000F3B63"/>
    <w:rsid w:val="000F6181"/>
    <w:rsid w:val="00110EC0"/>
    <w:rsid w:val="001219B5"/>
    <w:rsid w:val="00127727"/>
    <w:rsid w:val="00137A65"/>
    <w:rsid w:val="0018184D"/>
    <w:rsid w:val="00193CA2"/>
    <w:rsid w:val="001B235C"/>
    <w:rsid w:val="001B6FC8"/>
    <w:rsid w:val="001D057E"/>
    <w:rsid w:val="001F592D"/>
    <w:rsid w:val="002019D7"/>
    <w:rsid w:val="00215EDE"/>
    <w:rsid w:val="00220FA9"/>
    <w:rsid w:val="00225F7B"/>
    <w:rsid w:val="00237B7A"/>
    <w:rsid w:val="00245794"/>
    <w:rsid w:val="0028446B"/>
    <w:rsid w:val="002927B5"/>
    <w:rsid w:val="002C6974"/>
    <w:rsid w:val="00301101"/>
    <w:rsid w:val="003026C5"/>
    <w:rsid w:val="0036628C"/>
    <w:rsid w:val="0039109F"/>
    <w:rsid w:val="00395D2C"/>
    <w:rsid w:val="003A6EF9"/>
    <w:rsid w:val="003F14F2"/>
    <w:rsid w:val="00402EAC"/>
    <w:rsid w:val="004051B9"/>
    <w:rsid w:val="00435AFC"/>
    <w:rsid w:val="00455EC7"/>
    <w:rsid w:val="0047675E"/>
    <w:rsid w:val="00477774"/>
    <w:rsid w:val="00494FB6"/>
    <w:rsid w:val="004A6BBF"/>
    <w:rsid w:val="004A6E38"/>
    <w:rsid w:val="004E16BC"/>
    <w:rsid w:val="00541759"/>
    <w:rsid w:val="00570BE2"/>
    <w:rsid w:val="005C1579"/>
    <w:rsid w:val="005F0269"/>
    <w:rsid w:val="005F1924"/>
    <w:rsid w:val="005F3D7D"/>
    <w:rsid w:val="00624D37"/>
    <w:rsid w:val="00631283"/>
    <w:rsid w:val="006358A5"/>
    <w:rsid w:val="00654F07"/>
    <w:rsid w:val="0068117B"/>
    <w:rsid w:val="00692B53"/>
    <w:rsid w:val="0069504A"/>
    <w:rsid w:val="006A0B1E"/>
    <w:rsid w:val="006E3D0C"/>
    <w:rsid w:val="006F05AD"/>
    <w:rsid w:val="00716332"/>
    <w:rsid w:val="00721C38"/>
    <w:rsid w:val="00741A36"/>
    <w:rsid w:val="00746495"/>
    <w:rsid w:val="0075381E"/>
    <w:rsid w:val="00762C38"/>
    <w:rsid w:val="00774DA1"/>
    <w:rsid w:val="007842C3"/>
    <w:rsid w:val="007C2CDB"/>
    <w:rsid w:val="007D01C5"/>
    <w:rsid w:val="007D797C"/>
    <w:rsid w:val="007E18A7"/>
    <w:rsid w:val="007E3D47"/>
    <w:rsid w:val="007F2278"/>
    <w:rsid w:val="008039B7"/>
    <w:rsid w:val="00821AEF"/>
    <w:rsid w:val="008453B6"/>
    <w:rsid w:val="008B196C"/>
    <w:rsid w:val="008D353A"/>
    <w:rsid w:val="009159C0"/>
    <w:rsid w:val="00954D5D"/>
    <w:rsid w:val="00970368"/>
    <w:rsid w:val="009A6D87"/>
    <w:rsid w:val="00A27922"/>
    <w:rsid w:val="00A53567"/>
    <w:rsid w:val="00A85470"/>
    <w:rsid w:val="00AD4D80"/>
    <w:rsid w:val="00AF499F"/>
    <w:rsid w:val="00B24E56"/>
    <w:rsid w:val="00B377C4"/>
    <w:rsid w:val="00B45C5B"/>
    <w:rsid w:val="00B814F4"/>
    <w:rsid w:val="00B838EC"/>
    <w:rsid w:val="00B847C6"/>
    <w:rsid w:val="00B87205"/>
    <w:rsid w:val="00B97660"/>
    <w:rsid w:val="00BA34A1"/>
    <w:rsid w:val="00BB3335"/>
    <w:rsid w:val="00BD27CC"/>
    <w:rsid w:val="00BD606A"/>
    <w:rsid w:val="00BE0830"/>
    <w:rsid w:val="00BE4D55"/>
    <w:rsid w:val="00BF6678"/>
    <w:rsid w:val="00C60989"/>
    <w:rsid w:val="00C8017E"/>
    <w:rsid w:val="00C82D5E"/>
    <w:rsid w:val="00C938FC"/>
    <w:rsid w:val="00CA2420"/>
    <w:rsid w:val="00CA69C8"/>
    <w:rsid w:val="00CD1F37"/>
    <w:rsid w:val="00CE063C"/>
    <w:rsid w:val="00D0155F"/>
    <w:rsid w:val="00D3336B"/>
    <w:rsid w:val="00D60CAA"/>
    <w:rsid w:val="00D64CDE"/>
    <w:rsid w:val="00D93EF9"/>
    <w:rsid w:val="00D9446C"/>
    <w:rsid w:val="00DC5F91"/>
    <w:rsid w:val="00DE13F3"/>
    <w:rsid w:val="00E06A8A"/>
    <w:rsid w:val="00E22277"/>
    <w:rsid w:val="00E2448C"/>
    <w:rsid w:val="00E50B0A"/>
    <w:rsid w:val="00E55507"/>
    <w:rsid w:val="00E55B96"/>
    <w:rsid w:val="00E72708"/>
    <w:rsid w:val="00E838B6"/>
    <w:rsid w:val="00EC44CA"/>
    <w:rsid w:val="00EE2E9B"/>
    <w:rsid w:val="00FA1477"/>
    <w:rsid w:val="00FA489D"/>
    <w:rsid w:val="00FA4E73"/>
    <w:rsid w:val="00FB09C6"/>
    <w:rsid w:val="00FD5BE8"/>
    <w:rsid w:val="00FE46C8"/>
    <w:rsid w:val="00FF2E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DC933"/>
  <w15:chartTrackingRefBased/>
  <w15:docId w15:val="{05B3D208-6A46-4C62-9557-6AFF9FC6D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727"/>
    <w:pPr>
      <w:spacing w:before="120" w:after="120" w:line="360" w:lineRule="auto"/>
      <w:jc w:val="both"/>
    </w:pPr>
    <w:rPr>
      <w:rFonts w:ascii="Times New Roman" w:hAnsi="Times New Roman"/>
    </w:rPr>
  </w:style>
  <w:style w:type="paragraph" w:styleId="Heading1">
    <w:name w:val="heading 1"/>
    <w:basedOn w:val="Normal"/>
    <w:next w:val="Normal"/>
    <w:link w:val="Heading1Char"/>
    <w:uiPriority w:val="9"/>
    <w:qFormat/>
    <w:rsid w:val="00127727"/>
    <w:pPr>
      <w:keepNext/>
      <w:keepLines/>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127727"/>
    <w:pPr>
      <w:keepNext/>
      <w:keepLines/>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12772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2772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772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77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7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7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7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727"/>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127727"/>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12772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2772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772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77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7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7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727"/>
    <w:rPr>
      <w:rFonts w:eastAsiaTheme="majorEastAsia" w:cstheme="majorBidi"/>
      <w:color w:val="272727" w:themeColor="text1" w:themeTint="D8"/>
    </w:rPr>
  </w:style>
  <w:style w:type="paragraph" w:styleId="Title">
    <w:name w:val="Title"/>
    <w:basedOn w:val="Normal"/>
    <w:next w:val="Normal"/>
    <w:link w:val="TitleChar"/>
    <w:uiPriority w:val="10"/>
    <w:qFormat/>
    <w:rsid w:val="001277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7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7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7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727"/>
    <w:pPr>
      <w:spacing w:before="160"/>
      <w:jc w:val="center"/>
    </w:pPr>
    <w:rPr>
      <w:i/>
      <w:iCs/>
      <w:color w:val="404040" w:themeColor="text1" w:themeTint="BF"/>
    </w:rPr>
  </w:style>
  <w:style w:type="character" w:customStyle="1" w:styleId="QuoteChar">
    <w:name w:val="Quote Char"/>
    <w:basedOn w:val="DefaultParagraphFont"/>
    <w:link w:val="Quote"/>
    <w:uiPriority w:val="29"/>
    <w:rsid w:val="00127727"/>
    <w:rPr>
      <w:i/>
      <w:iCs/>
      <w:color w:val="404040" w:themeColor="text1" w:themeTint="BF"/>
    </w:rPr>
  </w:style>
  <w:style w:type="paragraph" w:styleId="ListParagraph">
    <w:name w:val="List Paragraph"/>
    <w:basedOn w:val="Normal"/>
    <w:uiPriority w:val="34"/>
    <w:qFormat/>
    <w:rsid w:val="00127727"/>
    <w:pPr>
      <w:ind w:left="720"/>
      <w:contextualSpacing/>
    </w:pPr>
  </w:style>
  <w:style w:type="character" w:styleId="IntenseEmphasis">
    <w:name w:val="Intense Emphasis"/>
    <w:basedOn w:val="DefaultParagraphFont"/>
    <w:uiPriority w:val="21"/>
    <w:qFormat/>
    <w:rsid w:val="00127727"/>
    <w:rPr>
      <w:i/>
      <w:iCs/>
      <w:color w:val="2F5496" w:themeColor="accent1" w:themeShade="BF"/>
    </w:rPr>
  </w:style>
  <w:style w:type="paragraph" w:styleId="IntenseQuote">
    <w:name w:val="Intense Quote"/>
    <w:basedOn w:val="Normal"/>
    <w:next w:val="Normal"/>
    <w:link w:val="IntenseQuoteChar"/>
    <w:uiPriority w:val="30"/>
    <w:qFormat/>
    <w:rsid w:val="001277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7727"/>
    <w:rPr>
      <w:i/>
      <w:iCs/>
      <w:color w:val="2F5496" w:themeColor="accent1" w:themeShade="BF"/>
    </w:rPr>
  </w:style>
  <w:style w:type="character" w:styleId="IntenseReference">
    <w:name w:val="Intense Reference"/>
    <w:basedOn w:val="DefaultParagraphFont"/>
    <w:uiPriority w:val="32"/>
    <w:qFormat/>
    <w:rsid w:val="00127727"/>
    <w:rPr>
      <w:b/>
      <w:bCs/>
      <w:smallCaps/>
      <w:color w:val="2F5496" w:themeColor="accent1" w:themeShade="BF"/>
      <w:spacing w:val="5"/>
    </w:rPr>
  </w:style>
  <w:style w:type="paragraph" w:styleId="Header">
    <w:name w:val="header"/>
    <w:basedOn w:val="Normal"/>
    <w:link w:val="HeaderChar"/>
    <w:uiPriority w:val="99"/>
    <w:unhideWhenUsed/>
    <w:rsid w:val="00CE063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E063C"/>
    <w:rPr>
      <w:rFonts w:ascii="Times New Roman" w:hAnsi="Times New Roman"/>
    </w:rPr>
  </w:style>
  <w:style w:type="paragraph" w:styleId="Footer">
    <w:name w:val="footer"/>
    <w:basedOn w:val="Normal"/>
    <w:link w:val="FooterChar"/>
    <w:uiPriority w:val="99"/>
    <w:unhideWhenUsed/>
    <w:rsid w:val="00CE063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E063C"/>
    <w:rPr>
      <w:rFonts w:ascii="Times New Roman" w:hAnsi="Times New Roman"/>
    </w:rPr>
  </w:style>
  <w:style w:type="paragraph" w:styleId="NormalWeb">
    <w:name w:val="Normal (Web)"/>
    <w:basedOn w:val="Normal"/>
    <w:uiPriority w:val="99"/>
    <w:unhideWhenUsed/>
    <w:rsid w:val="00FB09C6"/>
    <w:pPr>
      <w:spacing w:before="100" w:beforeAutospacing="1" w:after="100" w:afterAutospacing="1" w:line="240" w:lineRule="auto"/>
      <w:jc w:val="left"/>
    </w:pPr>
    <w:rPr>
      <w:rFonts w:eastAsia="Times New Roman" w:cs="Times New Roman"/>
      <w:kern w:val="0"/>
      <w14:ligatures w14:val="none"/>
    </w:rPr>
  </w:style>
  <w:style w:type="character" w:styleId="Hyperlink">
    <w:name w:val="Hyperlink"/>
    <w:basedOn w:val="DefaultParagraphFont"/>
    <w:uiPriority w:val="99"/>
    <w:unhideWhenUsed/>
    <w:rsid w:val="00FB09C6"/>
    <w:rPr>
      <w:color w:val="0563C1" w:themeColor="hyperlink"/>
      <w:u w:val="single"/>
    </w:rPr>
  </w:style>
  <w:style w:type="paragraph" w:styleId="TOCHeading">
    <w:name w:val="TOC Heading"/>
    <w:basedOn w:val="Heading1"/>
    <w:next w:val="Normal"/>
    <w:uiPriority w:val="39"/>
    <w:unhideWhenUsed/>
    <w:qFormat/>
    <w:rsid w:val="00A85470"/>
    <w:pPr>
      <w:spacing w:before="240" w:after="0" w:line="259" w:lineRule="auto"/>
      <w:jc w:val="left"/>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A85470"/>
    <w:pPr>
      <w:spacing w:after="100"/>
    </w:pPr>
  </w:style>
  <w:style w:type="paragraph" w:styleId="TOC2">
    <w:name w:val="toc 2"/>
    <w:basedOn w:val="Normal"/>
    <w:next w:val="Normal"/>
    <w:autoRedefine/>
    <w:uiPriority w:val="39"/>
    <w:unhideWhenUsed/>
    <w:rsid w:val="00A8547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en15249409" TargetMode="External"/><Relationship Id="rId18" Type="http://schemas.openxmlformats.org/officeDocument/2006/relationships/hyperlink" Target="https://doi.org/10.3390/en16104248" TargetMode="External"/><Relationship Id="rId26" Type="http://schemas.openxmlformats.org/officeDocument/2006/relationships/hyperlink" Target="https://doi.org/10.1016/j.enpol.2024.114178" TargetMode="External"/><Relationship Id="rId3" Type="http://schemas.openxmlformats.org/officeDocument/2006/relationships/styles" Target="styles.xml"/><Relationship Id="rId21" Type="http://schemas.openxmlformats.org/officeDocument/2006/relationships/hyperlink" Target="https://doi.org/10.1177/10245294231223320" TargetMode="External"/><Relationship Id="rId7" Type="http://schemas.openxmlformats.org/officeDocument/2006/relationships/endnotes" Target="endnotes.xml"/><Relationship Id="rId12" Type="http://schemas.openxmlformats.org/officeDocument/2006/relationships/hyperlink" Target="https://doi.org/10.1016/j.tra.2022.04.011" TargetMode="External"/><Relationship Id="rId17" Type="http://schemas.openxmlformats.org/officeDocument/2006/relationships/hyperlink" Target="https://doi.org/10.35833/mpce.2018.000374" TargetMode="External"/><Relationship Id="rId25" Type="http://schemas.openxmlformats.org/officeDocument/2006/relationships/hyperlink" Target="https://doi.org/10.3390/batteries8090119" TargetMode="External"/><Relationship Id="rId2" Type="http://schemas.openxmlformats.org/officeDocument/2006/relationships/numbering" Target="numbering.xml"/><Relationship Id="rId16" Type="http://schemas.openxmlformats.org/officeDocument/2006/relationships/hyperlink" Target="https://doi.org/10.1007/s11116-024-10518-0" TargetMode="External"/><Relationship Id="rId20" Type="http://schemas.openxmlformats.org/officeDocument/2006/relationships/hyperlink" Target="https://doi.org/10.1016/j.rser.2023.11339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wevj17010034" TargetMode="External"/><Relationship Id="rId24" Type="http://schemas.openxmlformats.org/officeDocument/2006/relationships/hyperlink" Target="https://doi.org/10.1016/j.jclepro.2019.119911" TargetMode="External"/><Relationship Id="rId5" Type="http://schemas.openxmlformats.org/officeDocument/2006/relationships/webSettings" Target="webSettings.xml"/><Relationship Id="rId15" Type="http://schemas.openxmlformats.org/officeDocument/2006/relationships/hyperlink" Target="https://doi.org/10.1016/j.rineng.2025.107060" TargetMode="External"/><Relationship Id="rId23" Type="http://schemas.openxmlformats.org/officeDocument/2006/relationships/hyperlink" Target="https://doi.org/10.1080/03081060.2024.2449127" TargetMode="External"/><Relationship Id="rId28" Type="http://schemas.openxmlformats.org/officeDocument/2006/relationships/footer" Target="footer1.xml"/><Relationship Id="rId10" Type="http://schemas.openxmlformats.org/officeDocument/2006/relationships/hyperlink" Target="https://doi.org/10.1109/ACCESS.2022.3149944" TargetMode="External"/><Relationship Id="rId19" Type="http://schemas.openxmlformats.org/officeDocument/2006/relationships/hyperlink" Target="https://doi.org/10.3390/en17184581" TargetMode="External"/><Relationship Id="rId4" Type="http://schemas.openxmlformats.org/officeDocument/2006/relationships/settings" Target="settings.xml"/><Relationship Id="rId9" Type="http://schemas.openxmlformats.org/officeDocument/2006/relationships/hyperlink" Target="https://doi.org/10.1016/j.ecmx.2025.101170" TargetMode="External"/><Relationship Id="rId14" Type="http://schemas.openxmlformats.org/officeDocument/2006/relationships/hyperlink" Target="https://doi.org/10.1080/00036846.2025.2516164" TargetMode="External"/><Relationship Id="rId22" Type="http://schemas.openxmlformats.org/officeDocument/2006/relationships/hyperlink" Target="https://doi.org/10.3390/wevj14050120" TargetMode="External"/><Relationship Id="rId27" Type="http://schemas.openxmlformats.org/officeDocument/2006/relationships/hyperlink" Target="https://doi.org/10.3390/wevj1508037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F4C99E-9F23-4B93-B420-01B5F7224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34</Pages>
  <Words>11087</Words>
  <Characters>63197</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Fahad</dc:creator>
  <cp:keywords/>
  <dc:description/>
  <cp:lastModifiedBy>Masud Rana (2522899)</cp:lastModifiedBy>
  <cp:revision>2</cp:revision>
  <dcterms:created xsi:type="dcterms:W3CDTF">2026-08-23T14:02:00Z</dcterms:created>
  <dcterms:modified xsi:type="dcterms:W3CDTF">2026-08-23T14:02:00Z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bf47ee71-b9b9-42d7-975c-113f22c6edb8</vt:lpwstr>
  </property>
</Properties>
</file>