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311A4" w14:textId="1BA0A10B" w:rsidR="00B46142" w:rsidRDefault="005A328F" w:rsidP="005A328F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7C4EE215" wp14:editId="3D507481">
            <wp:simplePos x="0" y="0"/>
            <wp:positionH relativeFrom="column">
              <wp:posOffset>-37475</wp:posOffset>
            </wp:positionH>
            <wp:positionV relativeFrom="paragraph">
              <wp:posOffset>104</wp:posOffset>
            </wp:positionV>
            <wp:extent cx="2038985" cy="1068070"/>
            <wp:effectExtent l="0" t="0" r="571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98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966D1C" w14:textId="77777777" w:rsidR="00466370" w:rsidRDefault="0046637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358B6EBF" w14:textId="77777777" w:rsidR="00544B68" w:rsidRDefault="00544B68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5E38F7F" w14:textId="4124565A" w:rsidR="00715990" w:rsidRDefault="00715990" w:rsidP="00B13FE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2ABBF596" w14:textId="77777777" w:rsidR="00712FD6" w:rsidRDefault="00712FD6" w:rsidP="00B13FE9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3D46257" w14:textId="77777777" w:rsidR="002E6F89" w:rsidRDefault="002E6F89" w:rsidP="002E6F89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AD0E8D">
        <w:rPr>
          <w:rFonts w:ascii="Arial" w:hAnsi="Arial" w:cs="Arial"/>
          <w:sz w:val="28"/>
          <w:szCs w:val="28"/>
        </w:rPr>
        <w:t xml:space="preserve">Assessment 1 - Research Proposal </w:t>
      </w:r>
    </w:p>
    <w:p w14:paraId="45A95273" w14:textId="77777777" w:rsidR="00B13FE9" w:rsidRPr="00AD0E8D" w:rsidRDefault="00B13FE9" w:rsidP="002E6F89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750FEE" w14:textId="77777777" w:rsidR="00B85E76" w:rsidRPr="00AD0E8D" w:rsidRDefault="00B85E76" w:rsidP="002E6F8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58C7E62" w14:textId="77777777" w:rsidR="00AD0E8D" w:rsidRDefault="00AD0E8D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1AD185BB" w14:textId="5CD6C3FA" w:rsidR="00FF5B70" w:rsidRPr="00B97BFE" w:rsidRDefault="00B97BFE" w:rsidP="00B97BFE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Module: Introduction to Independent Research Skills (BMHP5019)</w:t>
      </w:r>
    </w:p>
    <w:p w14:paraId="684DDF82" w14:textId="426DA7C3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ID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000048">
        <w:rPr>
          <w:rFonts w:ascii="Arial" w:hAnsi="Arial" w:cs="Arial"/>
          <w:sz w:val="28"/>
          <w:szCs w:val="28"/>
        </w:rPr>
        <w:t>2431420</w:t>
      </w:r>
    </w:p>
    <w:p w14:paraId="37A27DB3" w14:textId="1A952CCB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Student Name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000048">
        <w:rPr>
          <w:rFonts w:ascii="Arial" w:hAnsi="Arial" w:cs="Arial"/>
          <w:sz w:val="28"/>
          <w:szCs w:val="28"/>
        </w:rPr>
        <w:t>Tita Panio Catapang</w:t>
      </w:r>
    </w:p>
    <w:p w14:paraId="3FE66E60" w14:textId="7D667198" w:rsidR="00FF5B70" w:rsidRPr="00AD0E8D" w:rsidRDefault="0014525B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FF5B70" w:rsidRPr="00AD0E8D">
        <w:rPr>
          <w:rFonts w:ascii="Arial" w:hAnsi="Arial" w:cs="Arial"/>
          <w:sz w:val="28"/>
          <w:szCs w:val="28"/>
        </w:rPr>
        <w:t xml:space="preserve">: </w:t>
      </w:r>
      <w:r w:rsidR="00000048">
        <w:rPr>
          <w:rFonts w:ascii="Arial" w:hAnsi="Arial" w:cs="Arial"/>
          <w:sz w:val="28"/>
          <w:szCs w:val="28"/>
        </w:rPr>
        <w:t>Mr Muhammad Aliyu</w:t>
      </w:r>
    </w:p>
    <w:p w14:paraId="5BD313B6" w14:textId="4BA804DC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69D520D1" w14:textId="77777777" w:rsidR="008F4F06" w:rsidRDefault="008F4F06" w:rsidP="00DE7151">
      <w:pPr>
        <w:spacing w:line="360" w:lineRule="auto"/>
        <w:rPr>
          <w:rFonts w:ascii="Arial" w:hAnsi="Arial" w:cs="Arial"/>
          <w:sz w:val="28"/>
          <w:szCs w:val="28"/>
        </w:rPr>
      </w:pPr>
    </w:p>
    <w:p w14:paraId="5DE93DB2" w14:textId="77777777" w:rsidR="008F4F06" w:rsidRDefault="008F4F06" w:rsidP="00DE7151">
      <w:pPr>
        <w:spacing w:line="360" w:lineRule="auto"/>
        <w:rPr>
          <w:rFonts w:ascii="Arial" w:hAnsi="Arial" w:cs="Arial"/>
          <w:sz w:val="28"/>
          <w:szCs w:val="28"/>
        </w:rPr>
      </w:pPr>
    </w:p>
    <w:p w14:paraId="494FE51A" w14:textId="77777777" w:rsidR="008F4F06" w:rsidRDefault="008F4F06" w:rsidP="00DE7151">
      <w:pPr>
        <w:spacing w:line="360" w:lineRule="auto"/>
        <w:rPr>
          <w:rFonts w:ascii="Arial" w:hAnsi="Arial" w:cs="Arial"/>
          <w:sz w:val="28"/>
          <w:szCs w:val="28"/>
        </w:rPr>
      </w:pPr>
    </w:p>
    <w:p w14:paraId="5369F128" w14:textId="77777777" w:rsidR="008F4F06" w:rsidRDefault="008F4F06" w:rsidP="00DE7151">
      <w:pPr>
        <w:spacing w:line="360" w:lineRule="auto"/>
        <w:rPr>
          <w:rFonts w:ascii="Arial" w:hAnsi="Arial" w:cs="Arial"/>
          <w:sz w:val="28"/>
          <w:szCs w:val="28"/>
        </w:rPr>
      </w:pPr>
    </w:p>
    <w:p w14:paraId="7DA4E7C9" w14:textId="77777777" w:rsidR="000D6338" w:rsidRDefault="000D6338" w:rsidP="00F86E6A">
      <w:pPr>
        <w:spacing w:line="360" w:lineRule="auto"/>
      </w:pPr>
    </w:p>
    <w:p w14:paraId="1DABC679" w14:textId="77777777" w:rsidR="000D6338" w:rsidRDefault="000D6338" w:rsidP="00F86E6A">
      <w:pPr>
        <w:spacing w:line="360" w:lineRule="auto"/>
      </w:pPr>
    </w:p>
    <w:p w14:paraId="64C0F408" w14:textId="77777777" w:rsidR="000D6338" w:rsidRDefault="000D6338" w:rsidP="00F86E6A">
      <w:pPr>
        <w:spacing w:line="360" w:lineRule="auto"/>
      </w:pPr>
    </w:p>
    <w:p w14:paraId="229AEAF2" w14:textId="77777777" w:rsidR="000D6338" w:rsidRDefault="000D6338" w:rsidP="00F86E6A">
      <w:pPr>
        <w:spacing w:line="360" w:lineRule="auto"/>
      </w:pPr>
    </w:p>
    <w:p w14:paraId="24BD4B42" w14:textId="214F087E" w:rsidR="00D769F0" w:rsidRPr="0001501F" w:rsidRDefault="00AD0E8D" w:rsidP="00F86E6A">
      <w:pPr>
        <w:spacing w:line="360" w:lineRule="auto"/>
        <w:rPr>
          <w:rFonts w:ascii="Arial" w:hAnsi="Arial" w:cs="Arial"/>
          <w:b/>
          <w:bCs/>
          <w:sz w:val="22"/>
        </w:rPr>
      </w:pPr>
      <w:r w:rsidRPr="0001501F">
        <w:rPr>
          <w:rFonts w:ascii="Arial" w:hAnsi="Arial" w:cs="Arial"/>
          <w:b/>
          <w:bCs/>
        </w:rPr>
        <w:lastRenderedPageBreak/>
        <w:t>Topic</w:t>
      </w:r>
      <w:r w:rsidR="00D769F0" w:rsidRPr="0001501F">
        <w:rPr>
          <w:rFonts w:ascii="Arial" w:hAnsi="Arial" w:cs="Arial"/>
          <w:b/>
          <w:bCs/>
        </w:rPr>
        <w:t>:</w:t>
      </w:r>
      <w:r w:rsidR="004D79ED" w:rsidRPr="0001501F">
        <w:rPr>
          <w:rFonts w:ascii="Arial" w:hAnsi="Arial" w:cs="Arial"/>
          <w:b/>
          <w:bCs/>
          <w:iCs/>
        </w:rPr>
        <w:t xml:space="preserve"> </w:t>
      </w:r>
      <w:r w:rsidR="002F717F" w:rsidRPr="0001501F">
        <w:rPr>
          <w:rFonts w:ascii="Arial" w:hAnsi="Arial" w:cs="Arial"/>
          <w:b/>
          <w:bCs/>
          <w:iCs/>
        </w:rPr>
        <w:t>Factors influencing</w:t>
      </w:r>
      <w:r w:rsidR="007A498F" w:rsidRPr="0001501F">
        <w:rPr>
          <w:rFonts w:ascii="Arial" w:hAnsi="Arial" w:cs="Arial"/>
          <w:b/>
          <w:bCs/>
          <w:iCs/>
        </w:rPr>
        <w:t xml:space="preserve"> elderly patients access to video consultations</w:t>
      </w:r>
      <w:r w:rsidR="006A1BAA" w:rsidRPr="0001501F">
        <w:rPr>
          <w:rFonts w:ascii="Arial" w:hAnsi="Arial" w:cs="Arial"/>
          <w:b/>
          <w:bCs/>
          <w:iCs/>
        </w:rPr>
        <w:t xml:space="preserve"> in</w:t>
      </w:r>
      <w:r w:rsidR="004D79ED" w:rsidRPr="0001501F">
        <w:rPr>
          <w:rFonts w:ascii="Arial" w:hAnsi="Arial" w:cs="Arial"/>
          <w:b/>
          <w:bCs/>
          <w:iCs/>
        </w:rPr>
        <w:t xml:space="preserve"> UK Primary Care: A scoping Review</w:t>
      </w:r>
    </w:p>
    <w:p w14:paraId="6A13103F" w14:textId="77777777" w:rsidR="00380294" w:rsidRPr="00380294" w:rsidRDefault="00380294" w:rsidP="0038582C">
      <w:pPr>
        <w:jc w:val="both"/>
      </w:pPr>
    </w:p>
    <w:p w14:paraId="03FD30D3" w14:textId="475F3855" w:rsidR="00715990" w:rsidRPr="00AD0E8D" w:rsidRDefault="00715990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40C7BB25" w14:textId="26ED804C" w:rsidR="00784670" w:rsidRPr="004E2576" w:rsidRDefault="00FF5B70" w:rsidP="0038582C">
      <w:pPr>
        <w:pStyle w:val="Heading2"/>
        <w:jc w:val="both"/>
        <w:rPr>
          <w:b w:val="0"/>
          <w:bCs w:val="0"/>
          <w:i w:val="0"/>
          <w:iCs/>
          <w:sz w:val="22"/>
        </w:rPr>
      </w:pPr>
      <w:r w:rsidRPr="00AD0E8D">
        <w:t>1</w:t>
      </w:r>
      <w:r w:rsidR="00784670" w:rsidRPr="00AD0E8D">
        <w:t xml:space="preserve">) </w:t>
      </w:r>
      <w:r w:rsidR="00AD0E8D" w:rsidRPr="00AD0E8D">
        <w:t>Review question</w:t>
      </w:r>
      <w:r w:rsidR="00784670" w:rsidRPr="00AD0E8D">
        <w:t>:</w:t>
      </w:r>
      <w:r w:rsidR="004E2576">
        <w:rPr>
          <w:i w:val="0"/>
          <w:iCs/>
        </w:rPr>
        <w:t xml:space="preserve"> </w:t>
      </w:r>
      <w:r w:rsidR="00A94FC2">
        <w:rPr>
          <w:b w:val="0"/>
          <w:bCs w:val="0"/>
          <w:i w:val="0"/>
          <w:iCs/>
          <w:sz w:val="22"/>
        </w:rPr>
        <w:t>What does</w:t>
      </w:r>
      <w:r w:rsidR="008D3BF6">
        <w:rPr>
          <w:b w:val="0"/>
          <w:bCs w:val="0"/>
          <w:i w:val="0"/>
          <w:iCs/>
          <w:sz w:val="22"/>
        </w:rPr>
        <w:t xml:space="preserve"> the</w:t>
      </w:r>
      <w:r w:rsidR="00F90308">
        <w:rPr>
          <w:b w:val="0"/>
          <w:bCs w:val="0"/>
          <w:i w:val="0"/>
          <w:iCs/>
          <w:sz w:val="22"/>
        </w:rPr>
        <w:t xml:space="preserve"> available research show about the obstacles and enablers</w:t>
      </w:r>
      <w:r w:rsidR="003E4178">
        <w:rPr>
          <w:b w:val="0"/>
          <w:bCs w:val="0"/>
          <w:i w:val="0"/>
          <w:iCs/>
          <w:sz w:val="22"/>
        </w:rPr>
        <w:t xml:space="preserve"> affecting older patients</w:t>
      </w:r>
      <w:r w:rsidR="00276595">
        <w:rPr>
          <w:b w:val="0"/>
          <w:bCs w:val="0"/>
          <w:i w:val="0"/>
          <w:iCs/>
          <w:sz w:val="22"/>
        </w:rPr>
        <w:t xml:space="preserve"> access to and utilisation of video consultation</w:t>
      </w:r>
      <w:r w:rsidR="000059CF">
        <w:rPr>
          <w:b w:val="0"/>
          <w:bCs w:val="0"/>
          <w:i w:val="0"/>
          <w:iCs/>
          <w:sz w:val="22"/>
        </w:rPr>
        <w:t xml:space="preserve"> in UK primary care?</w:t>
      </w:r>
    </w:p>
    <w:p w14:paraId="40F6CF3A" w14:textId="77777777" w:rsidR="00784670" w:rsidRPr="00AD0E8D" w:rsidRDefault="00784670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4C6858D8" w14:textId="77777777" w:rsidR="00784670" w:rsidRPr="00AD0E8D" w:rsidRDefault="00784670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2B00F95C" w14:textId="0166E1D2" w:rsidR="00545684" w:rsidRPr="00C66BDE" w:rsidRDefault="00FF5B70" w:rsidP="0038582C">
      <w:pPr>
        <w:pStyle w:val="Heading2"/>
        <w:jc w:val="both"/>
        <w:rPr>
          <w:b w:val="0"/>
          <w:bCs w:val="0"/>
          <w:i w:val="0"/>
          <w:iCs/>
          <w:sz w:val="22"/>
        </w:rPr>
      </w:pPr>
      <w:r w:rsidRPr="00AD0E8D">
        <w:t>2</w:t>
      </w:r>
      <w:r w:rsidR="00784670" w:rsidRPr="00AD0E8D">
        <w:t>) O</w:t>
      </w:r>
      <w:r w:rsidR="00545684" w:rsidRPr="00AD0E8D">
        <w:t>bjectives:</w:t>
      </w:r>
      <w:r w:rsidR="00C66BDE">
        <w:t xml:space="preserve"> </w:t>
      </w:r>
      <w:r w:rsidR="00FA5D3C">
        <w:rPr>
          <w:b w:val="0"/>
          <w:bCs w:val="0"/>
          <w:i w:val="0"/>
          <w:iCs/>
          <w:sz w:val="22"/>
        </w:rPr>
        <w:t xml:space="preserve">This scoping review </w:t>
      </w:r>
      <w:r w:rsidR="00B029E6">
        <w:rPr>
          <w:b w:val="0"/>
          <w:bCs w:val="0"/>
          <w:i w:val="0"/>
          <w:iCs/>
          <w:sz w:val="22"/>
        </w:rPr>
        <w:t>maps</w:t>
      </w:r>
      <w:r w:rsidR="000D4B53">
        <w:rPr>
          <w:b w:val="0"/>
          <w:bCs w:val="0"/>
          <w:i w:val="0"/>
          <w:iCs/>
          <w:sz w:val="22"/>
        </w:rPr>
        <w:t xml:space="preserve"> current</w:t>
      </w:r>
      <w:r w:rsidR="00FA5D3C">
        <w:rPr>
          <w:b w:val="0"/>
          <w:bCs w:val="0"/>
          <w:i w:val="0"/>
          <w:iCs/>
          <w:sz w:val="22"/>
        </w:rPr>
        <w:t xml:space="preserve"> evidence </w:t>
      </w:r>
      <w:r w:rsidR="006C5922">
        <w:rPr>
          <w:b w:val="0"/>
          <w:bCs w:val="0"/>
          <w:i w:val="0"/>
          <w:iCs/>
          <w:sz w:val="22"/>
        </w:rPr>
        <w:t>regarding</w:t>
      </w:r>
      <w:r w:rsidR="00800C7D">
        <w:rPr>
          <w:b w:val="0"/>
          <w:bCs w:val="0"/>
          <w:i w:val="0"/>
          <w:iCs/>
          <w:sz w:val="22"/>
        </w:rPr>
        <w:t xml:space="preserve"> accessibility </w:t>
      </w:r>
      <w:r w:rsidR="006E4B03">
        <w:rPr>
          <w:b w:val="0"/>
          <w:bCs w:val="0"/>
          <w:i w:val="0"/>
          <w:iCs/>
          <w:sz w:val="22"/>
        </w:rPr>
        <w:t>of video</w:t>
      </w:r>
      <w:r w:rsidR="00FA5D3C">
        <w:rPr>
          <w:b w:val="0"/>
          <w:bCs w:val="0"/>
          <w:i w:val="0"/>
          <w:iCs/>
          <w:sz w:val="22"/>
        </w:rPr>
        <w:t xml:space="preserve"> consultation</w:t>
      </w:r>
      <w:r w:rsidR="00FE51C4">
        <w:rPr>
          <w:b w:val="0"/>
          <w:bCs w:val="0"/>
          <w:i w:val="0"/>
          <w:iCs/>
          <w:sz w:val="22"/>
        </w:rPr>
        <w:t xml:space="preserve"> for older patients in UK primary care. The objectives are</w:t>
      </w:r>
      <w:r w:rsidR="00E53689">
        <w:rPr>
          <w:b w:val="0"/>
          <w:bCs w:val="0"/>
          <w:i w:val="0"/>
          <w:iCs/>
          <w:sz w:val="22"/>
        </w:rPr>
        <w:t>:</w:t>
      </w:r>
      <w:r w:rsidR="0009718E">
        <w:rPr>
          <w:b w:val="0"/>
          <w:bCs w:val="0"/>
          <w:i w:val="0"/>
          <w:iCs/>
          <w:sz w:val="22"/>
        </w:rPr>
        <w:t xml:space="preserve"> (1) </w:t>
      </w:r>
      <w:r w:rsidR="00065839">
        <w:rPr>
          <w:b w:val="0"/>
          <w:bCs w:val="0"/>
          <w:i w:val="0"/>
          <w:iCs/>
          <w:sz w:val="22"/>
        </w:rPr>
        <w:t>De</w:t>
      </w:r>
      <w:r w:rsidR="00BA2EDE">
        <w:rPr>
          <w:b w:val="0"/>
          <w:bCs w:val="0"/>
          <w:i w:val="0"/>
          <w:iCs/>
          <w:sz w:val="22"/>
        </w:rPr>
        <w:t xml:space="preserve">termine the </w:t>
      </w:r>
      <w:r w:rsidR="0009718E">
        <w:rPr>
          <w:b w:val="0"/>
          <w:bCs w:val="0"/>
          <w:i w:val="0"/>
          <w:iCs/>
          <w:sz w:val="22"/>
        </w:rPr>
        <w:t>structural and technological</w:t>
      </w:r>
      <w:r w:rsidR="00CA4A1C">
        <w:rPr>
          <w:b w:val="0"/>
          <w:bCs w:val="0"/>
          <w:i w:val="0"/>
          <w:iCs/>
          <w:sz w:val="22"/>
        </w:rPr>
        <w:t xml:space="preserve"> </w:t>
      </w:r>
      <w:r w:rsidR="00B31536">
        <w:rPr>
          <w:b w:val="0"/>
          <w:bCs w:val="0"/>
          <w:i w:val="0"/>
          <w:iCs/>
          <w:sz w:val="22"/>
        </w:rPr>
        <w:t>obstacles</w:t>
      </w:r>
      <w:r w:rsidR="00AB2C71">
        <w:rPr>
          <w:b w:val="0"/>
          <w:bCs w:val="0"/>
          <w:i w:val="0"/>
          <w:iCs/>
          <w:sz w:val="22"/>
        </w:rPr>
        <w:t xml:space="preserve"> to </w:t>
      </w:r>
      <w:r w:rsidR="00CA4A1C">
        <w:rPr>
          <w:b w:val="0"/>
          <w:bCs w:val="0"/>
          <w:i w:val="0"/>
          <w:iCs/>
          <w:sz w:val="22"/>
        </w:rPr>
        <w:t xml:space="preserve">access; (2) </w:t>
      </w:r>
      <w:r w:rsidR="00CB4682">
        <w:rPr>
          <w:b w:val="0"/>
          <w:bCs w:val="0"/>
          <w:i w:val="0"/>
          <w:iCs/>
          <w:sz w:val="22"/>
        </w:rPr>
        <w:t>investigate patient-specific variables such as</w:t>
      </w:r>
      <w:r w:rsidR="00086FE2">
        <w:rPr>
          <w:b w:val="0"/>
          <w:bCs w:val="0"/>
          <w:i w:val="0"/>
          <w:iCs/>
          <w:sz w:val="22"/>
        </w:rPr>
        <w:t xml:space="preserve"> digital literacy, socioeconomic status</w:t>
      </w:r>
      <w:r w:rsidR="003C785C">
        <w:rPr>
          <w:b w:val="0"/>
          <w:bCs w:val="0"/>
          <w:i w:val="0"/>
          <w:iCs/>
          <w:sz w:val="22"/>
        </w:rPr>
        <w:t>; and (3) examine facilitators, including healthcare professional training, technical support and inclusive service design</w:t>
      </w:r>
      <w:r w:rsidR="00251FD6">
        <w:rPr>
          <w:b w:val="0"/>
          <w:bCs w:val="0"/>
          <w:i w:val="0"/>
          <w:iCs/>
          <w:sz w:val="22"/>
        </w:rPr>
        <w:t>.</w:t>
      </w:r>
    </w:p>
    <w:p w14:paraId="7AA94269" w14:textId="357E6B5A" w:rsidR="00545684" w:rsidRPr="00AD0E8D" w:rsidRDefault="00545684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4DE92F51" w14:textId="77777777" w:rsidR="00041A5A" w:rsidRPr="00AD0E8D" w:rsidRDefault="00041A5A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3AC96963" w14:textId="36BD94D8" w:rsidR="00545684" w:rsidRPr="00973B94" w:rsidRDefault="00FF5B70" w:rsidP="0038582C">
      <w:pPr>
        <w:pStyle w:val="Heading2"/>
        <w:jc w:val="both"/>
        <w:rPr>
          <w:b w:val="0"/>
          <w:bCs w:val="0"/>
          <w:i w:val="0"/>
          <w:iCs/>
          <w:sz w:val="22"/>
        </w:rPr>
      </w:pPr>
      <w:r w:rsidRPr="00AD0E8D">
        <w:t>3</w:t>
      </w:r>
      <w:r w:rsidR="008E5015" w:rsidRPr="00AD0E8D">
        <w:t xml:space="preserve">) </w:t>
      </w:r>
      <w:r w:rsidR="00AD0E8D" w:rsidRPr="00AD0E8D">
        <w:t>Rationale</w:t>
      </w:r>
      <w:r w:rsidR="00545684" w:rsidRPr="00AD0E8D">
        <w:t>:</w:t>
      </w:r>
      <w:r w:rsidR="00576160">
        <w:rPr>
          <w:b w:val="0"/>
          <w:bCs w:val="0"/>
          <w:i w:val="0"/>
          <w:iCs/>
          <w:sz w:val="22"/>
        </w:rPr>
        <w:t xml:space="preserve"> Digital transformation remains a key priority for the </w:t>
      </w:r>
      <w:r w:rsidR="005C0C23">
        <w:rPr>
          <w:b w:val="0"/>
          <w:bCs w:val="0"/>
          <w:i w:val="0"/>
          <w:iCs/>
          <w:sz w:val="22"/>
        </w:rPr>
        <w:t>NHS with digital technologies intended to.  Improve healthcare accessibility and eff</w:t>
      </w:r>
      <w:r w:rsidR="0077486F">
        <w:rPr>
          <w:b w:val="0"/>
          <w:bCs w:val="0"/>
          <w:i w:val="0"/>
          <w:iCs/>
          <w:sz w:val="22"/>
        </w:rPr>
        <w:t>iciency (NHS England, 2019)</w:t>
      </w:r>
      <w:r w:rsidR="006210FA">
        <w:rPr>
          <w:b w:val="0"/>
          <w:bCs w:val="0"/>
          <w:i w:val="0"/>
          <w:iCs/>
          <w:sz w:val="22"/>
        </w:rPr>
        <w:t xml:space="preserve">. </w:t>
      </w:r>
      <w:r w:rsidR="0072017B">
        <w:rPr>
          <w:b w:val="0"/>
          <w:bCs w:val="0"/>
          <w:i w:val="0"/>
          <w:iCs/>
          <w:sz w:val="22"/>
        </w:rPr>
        <w:t>However,</w:t>
      </w:r>
      <w:r w:rsidR="006210FA">
        <w:rPr>
          <w:b w:val="0"/>
          <w:bCs w:val="0"/>
          <w:i w:val="0"/>
          <w:iCs/>
          <w:sz w:val="22"/>
        </w:rPr>
        <w:t xml:space="preserve"> video consultations may un</w:t>
      </w:r>
      <w:r w:rsidR="00092BA7">
        <w:rPr>
          <w:b w:val="0"/>
          <w:bCs w:val="0"/>
          <w:i w:val="0"/>
          <w:iCs/>
          <w:sz w:val="22"/>
        </w:rPr>
        <w:t>intentionally disadvantage older patients who experience difficulties</w:t>
      </w:r>
      <w:r w:rsidR="00550C81">
        <w:rPr>
          <w:b w:val="0"/>
          <w:bCs w:val="0"/>
          <w:i w:val="0"/>
          <w:iCs/>
          <w:sz w:val="22"/>
        </w:rPr>
        <w:t xml:space="preserve"> with digital devices, internet connectivity or navigating</w:t>
      </w:r>
      <w:r w:rsidR="00BC7892">
        <w:rPr>
          <w:b w:val="0"/>
          <w:bCs w:val="0"/>
          <w:i w:val="0"/>
          <w:iCs/>
          <w:sz w:val="22"/>
        </w:rPr>
        <w:t xml:space="preserve"> online platforms. Research highlights that digital exclusion</w:t>
      </w:r>
      <w:r w:rsidR="009F6930">
        <w:rPr>
          <w:b w:val="0"/>
          <w:bCs w:val="0"/>
          <w:i w:val="0"/>
          <w:iCs/>
          <w:sz w:val="22"/>
        </w:rPr>
        <w:t xml:space="preserve"> can reinforce existing health </w:t>
      </w:r>
      <w:r w:rsidR="00EB57FE">
        <w:rPr>
          <w:b w:val="0"/>
          <w:bCs w:val="0"/>
          <w:i w:val="0"/>
          <w:iCs/>
          <w:sz w:val="22"/>
        </w:rPr>
        <w:t>inequalities</w:t>
      </w:r>
      <w:r w:rsidR="009F6930">
        <w:rPr>
          <w:b w:val="0"/>
          <w:bCs w:val="0"/>
          <w:i w:val="0"/>
          <w:iCs/>
          <w:sz w:val="22"/>
        </w:rPr>
        <w:t>, particularly among older</w:t>
      </w:r>
      <w:r w:rsidR="00F22966">
        <w:rPr>
          <w:b w:val="0"/>
          <w:bCs w:val="0"/>
          <w:i w:val="0"/>
          <w:iCs/>
          <w:sz w:val="22"/>
        </w:rPr>
        <w:t xml:space="preserve"> and socioeconomically disadvanta</w:t>
      </w:r>
      <w:r w:rsidR="001054F3">
        <w:rPr>
          <w:b w:val="0"/>
          <w:bCs w:val="0"/>
          <w:i w:val="0"/>
          <w:iCs/>
          <w:sz w:val="22"/>
        </w:rPr>
        <w:t>ged populations (Age UK</w:t>
      </w:r>
      <w:r w:rsidR="00AA16E9">
        <w:rPr>
          <w:b w:val="0"/>
          <w:bCs w:val="0"/>
          <w:i w:val="0"/>
          <w:iCs/>
          <w:sz w:val="22"/>
        </w:rPr>
        <w:t>, 2021). Although video consultations may reduce travel</w:t>
      </w:r>
      <w:r w:rsidR="00614F22">
        <w:rPr>
          <w:b w:val="0"/>
          <w:bCs w:val="0"/>
          <w:i w:val="0"/>
          <w:iCs/>
          <w:sz w:val="22"/>
        </w:rPr>
        <w:t xml:space="preserve"> burdens and improve convenience, concer</w:t>
      </w:r>
      <w:r w:rsidR="00952927">
        <w:rPr>
          <w:b w:val="0"/>
          <w:bCs w:val="0"/>
          <w:i w:val="0"/>
          <w:iCs/>
          <w:sz w:val="22"/>
        </w:rPr>
        <w:t>ns regarding communication, privacy and the clinical assessment of complex conditio</w:t>
      </w:r>
      <w:r w:rsidR="003D4E12">
        <w:rPr>
          <w:b w:val="0"/>
          <w:bCs w:val="0"/>
          <w:i w:val="0"/>
          <w:iCs/>
          <w:sz w:val="22"/>
        </w:rPr>
        <w:t>ns remain relevant (Greenhalgh et al</w:t>
      </w:r>
      <w:r w:rsidR="005D6877">
        <w:rPr>
          <w:b w:val="0"/>
          <w:bCs w:val="0"/>
          <w:i w:val="0"/>
          <w:iCs/>
          <w:sz w:val="22"/>
        </w:rPr>
        <w:t>., 2018). Therefore</w:t>
      </w:r>
      <w:r w:rsidR="00AD5251">
        <w:rPr>
          <w:b w:val="0"/>
          <w:bCs w:val="0"/>
          <w:i w:val="0"/>
          <w:iCs/>
          <w:sz w:val="22"/>
        </w:rPr>
        <w:t>, a scoping review is needed to map the evidence, identify knowledge</w:t>
      </w:r>
      <w:r w:rsidR="00705536">
        <w:rPr>
          <w:b w:val="0"/>
          <w:bCs w:val="0"/>
          <w:i w:val="0"/>
          <w:iCs/>
          <w:sz w:val="22"/>
        </w:rPr>
        <w:t xml:space="preserve"> gaps and inform more equitable implementation of video consultations in UK primary care.</w:t>
      </w:r>
    </w:p>
    <w:p w14:paraId="123E060D" w14:textId="779C77FB" w:rsidR="00545684" w:rsidRPr="00AD0E8D" w:rsidRDefault="00545684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48B3D1A4" w14:textId="77777777" w:rsidR="00041A5A" w:rsidRPr="00AD0E8D" w:rsidRDefault="00041A5A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332E5A12" w14:textId="3E705AB5" w:rsidR="00545684" w:rsidRPr="001B67BC" w:rsidRDefault="00FF5B70" w:rsidP="0038582C">
      <w:pPr>
        <w:pStyle w:val="Heading2"/>
        <w:jc w:val="both"/>
        <w:rPr>
          <w:b w:val="0"/>
          <w:bCs w:val="0"/>
          <w:i w:val="0"/>
          <w:iCs/>
          <w:sz w:val="22"/>
        </w:rPr>
      </w:pPr>
      <w:r w:rsidRPr="00AD0E8D">
        <w:lastRenderedPageBreak/>
        <w:t>4</w:t>
      </w:r>
      <w:r w:rsidR="008E5015" w:rsidRPr="00AD0E8D">
        <w:t xml:space="preserve">) </w:t>
      </w:r>
      <w:r w:rsidR="00545684" w:rsidRPr="00AD0E8D">
        <w:t>Methods:</w:t>
      </w:r>
      <w:r w:rsidR="001B67BC">
        <w:rPr>
          <w:b w:val="0"/>
          <w:bCs w:val="0"/>
          <w:i w:val="0"/>
          <w:iCs/>
          <w:sz w:val="22"/>
        </w:rPr>
        <w:t xml:space="preserve"> </w:t>
      </w:r>
      <w:r w:rsidR="005C4BCD">
        <w:rPr>
          <w:b w:val="0"/>
          <w:bCs w:val="0"/>
          <w:i w:val="0"/>
          <w:iCs/>
          <w:sz w:val="22"/>
        </w:rPr>
        <w:t>This study will adopt a scoping review methodology guided by the framework developed by</w:t>
      </w:r>
      <w:r w:rsidR="00F44A0B">
        <w:rPr>
          <w:b w:val="0"/>
          <w:bCs w:val="0"/>
          <w:i w:val="0"/>
          <w:iCs/>
          <w:sz w:val="22"/>
        </w:rPr>
        <w:t xml:space="preserve"> Arksey and O’M</w:t>
      </w:r>
      <w:r w:rsidR="0056177B">
        <w:rPr>
          <w:b w:val="0"/>
          <w:bCs w:val="0"/>
          <w:i w:val="0"/>
          <w:iCs/>
          <w:sz w:val="22"/>
        </w:rPr>
        <w:t>alley (2005) and the reporting recommendatio</w:t>
      </w:r>
      <w:r w:rsidR="00A203E7">
        <w:rPr>
          <w:b w:val="0"/>
          <w:bCs w:val="0"/>
          <w:i w:val="0"/>
          <w:iCs/>
          <w:sz w:val="22"/>
        </w:rPr>
        <w:t>ns of Peters et al. (2020). Searches</w:t>
      </w:r>
      <w:r w:rsidR="006B5E75">
        <w:rPr>
          <w:b w:val="0"/>
          <w:bCs w:val="0"/>
          <w:i w:val="0"/>
          <w:iCs/>
          <w:sz w:val="22"/>
        </w:rPr>
        <w:t xml:space="preserve"> will be conducted in PubMed, CINAHL,</w:t>
      </w:r>
      <w:r w:rsidR="00732A11">
        <w:rPr>
          <w:b w:val="0"/>
          <w:bCs w:val="0"/>
          <w:i w:val="0"/>
          <w:iCs/>
          <w:sz w:val="22"/>
        </w:rPr>
        <w:t xml:space="preserve"> MEDLINE and the Cochrane Library using Boolean operato</w:t>
      </w:r>
      <w:r w:rsidR="00086623">
        <w:rPr>
          <w:b w:val="0"/>
          <w:bCs w:val="0"/>
          <w:i w:val="0"/>
          <w:iCs/>
          <w:sz w:val="22"/>
        </w:rPr>
        <w:t>rs and keywords such as “video consultatio</w:t>
      </w:r>
      <w:r w:rsidR="00252499">
        <w:rPr>
          <w:b w:val="0"/>
          <w:bCs w:val="0"/>
          <w:i w:val="0"/>
          <w:iCs/>
          <w:sz w:val="22"/>
        </w:rPr>
        <w:t xml:space="preserve">n”’ “older adults”’ </w:t>
      </w:r>
      <w:r w:rsidR="00A90EA5">
        <w:rPr>
          <w:b w:val="0"/>
          <w:bCs w:val="0"/>
          <w:i w:val="0"/>
          <w:iCs/>
          <w:sz w:val="22"/>
        </w:rPr>
        <w:t>“elderly patients”’ “primary care”</w:t>
      </w:r>
      <w:r w:rsidR="004542D8">
        <w:rPr>
          <w:b w:val="0"/>
          <w:bCs w:val="0"/>
          <w:i w:val="0"/>
          <w:iCs/>
          <w:sz w:val="22"/>
        </w:rPr>
        <w:t xml:space="preserve"> </w:t>
      </w:r>
      <w:r w:rsidR="00B4282A">
        <w:rPr>
          <w:b w:val="0"/>
          <w:bCs w:val="0"/>
          <w:i w:val="0"/>
          <w:iCs/>
          <w:sz w:val="22"/>
        </w:rPr>
        <w:t>and “United</w:t>
      </w:r>
      <w:r w:rsidR="004542D8">
        <w:rPr>
          <w:b w:val="0"/>
          <w:bCs w:val="0"/>
          <w:i w:val="0"/>
          <w:iCs/>
          <w:sz w:val="22"/>
        </w:rPr>
        <w:t xml:space="preserve"> Kingdom”. </w:t>
      </w:r>
      <w:r w:rsidR="001C4252">
        <w:rPr>
          <w:b w:val="0"/>
          <w:bCs w:val="0"/>
          <w:i w:val="0"/>
          <w:iCs/>
          <w:sz w:val="22"/>
        </w:rPr>
        <w:t>Empirical</w:t>
      </w:r>
      <w:r w:rsidR="004542D8">
        <w:rPr>
          <w:b w:val="0"/>
          <w:bCs w:val="0"/>
          <w:i w:val="0"/>
          <w:iCs/>
          <w:sz w:val="22"/>
        </w:rPr>
        <w:t xml:space="preserve"> studies</w:t>
      </w:r>
      <w:r w:rsidR="00AD61B5">
        <w:rPr>
          <w:b w:val="0"/>
          <w:bCs w:val="0"/>
          <w:i w:val="0"/>
          <w:iCs/>
          <w:sz w:val="22"/>
        </w:rPr>
        <w:t xml:space="preserve"> published between 2018 and 2026 and conducted</w:t>
      </w:r>
      <w:r w:rsidR="0080191B">
        <w:rPr>
          <w:b w:val="0"/>
          <w:bCs w:val="0"/>
          <w:i w:val="0"/>
          <w:iCs/>
          <w:sz w:val="22"/>
        </w:rPr>
        <w:t xml:space="preserve"> in UK primary care settings will be considered</w:t>
      </w:r>
      <w:r w:rsidR="001A0A98">
        <w:rPr>
          <w:b w:val="0"/>
          <w:bCs w:val="0"/>
          <w:i w:val="0"/>
          <w:iCs/>
          <w:sz w:val="22"/>
        </w:rPr>
        <w:t>. Studies focusing on older adults, preferably</w:t>
      </w:r>
      <w:r w:rsidR="005F3B6A">
        <w:rPr>
          <w:b w:val="0"/>
          <w:bCs w:val="0"/>
          <w:i w:val="0"/>
          <w:iCs/>
          <w:sz w:val="22"/>
        </w:rPr>
        <w:t xml:space="preserve"> aged 65 years and above, wi</w:t>
      </w:r>
      <w:r w:rsidR="00BC05E2">
        <w:rPr>
          <w:b w:val="0"/>
          <w:bCs w:val="0"/>
          <w:i w:val="0"/>
          <w:iCs/>
          <w:sz w:val="22"/>
        </w:rPr>
        <w:t>ll be prioritised</w:t>
      </w:r>
      <w:r w:rsidR="004C77E6">
        <w:rPr>
          <w:b w:val="0"/>
          <w:bCs w:val="0"/>
          <w:i w:val="0"/>
          <w:iCs/>
          <w:sz w:val="22"/>
        </w:rPr>
        <w:t>. Titles abstracts and full texts will be screened against predefined eligibility</w:t>
      </w:r>
      <w:r w:rsidR="0058417C">
        <w:rPr>
          <w:b w:val="0"/>
          <w:bCs w:val="0"/>
          <w:i w:val="0"/>
          <w:iCs/>
          <w:sz w:val="22"/>
        </w:rPr>
        <w:t xml:space="preserve"> criteria. Data will be charted syste</w:t>
      </w:r>
      <w:r w:rsidR="00524150">
        <w:rPr>
          <w:b w:val="0"/>
          <w:bCs w:val="0"/>
          <w:i w:val="0"/>
          <w:iCs/>
          <w:sz w:val="22"/>
        </w:rPr>
        <w:t>matically and analysed thematically to identify technological</w:t>
      </w:r>
      <w:r w:rsidR="001C4BFB">
        <w:rPr>
          <w:b w:val="0"/>
          <w:bCs w:val="0"/>
          <w:i w:val="0"/>
          <w:iCs/>
          <w:sz w:val="22"/>
        </w:rPr>
        <w:t>, organisational and sociodemographi</w:t>
      </w:r>
      <w:r w:rsidR="00CD3A28">
        <w:rPr>
          <w:b w:val="0"/>
          <w:bCs w:val="0"/>
          <w:i w:val="0"/>
          <w:iCs/>
          <w:sz w:val="22"/>
        </w:rPr>
        <w:t>c barriers and facilitators. Findings will be reported using PRISMA</w:t>
      </w:r>
      <w:r w:rsidR="00A452B5">
        <w:rPr>
          <w:b w:val="0"/>
          <w:bCs w:val="0"/>
          <w:i w:val="0"/>
          <w:iCs/>
          <w:sz w:val="22"/>
        </w:rPr>
        <w:t>-ScR guidance (Tricco et al., 2018)</w:t>
      </w:r>
      <w:r w:rsidR="001C4252">
        <w:rPr>
          <w:b w:val="0"/>
          <w:bCs w:val="0"/>
          <w:i w:val="0"/>
          <w:iCs/>
          <w:sz w:val="22"/>
        </w:rPr>
        <w:t>.</w:t>
      </w:r>
    </w:p>
    <w:p w14:paraId="7415BFCC" w14:textId="5A34063E" w:rsidR="0061260B" w:rsidRPr="00AD0E8D" w:rsidRDefault="0061260B" w:rsidP="0038582C">
      <w:pPr>
        <w:jc w:val="both"/>
        <w:rPr>
          <w:rFonts w:ascii="Arial" w:hAnsi="Arial" w:cs="Arial"/>
          <w:sz w:val="22"/>
        </w:rPr>
      </w:pPr>
    </w:p>
    <w:p w14:paraId="18E06925" w14:textId="77777777" w:rsidR="00260277" w:rsidRPr="00AD0E8D" w:rsidRDefault="00260277" w:rsidP="0038582C">
      <w:pPr>
        <w:jc w:val="both"/>
        <w:rPr>
          <w:rFonts w:ascii="Arial" w:hAnsi="Arial" w:cs="Arial"/>
          <w:sz w:val="22"/>
        </w:rPr>
      </w:pPr>
    </w:p>
    <w:p w14:paraId="08437629" w14:textId="77777777" w:rsidR="0061260B" w:rsidRPr="00AD0E8D" w:rsidRDefault="0061260B" w:rsidP="0038582C">
      <w:pPr>
        <w:jc w:val="both"/>
        <w:rPr>
          <w:rFonts w:ascii="Arial" w:hAnsi="Arial" w:cs="Arial"/>
          <w:sz w:val="22"/>
        </w:rPr>
      </w:pPr>
    </w:p>
    <w:p w14:paraId="232DCC93" w14:textId="4FBCA582" w:rsidR="0061260B" w:rsidRPr="004372F0" w:rsidRDefault="00FF5B70" w:rsidP="0038582C">
      <w:pPr>
        <w:pStyle w:val="Heading2"/>
        <w:jc w:val="both"/>
        <w:rPr>
          <w:b w:val="0"/>
          <w:bCs w:val="0"/>
          <w:i w:val="0"/>
          <w:iCs/>
          <w:sz w:val="22"/>
        </w:rPr>
      </w:pPr>
      <w:r w:rsidRPr="00AD0E8D">
        <w:t>5</w:t>
      </w:r>
      <w:r w:rsidR="0061260B" w:rsidRPr="00AD0E8D">
        <w:t xml:space="preserve">) </w:t>
      </w:r>
      <w:r w:rsidR="00AD0E8D" w:rsidRPr="00AD0E8D">
        <w:t>Ethical considerations</w:t>
      </w:r>
      <w:r w:rsidR="00260277" w:rsidRPr="00AD0E8D">
        <w:t>:</w:t>
      </w:r>
      <w:r w:rsidR="0061260B" w:rsidRPr="00AD0E8D">
        <w:t xml:space="preserve"> </w:t>
      </w:r>
      <w:r w:rsidR="00CF7602">
        <w:rPr>
          <w:b w:val="0"/>
          <w:bCs w:val="0"/>
          <w:i w:val="0"/>
          <w:iCs/>
          <w:sz w:val="22"/>
        </w:rPr>
        <w:t>This secondary review synthesises published research without collecting primary human data</w:t>
      </w:r>
      <w:r w:rsidR="005915AD">
        <w:rPr>
          <w:b w:val="0"/>
          <w:bCs w:val="0"/>
          <w:i w:val="0"/>
          <w:iCs/>
          <w:sz w:val="22"/>
        </w:rPr>
        <w:t xml:space="preserve">, </w:t>
      </w:r>
      <w:r w:rsidR="008F4F06">
        <w:rPr>
          <w:b w:val="0"/>
          <w:bCs w:val="0"/>
          <w:i w:val="0"/>
          <w:iCs/>
          <w:sz w:val="22"/>
        </w:rPr>
        <w:t>making</w:t>
      </w:r>
      <w:r w:rsidR="005915AD">
        <w:rPr>
          <w:b w:val="0"/>
          <w:bCs w:val="0"/>
          <w:i w:val="0"/>
          <w:iCs/>
          <w:sz w:val="22"/>
        </w:rPr>
        <w:t xml:space="preserve"> formal institutional ethics approval</w:t>
      </w:r>
      <w:r w:rsidR="004F353A">
        <w:rPr>
          <w:b w:val="0"/>
          <w:bCs w:val="0"/>
          <w:i w:val="0"/>
          <w:iCs/>
          <w:sz w:val="22"/>
        </w:rPr>
        <w:t xml:space="preserve"> option</w:t>
      </w:r>
      <w:r w:rsidR="00165F60">
        <w:rPr>
          <w:b w:val="0"/>
          <w:bCs w:val="0"/>
          <w:i w:val="0"/>
          <w:iCs/>
          <w:sz w:val="22"/>
        </w:rPr>
        <w:t>a</w:t>
      </w:r>
      <w:r w:rsidR="004F353A">
        <w:rPr>
          <w:b w:val="0"/>
          <w:bCs w:val="0"/>
          <w:i w:val="0"/>
          <w:iCs/>
          <w:sz w:val="22"/>
        </w:rPr>
        <w:t>l depending on local guidelines. However</w:t>
      </w:r>
      <w:r w:rsidR="00DC1C5B">
        <w:rPr>
          <w:b w:val="0"/>
          <w:bCs w:val="0"/>
          <w:i w:val="0"/>
          <w:iCs/>
          <w:sz w:val="22"/>
        </w:rPr>
        <w:t>, academic integrity remains paramount.</w:t>
      </w:r>
      <w:r w:rsidR="00165F60">
        <w:rPr>
          <w:b w:val="0"/>
          <w:bCs w:val="0"/>
          <w:i w:val="0"/>
          <w:iCs/>
          <w:sz w:val="22"/>
        </w:rPr>
        <w:t xml:space="preserve"> </w:t>
      </w:r>
      <w:r w:rsidR="00D322F1">
        <w:rPr>
          <w:b w:val="0"/>
          <w:bCs w:val="0"/>
          <w:i w:val="0"/>
          <w:iCs/>
          <w:sz w:val="22"/>
        </w:rPr>
        <w:t>The study will strictly follow</w:t>
      </w:r>
      <w:r w:rsidR="00001CFF">
        <w:rPr>
          <w:b w:val="0"/>
          <w:bCs w:val="0"/>
          <w:i w:val="0"/>
          <w:iCs/>
          <w:sz w:val="22"/>
        </w:rPr>
        <w:t xml:space="preserve"> </w:t>
      </w:r>
      <w:r w:rsidR="006C6596">
        <w:rPr>
          <w:b w:val="0"/>
          <w:bCs w:val="0"/>
          <w:i w:val="0"/>
          <w:iCs/>
          <w:sz w:val="22"/>
        </w:rPr>
        <w:t xml:space="preserve">PRISMA-ScR </w:t>
      </w:r>
      <w:r w:rsidR="004D5FC4">
        <w:rPr>
          <w:b w:val="0"/>
          <w:bCs w:val="0"/>
          <w:i w:val="0"/>
          <w:iCs/>
          <w:sz w:val="22"/>
        </w:rPr>
        <w:t xml:space="preserve">guidelines </w:t>
      </w:r>
      <w:r w:rsidR="00E25B22">
        <w:rPr>
          <w:b w:val="0"/>
          <w:bCs w:val="0"/>
          <w:i w:val="0"/>
          <w:iCs/>
          <w:sz w:val="22"/>
        </w:rPr>
        <w:t xml:space="preserve">and precise referencing to </w:t>
      </w:r>
      <w:r w:rsidR="00E35545">
        <w:rPr>
          <w:b w:val="0"/>
          <w:bCs w:val="0"/>
          <w:i w:val="0"/>
          <w:iCs/>
          <w:sz w:val="22"/>
        </w:rPr>
        <w:t>ensure total</w:t>
      </w:r>
      <w:r w:rsidR="006C6596">
        <w:rPr>
          <w:b w:val="0"/>
          <w:bCs w:val="0"/>
          <w:i w:val="0"/>
          <w:iCs/>
          <w:sz w:val="22"/>
        </w:rPr>
        <w:t xml:space="preserve"> transparency and </w:t>
      </w:r>
      <w:r w:rsidR="008A404B">
        <w:rPr>
          <w:b w:val="0"/>
          <w:bCs w:val="0"/>
          <w:i w:val="0"/>
          <w:iCs/>
          <w:sz w:val="22"/>
        </w:rPr>
        <w:t>reproducibility (Tricco et al., 2018).</w:t>
      </w:r>
    </w:p>
    <w:p w14:paraId="64C3045A" w14:textId="742E6424" w:rsidR="0061260B" w:rsidRPr="00AD0E8D" w:rsidRDefault="0061260B" w:rsidP="0038582C">
      <w:pPr>
        <w:jc w:val="both"/>
        <w:rPr>
          <w:rFonts w:ascii="Arial" w:hAnsi="Arial" w:cs="Arial"/>
          <w:sz w:val="22"/>
        </w:rPr>
      </w:pPr>
    </w:p>
    <w:p w14:paraId="32C49FA8" w14:textId="77777777" w:rsidR="00260277" w:rsidRPr="00AD0E8D" w:rsidRDefault="00260277" w:rsidP="0038582C">
      <w:pPr>
        <w:jc w:val="both"/>
        <w:rPr>
          <w:rFonts w:ascii="Arial" w:hAnsi="Arial" w:cs="Arial"/>
          <w:sz w:val="22"/>
        </w:rPr>
      </w:pPr>
    </w:p>
    <w:p w14:paraId="376E10FA" w14:textId="77777777" w:rsidR="00260277" w:rsidRPr="00AD0E8D" w:rsidRDefault="00260277" w:rsidP="0038582C">
      <w:pPr>
        <w:jc w:val="both"/>
        <w:rPr>
          <w:rFonts w:ascii="Arial" w:hAnsi="Arial" w:cs="Arial"/>
          <w:sz w:val="22"/>
        </w:rPr>
      </w:pPr>
    </w:p>
    <w:p w14:paraId="44ED918B" w14:textId="77777777" w:rsidR="00FF5B70" w:rsidRPr="00AD0E8D" w:rsidRDefault="00FF5B70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602D39AC" w14:textId="44AF797D" w:rsidR="00545684" w:rsidRPr="00AD0E8D" w:rsidRDefault="00545684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7D7C2A82" w14:textId="1F77B7A9" w:rsidR="00FF5B70" w:rsidRPr="00AD0E8D" w:rsidRDefault="00FF5B70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4ECDA0BD" w14:textId="77777777" w:rsidR="00FF5B70" w:rsidRPr="00AD0E8D" w:rsidRDefault="00FF5B70" w:rsidP="0038582C">
      <w:pPr>
        <w:spacing w:line="360" w:lineRule="auto"/>
        <w:jc w:val="both"/>
        <w:rPr>
          <w:rFonts w:ascii="Arial" w:hAnsi="Arial" w:cs="Arial"/>
          <w:sz w:val="22"/>
        </w:rPr>
      </w:pPr>
    </w:p>
    <w:p w14:paraId="449212CA" w14:textId="77777777" w:rsidR="00545684" w:rsidRPr="00AD0E8D" w:rsidRDefault="00545684" w:rsidP="0038582C">
      <w:pPr>
        <w:spacing w:line="360" w:lineRule="auto"/>
        <w:jc w:val="both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262C8CA3" w14:textId="4D2FF9E1" w:rsidR="00545684" w:rsidRDefault="00545684" w:rsidP="0038582C">
      <w:pPr>
        <w:pStyle w:val="Heading1"/>
        <w:jc w:val="both"/>
      </w:pPr>
      <w:r w:rsidRPr="00AD0E8D">
        <w:lastRenderedPageBreak/>
        <w:t>References</w:t>
      </w:r>
    </w:p>
    <w:p w14:paraId="4F63C52B" w14:textId="77777777" w:rsidR="00C272D5" w:rsidRDefault="00C272D5" w:rsidP="0038582C">
      <w:pPr>
        <w:jc w:val="both"/>
      </w:pPr>
    </w:p>
    <w:p w14:paraId="0987E053" w14:textId="77777777" w:rsidR="00E552DF" w:rsidRPr="00C272D5" w:rsidRDefault="00E552DF" w:rsidP="0038582C">
      <w:pPr>
        <w:jc w:val="both"/>
      </w:pPr>
    </w:p>
    <w:p w14:paraId="3CB57EAF" w14:textId="77777777" w:rsidR="00E552DF" w:rsidRPr="004E1EDF" w:rsidRDefault="00E552DF" w:rsidP="0038582C">
      <w:pPr>
        <w:pStyle w:val="x1ghz6dp"/>
        <w:spacing w:before="0" w:after="0" w:afterAutospacing="0"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E1EDF">
        <w:rPr>
          <w:rFonts w:ascii="Arial" w:hAnsi="Arial" w:cs="Arial"/>
          <w:sz w:val="22"/>
          <w:szCs w:val="22"/>
        </w:rPr>
        <w:t xml:space="preserve">Age UK (2021) </w:t>
      </w:r>
      <w:r>
        <w:rPr>
          <w:rFonts w:ascii="Arial" w:hAnsi="Arial" w:cs="Arial"/>
          <w:sz w:val="22"/>
          <w:szCs w:val="22"/>
        </w:rPr>
        <w:t>‘</w:t>
      </w:r>
      <w:r w:rsidRPr="004E1EDF">
        <w:rPr>
          <w:rStyle w:val="xt0psk2"/>
          <w:rFonts w:ascii="Arial" w:eastAsiaTheme="majorEastAsia" w:hAnsi="Arial" w:cs="Arial"/>
          <w:i/>
          <w:iCs/>
          <w:sz w:val="22"/>
          <w:szCs w:val="22"/>
          <w:bdr w:val="none" w:sz="0" w:space="0" w:color="auto" w:frame="1"/>
        </w:rPr>
        <w:t>Digital inclusion and older people</w:t>
      </w:r>
      <w:r>
        <w:rPr>
          <w:rStyle w:val="xt0psk2"/>
          <w:rFonts w:ascii="Arial" w:eastAsiaTheme="majorEastAsia" w:hAnsi="Arial" w:cs="Arial"/>
          <w:i/>
          <w:iCs/>
          <w:sz w:val="22"/>
          <w:szCs w:val="22"/>
          <w:bdr w:val="none" w:sz="0" w:space="0" w:color="auto" w:frame="1"/>
        </w:rPr>
        <w:t>- how have things changed in a Covid-19 world?’</w:t>
      </w:r>
      <w:r w:rsidRPr="004E1ED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9" w:history="1">
        <w:r w:rsidRPr="002E32F8">
          <w:rPr>
            <w:rStyle w:val="Hyperlink"/>
            <w:rFonts w:ascii="Arial" w:hAnsi="Arial" w:cs="Arial"/>
            <w:sz w:val="22"/>
            <w:szCs w:val="22"/>
          </w:rPr>
          <w:t>https://www.ageuk.org.uk/siteassets/documents/reports-and-publications/reports-and-briefings/active-communities/digital-inclusion-in-the-pandemic-final-march-2021.pdf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19C9D1B3" w14:textId="77777777" w:rsidR="00E552DF" w:rsidRPr="004E1EDF" w:rsidRDefault="00E552DF" w:rsidP="0038582C">
      <w:pPr>
        <w:pStyle w:val="x1ghz6dp"/>
        <w:spacing w:before="0" w:after="0" w:afterAutospacing="0"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E1EDF">
        <w:rPr>
          <w:rFonts w:ascii="Arial" w:hAnsi="Arial" w:cs="Arial"/>
          <w:sz w:val="22"/>
          <w:szCs w:val="22"/>
        </w:rPr>
        <w:t xml:space="preserve">Arksey, H. and O’Malley, L. (2005) ‘Scoping studies: towards a methodological framework’, </w:t>
      </w:r>
      <w:r w:rsidRPr="004E1EDF">
        <w:rPr>
          <w:rStyle w:val="xt0psk2"/>
          <w:rFonts w:ascii="Arial" w:eastAsiaTheme="majorEastAsia" w:hAnsi="Arial" w:cs="Arial"/>
          <w:i/>
          <w:iCs/>
          <w:sz w:val="22"/>
          <w:szCs w:val="22"/>
          <w:bdr w:val="none" w:sz="0" w:space="0" w:color="auto" w:frame="1"/>
        </w:rPr>
        <w:t>International Journal of Social Research Methodology</w:t>
      </w:r>
      <w:r w:rsidRPr="004E1EDF">
        <w:rPr>
          <w:rFonts w:ascii="Arial" w:hAnsi="Arial" w:cs="Arial"/>
          <w:sz w:val="22"/>
          <w:szCs w:val="22"/>
        </w:rPr>
        <w:t>, 8(1), pp. 19–32.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10" w:history="1">
        <w:r w:rsidRPr="002E32F8">
          <w:rPr>
            <w:rStyle w:val="Hyperlink"/>
            <w:rFonts w:ascii="Arial" w:hAnsi="Arial" w:cs="Arial"/>
            <w:sz w:val="22"/>
            <w:szCs w:val="22"/>
          </w:rPr>
          <w:t>https://doi.org/10.1080/1364557032000119616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6E7E767F" w14:textId="77777777" w:rsidR="00E552DF" w:rsidRPr="004E1EDF" w:rsidRDefault="00E552DF" w:rsidP="0038582C">
      <w:pPr>
        <w:pStyle w:val="x1ghz6dp"/>
        <w:spacing w:before="0" w:after="0" w:afterAutospacing="0"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E1EDF">
        <w:rPr>
          <w:rFonts w:ascii="Arial" w:hAnsi="Arial" w:cs="Arial"/>
          <w:sz w:val="22"/>
          <w:szCs w:val="22"/>
        </w:rPr>
        <w:t xml:space="preserve">Greenhalgh, T. et al. (2018) ‘Real-world implementation of video outpatient consultations at </w:t>
      </w:r>
      <w:r>
        <w:rPr>
          <w:rFonts w:ascii="Arial" w:hAnsi="Arial" w:cs="Arial"/>
          <w:sz w:val="22"/>
          <w:szCs w:val="22"/>
        </w:rPr>
        <w:t>macro, meso, and micro levels: mixed-method study’</w:t>
      </w:r>
      <w:r w:rsidRPr="004E1ED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Pr="002E32F8">
          <w:rPr>
            <w:rStyle w:val="Hyperlink"/>
            <w:rFonts w:ascii="Arial" w:hAnsi="Arial" w:cs="Arial"/>
            <w:sz w:val="22"/>
            <w:szCs w:val="22"/>
          </w:rPr>
          <w:t>https://www.jmir.org/2018/4/e150/PDF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0494E85E" w14:textId="77777777" w:rsidR="00E552DF" w:rsidRPr="004E1EDF" w:rsidRDefault="00E552DF" w:rsidP="0038582C">
      <w:pPr>
        <w:pStyle w:val="x1ghz6dp"/>
        <w:spacing w:before="0" w:after="0" w:afterAutospacing="0"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E1EDF">
        <w:rPr>
          <w:rFonts w:ascii="Arial" w:hAnsi="Arial" w:cs="Arial"/>
          <w:sz w:val="22"/>
          <w:szCs w:val="22"/>
        </w:rPr>
        <w:t xml:space="preserve">NHS England (2019) </w:t>
      </w:r>
      <w:r w:rsidRPr="004E1EDF">
        <w:rPr>
          <w:rStyle w:val="xt0psk2"/>
          <w:rFonts w:ascii="Arial" w:eastAsiaTheme="majorEastAsia" w:hAnsi="Arial" w:cs="Arial"/>
          <w:i/>
          <w:iCs/>
          <w:sz w:val="22"/>
          <w:szCs w:val="22"/>
          <w:bdr w:val="none" w:sz="0" w:space="0" w:color="auto" w:frame="1"/>
        </w:rPr>
        <w:t>The NHS Long Term Plan</w:t>
      </w:r>
      <w:r w:rsidRPr="004E1EDF">
        <w:rPr>
          <w:rFonts w:ascii="Arial" w:hAnsi="Arial" w:cs="Arial"/>
          <w:sz w:val="22"/>
          <w:szCs w:val="22"/>
        </w:rPr>
        <w:t>. London: NHS England.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12" w:history="1">
        <w:r w:rsidRPr="00707790">
          <w:rPr>
            <w:rStyle w:val="Hyperlink"/>
            <w:rFonts w:ascii="Arial" w:hAnsi="Arial" w:cs="Arial"/>
            <w:sz w:val="22"/>
            <w:szCs w:val="22"/>
          </w:rPr>
          <w:t>https://www.england.nhs.uk/digitaltechnology/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5FA305C9" w14:textId="571584F7" w:rsidR="00E552DF" w:rsidRPr="004E1EDF" w:rsidRDefault="00E552DF" w:rsidP="0038582C">
      <w:pPr>
        <w:pStyle w:val="x1ghz6dp"/>
        <w:spacing w:before="0" w:after="0" w:afterAutospacing="0"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E1EDF">
        <w:rPr>
          <w:rFonts w:ascii="Arial" w:hAnsi="Arial" w:cs="Arial"/>
          <w:sz w:val="22"/>
          <w:szCs w:val="22"/>
        </w:rPr>
        <w:t>Peters, M.D.J. et al. (202</w:t>
      </w:r>
      <w:r>
        <w:rPr>
          <w:rFonts w:ascii="Arial" w:hAnsi="Arial" w:cs="Arial"/>
          <w:sz w:val="22"/>
          <w:szCs w:val="22"/>
        </w:rPr>
        <w:t>1</w:t>
      </w:r>
      <w:r w:rsidRPr="004E1EDF">
        <w:rPr>
          <w:rFonts w:ascii="Arial" w:hAnsi="Arial" w:cs="Arial"/>
          <w:sz w:val="22"/>
          <w:szCs w:val="22"/>
        </w:rPr>
        <w:t xml:space="preserve">) ‘Updated methodological guidance for </w:t>
      </w:r>
      <w:r w:rsidR="0072017B" w:rsidRPr="004E1EDF">
        <w:rPr>
          <w:rFonts w:ascii="Arial" w:hAnsi="Arial" w:cs="Arial"/>
          <w:sz w:val="22"/>
          <w:szCs w:val="22"/>
        </w:rPr>
        <w:t>the conduct</w:t>
      </w:r>
      <w:r w:rsidRPr="004E1EDF">
        <w:rPr>
          <w:rFonts w:ascii="Arial" w:hAnsi="Arial" w:cs="Arial"/>
          <w:sz w:val="22"/>
          <w:szCs w:val="22"/>
        </w:rPr>
        <w:t xml:space="preserve"> of scoping reviews’, </w:t>
      </w:r>
      <w:r w:rsidRPr="004E1EDF">
        <w:rPr>
          <w:rStyle w:val="xt0psk2"/>
          <w:rFonts w:ascii="Arial" w:eastAsiaTheme="majorEastAsia" w:hAnsi="Arial" w:cs="Arial"/>
          <w:i/>
          <w:iCs/>
          <w:sz w:val="22"/>
          <w:szCs w:val="22"/>
          <w:bdr w:val="none" w:sz="0" w:space="0" w:color="auto" w:frame="1"/>
        </w:rPr>
        <w:t xml:space="preserve">JBI Evidence </w:t>
      </w:r>
      <w:r>
        <w:rPr>
          <w:rStyle w:val="xt0psk2"/>
          <w:rFonts w:ascii="Arial" w:eastAsiaTheme="majorEastAsia" w:hAnsi="Arial" w:cs="Arial"/>
          <w:i/>
          <w:iCs/>
          <w:sz w:val="22"/>
          <w:szCs w:val="22"/>
          <w:bdr w:val="none" w:sz="0" w:space="0" w:color="auto" w:frame="1"/>
        </w:rPr>
        <w:t>Implementation</w:t>
      </w:r>
      <w:r w:rsidRPr="004E1EDF">
        <w:rPr>
          <w:rFonts w:ascii="Arial" w:hAnsi="Arial" w:cs="Arial"/>
          <w:sz w:val="22"/>
          <w:szCs w:val="22"/>
        </w:rPr>
        <w:t>, 1</w:t>
      </w:r>
      <w:r>
        <w:rPr>
          <w:rFonts w:ascii="Arial" w:hAnsi="Arial" w:cs="Arial"/>
          <w:sz w:val="22"/>
          <w:szCs w:val="22"/>
        </w:rPr>
        <w:t>9</w:t>
      </w:r>
      <w:r w:rsidRPr="004E1EDF">
        <w:rPr>
          <w:rFonts w:ascii="Arial" w:hAnsi="Arial" w:cs="Arial"/>
          <w:sz w:val="22"/>
          <w:szCs w:val="22"/>
        </w:rPr>
        <w:t>(1</w:t>
      </w:r>
      <w:r>
        <w:rPr>
          <w:rFonts w:ascii="Arial" w:hAnsi="Arial" w:cs="Arial"/>
          <w:sz w:val="22"/>
          <w:szCs w:val="22"/>
        </w:rPr>
        <w:t>)</w:t>
      </w:r>
      <w:r w:rsidRPr="004E1EDF">
        <w:rPr>
          <w:rFonts w:ascii="Arial" w:hAnsi="Arial" w:cs="Arial"/>
          <w:sz w:val="22"/>
          <w:szCs w:val="22"/>
        </w:rPr>
        <w:t>, p</w:t>
      </w:r>
      <w:r>
        <w:rPr>
          <w:rFonts w:ascii="Arial" w:hAnsi="Arial" w:cs="Arial"/>
          <w:sz w:val="22"/>
          <w:szCs w:val="22"/>
        </w:rPr>
        <w:t xml:space="preserve"> 3-10. Available at: </w:t>
      </w:r>
      <w:hyperlink r:id="rId13" w:history="1">
        <w:r w:rsidRPr="00707790">
          <w:rPr>
            <w:rStyle w:val="Hyperlink"/>
            <w:rFonts w:ascii="Arial" w:hAnsi="Arial" w:cs="Arial"/>
            <w:sz w:val="22"/>
            <w:szCs w:val="22"/>
          </w:rPr>
          <w:t>https://www.ovid.com/jnls/ijebh/abstract/10.1097/xeb.0000000000000277~updated-methodological-guidance-for-the-conduct-of-scoping?redirectionsource=fulltextview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0C21CD3C" w14:textId="23BB47BD" w:rsidR="00E552DF" w:rsidRPr="004E1EDF" w:rsidRDefault="00E552DF" w:rsidP="0038582C">
      <w:pPr>
        <w:pStyle w:val="x1ghz6dp"/>
        <w:spacing w:before="0" w:after="0" w:afterAutospacing="0"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4E1EDF">
        <w:rPr>
          <w:rFonts w:ascii="Arial" w:hAnsi="Arial" w:cs="Arial"/>
          <w:sz w:val="22"/>
          <w:szCs w:val="22"/>
        </w:rPr>
        <w:t xml:space="preserve">Tricco, A.C. et al. (2018) ‘PRISMA extension for scoping reviews (PRISMA-ScR): checklist and explanation’, </w:t>
      </w:r>
      <w:r w:rsidRPr="004E1EDF">
        <w:rPr>
          <w:rStyle w:val="xt0psk2"/>
          <w:rFonts w:ascii="Arial" w:eastAsiaTheme="majorEastAsia" w:hAnsi="Arial" w:cs="Arial"/>
          <w:i/>
          <w:iCs/>
          <w:sz w:val="22"/>
          <w:szCs w:val="22"/>
          <w:bdr w:val="none" w:sz="0" w:space="0" w:color="auto" w:frame="1"/>
        </w:rPr>
        <w:t>Annals of Internal Medicine</w:t>
      </w:r>
      <w:r w:rsidRPr="004E1EDF">
        <w:rPr>
          <w:rFonts w:ascii="Arial" w:hAnsi="Arial" w:cs="Arial"/>
          <w:sz w:val="22"/>
          <w:szCs w:val="22"/>
        </w:rPr>
        <w:t>, 169(7</w:t>
      </w:r>
      <w:r w:rsidR="0072017B" w:rsidRPr="004E1EDF">
        <w:rPr>
          <w:rFonts w:ascii="Arial" w:hAnsi="Arial" w:cs="Arial"/>
          <w:sz w:val="22"/>
          <w:szCs w:val="22"/>
        </w:rPr>
        <w:t>), pp.</w:t>
      </w:r>
      <w:r w:rsidRPr="004E1EDF">
        <w:rPr>
          <w:rFonts w:ascii="Arial" w:hAnsi="Arial" w:cs="Arial"/>
          <w:sz w:val="22"/>
          <w:szCs w:val="22"/>
        </w:rPr>
        <w:t xml:space="preserve"> 467–473.</w:t>
      </w:r>
      <w:r>
        <w:rPr>
          <w:rFonts w:ascii="Arial" w:hAnsi="Arial" w:cs="Arial"/>
          <w:sz w:val="22"/>
          <w:szCs w:val="22"/>
        </w:rPr>
        <w:t xml:space="preserve"> Available at: </w:t>
      </w:r>
      <w:hyperlink r:id="rId14" w:history="1">
        <w:r w:rsidRPr="00707790">
          <w:rPr>
            <w:rStyle w:val="Hyperlink"/>
            <w:rFonts w:ascii="Arial" w:hAnsi="Arial" w:cs="Arial"/>
            <w:sz w:val="22"/>
            <w:szCs w:val="22"/>
          </w:rPr>
          <w:t>https://doi.org/10.7326/M18-0850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07CB28C7" w14:textId="77777777" w:rsidR="00E552DF" w:rsidRPr="004E1EDF" w:rsidRDefault="00E552DF" w:rsidP="0038582C">
      <w:pPr>
        <w:spacing w:line="360" w:lineRule="auto"/>
        <w:jc w:val="both"/>
        <w:rPr>
          <w:rFonts w:ascii="Arial" w:hAnsi="Arial" w:cs="Arial"/>
          <w:color w:val="000000" w:themeColor="text1"/>
          <w:sz w:val="22"/>
        </w:rPr>
      </w:pPr>
    </w:p>
    <w:p w14:paraId="754CEB55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p w14:paraId="5BC91157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</w:p>
    <w:sectPr w:rsidR="00545684" w:rsidRPr="00AD0E8D" w:rsidSect="00041A5A">
      <w:footerReference w:type="default" r:id="rId15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13AC1" w14:textId="77777777" w:rsidR="00661B25" w:rsidRDefault="00661B25" w:rsidP="00545684">
      <w:pPr>
        <w:spacing w:after="0" w:line="240" w:lineRule="auto"/>
      </w:pPr>
      <w:r>
        <w:separator/>
      </w:r>
    </w:p>
  </w:endnote>
  <w:endnote w:type="continuationSeparator" w:id="0">
    <w:p w14:paraId="3D9AEF59" w14:textId="77777777" w:rsidR="00661B25" w:rsidRDefault="00661B25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4459FC94" w14:textId="4721B869" w:rsidR="00545684" w:rsidRPr="00AD0E8D" w:rsidRDefault="00545684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802A5" w14:textId="77777777" w:rsidR="00661B25" w:rsidRDefault="00661B25" w:rsidP="00545684">
      <w:pPr>
        <w:spacing w:after="0" w:line="240" w:lineRule="auto"/>
      </w:pPr>
      <w:r>
        <w:separator/>
      </w:r>
    </w:p>
  </w:footnote>
  <w:footnote w:type="continuationSeparator" w:id="0">
    <w:p w14:paraId="4E89EFD1" w14:textId="77777777" w:rsidR="00661B25" w:rsidRDefault="00661B25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0048"/>
    <w:rsid w:val="00001CFF"/>
    <w:rsid w:val="000059CF"/>
    <w:rsid w:val="0001501F"/>
    <w:rsid w:val="00030C23"/>
    <w:rsid w:val="00041A5A"/>
    <w:rsid w:val="00065839"/>
    <w:rsid w:val="00086623"/>
    <w:rsid w:val="00086FE2"/>
    <w:rsid w:val="00092BA7"/>
    <w:rsid w:val="0009718E"/>
    <w:rsid w:val="000A5161"/>
    <w:rsid w:val="000B7CD5"/>
    <w:rsid w:val="000D4B53"/>
    <w:rsid w:val="000D6338"/>
    <w:rsid w:val="001054F3"/>
    <w:rsid w:val="00132035"/>
    <w:rsid w:val="0014525B"/>
    <w:rsid w:val="00165F60"/>
    <w:rsid w:val="001A0A98"/>
    <w:rsid w:val="001B67BC"/>
    <w:rsid w:val="001C4252"/>
    <w:rsid w:val="001C4BFB"/>
    <w:rsid w:val="00200513"/>
    <w:rsid w:val="0020164F"/>
    <w:rsid w:val="00216C85"/>
    <w:rsid w:val="00251FD6"/>
    <w:rsid w:val="00252499"/>
    <w:rsid w:val="00260277"/>
    <w:rsid w:val="00273EDD"/>
    <w:rsid w:val="00276595"/>
    <w:rsid w:val="002A15DA"/>
    <w:rsid w:val="002C3965"/>
    <w:rsid w:val="002E6F89"/>
    <w:rsid w:val="002F717F"/>
    <w:rsid w:val="00321C4C"/>
    <w:rsid w:val="00324F4E"/>
    <w:rsid w:val="00380294"/>
    <w:rsid w:val="0038582C"/>
    <w:rsid w:val="003A220F"/>
    <w:rsid w:val="003B1600"/>
    <w:rsid w:val="003B5B7F"/>
    <w:rsid w:val="003C785C"/>
    <w:rsid w:val="003D4E12"/>
    <w:rsid w:val="003E4178"/>
    <w:rsid w:val="004372F0"/>
    <w:rsid w:val="004542D8"/>
    <w:rsid w:val="00466370"/>
    <w:rsid w:val="004903AA"/>
    <w:rsid w:val="004A01AE"/>
    <w:rsid w:val="004C77E6"/>
    <w:rsid w:val="004D5FC4"/>
    <w:rsid w:val="004D79ED"/>
    <w:rsid w:val="004E2576"/>
    <w:rsid w:val="004E6C3B"/>
    <w:rsid w:val="004F353A"/>
    <w:rsid w:val="00524150"/>
    <w:rsid w:val="00544B68"/>
    <w:rsid w:val="00545684"/>
    <w:rsid w:val="00550C81"/>
    <w:rsid w:val="0056177B"/>
    <w:rsid w:val="00576160"/>
    <w:rsid w:val="0058417C"/>
    <w:rsid w:val="005915AD"/>
    <w:rsid w:val="005A328F"/>
    <w:rsid w:val="005C0C23"/>
    <w:rsid w:val="005C4BCD"/>
    <w:rsid w:val="005D6877"/>
    <w:rsid w:val="005F3B6A"/>
    <w:rsid w:val="0061260B"/>
    <w:rsid w:val="00614F22"/>
    <w:rsid w:val="006210FA"/>
    <w:rsid w:val="00661B25"/>
    <w:rsid w:val="00696626"/>
    <w:rsid w:val="006A1BAA"/>
    <w:rsid w:val="006B5E75"/>
    <w:rsid w:val="006C5922"/>
    <w:rsid w:val="006C6596"/>
    <w:rsid w:val="006E4B03"/>
    <w:rsid w:val="00705536"/>
    <w:rsid w:val="00712FD6"/>
    <w:rsid w:val="00715990"/>
    <w:rsid w:val="00717BC4"/>
    <w:rsid w:val="0072017B"/>
    <w:rsid w:val="00732A11"/>
    <w:rsid w:val="00735A5E"/>
    <w:rsid w:val="0077486F"/>
    <w:rsid w:val="00784670"/>
    <w:rsid w:val="00792527"/>
    <w:rsid w:val="007A498F"/>
    <w:rsid w:val="00800C7D"/>
    <w:rsid w:val="0080191B"/>
    <w:rsid w:val="00866B7B"/>
    <w:rsid w:val="00896AE4"/>
    <w:rsid w:val="008A404B"/>
    <w:rsid w:val="008C0FF9"/>
    <w:rsid w:val="008D3BF6"/>
    <w:rsid w:val="008E5015"/>
    <w:rsid w:val="008F0E83"/>
    <w:rsid w:val="008F4F06"/>
    <w:rsid w:val="00907B15"/>
    <w:rsid w:val="00952927"/>
    <w:rsid w:val="00973B94"/>
    <w:rsid w:val="009D1D1E"/>
    <w:rsid w:val="009E5721"/>
    <w:rsid w:val="009E63EE"/>
    <w:rsid w:val="009F6930"/>
    <w:rsid w:val="00A035FD"/>
    <w:rsid w:val="00A203E7"/>
    <w:rsid w:val="00A2441F"/>
    <w:rsid w:val="00A452B5"/>
    <w:rsid w:val="00A90EA5"/>
    <w:rsid w:val="00A94FC2"/>
    <w:rsid w:val="00AA16E9"/>
    <w:rsid w:val="00AB2C71"/>
    <w:rsid w:val="00AD0E8D"/>
    <w:rsid w:val="00AD5251"/>
    <w:rsid w:val="00AD61B5"/>
    <w:rsid w:val="00AE2109"/>
    <w:rsid w:val="00AE7333"/>
    <w:rsid w:val="00B029E6"/>
    <w:rsid w:val="00B13FE9"/>
    <w:rsid w:val="00B31536"/>
    <w:rsid w:val="00B4282A"/>
    <w:rsid w:val="00B46142"/>
    <w:rsid w:val="00B50ACC"/>
    <w:rsid w:val="00B55252"/>
    <w:rsid w:val="00B77959"/>
    <w:rsid w:val="00B85E76"/>
    <w:rsid w:val="00B97BFE"/>
    <w:rsid w:val="00BA2EDE"/>
    <w:rsid w:val="00BC05E2"/>
    <w:rsid w:val="00BC7892"/>
    <w:rsid w:val="00BD0189"/>
    <w:rsid w:val="00BE6347"/>
    <w:rsid w:val="00BF0724"/>
    <w:rsid w:val="00C272D5"/>
    <w:rsid w:val="00C66BDE"/>
    <w:rsid w:val="00C968ED"/>
    <w:rsid w:val="00CA4A1C"/>
    <w:rsid w:val="00CB3A26"/>
    <w:rsid w:val="00CB4682"/>
    <w:rsid w:val="00CD25ED"/>
    <w:rsid w:val="00CD3A28"/>
    <w:rsid w:val="00CF46C2"/>
    <w:rsid w:val="00CF7602"/>
    <w:rsid w:val="00D322F1"/>
    <w:rsid w:val="00D769F0"/>
    <w:rsid w:val="00D832EC"/>
    <w:rsid w:val="00DC1C5B"/>
    <w:rsid w:val="00DE7151"/>
    <w:rsid w:val="00E25B22"/>
    <w:rsid w:val="00E35545"/>
    <w:rsid w:val="00E53689"/>
    <w:rsid w:val="00E552DF"/>
    <w:rsid w:val="00E614D4"/>
    <w:rsid w:val="00E8547B"/>
    <w:rsid w:val="00EA5116"/>
    <w:rsid w:val="00EA7F29"/>
    <w:rsid w:val="00EB1C81"/>
    <w:rsid w:val="00EB57FE"/>
    <w:rsid w:val="00ED1F01"/>
    <w:rsid w:val="00F22966"/>
    <w:rsid w:val="00F278D4"/>
    <w:rsid w:val="00F44A0B"/>
    <w:rsid w:val="00F86E6A"/>
    <w:rsid w:val="00F90308"/>
    <w:rsid w:val="00FA5D3C"/>
    <w:rsid w:val="00FB7B14"/>
    <w:rsid w:val="00FE51C4"/>
    <w:rsid w:val="00FE7AAC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D0E8D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E8D"/>
    <w:rPr>
      <w:rFonts w:ascii="Arial" w:eastAsiaTheme="majorEastAsia" w:hAnsi="Arial" w:cstheme="majorBidi"/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D0E8D"/>
    <w:rPr>
      <w:rFonts w:ascii="Arial" w:eastAsiaTheme="majorEastAsia" w:hAnsi="Arial" w:cs="Arial"/>
      <w:b/>
      <w:bCs/>
      <w:i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character" w:styleId="Hyperlink">
    <w:name w:val="Hyperlink"/>
    <w:basedOn w:val="DefaultParagraphFont"/>
    <w:uiPriority w:val="99"/>
    <w:unhideWhenUsed/>
    <w:rsid w:val="00E552DF"/>
    <w:rPr>
      <w:color w:val="0000FF"/>
      <w:u w:val="single"/>
    </w:rPr>
  </w:style>
  <w:style w:type="paragraph" w:customStyle="1" w:styleId="x1ghz6dp">
    <w:name w:val="x1ghz6dp"/>
    <w:basedOn w:val="Normal"/>
    <w:rsid w:val="00E552D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customStyle="1" w:styleId="xt0psk2">
    <w:name w:val="xt0psk2"/>
    <w:basedOn w:val="DefaultParagraphFont"/>
    <w:rsid w:val="00E55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yperlink" Target="https://www.ovid.com/jnls/ijebh/abstract/10.1097/xeb.0000000000000277~updated-methodological-guidance-for-the-conduct-of-scoping?redirectionsource=fulltextvie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england.nhs.uk/digitaltechnology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mir.org/2018/4/e150/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doi.org/10.1080/136455703200011961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geuk.org.uk/siteassets/documents/reports-and-publications/reports-and-briefings/active-communities/digital-inclusion-in-the-pandemic-final-march-2021.pdf" TargetMode="External"/><Relationship Id="rId14" Type="http://schemas.openxmlformats.org/officeDocument/2006/relationships/hyperlink" Target="https://doi.org/10.7326/M18-08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Tita Panio Catapang (2431420)</cp:lastModifiedBy>
  <cp:revision>133</cp:revision>
  <dcterms:created xsi:type="dcterms:W3CDTF">2026-10-17T11:46:00Z</dcterms:created>
  <dcterms:modified xsi:type="dcterms:W3CDTF">2026-10-25T19:21:00Z</dcterms:modified>
</cp:coreProperties>
</file>