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D0564" w14:textId="2E409980" w:rsidR="00A73C72" w:rsidRDefault="00447EFA" w:rsidP="00A51B32">
      <w:pPr>
        <w:jc w:val="both"/>
      </w:pPr>
      <w:r>
        <w:t xml:space="preserve">The analysis of book 9 in the infamous Odyssey has gained popular traction in recent years. </w:t>
      </w:r>
      <w:r w:rsidR="00EA0C8B">
        <w:t>T</w:t>
      </w:r>
      <w:r>
        <w:t xml:space="preserve">he </w:t>
      </w:r>
      <w:r w:rsidR="00EA0C8B">
        <w:t>episode</w:t>
      </w:r>
      <w:r>
        <w:t xml:space="preserve"> sweeps far away from Homeric traditions</w:t>
      </w:r>
      <w:r w:rsidR="00A35F38">
        <w:t xml:space="preserve">, </w:t>
      </w:r>
      <w:r w:rsidR="00EA0C8B">
        <w:t xml:space="preserve">specifically in reference to </w:t>
      </w:r>
      <w:r w:rsidR="00A35F38">
        <w:t>the guest-host relationship</w:t>
      </w:r>
      <w:r w:rsidR="00EA0C8B">
        <w:t xml:space="preserve"> emphasized throughout the poem. </w:t>
      </w:r>
      <w:r w:rsidR="00F67BA6">
        <w:t xml:space="preserve">In this essay I will present an overall analysis with an emphasis on </w:t>
      </w:r>
      <w:r w:rsidR="00F44679">
        <w:t xml:space="preserve">the mythological similarities of the Cyclops myth, </w:t>
      </w:r>
      <w:r w:rsidR="00F67BA6">
        <w:t>xenia</w:t>
      </w:r>
      <w:r w:rsidR="004207F1">
        <w:t xml:space="preserve">, orality, and the changes in Homeric traditions. </w:t>
      </w:r>
    </w:p>
    <w:p w14:paraId="1B68E4C4" w14:textId="1E1828A4" w:rsidR="009E20C5" w:rsidRPr="00EA0C8B" w:rsidRDefault="00EA0C8B" w:rsidP="009E20C5">
      <w:pPr>
        <w:jc w:val="both"/>
      </w:pPr>
      <w:r w:rsidRPr="008C0766">
        <w:t>A</w:t>
      </w:r>
      <w:r w:rsidR="009E20C5" w:rsidRPr="008C0766">
        <w:t xml:space="preserve"> common theme amongst the episodes in the Odyssey is an emphasis on xenia, the relationship between host and guest</w:t>
      </w:r>
      <w:r w:rsidRPr="008C0766">
        <w:t>, with a mutual</w:t>
      </w:r>
      <w:r w:rsidR="009E20C5" w:rsidRPr="008C0766">
        <w:t xml:space="preserve"> understanding of wha</w:t>
      </w:r>
      <w:r w:rsidRPr="008C0766">
        <w:t>t the traditional protocol is</w:t>
      </w:r>
      <w:r w:rsidR="009E20C5" w:rsidRPr="008C0766">
        <w:t>.</w:t>
      </w:r>
      <w:r>
        <w:rPr>
          <w:b/>
          <w:bCs/>
        </w:rPr>
        <w:t xml:space="preserve"> </w:t>
      </w:r>
      <w:r w:rsidR="009E20C5">
        <w:t xml:space="preserve">There has been controversy surrounding the actions of Odysseus and his companions in the beginning of Book 9. After entering the cave </w:t>
      </w:r>
      <w:r w:rsidR="009E20C5" w:rsidRPr="00DE090C">
        <w:t>‘Then we lit a fire, sacrificed, took the cheeses, ate and waited for his return from the pasture</w:t>
      </w:r>
      <w:r>
        <w:t>’</w:t>
      </w:r>
      <w:r w:rsidR="009E20C5" w:rsidRPr="00DE090C">
        <w:rPr>
          <w:rStyle w:val="FootnoteReference"/>
        </w:rPr>
        <w:footnoteReference w:id="1"/>
      </w:r>
      <w:r>
        <w:t xml:space="preserve">. </w:t>
      </w:r>
      <w:r w:rsidR="009E20C5">
        <w:t>Helping themselves to the hosts stock, Newton argues th</w:t>
      </w:r>
      <w:r>
        <w:t>at</w:t>
      </w:r>
      <w:r w:rsidR="009E20C5">
        <w:t xml:space="preserve"> Odysseus commits a breach of the xenia ritual and to increase further offend to his host, Odysseus then asks the cyclops to provide guest-gifts and threatens the wrath of Zeus if he does not comply (Newton, 1983, 140). Despite their actions, Polyphemus disregards xenia and devours six of his men</w:t>
      </w:r>
      <w:r w:rsidR="0028731B">
        <w:rPr>
          <w:rStyle w:val="FootnoteReference"/>
        </w:rPr>
        <w:footnoteReference w:id="2"/>
      </w:r>
      <w:r w:rsidR="009E20C5">
        <w:t xml:space="preserve">, leading him to also break the ritual in his own right. W. B. Standford argues against the concept of Odysseus breaking the xenia ritual and offers a defence of no evidence of to suppose that the unknown host would not comply with the traditions of host and gift-giving (Podlecki, 1961, 128). Once Odysseus and his comrades entered the cave, Odysseus was advised by his fellow men to steal and run, however </w:t>
      </w:r>
      <w:r>
        <w:t>he was not to be persuaded</w:t>
      </w:r>
      <w:r w:rsidR="0028731B">
        <w:rPr>
          <w:rStyle w:val="FootnoteReference"/>
        </w:rPr>
        <w:footnoteReference w:id="3"/>
      </w:r>
      <w:r w:rsidR="009E20C5">
        <w:t xml:space="preserve">. </w:t>
      </w:r>
      <w:r>
        <w:t>When telling the story to the Phaeacians, Odysseus shows his regret in this decision ‘but though it would have been far better so’</w:t>
      </w:r>
      <w:r>
        <w:rPr>
          <w:rStyle w:val="FootnoteReference"/>
        </w:rPr>
        <w:footnoteReference w:id="4"/>
      </w:r>
      <w:r>
        <w:t xml:space="preserve">. Observing this, we can conclude Odysseus felt blame and understands the curiosity he had for meeting the Cyclops and his wanting of guest-gifts led to his comrade’s brutal demise. </w:t>
      </w:r>
      <w:r w:rsidR="008C0766">
        <w:t>However, d</w:t>
      </w:r>
      <w:r>
        <w:t xml:space="preserve">espite this, </w:t>
      </w:r>
      <w:r w:rsidR="009E20C5">
        <w:t xml:space="preserve">some scholars agree with the hero’s action to reject the proposal of steal and run (Podlecki, 1961, 128). </w:t>
      </w:r>
    </w:p>
    <w:p w14:paraId="3A054EEB" w14:textId="5CEC3830" w:rsidR="009E20C5" w:rsidRDefault="009E20C5" w:rsidP="009E20C5">
      <w:pPr>
        <w:jc w:val="both"/>
      </w:pPr>
      <w:r w:rsidRPr="008A74F5">
        <w:t xml:space="preserve">Due to the orality </w:t>
      </w:r>
      <w:r w:rsidR="008C0766" w:rsidRPr="008A74F5">
        <w:t xml:space="preserve">in which </w:t>
      </w:r>
      <w:r w:rsidRPr="008A74F5">
        <w:t>the episode was performed, the scene generated a unique emotional ambivalence for the audience.</w:t>
      </w:r>
      <w:r>
        <w:t xml:space="preserve"> Igniting a sympathetic response from the audience for Polyphemus, Justin Glenn advocates the concept that Homer separated from his traditional material to</w:t>
      </w:r>
      <w:r w:rsidR="008C0766">
        <w:t xml:space="preserve"> garner </w:t>
      </w:r>
      <w:r>
        <w:t xml:space="preserve">sympathy for the Cyclops (Glenn, 1971, 133). The guest actions of Odysseus and his comrades are narrated in a way one would say, differs </w:t>
      </w:r>
      <w:r w:rsidR="008C0766">
        <w:t>immensely</w:t>
      </w:r>
      <w:r>
        <w:t xml:space="preserve"> from the original Homeric guest customs. Additionally, the interactions in which emotional ambivalence is displayed was the use of Odysseus’ trick of using the name </w:t>
      </w:r>
      <w:r w:rsidR="008C0766">
        <w:t>‘</w:t>
      </w:r>
      <w:r>
        <w:t>Nobody</w:t>
      </w:r>
      <w:r w:rsidR="008C0766">
        <w:t>’</w:t>
      </w:r>
      <w:r w:rsidR="008C0766">
        <w:rPr>
          <w:rStyle w:val="FootnoteReference"/>
        </w:rPr>
        <w:footnoteReference w:id="5"/>
      </w:r>
      <w:r>
        <w:t xml:space="preserve">. </w:t>
      </w:r>
      <w:r w:rsidR="008C0766">
        <w:t>As the story is being</w:t>
      </w:r>
      <w:r>
        <w:t xml:space="preserve"> </w:t>
      </w:r>
      <w:r w:rsidR="008C0766">
        <w:t xml:space="preserve">recited </w:t>
      </w:r>
      <w:r>
        <w:t xml:space="preserve">by Odysseus, his </w:t>
      </w:r>
      <w:r w:rsidR="008C0766">
        <w:t>‘</w:t>
      </w:r>
      <w:r>
        <w:t>cunning skills and cleverness is applauded</w:t>
      </w:r>
      <w:r w:rsidR="008C0766">
        <w:t>’</w:t>
      </w:r>
      <w:r w:rsidR="00513C06">
        <w:rPr>
          <w:rStyle w:val="FootnoteReference"/>
        </w:rPr>
        <w:footnoteReference w:id="6"/>
      </w:r>
      <w:r>
        <w:t xml:space="preserve">, however the action of our hero is brought into question as to </w:t>
      </w:r>
      <w:proofErr w:type="gramStart"/>
      <w:r>
        <w:t>whether or not</w:t>
      </w:r>
      <w:proofErr w:type="gramEnd"/>
      <w:r>
        <w:t xml:space="preserve"> his “folly and arrogance” (Newton, 1983, 137) had caused reservations amongst the audience. The details of Odysseus</w:t>
      </w:r>
      <w:r w:rsidR="008C0766">
        <w:t xml:space="preserve"> driving ‘it’s sharpened end into the Cyclops eye’</w:t>
      </w:r>
      <w:r w:rsidR="00513C06">
        <w:rPr>
          <w:rStyle w:val="FootnoteReference"/>
        </w:rPr>
        <w:footnoteReference w:id="7"/>
      </w:r>
      <w:r>
        <w:t>, invites the audience to feel some form of sympathy for the Cyclops. Furthermore, after being blinded, our hero then proceeds to mock Polyphemus as he sails away, taunting the cyclops against the advice of his comrades</w:t>
      </w:r>
      <w:r w:rsidR="008C0766">
        <w:rPr>
          <w:rStyle w:val="FootnoteReference"/>
        </w:rPr>
        <w:footnoteReference w:id="8"/>
      </w:r>
      <w:r>
        <w:t xml:space="preserve">. Contributing to the audiences rise in sympathy for Polyphemus, was the neglectful behaviour of his fellow neighbouring cyclops, who presented a dismissive attitude toward his </w:t>
      </w:r>
      <w:r w:rsidR="00513C06">
        <w:t>blinded eye</w:t>
      </w:r>
      <w:r w:rsidR="00513C06">
        <w:rPr>
          <w:rStyle w:val="FootnoteReference"/>
        </w:rPr>
        <w:footnoteReference w:id="9"/>
      </w:r>
      <w:r w:rsidR="00513C06">
        <w:t xml:space="preserve">. </w:t>
      </w:r>
      <w:r>
        <w:t>Additionally, there is no question Polyphemus’ acts of cannibalism and imprisonment</w:t>
      </w:r>
      <w:r w:rsidR="00513C06">
        <w:rPr>
          <w:rStyle w:val="FootnoteReference"/>
        </w:rPr>
        <w:footnoteReference w:id="10"/>
      </w:r>
      <w:r w:rsidR="00A7353D">
        <w:t xml:space="preserve"> </w:t>
      </w:r>
      <w:r>
        <w:t xml:space="preserve">radiated a sense of horror and </w:t>
      </w:r>
      <w:r>
        <w:lastRenderedPageBreak/>
        <w:t xml:space="preserve">shock in the audience, however the question raised is </w:t>
      </w:r>
      <w:proofErr w:type="gramStart"/>
      <w:r>
        <w:t>whether or not</w:t>
      </w:r>
      <w:proofErr w:type="gramEnd"/>
      <w:r>
        <w:t xml:space="preserve"> Odysseus and his men acted with bad xenia to begin with. </w:t>
      </w:r>
    </w:p>
    <w:p w14:paraId="553DAE73" w14:textId="22C49FBE" w:rsidR="00876491" w:rsidRDefault="00D22DBD" w:rsidP="00B041EA">
      <w:pPr>
        <w:jc w:val="both"/>
      </w:pPr>
      <w:r w:rsidRPr="00614E50">
        <w:t xml:space="preserve">The Cyclops episode </w:t>
      </w:r>
      <w:r w:rsidR="002E0133" w:rsidRPr="00614E50">
        <w:t xml:space="preserve">sets the narrative </w:t>
      </w:r>
      <w:r w:rsidR="0056565A" w:rsidRPr="00614E50">
        <w:t>for the wrath of Poseidon against Odysseus and his comrades.</w:t>
      </w:r>
      <w:r w:rsidR="002E0133" w:rsidRPr="002E0133">
        <w:rPr>
          <w:b/>
          <w:bCs/>
        </w:rPr>
        <w:t xml:space="preserve"> </w:t>
      </w:r>
      <w:r w:rsidR="002E0133">
        <w:t xml:space="preserve">Ending the scene, as Odysseus is sailing away whilst revealing his real name to Polyphemus, </w:t>
      </w:r>
      <w:r w:rsidR="00B57572">
        <w:t xml:space="preserve">the cyclops </w:t>
      </w:r>
      <w:r w:rsidR="00C04765">
        <w:t>evokes</w:t>
      </w:r>
      <w:r w:rsidR="00B57572">
        <w:t xml:space="preserve"> a curse by calling upon Poseidon to seek revenge</w:t>
      </w:r>
      <w:r w:rsidR="00C04765">
        <w:t>:</w:t>
      </w:r>
    </w:p>
    <w:p w14:paraId="474CB6FB" w14:textId="09330299" w:rsidR="00B041EA" w:rsidRDefault="00C04765" w:rsidP="00B041EA">
      <w:pPr>
        <w:pStyle w:val="NoSpacing"/>
        <w:jc w:val="center"/>
      </w:pPr>
      <w:r>
        <w:t>‘</w:t>
      </w:r>
      <w:r w:rsidR="00D8682B">
        <w:t xml:space="preserve">Hear me, Poseidon, Sustainer of the Earth, </w:t>
      </w:r>
      <w:proofErr w:type="gramStart"/>
      <w:r w:rsidR="00D8682B">
        <w:t>god</w:t>
      </w:r>
      <w:proofErr w:type="gramEnd"/>
      <w:r w:rsidR="00D8682B">
        <w:t xml:space="preserve"> of sable locks.</w:t>
      </w:r>
    </w:p>
    <w:p w14:paraId="626F0FCC" w14:textId="77777777" w:rsidR="00B041EA" w:rsidRDefault="00D8682B" w:rsidP="00B041EA">
      <w:pPr>
        <w:pStyle w:val="NoSpacing"/>
        <w:jc w:val="center"/>
      </w:pPr>
      <w:r>
        <w:t xml:space="preserve">If I am yours indeed and </w:t>
      </w:r>
      <w:r w:rsidR="00D11185">
        <w:t>you claim me as your son, grant Odysseus,</w:t>
      </w:r>
    </w:p>
    <w:p w14:paraId="66D0C2E9" w14:textId="21D19016" w:rsidR="00B041EA" w:rsidRDefault="00D11185" w:rsidP="00B041EA">
      <w:pPr>
        <w:pStyle w:val="NoSpacing"/>
        <w:jc w:val="center"/>
      </w:pPr>
      <w:r>
        <w:t>sacker of cities and son of Laertes, may never reach his home in Ithaca.</w:t>
      </w:r>
    </w:p>
    <w:p w14:paraId="2AE49F03" w14:textId="77777777" w:rsidR="00B041EA" w:rsidRDefault="00D11185" w:rsidP="00B041EA">
      <w:pPr>
        <w:pStyle w:val="NoSpacing"/>
        <w:jc w:val="center"/>
      </w:pPr>
      <w:r>
        <w:t>But if he is destined to see his friends again, to come once more to his</w:t>
      </w:r>
    </w:p>
    <w:p w14:paraId="7DE68983" w14:textId="0879940A" w:rsidR="00B041EA" w:rsidRDefault="00D11185" w:rsidP="00B041EA">
      <w:pPr>
        <w:pStyle w:val="NoSpacing"/>
        <w:jc w:val="center"/>
      </w:pPr>
      <w:r>
        <w:t>own house and reach his native land, let him come late, in</w:t>
      </w:r>
    </w:p>
    <w:p w14:paraId="118291F6" w14:textId="3B3100B3" w:rsidR="00B041EA" w:rsidRDefault="00D11185" w:rsidP="00B041EA">
      <w:pPr>
        <w:pStyle w:val="NoSpacing"/>
        <w:jc w:val="center"/>
      </w:pPr>
      <w:r>
        <w:t xml:space="preserve">wretched plight, having lost all his comrades, in a foreign ship, and </w:t>
      </w:r>
      <w:proofErr w:type="gramStart"/>
      <w:r>
        <w:t>let</w:t>
      </w:r>
      <w:proofErr w:type="gramEnd"/>
    </w:p>
    <w:p w14:paraId="05558149" w14:textId="45CDE45D" w:rsidR="00876491" w:rsidRDefault="00D11185" w:rsidP="00B041EA">
      <w:pPr>
        <w:pStyle w:val="NoSpacing"/>
        <w:jc w:val="center"/>
      </w:pPr>
      <w:r>
        <w:t>him find trouble in his home.</w:t>
      </w:r>
      <w:r w:rsidR="00C04765">
        <w:t>’</w:t>
      </w:r>
      <w:r w:rsidR="00A7353D">
        <w:rPr>
          <w:rStyle w:val="FootnoteReference"/>
        </w:rPr>
        <w:footnoteReference w:id="11"/>
      </w:r>
      <w:r w:rsidR="00615EAE">
        <w:t xml:space="preserve"> </w:t>
      </w:r>
    </w:p>
    <w:p w14:paraId="7B2D0558" w14:textId="77777777" w:rsidR="00B041EA" w:rsidRDefault="00B041EA" w:rsidP="00B041EA">
      <w:pPr>
        <w:pStyle w:val="NoSpacing"/>
      </w:pPr>
    </w:p>
    <w:p w14:paraId="3347426D" w14:textId="23E55B72" w:rsidR="00594A90" w:rsidRDefault="00403BD9" w:rsidP="00495483">
      <w:pPr>
        <w:jc w:val="both"/>
      </w:pPr>
      <w:r>
        <w:t xml:space="preserve">The two consequences Polyphemus calls upon does </w:t>
      </w:r>
      <w:r w:rsidR="00C24ABF">
        <w:t>in fact occur. Although Odysseus does return to his native land in Ithaca</w:t>
      </w:r>
      <w:r w:rsidR="00026C9D">
        <w:t>, he lost his comrades to Scylla</w:t>
      </w:r>
      <w:r w:rsidR="000035B7">
        <w:t xml:space="preserve">, who </w:t>
      </w:r>
      <w:r w:rsidR="00164E89">
        <w:t>snatched</w:t>
      </w:r>
      <w:r w:rsidR="000035B7">
        <w:t xml:space="preserve"> six men out of the ship while Odysseus and the others were horrified with</w:t>
      </w:r>
      <w:r w:rsidR="00E00158">
        <w:t xml:space="preserve"> the sight of</w:t>
      </w:r>
      <w:r w:rsidR="000035B7">
        <w:t xml:space="preserve"> </w:t>
      </w:r>
      <w:r w:rsidR="00AC726B">
        <w:t>Charybdis</w:t>
      </w:r>
      <w:r w:rsidR="00A7353D">
        <w:rPr>
          <w:rStyle w:val="FootnoteReference"/>
        </w:rPr>
        <w:footnoteReference w:id="12"/>
      </w:r>
      <w:r w:rsidR="007065BA">
        <w:t xml:space="preserve">. </w:t>
      </w:r>
      <w:r w:rsidR="000F27C8">
        <w:t xml:space="preserve">Undoubtedly this wasn’t the work of Poseidon, however the sea god’s wrath was narrated in </w:t>
      </w:r>
      <w:r w:rsidR="007F3455">
        <w:t>Book 5, after Odysseus left Calypso</w:t>
      </w:r>
      <w:r w:rsidR="00A7353D">
        <w:rPr>
          <w:rStyle w:val="FootnoteReference"/>
        </w:rPr>
        <w:footnoteReference w:id="13"/>
      </w:r>
      <w:r w:rsidR="0063474C">
        <w:t xml:space="preserve">. </w:t>
      </w:r>
      <w:r w:rsidR="00580F5D">
        <w:t>In the analysis of the Polyphemus myth there are resemblances between the Odyssey version and the myth surrounding Cron</w:t>
      </w:r>
      <w:r w:rsidR="00C77FC6">
        <w:t>u</w:t>
      </w:r>
      <w:r w:rsidR="00580F5D">
        <w:t xml:space="preserve">s. </w:t>
      </w:r>
      <w:r w:rsidR="00F22581">
        <w:t>Zeus’s father Cron</w:t>
      </w:r>
      <w:r w:rsidR="00C77FC6">
        <w:t>u</w:t>
      </w:r>
      <w:r w:rsidR="00F22581">
        <w:t xml:space="preserve">s </w:t>
      </w:r>
      <w:r w:rsidR="007E2E7D">
        <w:t xml:space="preserve">was imprisoned by his own father Uranus, who is described to have </w:t>
      </w:r>
      <w:r w:rsidR="00614E50">
        <w:t xml:space="preserve">an </w:t>
      </w:r>
      <w:r w:rsidR="007E2E7D">
        <w:t>ogre like complexion (Glenn, 1971, 150)</w:t>
      </w:r>
      <w:r w:rsidR="00C77FC6">
        <w:t xml:space="preserve">. Regarding </w:t>
      </w:r>
      <w:r w:rsidR="0021509E">
        <w:t xml:space="preserve">the negative relationship with his </w:t>
      </w:r>
      <w:r w:rsidR="00C77FC6">
        <w:t xml:space="preserve">own children, </w:t>
      </w:r>
      <w:r w:rsidR="002D47B0">
        <w:t>especially the hostility between</w:t>
      </w:r>
      <w:r w:rsidR="0021509E">
        <w:t xml:space="preserve"> him</w:t>
      </w:r>
      <w:r w:rsidR="002D47B0">
        <w:t xml:space="preserve"> and Zeus</w:t>
      </w:r>
      <w:r w:rsidR="0021509E">
        <w:t xml:space="preserve">, </w:t>
      </w:r>
      <w:r w:rsidR="003F3620">
        <w:t xml:space="preserve">Cronus </w:t>
      </w:r>
      <w:r w:rsidR="0039079A">
        <w:t xml:space="preserve">(father-ogre) </w:t>
      </w:r>
      <w:r w:rsidR="003F3620">
        <w:t>results to cannibalism</w:t>
      </w:r>
      <w:r w:rsidR="00EE5E5D">
        <w:t>, however a trick performed by Zeus manages to save himself</w:t>
      </w:r>
      <w:r w:rsidR="0039079A">
        <w:t>, which leads to his overthrowing of Cronus</w:t>
      </w:r>
      <w:r w:rsidR="00614E50">
        <w:t xml:space="preserve"> </w:t>
      </w:r>
      <w:r w:rsidR="00614E50">
        <w:t>(Glenn, 1971, 150)</w:t>
      </w:r>
      <w:r w:rsidR="0039079A">
        <w:t xml:space="preserve">. </w:t>
      </w:r>
      <w:r w:rsidR="00495483">
        <w:t xml:space="preserve">Comparing the Zeus myth to that of Polyphemus, there are major resemblances that cannot be missed. Firstly, </w:t>
      </w:r>
      <w:r w:rsidR="0022643C">
        <w:t>imprisonment, of both Cronus by his own father and Odysseus and his comrades in the cave of Polyphemus</w:t>
      </w:r>
      <w:r w:rsidR="003B67A4">
        <w:t>; s</w:t>
      </w:r>
      <w:r w:rsidR="0022643C">
        <w:t xml:space="preserve">econdly, </w:t>
      </w:r>
      <w:r w:rsidR="00674E1D">
        <w:t>both myths maintain the concept of cannibalism, Cronus with his own children and the cyclops with Odysseus’ men</w:t>
      </w:r>
      <w:r w:rsidR="003B67A4">
        <w:t xml:space="preserve"> and l</w:t>
      </w:r>
      <w:r w:rsidR="00674E1D">
        <w:t xml:space="preserve">astly, </w:t>
      </w:r>
      <w:r w:rsidR="00BF7648">
        <w:t xml:space="preserve">the overthrowing of the one who committed the cannibalism, </w:t>
      </w:r>
      <w:proofErr w:type="gramStart"/>
      <w:r w:rsidR="00BF7648">
        <w:t>Cronus</w:t>
      </w:r>
      <w:proofErr w:type="gramEnd"/>
      <w:r w:rsidR="00BF7648">
        <w:t xml:space="preserve"> and Polyphemus</w:t>
      </w:r>
      <w:r w:rsidR="003B67A4">
        <w:t xml:space="preserve"> (Gleen, 1971, 151)</w:t>
      </w:r>
      <w:r w:rsidR="00BF7648">
        <w:t xml:space="preserve">. </w:t>
      </w:r>
      <w:r w:rsidR="000C0CB3">
        <w:t xml:space="preserve">The reflection of the similarities indicates the myth is not fully originated </w:t>
      </w:r>
      <w:r w:rsidR="00E209F4">
        <w:t xml:space="preserve">from Homeric work but </w:t>
      </w:r>
      <w:r w:rsidR="00FC1111">
        <w:t xml:space="preserve">potentially the folklore being older than the Odyssey. </w:t>
      </w:r>
    </w:p>
    <w:p w14:paraId="18C995CC" w14:textId="3E670BC6" w:rsidR="004A2208" w:rsidRDefault="00697199" w:rsidP="001A4861">
      <w:pPr>
        <w:jc w:val="both"/>
      </w:pPr>
      <w:r w:rsidRPr="00614E50">
        <w:t xml:space="preserve">Within the Odyssey itself, the story of the Cyclops has synchronization with another story in Book </w:t>
      </w:r>
      <w:r w:rsidR="001A4861" w:rsidRPr="00614E50">
        <w:t>12 with Scylla.</w:t>
      </w:r>
      <w:r w:rsidR="001A4861">
        <w:t xml:space="preserve"> </w:t>
      </w:r>
      <w:r w:rsidR="00FE0928">
        <w:t xml:space="preserve">Comparing the cyclops episode to the episode of Scylla, the adventures paint a different picture of our hero, with the involvement of emotional ambivalence. For example, the case presented above regarding the narrator building sympathy for Polyphemus, cannot be said for Scylla. </w:t>
      </w:r>
      <w:r w:rsidR="00531936">
        <w:t xml:space="preserve">His actions are faulted by his comrade Eurylochus, who uses Odysseus’ mistakes </w:t>
      </w:r>
      <w:r w:rsidR="00B07307">
        <w:t>to</w:t>
      </w:r>
      <w:r w:rsidR="00531936">
        <w:t xml:space="preserve"> convince his fellow comrades not to follow their leader </w:t>
      </w:r>
      <w:proofErr w:type="gramStart"/>
      <w:r w:rsidR="00B07307">
        <w:t>in regard to</w:t>
      </w:r>
      <w:proofErr w:type="gramEnd"/>
      <w:r w:rsidR="00531936">
        <w:t xml:space="preserve"> Circe’s Palace</w:t>
      </w:r>
      <w:r w:rsidR="00403E46">
        <w:rPr>
          <w:rStyle w:val="FootnoteReference"/>
        </w:rPr>
        <w:footnoteReference w:id="14"/>
      </w:r>
      <w:r w:rsidR="00531936">
        <w:t>. However, when the tale is told to the Phae</w:t>
      </w:r>
      <w:r w:rsidR="00B07307">
        <w:t>a</w:t>
      </w:r>
      <w:r w:rsidR="00531936">
        <w:t>cians, Odysseus’ uses words like</w:t>
      </w:r>
      <w:r w:rsidR="008C75FB">
        <w:t xml:space="preserve"> ‘not outwit someone of my knowledge</w:t>
      </w:r>
      <w:r w:rsidR="00614E50">
        <w:t>’</w:t>
      </w:r>
      <w:r w:rsidR="00403E46">
        <w:rPr>
          <w:rStyle w:val="FootnoteReference"/>
        </w:rPr>
        <w:footnoteReference w:id="15"/>
      </w:r>
      <w:r w:rsidR="009903D7">
        <w:t xml:space="preserve"> and </w:t>
      </w:r>
      <w:r w:rsidR="00614E50">
        <w:t>‘</w:t>
      </w:r>
      <w:r w:rsidR="00776D2A">
        <w:t>cunning</w:t>
      </w:r>
      <w:r w:rsidR="00614E50">
        <w:t>’</w:t>
      </w:r>
      <w:r w:rsidR="00403E46">
        <w:rPr>
          <w:rStyle w:val="FootnoteReference"/>
        </w:rPr>
        <w:footnoteReference w:id="16"/>
      </w:r>
      <w:r w:rsidR="00403E46">
        <w:t xml:space="preserve"> </w:t>
      </w:r>
      <w:r w:rsidR="00531936">
        <w:t xml:space="preserve">to present the adventure as a pedestal of his cunning, intelligence, and leadership. The tone suddenly contrasts with the successful tone used during the cyclops tale (Hopman, 2012, p.8). The happy tone of the cyclops tale from Odysseus presents the </w:t>
      </w:r>
      <w:r w:rsidR="00B07307">
        <w:t>fulfilment emotion, where as Scylla is representing the unfulfilled journey of our hero.</w:t>
      </w:r>
      <w:r w:rsidR="008238A7">
        <w:t xml:space="preserve"> Although the similarities between the two episodes are much </w:t>
      </w:r>
      <w:r w:rsidR="004A2208">
        <w:t>m</w:t>
      </w:r>
      <w:r w:rsidR="008238A7">
        <w:t xml:space="preserve">ore subtle than the story of Cronus and Zeus, but nonetheless still with standing. </w:t>
      </w:r>
      <w:r w:rsidR="004A2208">
        <w:t xml:space="preserve">Firstly, </w:t>
      </w:r>
      <w:r w:rsidR="0064479D">
        <w:t xml:space="preserve">both Polyphemus and Scylla </w:t>
      </w:r>
      <w:r w:rsidR="0064479D">
        <w:lastRenderedPageBreak/>
        <w:t>are both recognised to live in caves</w:t>
      </w:r>
      <w:r w:rsidR="00403E46">
        <w:rPr>
          <w:rStyle w:val="FootnoteReference"/>
        </w:rPr>
        <w:footnoteReference w:id="17"/>
      </w:r>
      <w:r w:rsidR="000C6ECE">
        <w:t xml:space="preserve">, </w:t>
      </w:r>
      <w:r w:rsidR="00F7682C">
        <w:t xml:space="preserve">with a cave door so massive that </w:t>
      </w:r>
      <w:r w:rsidR="00614E50">
        <w:t>‘</w:t>
      </w:r>
      <w:r w:rsidR="00F7682C">
        <w:t>tw</w:t>
      </w:r>
      <w:r w:rsidR="00956B32">
        <w:t>e</w:t>
      </w:r>
      <w:r w:rsidR="00F7682C">
        <w:t>nty-two stout four-wheeled wagons could not raise</w:t>
      </w:r>
      <w:r w:rsidR="00614E50">
        <w:t>’</w:t>
      </w:r>
      <w:r w:rsidR="00E84795">
        <w:rPr>
          <w:rStyle w:val="FootnoteReference"/>
        </w:rPr>
        <w:footnoteReference w:id="18"/>
      </w:r>
      <w:r w:rsidR="00956B32">
        <w:t xml:space="preserve"> and Scylla’s cave could not be climbed ‘even if he had twenty hands and feet’</w:t>
      </w:r>
      <w:r w:rsidR="00114811">
        <w:rPr>
          <w:rStyle w:val="FootnoteReference"/>
        </w:rPr>
        <w:footnoteReference w:id="19"/>
      </w:r>
      <w:r w:rsidR="00114811">
        <w:t xml:space="preserve"> </w:t>
      </w:r>
      <w:r w:rsidR="001E6E78">
        <w:t xml:space="preserve">(Hopman, 2012, p4). </w:t>
      </w:r>
      <w:r w:rsidR="00185C91">
        <w:t xml:space="preserve">Thirdly, although both the cyclops and Scylla devour Odysseus’ comrades differently, ultimately both </w:t>
      </w:r>
      <w:r w:rsidR="00DF0FBF">
        <w:t>consume six of his men</w:t>
      </w:r>
      <w:r w:rsidR="00114811">
        <w:rPr>
          <w:rStyle w:val="FootnoteReference"/>
        </w:rPr>
        <w:footnoteReference w:id="20"/>
      </w:r>
      <w:r w:rsidR="00614E50">
        <w:t>. Therefore, the Cyclops episode was created to represent the fulfilment of justice and when compared to episode 12 Odysseus feels a lack of unfulfillment.</w:t>
      </w:r>
    </w:p>
    <w:p w14:paraId="44E60602" w14:textId="27BAA560" w:rsidR="00757D8C" w:rsidRDefault="00394822" w:rsidP="0015326F">
      <w:pPr>
        <w:jc w:val="both"/>
      </w:pPr>
      <w:r>
        <w:t>The Odyssey has placed a</w:t>
      </w:r>
      <w:r w:rsidR="0076339B">
        <w:t>n emphasis on the concept of xenia, the gust hospitality throughout the books. Although the majority of the poem presents the gues</w:t>
      </w:r>
      <w:r w:rsidR="00683766">
        <w:t>t</w:t>
      </w:r>
      <w:r w:rsidR="0076339B">
        <w:t xml:space="preserve">-host relationship </w:t>
      </w:r>
      <w:r w:rsidR="00683766">
        <w:t xml:space="preserve">in a positive scene, </w:t>
      </w:r>
      <w:proofErr w:type="gramStart"/>
      <w:r w:rsidR="00683766">
        <w:t>Book</w:t>
      </w:r>
      <w:proofErr w:type="gramEnd"/>
      <w:r w:rsidR="00683766">
        <w:t xml:space="preserve"> 9 and the cyclops contributes to the presentation of a bad host/guest relationship, which we had already witnessed in Book </w:t>
      </w:r>
      <w:r w:rsidR="006F1154">
        <w:t xml:space="preserve">5 with Calypso. </w:t>
      </w:r>
      <w:r w:rsidR="002611F2">
        <w:t xml:space="preserve">However, what makes the Cyclops episode intriguing for analysis is the emotions the author was attempting to place on the audience. </w:t>
      </w:r>
      <w:r w:rsidR="00A42F09">
        <w:t xml:space="preserve">Using the </w:t>
      </w:r>
      <w:r w:rsidR="00221A67">
        <w:t xml:space="preserve">actions of Odysseus </w:t>
      </w:r>
      <w:r w:rsidR="0015326F">
        <w:t xml:space="preserve">and his comrades upon arrival of the cave and the cannibalistic actions of the Cyclops and the ending attack, Homer created emotional ambivalence with the audience and filled them with emotional confusion for feeling jubilant </w:t>
      </w:r>
      <w:r w:rsidR="00614E50">
        <w:t xml:space="preserve">towards </w:t>
      </w:r>
      <w:r w:rsidR="0015326F">
        <w:t xml:space="preserve">the hero and </w:t>
      </w:r>
      <w:r w:rsidR="00614E50">
        <w:t xml:space="preserve">his </w:t>
      </w:r>
      <w:r w:rsidR="0015326F">
        <w:t>remaining comrades esc</w:t>
      </w:r>
      <w:r w:rsidR="00614E50">
        <w:t>aping</w:t>
      </w:r>
      <w:r w:rsidR="0015326F">
        <w:t xml:space="preserve">, but sympathy for the cyclops blindness. </w:t>
      </w:r>
      <w:r w:rsidR="006B2BDC">
        <w:t xml:space="preserve">In true Homeric style, he placed an expectation of the guest/host relationship and then </w:t>
      </w:r>
      <w:r w:rsidR="00A73C72">
        <w:t xml:space="preserve">steered away to present an unbalanced response from the audience. </w:t>
      </w:r>
    </w:p>
    <w:p w14:paraId="7F064EC2" w14:textId="77777777" w:rsidR="00E46043" w:rsidRDefault="00E46043"/>
    <w:p w14:paraId="4AF88BBD" w14:textId="77777777" w:rsidR="00E46043" w:rsidRDefault="00E46043"/>
    <w:p w14:paraId="24DD10A2" w14:textId="77777777" w:rsidR="00E46043" w:rsidRDefault="00E46043"/>
    <w:p w14:paraId="0DD749BB" w14:textId="77777777" w:rsidR="00E46043" w:rsidRDefault="00E46043"/>
    <w:p w14:paraId="4A707223" w14:textId="77777777" w:rsidR="00E46043" w:rsidRDefault="00E46043"/>
    <w:p w14:paraId="71E86AE8" w14:textId="77777777" w:rsidR="00B07307" w:rsidRDefault="00B07307"/>
    <w:p w14:paraId="2C496C13" w14:textId="77777777" w:rsidR="00B07307" w:rsidRDefault="00B07307"/>
    <w:p w14:paraId="4FD66149" w14:textId="77777777" w:rsidR="00B07307" w:rsidRDefault="00B07307"/>
    <w:p w14:paraId="4F006237" w14:textId="77777777" w:rsidR="00B07307" w:rsidRDefault="00B07307"/>
    <w:p w14:paraId="7F8DA67A" w14:textId="77777777" w:rsidR="00B07307" w:rsidRDefault="00B07307"/>
    <w:p w14:paraId="2D412C72" w14:textId="77777777" w:rsidR="00B07307" w:rsidRDefault="00B07307"/>
    <w:p w14:paraId="5F20B968" w14:textId="77777777" w:rsidR="00B07307" w:rsidRDefault="00B07307"/>
    <w:p w14:paraId="0E86AA6F" w14:textId="77777777" w:rsidR="00B07307" w:rsidRDefault="00B07307"/>
    <w:p w14:paraId="7BB70239" w14:textId="77777777" w:rsidR="00B07307" w:rsidRDefault="00B07307"/>
    <w:p w14:paraId="6192716D" w14:textId="77777777" w:rsidR="00B07307" w:rsidRDefault="00B07307"/>
    <w:p w14:paraId="5244846B" w14:textId="77777777" w:rsidR="00B07307" w:rsidRDefault="00B07307"/>
    <w:p w14:paraId="71A479A6" w14:textId="77777777" w:rsidR="008A74F5" w:rsidRDefault="008A74F5"/>
    <w:p w14:paraId="35C77B2C" w14:textId="55D1EE01" w:rsidR="00E46043" w:rsidRDefault="00B07307">
      <w:r>
        <w:lastRenderedPageBreak/>
        <w:t>Bibliography</w:t>
      </w:r>
    </w:p>
    <w:p w14:paraId="1EB0C17A" w14:textId="77777777" w:rsidR="005E38C0" w:rsidRPr="005E10B3" w:rsidRDefault="005E38C0" w:rsidP="005E38C0">
      <w:pPr>
        <w:rPr>
          <w:rFonts w:cstheme="minorHAnsi"/>
          <w:spacing w:val="-5"/>
        </w:rPr>
      </w:pPr>
      <w:r w:rsidRPr="005E10B3">
        <w:rPr>
          <w:rFonts w:cstheme="minorHAnsi"/>
          <w:spacing w:val="-5"/>
        </w:rPr>
        <w:t xml:space="preserve">Glenn, J. (1971) ‘The Polyphemus Folktale and Homer’s </w:t>
      </w:r>
      <w:proofErr w:type="spellStart"/>
      <w:r w:rsidRPr="005E10B3">
        <w:rPr>
          <w:rFonts w:cstheme="minorHAnsi"/>
          <w:spacing w:val="-5"/>
        </w:rPr>
        <w:t>Kyklopeia</w:t>
      </w:r>
      <w:proofErr w:type="spellEnd"/>
      <w:r w:rsidRPr="005E10B3">
        <w:rPr>
          <w:rFonts w:cstheme="minorHAnsi"/>
          <w:spacing w:val="-5"/>
        </w:rPr>
        <w:t xml:space="preserve">’, Transactions and Proceedings of the American Philological Association, 102(2), pp. 133-181. Available at </w:t>
      </w:r>
      <w:hyperlink r:id="rId8" w:history="1">
        <w:r w:rsidRPr="005E10B3">
          <w:rPr>
            <w:rStyle w:val="Hyperlink"/>
            <w:rFonts w:cstheme="minorHAnsi"/>
            <w:color w:val="auto"/>
            <w:spacing w:val="-5"/>
          </w:rPr>
          <w:t>https://doi.org/10.2307/2935942</w:t>
        </w:r>
      </w:hyperlink>
      <w:r w:rsidRPr="005E10B3">
        <w:rPr>
          <w:rFonts w:cstheme="minorHAnsi"/>
          <w:spacing w:val="-5"/>
        </w:rPr>
        <w:t xml:space="preserve"> (Accessed 28/10/23). </w:t>
      </w:r>
    </w:p>
    <w:p w14:paraId="7214EE06" w14:textId="15FE1E1C" w:rsidR="00E31D92" w:rsidRPr="00E31D92" w:rsidRDefault="00E31D92" w:rsidP="005E38C0">
      <w:pPr>
        <w:rPr>
          <w:rFonts w:cstheme="minorHAnsi"/>
          <w:spacing w:val="-5"/>
        </w:rPr>
      </w:pPr>
      <w:r>
        <w:rPr>
          <w:rStyle w:val="Hyperlink"/>
          <w:rFonts w:cstheme="minorHAnsi"/>
          <w:color w:val="auto"/>
          <w:spacing w:val="-5"/>
          <w:u w:val="none"/>
        </w:rPr>
        <w:t xml:space="preserve">Glenn, J. (1978) ‘The Polyphemus Myth: Its Origin and Interpretation’, Greece &amp; Rome, 25(2), pp.141-155. Available at </w:t>
      </w:r>
      <w:r w:rsidRPr="00B77521">
        <w:rPr>
          <w:rStyle w:val="Hyperlink"/>
          <w:rFonts w:cstheme="minorHAnsi"/>
          <w:color w:val="auto"/>
          <w:spacing w:val="-5"/>
          <w:u w:val="none"/>
        </w:rPr>
        <w:t xml:space="preserve">https://www.jstor.org/stable/642285 </w:t>
      </w:r>
      <w:r>
        <w:rPr>
          <w:rStyle w:val="Hyperlink"/>
          <w:rFonts w:cstheme="minorHAnsi"/>
          <w:color w:val="auto"/>
          <w:spacing w:val="-5"/>
          <w:u w:val="none"/>
        </w:rPr>
        <w:t>(Accessed at 28/10/23).</w:t>
      </w:r>
    </w:p>
    <w:p w14:paraId="6BE2433E" w14:textId="18D60D3F" w:rsidR="00444B98" w:rsidRDefault="005E38C0">
      <w:r>
        <w:t xml:space="preserve">Homer, </w:t>
      </w:r>
      <w:r w:rsidRPr="00444B98">
        <w:rPr>
          <w:i/>
          <w:iCs/>
        </w:rPr>
        <w:t>Odyssey</w:t>
      </w:r>
      <w:r>
        <w:t>. E. V. Rieu and D. C. H. Rieu (trans.). 2009. London: Penguin Classics.</w:t>
      </w:r>
    </w:p>
    <w:p w14:paraId="6FF2B4CE" w14:textId="77777777" w:rsidR="00F44679" w:rsidRDefault="00531936" w:rsidP="00F44679">
      <w:pPr>
        <w:rPr>
          <w:rStyle w:val="Hyperlink"/>
          <w:rFonts w:cstheme="minorHAnsi"/>
          <w:color w:val="auto"/>
          <w:spacing w:val="-5"/>
          <w:u w:val="none"/>
        </w:rPr>
      </w:pPr>
      <w:r>
        <w:t xml:space="preserve">Hopman, M. (2012) ‘Narrative and Rhetoric in Odysseus’ Tales to the Phaeacians’, The American Journal of Philology, 133(1), pp. 1-30. Available at: </w:t>
      </w:r>
      <w:r w:rsidRPr="00531936">
        <w:t xml:space="preserve">https://www.jstor.org/stable/41416317 </w:t>
      </w:r>
      <w:r>
        <w:t>(Accessed: 28/10/23)</w:t>
      </w:r>
      <w:r w:rsidR="00F44679" w:rsidRPr="00F44679">
        <w:rPr>
          <w:rStyle w:val="Hyperlink"/>
          <w:rFonts w:cstheme="minorHAnsi"/>
          <w:color w:val="auto"/>
          <w:spacing w:val="-5"/>
          <w:u w:val="none"/>
        </w:rPr>
        <w:t xml:space="preserve"> </w:t>
      </w:r>
    </w:p>
    <w:p w14:paraId="490A6FB2" w14:textId="04313CB6" w:rsidR="00F44679" w:rsidRDefault="00F44679" w:rsidP="00F44679">
      <w:pPr>
        <w:rPr>
          <w:rStyle w:val="Hyperlink"/>
          <w:rFonts w:cstheme="minorHAnsi"/>
          <w:color w:val="auto"/>
          <w:spacing w:val="-5"/>
          <w:u w:val="none"/>
        </w:rPr>
      </w:pPr>
      <w:r>
        <w:rPr>
          <w:rStyle w:val="Hyperlink"/>
          <w:rFonts w:cstheme="minorHAnsi"/>
          <w:color w:val="auto"/>
          <w:spacing w:val="-5"/>
          <w:u w:val="none"/>
        </w:rPr>
        <w:t xml:space="preserve">Hernandez, P. N. (2000) ‘Back in the Cave of the Cyclops’, The American Journal of Philology, 121(3), pp. 345-366. Available at </w:t>
      </w:r>
      <w:r w:rsidRPr="00B77521">
        <w:rPr>
          <w:rStyle w:val="Hyperlink"/>
          <w:rFonts w:cstheme="minorHAnsi"/>
          <w:color w:val="auto"/>
          <w:spacing w:val="-5"/>
          <w:u w:val="none"/>
        </w:rPr>
        <w:t xml:space="preserve">https://www.jstor.org/stable/1561773 </w:t>
      </w:r>
      <w:r>
        <w:rPr>
          <w:rStyle w:val="Hyperlink"/>
          <w:rFonts w:cstheme="minorHAnsi"/>
          <w:color w:val="auto"/>
          <w:spacing w:val="-5"/>
          <w:u w:val="none"/>
        </w:rPr>
        <w:t>(Accessed 28/10/23).</w:t>
      </w:r>
    </w:p>
    <w:p w14:paraId="3B77DEFE" w14:textId="6E9207BC" w:rsidR="00531936" w:rsidRPr="00F44679" w:rsidRDefault="00F44679">
      <w:pPr>
        <w:rPr>
          <w:rFonts w:cstheme="minorHAnsi"/>
          <w:spacing w:val="-5"/>
        </w:rPr>
      </w:pPr>
      <w:r>
        <w:rPr>
          <w:rStyle w:val="Hyperlink"/>
          <w:rFonts w:cstheme="minorHAnsi"/>
          <w:color w:val="auto"/>
          <w:spacing w:val="-5"/>
          <w:u w:val="none"/>
        </w:rPr>
        <w:t xml:space="preserve">Mills, D. H. (1981) ‘Odysseus and Polyphemus: Two Homeric Similes Reconsidered’, The Classical Outlook, 58(4), pp. 97-99. Available at </w:t>
      </w:r>
      <w:r w:rsidRPr="005E10B3">
        <w:rPr>
          <w:rStyle w:val="Hyperlink"/>
          <w:rFonts w:cstheme="minorHAnsi"/>
          <w:color w:val="auto"/>
          <w:spacing w:val="-5"/>
          <w:u w:val="none"/>
        </w:rPr>
        <w:t>https://www.jstor.org/stable/43934362</w:t>
      </w:r>
      <w:r>
        <w:rPr>
          <w:rStyle w:val="Hyperlink"/>
          <w:rFonts w:cstheme="minorHAnsi"/>
          <w:color w:val="auto"/>
          <w:spacing w:val="-5"/>
          <w:u w:val="none"/>
        </w:rPr>
        <w:t xml:space="preserve"> (Accessed 29/10/23).</w:t>
      </w:r>
    </w:p>
    <w:p w14:paraId="14A85BE9" w14:textId="1F3C002C" w:rsidR="00E46043" w:rsidRPr="005E10B3" w:rsidRDefault="00E46043">
      <w:pPr>
        <w:rPr>
          <w:rFonts w:ascii="Helvetica" w:hAnsi="Helvetica"/>
          <w:spacing w:val="-5"/>
          <w:sz w:val="21"/>
          <w:szCs w:val="21"/>
        </w:rPr>
      </w:pPr>
      <w:r w:rsidRPr="005E10B3">
        <w:t>Newton, R</w:t>
      </w:r>
      <w:r w:rsidR="006D2C88" w:rsidRPr="005E10B3">
        <w:t>.</w:t>
      </w:r>
      <w:r w:rsidRPr="005E10B3">
        <w:t xml:space="preserve"> M. </w:t>
      </w:r>
      <w:r w:rsidR="00F55E88" w:rsidRPr="005E10B3">
        <w:t>(1983) ‘Poor Polyphemus: Emotional Ambivalence in “</w:t>
      </w:r>
      <w:r w:rsidR="00F55E88" w:rsidRPr="005E10B3">
        <w:rPr>
          <w:rFonts w:cstheme="minorHAnsi"/>
          <w:spacing w:val="-5"/>
        </w:rPr>
        <w:t xml:space="preserve">Odyssey" 9 and 17”, The Classical World, 76(3), pp. 137-142. Available at: </w:t>
      </w:r>
      <w:hyperlink r:id="rId9" w:history="1">
        <w:r w:rsidR="00F55E88" w:rsidRPr="005E10B3">
          <w:rPr>
            <w:rStyle w:val="Hyperlink"/>
            <w:rFonts w:ascii="Helvetica" w:hAnsi="Helvetica"/>
            <w:color w:val="auto"/>
            <w:spacing w:val="-5"/>
            <w:sz w:val="21"/>
            <w:szCs w:val="21"/>
          </w:rPr>
          <w:t>https://doi.org/10.2307/4349446</w:t>
        </w:r>
      </w:hyperlink>
      <w:r w:rsidR="00F55E88" w:rsidRPr="005E10B3">
        <w:rPr>
          <w:rFonts w:ascii="Helvetica" w:hAnsi="Helvetica"/>
          <w:spacing w:val="-5"/>
          <w:sz w:val="21"/>
          <w:szCs w:val="21"/>
        </w:rPr>
        <w:t xml:space="preserve"> (Accessed: 27/10/23).</w:t>
      </w:r>
    </w:p>
    <w:p w14:paraId="6F5E62AA" w14:textId="6799A23E" w:rsidR="007E5009" w:rsidRPr="005E10B3" w:rsidRDefault="007E5009" w:rsidP="007E5009">
      <w:pPr>
        <w:rPr>
          <w:rStyle w:val="Hyperlink"/>
          <w:rFonts w:cstheme="minorHAnsi"/>
          <w:color w:val="auto"/>
          <w:spacing w:val="-5"/>
          <w:u w:val="none"/>
        </w:rPr>
      </w:pPr>
      <w:proofErr w:type="spellStart"/>
      <w:r w:rsidRPr="005E10B3">
        <w:rPr>
          <w:rFonts w:cstheme="minorHAnsi"/>
          <w:spacing w:val="-5"/>
        </w:rPr>
        <w:t>Podleck</w:t>
      </w:r>
      <w:proofErr w:type="spellEnd"/>
      <w:r w:rsidRPr="005E10B3">
        <w:rPr>
          <w:rFonts w:cstheme="minorHAnsi"/>
          <w:spacing w:val="-5"/>
        </w:rPr>
        <w:t xml:space="preserve">, A.J. (1961) ‘Guest-Gifts and Nobodies in Odyssey 9’, Phoenix, 15(3), pp.125-133. Available at </w:t>
      </w:r>
      <w:hyperlink r:id="rId10" w:history="1">
        <w:r w:rsidRPr="005E10B3">
          <w:rPr>
            <w:rStyle w:val="Hyperlink"/>
            <w:rFonts w:cstheme="minorHAnsi"/>
            <w:color w:val="auto"/>
            <w:spacing w:val="-5"/>
          </w:rPr>
          <w:t>https://doi.org/10.2307/1086671</w:t>
        </w:r>
      </w:hyperlink>
      <w:r w:rsidRPr="005E10B3">
        <w:rPr>
          <w:rStyle w:val="Hyperlink"/>
          <w:rFonts w:cstheme="minorHAnsi"/>
          <w:color w:val="auto"/>
          <w:spacing w:val="-5"/>
          <w:u w:val="none"/>
        </w:rPr>
        <w:t xml:space="preserve"> (Accessed: 27/10/23).</w:t>
      </w:r>
    </w:p>
    <w:p w14:paraId="189FF021" w14:textId="61EFE9F6" w:rsidR="00B07307" w:rsidRDefault="00B07307" w:rsidP="007E5009">
      <w:pPr>
        <w:rPr>
          <w:rStyle w:val="Hyperlink"/>
          <w:rFonts w:cstheme="minorHAnsi"/>
          <w:color w:val="auto"/>
          <w:spacing w:val="-5"/>
          <w:u w:val="none"/>
        </w:rPr>
      </w:pPr>
      <w:r>
        <w:rPr>
          <w:rStyle w:val="Hyperlink"/>
          <w:rFonts w:cstheme="minorHAnsi"/>
          <w:color w:val="auto"/>
          <w:spacing w:val="-5"/>
          <w:u w:val="none"/>
        </w:rPr>
        <w:t xml:space="preserve">Segal, C. (1992) ‘Divine Justice in the Odyssey: Poseidon, Cyclops and Helios’, The American Journal of Philology, 113(4), pp. 489-518. Available at </w:t>
      </w:r>
      <w:r>
        <w:rPr>
          <w:rFonts w:ascii="Helvetica" w:hAnsi="Helvetica" w:cs="Helvetica"/>
          <w:color w:val="000000"/>
          <w:spacing w:val="-5"/>
          <w:u w:val="single"/>
        </w:rPr>
        <w:t>https://doi.org/10.2307/295536</w:t>
      </w:r>
      <w:r>
        <w:rPr>
          <w:rStyle w:val="Hyperlink"/>
          <w:rFonts w:cstheme="minorHAnsi"/>
          <w:color w:val="auto"/>
          <w:spacing w:val="-5"/>
          <w:u w:val="none"/>
        </w:rPr>
        <w:t xml:space="preserve"> (Accessed: 28/10/23).</w:t>
      </w:r>
    </w:p>
    <w:p w14:paraId="5EF9B722" w14:textId="77777777" w:rsidR="005E10B3" w:rsidRPr="00E31D92" w:rsidRDefault="005E10B3" w:rsidP="007E5009">
      <w:pPr>
        <w:rPr>
          <w:rFonts w:cstheme="minorHAnsi"/>
          <w:spacing w:val="-5"/>
        </w:rPr>
      </w:pPr>
    </w:p>
    <w:p w14:paraId="65FA7EBC" w14:textId="590F82F6" w:rsidR="007E5009" w:rsidRDefault="007E5009">
      <w:pPr>
        <w:rPr>
          <w:rFonts w:ascii="Helvetica" w:hAnsi="Helvetica"/>
          <w:color w:val="000000"/>
          <w:spacing w:val="-5"/>
          <w:sz w:val="21"/>
          <w:szCs w:val="21"/>
        </w:rPr>
      </w:pPr>
    </w:p>
    <w:p w14:paraId="173B8AB7" w14:textId="77777777" w:rsidR="005E38C0" w:rsidRPr="006D2C88" w:rsidRDefault="005E38C0">
      <w:pPr>
        <w:rPr>
          <w:rFonts w:cstheme="minorHAnsi"/>
        </w:rPr>
      </w:pPr>
    </w:p>
    <w:sectPr w:rsidR="005E38C0" w:rsidRPr="006D2C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C523C" w14:textId="77777777" w:rsidR="00BE4C16" w:rsidRDefault="00BE4C16" w:rsidP="00E46043">
      <w:pPr>
        <w:spacing w:after="0" w:line="240" w:lineRule="auto"/>
      </w:pPr>
      <w:r>
        <w:separator/>
      </w:r>
    </w:p>
  </w:endnote>
  <w:endnote w:type="continuationSeparator" w:id="0">
    <w:p w14:paraId="111D4CD9" w14:textId="77777777" w:rsidR="00BE4C16" w:rsidRDefault="00BE4C16" w:rsidP="00E46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B8FDE" w14:textId="77777777" w:rsidR="00BE4C16" w:rsidRDefault="00BE4C16" w:rsidP="00E46043">
      <w:pPr>
        <w:spacing w:after="0" w:line="240" w:lineRule="auto"/>
      </w:pPr>
      <w:r>
        <w:separator/>
      </w:r>
    </w:p>
  </w:footnote>
  <w:footnote w:type="continuationSeparator" w:id="0">
    <w:p w14:paraId="136BD3F3" w14:textId="77777777" w:rsidR="00BE4C16" w:rsidRDefault="00BE4C16" w:rsidP="00E46043">
      <w:pPr>
        <w:spacing w:after="0" w:line="240" w:lineRule="auto"/>
      </w:pPr>
      <w:r>
        <w:continuationSeparator/>
      </w:r>
    </w:p>
  </w:footnote>
  <w:footnote w:id="1">
    <w:p w14:paraId="221CFB49" w14:textId="77777777" w:rsidR="009E20C5" w:rsidRPr="005E38C0" w:rsidRDefault="009E20C5" w:rsidP="009E20C5">
      <w:pPr>
        <w:pStyle w:val="FootnoteText"/>
        <w:rPr>
          <w:lang w:val="en-US"/>
        </w:rPr>
      </w:pPr>
      <w:r>
        <w:rPr>
          <w:rStyle w:val="FootnoteReference"/>
        </w:rPr>
        <w:footnoteRef/>
      </w:r>
      <w:r>
        <w:t xml:space="preserve"> Hom. </w:t>
      </w:r>
      <w:r>
        <w:rPr>
          <w:i/>
          <w:iCs/>
        </w:rPr>
        <w:t xml:space="preserve">Od. </w:t>
      </w:r>
      <w:r>
        <w:t>9.231-231</w:t>
      </w:r>
    </w:p>
  </w:footnote>
  <w:footnote w:id="2">
    <w:p w14:paraId="4BFE91E2" w14:textId="6280CBEF" w:rsidR="0028731B" w:rsidRPr="0028731B" w:rsidRDefault="0028731B">
      <w:pPr>
        <w:pStyle w:val="FootnoteText"/>
        <w:rPr>
          <w:lang w:val="en-US"/>
        </w:rPr>
      </w:pPr>
      <w:r>
        <w:rPr>
          <w:rStyle w:val="FootnoteReference"/>
        </w:rPr>
        <w:footnoteRef/>
      </w:r>
      <w:r>
        <w:t xml:space="preserve"> Hom. </w:t>
      </w:r>
      <w:r>
        <w:rPr>
          <w:i/>
          <w:iCs/>
        </w:rPr>
        <w:t xml:space="preserve">Od. </w:t>
      </w:r>
      <w:r>
        <w:t>9.290</w:t>
      </w:r>
    </w:p>
  </w:footnote>
  <w:footnote w:id="3">
    <w:p w14:paraId="5FDEE190" w14:textId="1E6051C0" w:rsidR="0028731B" w:rsidRPr="0028731B" w:rsidRDefault="0028731B">
      <w:pPr>
        <w:pStyle w:val="FootnoteText"/>
        <w:rPr>
          <w:lang w:val="en-US"/>
        </w:rPr>
      </w:pPr>
      <w:r>
        <w:rPr>
          <w:rStyle w:val="FootnoteReference"/>
        </w:rPr>
        <w:footnoteRef/>
      </w:r>
      <w:r>
        <w:t xml:space="preserve"> Hom. </w:t>
      </w:r>
      <w:r>
        <w:rPr>
          <w:i/>
          <w:iCs/>
        </w:rPr>
        <w:t xml:space="preserve">Od. </w:t>
      </w:r>
      <w:r>
        <w:t>9.221</w:t>
      </w:r>
    </w:p>
  </w:footnote>
  <w:footnote w:id="4">
    <w:p w14:paraId="3629C0D3" w14:textId="0D7682C4" w:rsidR="00EA0C8B" w:rsidRPr="00EA0C8B" w:rsidRDefault="00EA0C8B">
      <w:pPr>
        <w:pStyle w:val="FootnoteText"/>
        <w:rPr>
          <w:i/>
          <w:iCs/>
        </w:rPr>
      </w:pPr>
      <w:r>
        <w:rPr>
          <w:rStyle w:val="FootnoteReference"/>
        </w:rPr>
        <w:footnoteRef/>
      </w:r>
      <w:r>
        <w:t xml:space="preserve"> </w:t>
      </w:r>
      <w:proofErr w:type="spellStart"/>
      <w:r>
        <w:t>Hom</w:t>
      </w:r>
      <w:proofErr w:type="spellEnd"/>
      <w:r>
        <w:t xml:space="preserve">. </w:t>
      </w:r>
      <w:r>
        <w:rPr>
          <w:i/>
          <w:iCs/>
        </w:rPr>
        <w:t>Od. 9.228</w:t>
      </w:r>
    </w:p>
  </w:footnote>
  <w:footnote w:id="5">
    <w:p w14:paraId="1765DCC2" w14:textId="37F30BE3" w:rsidR="008C0766" w:rsidRPr="008C0766" w:rsidRDefault="008C0766">
      <w:pPr>
        <w:pStyle w:val="FootnoteText"/>
        <w:rPr>
          <w:i/>
          <w:iCs/>
        </w:rPr>
      </w:pPr>
      <w:r>
        <w:rPr>
          <w:rStyle w:val="FootnoteReference"/>
        </w:rPr>
        <w:footnoteRef/>
      </w:r>
      <w:r>
        <w:t xml:space="preserve"> </w:t>
      </w:r>
      <w:proofErr w:type="spellStart"/>
      <w:r>
        <w:t>Hom</w:t>
      </w:r>
      <w:proofErr w:type="spellEnd"/>
      <w:r>
        <w:t xml:space="preserve">. </w:t>
      </w:r>
      <w:r>
        <w:rPr>
          <w:i/>
          <w:iCs/>
        </w:rPr>
        <w:t>Od. 361</w:t>
      </w:r>
    </w:p>
  </w:footnote>
  <w:footnote w:id="6">
    <w:p w14:paraId="42BF9060" w14:textId="28465367" w:rsidR="00513C06" w:rsidRPr="00513C06" w:rsidRDefault="00513C06">
      <w:pPr>
        <w:pStyle w:val="FootnoteText"/>
        <w:rPr>
          <w:lang w:val="en-US"/>
        </w:rPr>
      </w:pPr>
      <w:r>
        <w:rPr>
          <w:rStyle w:val="FootnoteReference"/>
        </w:rPr>
        <w:footnoteRef/>
      </w:r>
      <w:r>
        <w:t xml:space="preserve"> </w:t>
      </w:r>
      <w:proofErr w:type="spellStart"/>
      <w:r>
        <w:rPr>
          <w:lang w:val="en-US"/>
        </w:rPr>
        <w:t>Hom</w:t>
      </w:r>
      <w:proofErr w:type="spellEnd"/>
      <w:r>
        <w:rPr>
          <w:lang w:val="en-US"/>
        </w:rPr>
        <w:t xml:space="preserve">. </w:t>
      </w:r>
      <w:r w:rsidRPr="00513C06">
        <w:rPr>
          <w:i/>
          <w:iCs/>
          <w:lang w:val="en-US"/>
        </w:rPr>
        <w:t>Od</w:t>
      </w:r>
      <w:r>
        <w:rPr>
          <w:i/>
          <w:iCs/>
          <w:lang w:val="en-US"/>
        </w:rPr>
        <w:t xml:space="preserve"> </w:t>
      </w:r>
      <w:r>
        <w:rPr>
          <w:lang w:val="en-US"/>
        </w:rPr>
        <w:t>9.365</w:t>
      </w:r>
    </w:p>
  </w:footnote>
  <w:footnote w:id="7">
    <w:p w14:paraId="5F9D78F1" w14:textId="74972549" w:rsidR="00513C06" w:rsidRPr="00513C06" w:rsidRDefault="00513C06">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9.372-400</w:t>
      </w:r>
    </w:p>
  </w:footnote>
  <w:footnote w:id="8">
    <w:p w14:paraId="6D346C57" w14:textId="446006FE" w:rsidR="008C0766" w:rsidRPr="008C0766" w:rsidRDefault="008C0766">
      <w:pPr>
        <w:pStyle w:val="FootnoteText"/>
      </w:pPr>
      <w:r>
        <w:rPr>
          <w:rStyle w:val="FootnoteReference"/>
        </w:rPr>
        <w:footnoteRef/>
      </w:r>
      <w:r>
        <w:t xml:space="preserve"> </w:t>
      </w:r>
      <w:proofErr w:type="spellStart"/>
      <w:r>
        <w:t>Hom</w:t>
      </w:r>
      <w:proofErr w:type="spellEnd"/>
      <w:r>
        <w:t xml:space="preserve">. </w:t>
      </w:r>
      <w:r>
        <w:rPr>
          <w:i/>
          <w:iCs/>
        </w:rPr>
        <w:t xml:space="preserve">Od. </w:t>
      </w:r>
      <w:r>
        <w:t>9.490-493</w:t>
      </w:r>
    </w:p>
  </w:footnote>
  <w:footnote w:id="9">
    <w:p w14:paraId="2607DC42" w14:textId="3B3450FA" w:rsidR="00513C06" w:rsidRPr="00513C06" w:rsidRDefault="00513C06">
      <w:pPr>
        <w:pStyle w:val="FootnoteText"/>
        <w:rPr>
          <w:lang w:val="en-US"/>
        </w:rPr>
      </w:pPr>
      <w:r>
        <w:rPr>
          <w:rStyle w:val="FootnoteReference"/>
        </w:rPr>
        <w:footnoteRef/>
      </w:r>
      <w:r>
        <w:t xml:space="preserve"> </w:t>
      </w:r>
      <w:proofErr w:type="spellStart"/>
      <w:r>
        <w:rPr>
          <w:lang w:val="en-US"/>
        </w:rPr>
        <w:t>Hom</w:t>
      </w:r>
      <w:proofErr w:type="spellEnd"/>
      <w:r>
        <w:rPr>
          <w:lang w:val="en-US"/>
        </w:rPr>
        <w:t xml:space="preserve">. </w:t>
      </w:r>
      <w:r w:rsidRPr="00513C06">
        <w:rPr>
          <w:i/>
          <w:iCs/>
          <w:lang w:val="en-US"/>
        </w:rPr>
        <w:t>Od</w:t>
      </w:r>
      <w:r>
        <w:rPr>
          <w:i/>
          <w:iCs/>
          <w:lang w:val="en-US"/>
        </w:rPr>
        <w:t xml:space="preserve"> </w:t>
      </w:r>
      <w:r>
        <w:rPr>
          <w:lang w:val="en-US"/>
        </w:rPr>
        <w:t>9.410-411</w:t>
      </w:r>
    </w:p>
  </w:footnote>
  <w:footnote w:id="10">
    <w:p w14:paraId="34097652" w14:textId="7DFC807D" w:rsidR="00513C06" w:rsidRPr="00513C06" w:rsidRDefault="00513C06">
      <w:pPr>
        <w:pStyle w:val="FootnoteText"/>
        <w:rPr>
          <w:lang w:val="en-US"/>
        </w:rPr>
      </w:pPr>
      <w:r>
        <w:rPr>
          <w:rStyle w:val="FootnoteReference"/>
        </w:rPr>
        <w:footnoteRef/>
      </w:r>
      <w:r>
        <w:t xml:space="preserve"> </w:t>
      </w:r>
      <w:r w:rsidR="00A7353D">
        <w:rPr>
          <w:lang w:val="en-US"/>
        </w:rPr>
        <w:t xml:space="preserve">Hom. </w:t>
      </w:r>
      <w:r w:rsidR="00A7353D" w:rsidRPr="00513C06">
        <w:rPr>
          <w:i/>
          <w:iCs/>
          <w:lang w:val="en-US"/>
        </w:rPr>
        <w:t>Od</w:t>
      </w:r>
      <w:r w:rsidR="00A7353D">
        <w:rPr>
          <w:i/>
          <w:iCs/>
          <w:lang w:val="en-US"/>
        </w:rPr>
        <w:t xml:space="preserve"> </w:t>
      </w:r>
      <w:r w:rsidR="00A7353D">
        <w:rPr>
          <w:lang w:val="en-US"/>
        </w:rPr>
        <w:t>9.290 &amp; 9.301</w:t>
      </w:r>
    </w:p>
  </w:footnote>
  <w:footnote w:id="11">
    <w:p w14:paraId="1F4BADF9" w14:textId="4DB8CE44" w:rsidR="00A7353D" w:rsidRPr="00A7353D" w:rsidRDefault="00A7353D">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9.521-531</w:t>
      </w:r>
    </w:p>
  </w:footnote>
  <w:footnote w:id="12">
    <w:p w14:paraId="59FC916F" w14:textId="1971B7AA" w:rsidR="00A7353D" w:rsidRPr="00A7353D" w:rsidRDefault="00A7353D">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10.240-241</w:t>
      </w:r>
    </w:p>
  </w:footnote>
  <w:footnote w:id="13">
    <w:p w14:paraId="005D2F4E" w14:textId="1E8ED577" w:rsidR="00A7353D" w:rsidRPr="00A7353D" w:rsidRDefault="00A7353D">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5.360-370</w:t>
      </w:r>
    </w:p>
  </w:footnote>
  <w:footnote w:id="14">
    <w:p w14:paraId="4EE4B4C6" w14:textId="5DE3A9B8" w:rsidR="00403E46" w:rsidRPr="00403E46" w:rsidRDefault="00403E46">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10.263</w:t>
      </w:r>
    </w:p>
  </w:footnote>
  <w:footnote w:id="15">
    <w:p w14:paraId="24DA2B50" w14:textId="2EB85C8E" w:rsidR="00403E46" w:rsidRPr="00403E46" w:rsidRDefault="00403E46">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9.281</w:t>
      </w:r>
    </w:p>
  </w:footnote>
  <w:footnote w:id="16">
    <w:p w14:paraId="19D16FA8" w14:textId="5421DE0F" w:rsidR="00403E46" w:rsidRPr="00403E46" w:rsidRDefault="00403E46">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9.412</w:t>
      </w:r>
    </w:p>
  </w:footnote>
  <w:footnote w:id="17">
    <w:p w14:paraId="1B2BDB75" w14:textId="35AE2006" w:rsidR="00403E46" w:rsidRPr="00403E46" w:rsidRDefault="00403E46">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9.</w:t>
      </w:r>
      <w:r w:rsidR="00E84795">
        <w:rPr>
          <w:lang w:val="en-US"/>
        </w:rPr>
        <w:t>210-22 Cyclops, 12.90-92 Scylla</w:t>
      </w:r>
    </w:p>
  </w:footnote>
  <w:footnote w:id="18">
    <w:p w14:paraId="030A871C" w14:textId="3C23C056" w:rsidR="00E84795" w:rsidRPr="00E84795" w:rsidRDefault="00E84795">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9</w:t>
      </w:r>
      <w:r w:rsidR="00114811">
        <w:rPr>
          <w:lang w:val="en-US"/>
        </w:rPr>
        <w:t>.240-3</w:t>
      </w:r>
    </w:p>
  </w:footnote>
  <w:footnote w:id="19">
    <w:p w14:paraId="0FD7DF54" w14:textId="3F884311" w:rsidR="00114811" w:rsidRPr="00114811" w:rsidRDefault="00114811">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12.77-78</w:t>
      </w:r>
    </w:p>
  </w:footnote>
  <w:footnote w:id="20">
    <w:p w14:paraId="3C9F33B4" w14:textId="1EE38D5B" w:rsidR="00114811" w:rsidRPr="00114811" w:rsidRDefault="00114811">
      <w:pPr>
        <w:pStyle w:val="FootnoteText"/>
        <w:rPr>
          <w:lang w:val="en-US"/>
        </w:rPr>
      </w:pPr>
      <w:r>
        <w:rPr>
          <w:rStyle w:val="FootnoteReference"/>
        </w:rPr>
        <w:footnoteRef/>
      </w:r>
      <w:r>
        <w:t xml:space="preserve"> </w:t>
      </w:r>
      <w:r>
        <w:rPr>
          <w:lang w:val="en-US"/>
        </w:rPr>
        <w:t xml:space="preserve">Hom. </w:t>
      </w:r>
      <w:r w:rsidRPr="00513C06">
        <w:rPr>
          <w:i/>
          <w:iCs/>
          <w:lang w:val="en-US"/>
        </w:rPr>
        <w:t>Od</w:t>
      </w:r>
      <w:r>
        <w:rPr>
          <w:i/>
          <w:iCs/>
          <w:lang w:val="en-US"/>
        </w:rPr>
        <w:t xml:space="preserve"> </w:t>
      </w:r>
      <w:r>
        <w:rPr>
          <w:lang w:val="en-US"/>
        </w:rPr>
        <w:t>9.289-91, 311,344 Cyclops, 12.245-46 Scylla</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F2915"/>
    <w:multiLevelType w:val="hybridMultilevel"/>
    <w:tmpl w:val="6C6C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1471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BD2"/>
    <w:rsid w:val="000035B7"/>
    <w:rsid w:val="00026C9D"/>
    <w:rsid w:val="0004222B"/>
    <w:rsid w:val="00064560"/>
    <w:rsid w:val="000B7E9E"/>
    <w:rsid w:val="000C0CB3"/>
    <w:rsid w:val="000C6ECE"/>
    <w:rsid w:val="000F27C8"/>
    <w:rsid w:val="00114811"/>
    <w:rsid w:val="0015326F"/>
    <w:rsid w:val="00160828"/>
    <w:rsid w:val="00164E89"/>
    <w:rsid w:val="00185C91"/>
    <w:rsid w:val="001A4861"/>
    <w:rsid w:val="001E6E78"/>
    <w:rsid w:val="001E72C5"/>
    <w:rsid w:val="0021509E"/>
    <w:rsid w:val="00221A67"/>
    <w:rsid w:val="00221C5E"/>
    <w:rsid w:val="00222ED9"/>
    <w:rsid w:val="0022549B"/>
    <w:rsid w:val="0022643C"/>
    <w:rsid w:val="002611F2"/>
    <w:rsid w:val="00264FEC"/>
    <w:rsid w:val="0028731B"/>
    <w:rsid w:val="002C6666"/>
    <w:rsid w:val="002D47B0"/>
    <w:rsid w:val="002E0133"/>
    <w:rsid w:val="0036489D"/>
    <w:rsid w:val="0039079A"/>
    <w:rsid w:val="00394822"/>
    <w:rsid w:val="003A6783"/>
    <w:rsid w:val="003B67A4"/>
    <w:rsid w:val="003F3620"/>
    <w:rsid w:val="00403BD9"/>
    <w:rsid w:val="00403E46"/>
    <w:rsid w:val="004207F1"/>
    <w:rsid w:val="00444B98"/>
    <w:rsid w:val="00447EFA"/>
    <w:rsid w:val="00495483"/>
    <w:rsid w:val="004A2208"/>
    <w:rsid w:val="00513C06"/>
    <w:rsid w:val="00531936"/>
    <w:rsid w:val="00550B98"/>
    <w:rsid w:val="00551552"/>
    <w:rsid w:val="0056565A"/>
    <w:rsid w:val="00580F5D"/>
    <w:rsid w:val="00594A90"/>
    <w:rsid w:val="005B3B07"/>
    <w:rsid w:val="005D473A"/>
    <w:rsid w:val="005E10B3"/>
    <w:rsid w:val="005E38C0"/>
    <w:rsid w:val="005F5A37"/>
    <w:rsid w:val="00614E50"/>
    <w:rsid w:val="00615EAE"/>
    <w:rsid w:val="0063474C"/>
    <w:rsid w:val="0064479D"/>
    <w:rsid w:val="00674E1D"/>
    <w:rsid w:val="00683766"/>
    <w:rsid w:val="00694CCF"/>
    <w:rsid w:val="00697199"/>
    <w:rsid w:val="006B2BDC"/>
    <w:rsid w:val="006D2C88"/>
    <w:rsid w:val="006F1154"/>
    <w:rsid w:val="006F7FA7"/>
    <w:rsid w:val="007065BA"/>
    <w:rsid w:val="00743077"/>
    <w:rsid w:val="0075483E"/>
    <w:rsid w:val="00757D8C"/>
    <w:rsid w:val="0076339B"/>
    <w:rsid w:val="00776D2A"/>
    <w:rsid w:val="00793ECB"/>
    <w:rsid w:val="007E2E7D"/>
    <w:rsid w:val="007E5009"/>
    <w:rsid w:val="007F3455"/>
    <w:rsid w:val="008238A7"/>
    <w:rsid w:val="00857423"/>
    <w:rsid w:val="00876491"/>
    <w:rsid w:val="008A74F5"/>
    <w:rsid w:val="008C0766"/>
    <w:rsid w:val="008C75FB"/>
    <w:rsid w:val="008D46A1"/>
    <w:rsid w:val="008F4E0B"/>
    <w:rsid w:val="00956B32"/>
    <w:rsid w:val="009903D7"/>
    <w:rsid w:val="009E20C5"/>
    <w:rsid w:val="009E7A8B"/>
    <w:rsid w:val="009F07F0"/>
    <w:rsid w:val="00A35F38"/>
    <w:rsid w:val="00A42F09"/>
    <w:rsid w:val="00A44043"/>
    <w:rsid w:val="00A51B32"/>
    <w:rsid w:val="00A7353D"/>
    <w:rsid w:val="00A73C72"/>
    <w:rsid w:val="00A905F1"/>
    <w:rsid w:val="00AB67A9"/>
    <w:rsid w:val="00AC726B"/>
    <w:rsid w:val="00B041EA"/>
    <w:rsid w:val="00B07307"/>
    <w:rsid w:val="00B17CE8"/>
    <w:rsid w:val="00B33EB2"/>
    <w:rsid w:val="00B43828"/>
    <w:rsid w:val="00B57572"/>
    <w:rsid w:val="00B60F82"/>
    <w:rsid w:val="00B77521"/>
    <w:rsid w:val="00BB194F"/>
    <w:rsid w:val="00BE4C16"/>
    <w:rsid w:val="00BF7648"/>
    <w:rsid w:val="00BF7FF3"/>
    <w:rsid w:val="00C04765"/>
    <w:rsid w:val="00C132D7"/>
    <w:rsid w:val="00C24ABF"/>
    <w:rsid w:val="00C30BD2"/>
    <w:rsid w:val="00C704F9"/>
    <w:rsid w:val="00C77FC6"/>
    <w:rsid w:val="00D11185"/>
    <w:rsid w:val="00D22DBD"/>
    <w:rsid w:val="00D849E5"/>
    <w:rsid w:val="00D8682B"/>
    <w:rsid w:val="00DA1752"/>
    <w:rsid w:val="00DD125F"/>
    <w:rsid w:val="00DE090C"/>
    <w:rsid w:val="00DF0FBF"/>
    <w:rsid w:val="00E00158"/>
    <w:rsid w:val="00E11DAB"/>
    <w:rsid w:val="00E209F4"/>
    <w:rsid w:val="00E2432C"/>
    <w:rsid w:val="00E31D92"/>
    <w:rsid w:val="00E46043"/>
    <w:rsid w:val="00E6731E"/>
    <w:rsid w:val="00E845C9"/>
    <w:rsid w:val="00E84795"/>
    <w:rsid w:val="00EA0C8B"/>
    <w:rsid w:val="00EA2ACC"/>
    <w:rsid w:val="00EA6B0B"/>
    <w:rsid w:val="00EB716C"/>
    <w:rsid w:val="00EC0430"/>
    <w:rsid w:val="00EE5E5D"/>
    <w:rsid w:val="00F22581"/>
    <w:rsid w:val="00F44679"/>
    <w:rsid w:val="00F55E88"/>
    <w:rsid w:val="00F64BF3"/>
    <w:rsid w:val="00F67BA6"/>
    <w:rsid w:val="00F7682C"/>
    <w:rsid w:val="00FB2693"/>
    <w:rsid w:val="00FC103E"/>
    <w:rsid w:val="00FC1111"/>
    <w:rsid w:val="00FC3B71"/>
    <w:rsid w:val="00FD538E"/>
    <w:rsid w:val="00FE0928"/>
    <w:rsid w:val="00FF0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6ECF"/>
  <w15:chartTrackingRefBased/>
  <w15:docId w15:val="{E73EAEB7-CF37-437B-8164-8B45EFEB3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B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460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6043"/>
    <w:rPr>
      <w:sz w:val="20"/>
      <w:szCs w:val="20"/>
    </w:rPr>
  </w:style>
  <w:style w:type="character" w:styleId="FootnoteReference">
    <w:name w:val="footnote reference"/>
    <w:basedOn w:val="DefaultParagraphFont"/>
    <w:uiPriority w:val="99"/>
    <w:semiHidden/>
    <w:unhideWhenUsed/>
    <w:rsid w:val="00E46043"/>
    <w:rPr>
      <w:vertAlign w:val="superscript"/>
    </w:rPr>
  </w:style>
  <w:style w:type="character" w:styleId="Hyperlink">
    <w:name w:val="Hyperlink"/>
    <w:basedOn w:val="DefaultParagraphFont"/>
    <w:uiPriority w:val="99"/>
    <w:unhideWhenUsed/>
    <w:rsid w:val="00F55E88"/>
    <w:rPr>
      <w:color w:val="0563C1" w:themeColor="hyperlink"/>
      <w:u w:val="single"/>
    </w:rPr>
  </w:style>
  <w:style w:type="character" w:styleId="UnresolvedMention">
    <w:name w:val="Unresolved Mention"/>
    <w:basedOn w:val="DefaultParagraphFont"/>
    <w:uiPriority w:val="99"/>
    <w:semiHidden/>
    <w:unhideWhenUsed/>
    <w:rsid w:val="00F55E88"/>
    <w:rPr>
      <w:color w:val="605E5C"/>
      <w:shd w:val="clear" w:color="auto" w:fill="E1DFDD"/>
    </w:rPr>
  </w:style>
  <w:style w:type="paragraph" w:styleId="ListParagraph">
    <w:name w:val="List Paragraph"/>
    <w:basedOn w:val="Normal"/>
    <w:uiPriority w:val="34"/>
    <w:qFormat/>
    <w:rsid w:val="00C04765"/>
    <w:pPr>
      <w:ind w:left="720"/>
      <w:contextualSpacing/>
    </w:pPr>
  </w:style>
  <w:style w:type="paragraph" w:styleId="NoSpacing">
    <w:name w:val="No Spacing"/>
    <w:uiPriority w:val="1"/>
    <w:qFormat/>
    <w:rsid w:val="00B041E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93594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2307/1086671" TargetMode="External"/><Relationship Id="rId4" Type="http://schemas.openxmlformats.org/officeDocument/2006/relationships/settings" Target="settings.xml"/><Relationship Id="rId9" Type="http://schemas.openxmlformats.org/officeDocument/2006/relationships/hyperlink" Target="https://doi.org/10.2307/43494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EC705-2D30-409A-BB83-01A23F3AC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1550</Words>
  <Characters>8839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Sema Ali</dc:creator>
  <cp:keywords/>
  <dc:description/>
  <cp:lastModifiedBy>Sema Ali (2120513)</cp:lastModifiedBy>
  <cp:revision>2</cp:revision>
  <dcterms:created xsi:type="dcterms:W3CDTF">2023-11-05T10:54:00Z</dcterms:created>
  <dcterms:modified xsi:type="dcterms:W3CDTF">2023-11-05T10:54:00Z</dcterms:modified>
</cp:coreProperties>
</file>