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86DA1" w14:textId="5E00C137" w:rsidR="44774B16" w:rsidRDefault="44774B16" w:rsidP="2F8188E2">
      <w:pPr>
        <w:jc w:val="center"/>
        <w:rPr>
          <w:rFonts w:ascii="Calibri" w:eastAsia="Calibri" w:hAnsi="Calibri" w:cs="Calibri"/>
          <w:b/>
          <w:sz w:val="28"/>
          <w:szCs w:val="28"/>
          <w:u w:val="single"/>
        </w:rPr>
      </w:pPr>
      <w:r w:rsidRPr="2F8188E2">
        <w:rPr>
          <w:rFonts w:ascii="Calibri" w:eastAsia="Calibri" w:hAnsi="Calibri" w:cs="Calibri"/>
          <w:b/>
          <w:sz w:val="28"/>
          <w:szCs w:val="28"/>
          <w:u w:val="single"/>
        </w:rPr>
        <w:t>A critical evaluation and the identification of next teaching and learning steps focusing on a case study of an individual learner or a group of learners, based on an observed critical incident.</w:t>
      </w:r>
    </w:p>
    <w:p w14:paraId="256B04BF" w14:textId="7A06BDA3" w:rsidR="44774B16" w:rsidRDefault="6C063EE7" w:rsidP="44774B16">
      <w:pPr>
        <w:rPr>
          <w:rFonts w:ascii="Arial" w:eastAsia="Arial" w:hAnsi="Arial" w:cs="Arial"/>
          <w:b/>
          <w:sz w:val="28"/>
          <w:szCs w:val="28"/>
        </w:rPr>
      </w:pPr>
      <w:r w:rsidRPr="2F8188E2">
        <w:rPr>
          <w:rFonts w:ascii="Arial" w:eastAsia="Arial" w:hAnsi="Arial" w:cs="Arial"/>
          <w:b/>
          <w:sz w:val="28"/>
          <w:szCs w:val="28"/>
        </w:rPr>
        <w:t>Introduction</w:t>
      </w:r>
    </w:p>
    <w:p w14:paraId="596C7834" w14:textId="3B798537" w:rsidR="67122C11" w:rsidRDefault="4B6D4F84" w:rsidP="2F8188E2">
      <w:pPr>
        <w:spacing w:line="360" w:lineRule="auto"/>
        <w:rPr>
          <w:rFonts w:ascii="Arial" w:eastAsia="Arial" w:hAnsi="Arial" w:cs="Arial"/>
        </w:rPr>
      </w:pPr>
      <w:r w:rsidRPr="2F8188E2">
        <w:rPr>
          <w:rFonts w:ascii="Arial" w:eastAsia="Arial" w:hAnsi="Arial" w:cs="Arial"/>
        </w:rPr>
        <w:t xml:space="preserve">A critical incident can occur in any lesson at any time of the day. The purpose of focusing on a critical incident is that it enables a teacher to reflect upon the incident and identify possible reasoning for the incident that took place. A critical incident can be established from the observation of a lesson through a teacher, a teacher’s assistant or even a student. It obtains its critical status when it is reflected upon by an individual, commonly a teacher. In this instance, a critical incident will be evaluated from the perspective of observations made at a comprehensive school based on an individual learner within a classroom. The importance of observing and identifying critical incidents is vital within the everyday practice of a teacher. It is a form of reflecting on different pedagogical principles whilst finding areas to improve throughout. Reflective practice within teaching is a cyclical process of teaching, self-assessment, identifying areas for improvement and then creating an action plan that works towards practicing the areas that were identified for improvement. From this reflection, it can create a continuum of learning. John Dewey states that </w:t>
      </w:r>
      <w:r w:rsidRPr="2F8188E2">
        <w:rPr>
          <w:rFonts w:ascii="Arial" w:eastAsia="Arial" w:hAnsi="Arial" w:cs="Arial"/>
          <w:color w:val="000000" w:themeColor="text1"/>
        </w:rPr>
        <w:t>“We do not learn from experience. We learn from reflecting on experience.” (1933, p.78). This quote shows how important reflection is and suggests that experience alone is worthless if it is not reflected upon for next learning or teaching steps. It is vital to remember that it is not just the pupils or students in the classroom that are learning, as a teacher through reflective practice, learning should be taking place every day.</w:t>
      </w:r>
    </w:p>
    <w:p w14:paraId="26D7B6AD" w14:textId="66D559ED" w:rsidR="649ECBB5" w:rsidRDefault="6C063EE7" w:rsidP="59AFF27F">
      <w:pPr>
        <w:rPr>
          <w:rFonts w:ascii="Arial" w:eastAsia="Arial" w:hAnsi="Arial" w:cs="Arial"/>
          <w:b/>
          <w:sz w:val="28"/>
          <w:szCs w:val="28"/>
        </w:rPr>
      </w:pPr>
      <w:r w:rsidRPr="2F8188E2">
        <w:rPr>
          <w:rFonts w:ascii="Arial" w:eastAsia="Arial" w:hAnsi="Arial" w:cs="Arial"/>
          <w:b/>
          <w:sz w:val="28"/>
          <w:szCs w:val="28"/>
        </w:rPr>
        <w:t xml:space="preserve">School and class context </w:t>
      </w:r>
    </w:p>
    <w:p w14:paraId="09A7C5C6" w14:textId="1857B408" w:rsidR="649ECBB5" w:rsidRDefault="6C063EE7" w:rsidP="2F8188E2">
      <w:pPr>
        <w:spacing w:line="360" w:lineRule="auto"/>
        <w:rPr>
          <w:rFonts w:ascii="Arial" w:eastAsia="Arial" w:hAnsi="Arial" w:cs="Arial"/>
        </w:rPr>
      </w:pPr>
      <w:r w:rsidRPr="2F8188E2">
        <w:rPr>
          <w:rFonts w:ascii="Arial" w:eastAsia="Arial" w:hAnsi="Arial" w:cs="Arial"/>
        </w:rPr>
        <w:t xml:space="preserve">The school that the critical incident took place in is based in the Swansea county area with around 903 pupils between 2017-2018. There is no official statistic for 2019. Throughout this essay, the school in question will be referred to as school ‘X’ in order to retain anonymity as a safeguarding precaution. School X has 23.3% of pupils receiving free school meals which according to The Children’s Society (2012), this is a symbol of poverty as it is a crucial entitlement for families with low income. The proportion of children/young adults receiving free school meals is considered a valid indicator of the level of economic difficulty in the specific area that the school is based in. This suggests that school X is above the average of 17.5% pupils receiving free school meals in Wales. Alongside this, school X received an inspection by ESTYN in 2014-2015 and it was declared that the overall performance of the school was ‘adequate’. According to ESTYN, adequate is a judgement used to describe the school as </w:t>
      </w:r>
      <w:r w:rsidRPr="2F8188E2">
        <w:rPr>
          <w:rFonts w:ascii="Arial" w:eastAsia="Arial" w:hAnsi="Arial" w:cs="Arial"/>
        </w:rPr>
        <w:lastRenderedPageBreak/>
        <w:t>strengths outweigh areas for improvement (ESTYN, 2015). From this report, the school has been under monitoring until 2016. In 2016, school X was removed from monitoring as it made good progress as a school and met the targets set by ESTYN. Whilst at the school, an observed critical incident took place in a year 11 low ability class. It was therefore a GCSE class that was focusing on the topic of creation, whilst looking at the humanist approach and the main Christian viewpoint. There were between 10-14 pupils in the classroom at the time.</w:t>
      </w:r>
    </w:p>
    <w:p w14:paraId="7F2EDB73" w14:textId="015BE890" w:rsidR="649ECBB5" w:rsidRDefault="6C063EE7" w:rsidP="59AFF27F">
      <w:pPr>
        <w:rPr>
          <w:rFonts w:ascii="Arial" w:eastAsia="Arial" w:hAnsi="Arial" w:cs="Arial"/>
          <w:b/>
          <w:sz w:val="28"/>
          <w:szCs w:val="28"/>
        </w:rPr>
      </w:pPr>
      <w:r w:rsidRPr="2F8188E2">
        <w:rPr>
          <w:rFonts w:ascii="Arial" w:eastAsia="Arial" w:hAnsi="Arial" w:cs="Arial"/>
          <w:b/>
          <w:sz w:val="28"/>
          <w:szCs w:val="28"/>
        </w:rPr>
        <w:t>Methodology</w:t>
      </w:r>
    </w:p>
    <w:p w14:paraId="20066E6C" w14:textId="302579F8" w:rsidR="67122C11" w:rsidRDefault="6183C76B" w:rsidP="2F8188E2">
      <w:pPr>
        <w:spacing w:line="360" w:lineRule="auto"/>
        <w:rPr>
          <w:rFonts w:ascii="Arial" w:eastAsia="Arial" w:hAnsi="Arial" w:cs="Arial"/>
        </w:rPr>
      </w:pPr>
      <w:r w:rsidRPr="2F8188E2">
        <w:rPr>
          <w:rFonts w:ascii="Arial" w:eastAsia="Arial" w:hAnsi="Arial" w:cs="Arial"/>
        </w:rPr>
        <w:t>Educational research is a field that is ever expanding. It has a crucial role in the development of pedagogical standards. Observations are a useful resource that allow the researcher to gather data on the physical setting, the human setting, the interactional setting and the programme setting. The critical incident in question is formed from data around the programme setting. The programme setting according to Morris includes the resources and pedagogic styles in the organisation (Morrison, 1993). The main resource used at school X for behaviour management is the pivotal method. In order to identify a specific critical incident, it was customary to use an observational method. There are many different methods that are used to observe learners in a school setting. The two main categories of observation methods are non-participant and participant. For this research project, it was more convenient to use a non-participant method, to truly grasp an understanding of the classroom. However, as quoted in Cohen and Manion, according to Adler and Adler (1994) it is possible to argue that all research is some form of participant observation. This is because we cannot study the world without being part of it. It is easy to become a participant within observations, but it is crucial to remember the purpose of these observations, which is to identify critical incidents. Through observations, many critical incidents were recorded. Tripp describes a critical incident as an interpretation of the significance of an event. To explore an event as a critical incident is a value judgement and the basis of that judgement is the significance attached to the meaning of the incident (Tripp, 1993).</w:t>
      </w:r>
    </w:p>
    <w:p w14:paraId="6FDA5A0C" w14:textId="72DC72CF" w:rsidR="67122C11" w:rsidRDefault="59AFF27F" w:rsidP="2F8188E2">
      <w:pPr>
        <w:spacing w:line="360" w:lineRule="auto"/>
        <w:rPr>
          <w:rFonts w:ascii="Arial" w:eastAsia="Arial" w:hAnsi="Arial" w:cs="Arial"/>
        </w:rPr>
      </w:pPr>
      <w:r w:rsidRPr="2F8188E2">
        <w:rPr>
          <w:rFonts w:ascii="Arial" w:eastAsia="Arial" w:hAnsi="Arial" w:cs="Arial"/>
        </w:rPr>
        <w:t xml:space="preserve">A case study was the best research method for this assignment. A case study allows a researcher to focus on an individual person or group in order to obtain specific information. It is also a way to test theories on situations, such as theories regarding behaviour. Observations seem apparent to be the most effective practice to research an individual or group of learners. However, within the classroom setting it is common to experience the Hawthorne effect. The Hawthorne effect is where individuals modify or improve an aspect of their behaviour in response to their awareness of being observed (AQR, 2019). For example, the experience of being viewed has the potential to alter the participant’s feelings about the subject under </w:t>
      </w:r>
      <w:r w:rsidRPr="2F8188E2">
        <w:rPr>
          <w:rFonts w:ascii="Arial" w:eastAsia="Arial" w:hAnsi="Arial" w:cs="Arial"/>
        </w:rPr>
        <w:lastRenderedPageBreak/>
        <w:t xml:space="preserve">discussion. Therefore, within the subject that was being observed, the learner in question may have been asking certain questions as a form of disruptive behaviour due to a stranger being within the classroom. This behaviour may have been affected by the student being surrounded by friends, to receive any response from the teacher to ‘show off’ in front of friends. This could have been an issue with the individual’s ego. </w:t>
      </w:r>
    </w:p>
    <w:p w14:paraId="4F4957BD" w14:textId="64FA8986" w:rsidR="649ECBB5" w:rsidRDefault="59AFF27F" w:rsidP="59AFF27F">
      <w:pPr>
        <w:rPr>
          <w:rFonts w:ascii="Arial" w:eastAsia="Arial" w:hAnsi="Arial" w:cs="Arial"/>
          <w:b/>
          <w:sz w:val="28"/>
          <w:szCs w:val="28"/>
        </w:rPr>
      </w:pPr>
      <w:r w:rsidRPr="2F8188E2">
        <w:rPr>
          <w:rFonts w:ascii="Arial" w:eastAsia="Arial" w:hAnsi="Arial" w:cs="Arial"/>
          <w:b/>
          <w:sz w:val="28"/>
          <w:szCs w:val="28"/>
        </w:rPr>
        <w:t xml:space="preserve">Four purposes </w:t>
      </w:r>
    </w:p>
    <w:p w14:paraId="30EAE25C" w14:textId="1A689D63" w:rsidR="4B6D4F84" w:rsidRDefault="59AFF27F" w:rsidP="2F8188E2">
      <w:pPr>
        <w:spacing w:line="360" w:lineRule="auto"/>
        <w:rPr>
          <w:rFonts w:ascii="Arial" w:eastAsia="Arial" w:hAnsi="Arial" w:cs="Arial"/>
        </w:rPr>
      </w:pPr>
      <w:r w:rsidRPr="2F8188E2">
        <w:rPr>
          <w:rFonts w:ascii="Arial" w:eastAsia="Arial" w:hAnsi="Arial" w:cs="Arial"/>
        </w:rPr>
        <w:t>During observations at school X, there were many incidents throughout different lessons that disturbed the learning that was taking place. These incidents affected the lesson both in a positive way and negative way. The main critical incident that will be focused on was when a student asked the teacher “why should I have to write about all these ‘Gods’ when I am atheist”. The content of the learning that was taking place was regarding different beliefs about creation stories. It was instructed by the teacher that the learners must include both a religious viewpoint and a non-religious viewpoint. Throughout the lesson, both religious and non-religious viewpoints were explored. The main non-religious viewpoint was from the perspective of the humanist approach. The critical incident that was observed links in to the four purposes in Donaldson’s Successful Futures. One of the main four purposes of the new curriculum in Wales is to create ethically informed citizens. One of the main purposes of the subject of Religious Education is to inform young people of other religious beliefs. This will create ethically informed citizens that are ready for the wider world when they reach age 16 and leave comprehensive school.</w:t>
      </w:r>
      <w:r w:rsidRPr="2F8188E2">
        <w:rPr>
          <w:rFonts w:ascii="Arial" w:eastAsia="Arial" w:hAnsi="Arial" w:cs="Arial"/>
          <w:color w:val="1F1F1F"/>
        </w:rPr>
        <w:t xml:space="preserve"> It is hard to distinguish a fine line between ensuring the four purposes of the new curriculum are being followed whilst not disturbing any of the set policies of the school in question. For example, in school X there is a pivotal behaviour response, therefore it is important to not disrupt the learning that is taking place. From the critical incident in question, it would be seen as an interruption and cause disruption to the learning that was taking place. This is a utilitarian situation, as it is important that the greatest amount of happiness (good behaviour) is acknowledged rather than the minor of bad behaviour. </w:t>
      </w:r>
      <w:r w:rsidRPr="2F8188E2">
        <w:rPr>
          <w:rFonts w:ascii="Arial" w:eastAsia="Arial" w:hAnsi="Arial" w:cs="Arial"/>
        </w:rPr>
        <w:t>This links in with another of the four purposes of creating healthy confident learners, one of the purposes of Religious Education is to create individuals who are confident. The purpose of Religious Education is ever more so prominent in the 21</w:t>
      </w:r>
      <w:r w:rsidRPr="2F8188E2">
        <w:rPr>
          <w:rFonts w:ascii="Arial" w:eastAsia="Arial" w:hAnsi="Arial" w:cs="Arial"/>
          <w:vertAlign w:val="superscript"/>
        </w:rPr>
        <w:t>st</w:t>
      </w:r>
      <w:r w:rsidRPr="2F8188E2">
        <w:rPr>
          <w:rFonts w:ascii="Arial" w:eastAsia="Arial" w:hAnsi="Arial" w:cs="Arial"/>
        </w:rPr>
        <w:t xml:space="preserve"> century with an ever-growing diverse population. These are skills that are both needed within the classroom and in the wider world when leaners leave school.</w:t>
      </w:r>
    </w:p>
    <w:p w14:paraId="53B0A805" w14:textId="394819DA" w:rsidR="649ECBB5" w:rsidRDefault="6C063EE7" w:rsidP="6183C76B">
      <w:pPr>
        <w:rPr>
          <w:rFonts w:ascii="Arial" w:eastAsia="Arial" w:hAnsi="Arial" w:cs="Arial"/>
          <w:b/>
          <w:sz w:val="28"/>
          <w:szCs w:val="28"/>
        </w:rPr>
      </w:pPr>
      <w:r w:rsidRPr="2F8188E2">
        <w:rPr>
          <w:rFonts w:ascii="Arial" w:eastAsia="Arial" w:hAnsi="Arial" w:cs="Arial"/>
          <w:b/>
          <w:sz w:val="28"/>
          <w:szCs w:val="28"/>
        </w:rPr>
        <w:t xml:space="preserve">Literature review </w:t>
      </w:r>
    </w:p>
    <w:p w14:paraId="5D024897" w14:textId="76C84058" w:rsidR="6183C76B" w:rsidRDefault="6183C76B" w:rsidP="2F8188E2">
      <w:pPr>
        <w:spacing w:line="360" w:lineRule="auto"/>
        <w:rPr>
          <w:rFonts w:ascii="Arial" w:eastAsia="Arial" w:hAnsi="Arial" w:cs="Arial"/>
        </w:rPr>
      </w:pPr>
      <w:r w:rsidRPr="2F8188E2">
        <w:rPr>
          <w:rFonts w:ascii="Arial" w:eastAsia="Arial" w:hAnsi="Arial" w:cs="Arial"/>
        </w:rPr>
        <w:lastRenderedPageBreak/>
        <w:t>The school in question have an active pivotal policy. This means that the whole school is run on a behaviour policy that is targeted at every student. As Dix suggests, it is when adults change, that everything changes (Dix, 2017). This suggests that teachers are role models for young people and therefore the behaviour that a teacher manifests is crucial to how young people behave. As a teacher, it is not possible to expect your students to behave appropriately if you do not display appropriate behaviour as their teacher. Due to the active pivotal procedure, every member of staff including teachers and teacher’s assistants must undertake a training method to maintain the procedure throughout the school. Within the pivotal procedure, a member of staff from senior leadership must do a learning walk for every lesson of the day. The member of staff enters every classroom with a positive attitude to ensure positive behaviour is taking place and to ensure that learning is efficiently taking place. This technique of behaviour management proves to be resourceful for year 7-8, however this approach did not seem suitable for more mature students from year 9-11. Through observations, one student questioned the attitude of the senior member of staff by exclaiming through the class “is she on drugs or something because she always looks over happy”. This shows that different methods for behaviour management may only work for certain students based on maturity.</w:t>
      </w:r>
    </w:p>
    <w:p w14:paraId="4500CD4C" w14:textId="0CE4FFE0" w:rsidR="6183C76B" w:rsidRDefault="6183C76B" w:rsidP="2F8188E2">
      <w:pPr>
        <w:spacing w:line="360" w:lineRule="auto"/>
        <w:rPr>
          <w:rFonts w:ascii="Arial" w:eastAsia="Arial" w:hAnsi="Arial" w:cs="Arial"/>
        </w:rPr>
      </w:pPr>
      <w:r w:rsidRPr="2F8188E2">
        <w:rPr>
          <w:rFonts w:ascii="Arial" w:eastAsia="Arial" w:hAnsi="Arial" w:cs="Arial"/>
        </w:rPr>
        <w:t xml:space="preserve">There are 5 main pillars that are considered in the practice of the pivotal policy. The first pillar is consistent and calm adult behaviour, this is the most crucial pillar out of the five listed. It means that as a teacher or member of staff at the school, you must be in control of yourself, before you attempt to take control over anyone else’s behaviour. This is an agreed method that every member of staff must practice in order to obtain consistency. Pivotal suggests that all negative emotions should be removed from behaviour management in order to achieve the best outcome. The second pillar is first attention for best conduct, this strategy suggests that the students with the best behaviour should be focused on more than the minority of students that are not behaving. It is normally the case that the ‘naughty’ students experience the most attention from the teacher and therefore, the positive behaviour is not acknowledged. The overall purpose of this pillar is to ‘catch those children doing the right thing first, before dealing with the poor behaviour’. The third pillar is relentless routines. This is the belief that routine should be essentialised in the classroom. Embedded in this pillar is the belief that routine should be made clear to the students so that they know what is going on during the lesson, to ensure the best learning outcome. This pillar also suggests that every child must ‘stretch’ to meet a routine. It is believed that the routine should be ‘drilled’ into the mind of every student until behaviour is exceptional. The fourth pillar is scripting difficult interventions. This pillar is not described as well as the other four pillars. It is apparent that this pillar suggests that there </w:t>
      </w:r>
      <w:r w:rsidRPr="2F8188E2">
        <w:rPr>
          <w:rFonts w:ascii="Arial" w:eastAsia="Arial" w:hAnsi="Arial" w:cs="Arial"/>
        </w:rPr>
        <w:lastRenderedPageBreak/>
        <w:t>should be a set method for dealing with different negative behaviour. The last pillar is restorative follow up. The main purpose of this pillar is that when a student is misbehaving, instead of telling them off, it is better to teach them how to behave rather than punishing them every time. It suggests that a student is not going to be fed up of punishment and start to behave as it rarely happens. The main aim of the pivotal approach is to create stable behaviour that supports learning underneath. The structure of the approach suggests that students who misbehave must understand that their behaviour affects other people.</w:t>
      </w:r>
    </w:p>
    <w:p w14:paraId="3C616CE1" w14:textId="76367F06" w:rsidR="6183C76B" w:rsidRDefault="6183C76B" w:rsidP="2F8188E2">
      <w:pPr>
        <w:spacing w:line="360" w:lineRule="auto"/>
        <w:rPr>
          <w:rFonts w:ascii="Arial" w:eastAsia="Arial" w:hAnsi="Arial" w:cs="Arial"/>
        </w:rPr>
      </w:pPr>
      <w:r w:rsidRPr="2F8188E2">
        <w:rPr>
          <w:rFonts w:ascii="Arial" w:eastAsia="Arial" w:hAnsi="Arial" w:cs="Arial"/>
        </w:rPr>
        <w:t>The pivotal approach at school X links in with a theory from Canter (1992), which is assertive discipline. The main goal of assertive discipline is to allow teachers to engage with their students whilst the students are in a learning environment, despite any students that are misbehaving inside the same classroom. This approach suits the pivotal approach as it suggests that the teacher remains calm throughout the situation. Within this approach, the teacher is still firm with the students but remains positive. The positive mood from the teacher is then reflected on to the students. It can be said that students mirror the behaviour of the teacher, so if the teacher is calm and in a positive mood, it has a positive effect on the behaviour of the students in the classroom. With the critical incident in mind, it can be hard to identify if the issue is a behaviour problem. There could be many reasons or explanations why a child would want to disrupt the classroom, possibly due to a lack of understanding of the task. Therefore, the pivotal approach in this situation was better suited to this case as there was no explanation for the behaviour of the student in question. In contrast, the assertive discipline method is slightly different to the school’s pivotal routine. This is through the belief of positive reinforcement or negative punishment. The pivotal response always aims to provide a positive atmosphere, therefore negative punishment is not considered an issue and in theory is just ‘ignored’ by the teacher.</w:t>
      </w:r>
    </w:p>
    <w:p w14:paraId="687E1720" w14:textId="2BCC9DC9" w:rsidR="6183C76B" w:rsidRDefault="6183C76B" w:rsidP="2F8188E2">
      <w:pPr>
        <w:spacing w:line="360" w:lineRule="auto"/>
        <w:rPr>
          <w:rFonts w:ascii="Arial" w:eastAsia="Arial" w:hAnsi="Arial" w:cs="Arial"/>
        </w:rPr>
      </w:pPr>
      <w:r w:rsidRPr="2F8188E2">
        <w:rPr>
          <w:rFonts w:ascii="Arial" w:eastAsia="Arial" w:hAnsi="Arial" w:cs="Arial"/>
        </w:rPr>
        <w:t xml:space="preserve">For a student to learn, they need to be fully engaged within the lesson and responsive. Based on Donaldson’s report, there are many identified areas to make a lesson engaging for every student. Understandably it is difficult to ensure that every single learner is engaged throughout the lesson, but the cross curricular responsibilities will assist teachers to be creative. Many of the ideas throughout the new curriculum link together to create the best pedagogy. As mentioned previously, one of the main purposes of the curriculum is to create ethically informed citizens. This purpose can be fulfilled through the subject group of humanities (mainly Religious Education). However, in order to create ethically informed citizens, it is inevitable that contextualized learning must take place. Contextualized learning links together with curriculum </w:t>
      </w:r>
      <w:r w:rsidRPr="2F8188E2">
        <w:rPr>
          <w:rFonts w:ascii="Arial" w:eastAsia="Arial" w:hAnsi="Arial" w:cs="Arial"/>
        </w:rPr>
        <w:lastRenderedPageBreak/>
        <w:t>Cymraeg. To make a topic relevant to local issues and contemporary society is one of the best ways to encourage engagement with students. In the future, the critical incident that has been identified can be avoided by the subject being more interesting and engaging for the learner. Also, as part of the teaching standards, listening to learners is one of the main pedagogical standards listed. For qualified teacher status, a teacher must demonstrate a willingness to seek, listen to and take account of the views of learners in order to engage and encourage them as active participants in their own learning (HWB see ref *pg 37). Within the new curriculum, there is little suggestions on behaviour management, but this could possibly be due to the amount of creativity in the new curriculum that more students will be more engaged. If more students are engaged in the lesson it could influence the overall behaviour of the classroom.</w:t>
      </w:r>
    </w:p>
    <w:p w14:paraId="048222AB" w14:textId="783A4707" w:rsidR="649ECBB5" w:rsidRDefault="59AFF27F" w:rsidP="2F8188E2">
      <w:pPr>
        <w:spacing w:line="360" w:lineRule="auto"/>
        <w:rPr>
          <w:rFonts w:ascii="Arial" w:eastAsia="Arial" w:hAnsi="Arial" w:cs="Arial"/>
          <w:b/>
        </w:rPr>
      </w:pPr>
      <w:r w:rsidRPr="2F8188E2">
        <w:rPr>
          <w:rFonts w:ascii="Arial" w:eastAsia="Arial" w:hAnsi="Arial" w:cs="Arial"/>
        </w:rPr>
        <w:t>Overall, school X has adapted to the pivotal policy and as a school they are continuing to develop their practice of the policy and create consistent approach throughout the school. This could be reflective practice, as the school strives to improve techniques through the experience of the pivotal response. The main critical incident that has been focused on throughout this essay could be related to many issues such as those listed above. It is a behaviour issue as it links to the pivotal response, but it could also be through the lack of engagement with the current pedagogical principles and learning.</w:t>
      </w:r>
    </w:p>
    <w:p w14:paraId="378316AD" w14:textId="7F008353" w:rsidR="649ECBB5" w:rsidRDefault="6C063EE7" w:rsidP="59AFF27F">
      <w:pPr>
        <w:rPr>
          <w:rFonts w:ascii="Arial" w:eastAsia="Arial" w:hAnsi="Arial" w:cs="Arial"/>
          <w:b/>
          <w:sz w:val="28"/>
          <w:szCs w:val="28"/>
        </w:rPr>
      </w:pPr>
      <w:r w:rsidRPr="2F8188E2">
        <w:rPr>
          <w:rFonts w:ascii="Arial" w:eastAsia="Arial" w:hAnsi="Arial" w:cs="Arial"/>
          <w:b/>
          <w:sz w:val="28"/>
          <w:szCs w:val="28"/>
        </w:rPr>
        <w:t xml:space="preserve">Reflection and next steps </w:t>
      </w:r>
    </w:p>
    <w:p w14:paraId="5382A8DA" w14:textId="2A9C7F53" w:rsidR="7DDC3C70" w:rsidRDefault="7DDC3C70" w:rsidP="2F8188E2">
      <w:pPr>
        <w:spacing w:line="360" w:lineRule="auto"/>
        <w:rPr>
          <w:rFonts w:ascii="Arial" w:eastAsia="Arial" w:hAnsi="Arial" w:cs="Arial"/>
        </w:rPr>
      </w:pPr>
      <w:r w:rsidRPr="2F8188E2">
        <w:rPr>
          <w:rFonts w:ascii="Arial" w:eastAsia="Arial" w:hAnsi="Arial" w:cs="Arial"/>
        </w:rPr>
        <w:t xml:space="preserve">To reflect upon the findings of this research, Gibbs’ reflective cycle is an applicable model to use for personal reflection. Gibbs’ reflective cycle entails a step by step guide to analyse a situation and decide the important features of the incident and the next steps. </w:t>
      </w:r>
      <w:r w:rsidR="59AFF27F" w:rsidRPr="2F8188E2">
        <w:rPr>
          <w:rFonts w:ascii="Arial" w:eastAsia="Arial" w:hAnsi="Arial" w:cs="Arial"/>
        </w:rPr>
        <w:t xml:space="preserve">(see appendix 3&amp;6) </w:t>
      </w:r>
      <w:r w:rsidRPr="2F8188E2">
        <w:rPr>
          <w:rFonts w:ascii="Arial" w:eastAsia="Arial" w:hAnsi="Arial" w:cs="Arial"/>
        </w:rPr>
        <w:t>For example, in this case, for a critical incident it is vital to underline the focus of the incident</w:t>
      </w:r>
      <w:r w:rsidR="59AFF27F" w:rsidRPr="2F8188E2">
        <w:rPr>
          <w:rFonts w:ascii="Arial" w:eastAsia="Arial" w:hAnsi="Arial" w:cs="Arial"/>
        </w:rPr>
        <w:t xml:space="preserve">. The primary focus of this incident in particular is how one learner attempted to disrupt the learning taking place. </w:t>
      </w:r>
      <w:r w:rsidRPr="2F8188E2">
        <w:rPr>
          <w:rFonts w:ascii="Arial" w:eastAsia="Arial" w:hAnsi="Arial" w:cs="Arial"/>
        </w:rPr>
        <w:t>To link with the observation documents, the assisted reflection sheet that I used contains four main boxes. The first box being ‘feelings’, for this part of the reflection I reached a conclusion that this incident is something that occurs every day within the RE classroom.</w:t>
      </w:r>
      <w:r w:rsidR="59AFF27F" w:rsidRPr="2F8188E2">
        <w:rPr>
          <w:rFonts w:ascii="Arial" w:eastAsia="Arial" w:hAnsi="Arial" w:cs="Arial"/>
        </w:rPr>
        <w:t xml:space="preserve"> For the next part of my reflection, it was important to discuss the aspects of the incident in the context of learning. It is hard to encourage a student to analyse the beliefs of other religions when a student is atheist. Within this situation, there was a clear plan for the lesson taking place and this was made clear to the students. There were lesson objectives displayed on the white board to make it clear what the purpose of the lesson was to the learners. There were also worksheets given with clear instructions or information for students with lower ability. The classroom culture suggested that the students were focused on learning, </w:t>
      </w:r>
      <w:r w:rsidR="59AFF27F" w:rsidRPr="2F8188E2">
        <w:rPr>
          <w:rFonts w:ascii="Arial" w:eastAsia="Arial" w:hAnsi="Arial" w:cs="Arial"/>
        </w:rPr>
        <w:lastRenderedPageBreak/>
        <w:t xml:space="preserve">but it was the behaviour of one student that caused an incident within the lesson. Evaluating and analysing the situation was a key part of my individual reflection. The key question to this part of reflection was what could be kept the same to ensure effective teaching and learning in the future. To answer this question, I analysed the situation and reached a conclusion that the teacher remained calm throughout the situation and managed to avoid disruption. Through this, the whole class remained on task to ensure learning was continued. This approach by the teacher followed the school’s system of ‘pivotal’ behaviour management. This is a way of keeping a calm atmosphere of a classroom and making sure that behaviour of the whole class was not affected. This approach worked well with the class as they were year 11 and mature enough to ‘move on’ from the situation. However, from my own perspective I personally believe that every learner has the right to question why they must study a subject. The purpose of each subject has every right to be questioned as it needs to be stressed how important the subject of RE is in the modern-day world. </w:t>
      </w:r>
      <w:r w:rsidRPr="2F8188E2">
        <w:rPr>
          <w:rFonts w:ascii="Arial" w:eastAsia="Arial" w:hAnsi="Arial" w:cs="Arial"/>
        </w:rPr>
        <w:t xml:space="preserve">As the final part of </w:t>
      </w:r>
      <w:r w:rsidR="59AFF27F" w:rsidRPr="2F8188E2">
        <w:rPr>
          <w:rFonts w:ascii="Arial" w:eastAsia="Arial" w:hAnsi="Arial" w:cs="Arial"/>
        </w:rPr>
        <w:t xml:space="preserve">my </w:t>
      </w:r>
      <w:r w:rsidRPr="2F8188E2">
        <w:rPr>
          <w:rFonts w:ascii="Arial" w:eastAsia="Arial" w:hAnsi="Arial" w:cs="Arial"/>
        </w:rPr>
        <w:t xml:space="preserve">reflection I had to identify next teaching steps through a conclusion. In this conclusion I decided that it would be </w:t>
      </w:r>
      <w:r w:rsidR="59AFF27F" w:rsidRPr="2F8188E2">
        <w:rPr>
          <w:rFonts w:ascii="Arial" w:eastAsia="Arial" w:hAnsi="Arial" w:cs="Arial"/>
        </w:rPr>
        <w:t>enough</w:t>
      </w:r>
      <w:r w:rsidRPr="2F8188E2">
        <w:rPr>
          <w:rFonts w:ascii="Arial" w:eastAsia="Arial" w:hAnsi="Arial" w:cs="Arial"/>
        </w:rPr>
        <w:t xml:space="preserve"> to avoid this behaviour by supplying each child with a document that outlines the use of Religious Education in the wider world. This could be stuck at the front of the book of each child, so that they can just flick back to the front of their book when they are unsure of </w:t>
      </w:r>
      <w:r w:rsidR="59AFF27F" w:rsidRPr="2F8188E2">
        <w:rPr>
          <w:rFonts w:ascii="Arial" w:eastAsia="Arial" w:hAnsi="Arial" w:cs="Arial"/>
        </w:rPr>
        <w:t xml:space="preserve">the purpose of </w:t>
      </w:r>
      <w:r w:rsidRPr="2F8188E2">
        <w:rPr>
          <w:rFonts w:ascii="Arial" w:eastAsia="Arial" w:hAnsi="Arial" w:cs="Arial"/>
        </w:rPr>
        <w:t xml:space="preserve">each task that they need to complete. </w:t>
      </w:r>
      <w:r w:rsidR="59AFF27F" w:rsidRPr="2F8188E2">
        <w:rPr>
          <w:rFonts w:ascii="Arial" w:eastAsia="Arial" w:hAnsi="Arial" w:cs="Arial"/>
        </w:rPr>
        <w:t xml:space="preserve">For example, the WJEC have a current poster that explains why RE is relevant by using contemporary issues such as “Muslim Council of Britain condemns terror attacks” or “Ireland to hold referendum on abortion”. There is also another poster used with the title ‘Why study Religious Studies?’ (WJEC, undated). Through this poster, there are many suggestions how RE links with other subjects and complement the other subjects (see appendix 9&amp;10). </w:t>
      </w:r>
      <w:r w:rsidRPr="2F8188E2">
        <w:rPr>
          <w:rFonts w:ascii="Arial" w:eastAsia="Arial" w:hAnsi="Arial" w:cs="Arial"/>
        </w:rPr>
        <w:t>This could be the case with many other subjects such as Welsh or Art as they are commonly seen as subjects that not every learner will enjoy. Other subject areas such as Math, English or Science are considered core subjects, therefore their importance as a subject is very prominent throughout the school setting.</w:t>
      </w:r>
      <w:r w:rsidR="59AFF27F" w:rsidRPr="2F8188E2">
        <w:rPr>
          <w:rFonts w:ascii="Arial" w:eastAsia="Arial" w:hAnsi="Arial" w:cs="Arial"/>
        </w:rPr>
        <w:t xml:space="preserve"> A different suggestion to this maybe to turn the question around to spark a debate amongst the classroom. The teacher may have asked the class “why do you think you have to learn about other religions or Gods when you are atheist?”. This would have created a peer discussion task in which students can voice their opinions on the issue.</w:t>
      </w:r>
    </w:p>
    <w:p w14:paraId="71077F74" w14:textId="08132C85" w:rsidR="4B6D4F84" w:rsidRDefault="59AFF27F" w:rsidP="59AFF27F">
      <w:pPr>
        <w:rPr>
          <w:rFonts w:ascii="Arial" w:eastAsia="Arial" w:hAnsi="Arial" w:cs="Arial"/>
          <w:b/>
          <w:sz w:val="28"/>
          <w:szCs w:val="28"/>
        </w:rPr>
      </w:pPr>
      <w:r w:rsidRPr="2F8188E2">
        <w:rPr>
          <w:rFonts w:ascii="Arial" w:eastAsia="Arial" w:hAnsi="Arial" w:cs="Arial"/>
          <w:b/>
          <w:sz w:val="28"/>
          <w:szCs w:val="28"/>
        </w:rPr>
        <w:t>Conclusion</w:t>
      </w:r>
    </w:p>
    <w:p w14:paraId="1697A8DC" w14:textId="14D849BC" w:rsidR="67122C11" w:rsidRDefault="6183C76B" w:rsidP="2F8188E2">
      <w:pPr>
        <w:spacing w:line="360" w:lineRule="auto"/>
        <w:rPr>
          <w:rFonts w:ascii="Arial" w:eastAsia="Arial" w:hAnsi="Arial" w:cs="Arial"/>
          <w:color w:val="1F1F1F"/>
        </w:rPr>
      </w:pPr>
      <w:r w:rsidRPr="2F8188E2">
        <w:rPr>
          <w:rFonts w:ascii="Arial" w:eastAsia="Arial" w:hAnsi="Arial" w:cs="Arial"/>
        </w:rPr>
        <w:t xml:space="preserve">Two of the main professional standards in Wales declare the importance of being a reflective practitioner. The two professional standards are intended to </w:t>
      </w:r>
      <w:r w:rsidRPr="2F8188E2">
        <w:rPr>
          <w:rFonts w:ascii="Arial" w:eastAsia="Arial" w:hAnsi="Arial" w:cs="Arial"/>
          <w:color w:val="1F1F1F"/>
        </w:rPr>
        <w:t xml:space="preserve">enable practitioners to reflect on </w:t>
      </w:r>
      <w:r w:rsidRPr="2F8188E2">
        <w:rPr>
          <w:rFonts w:ascii="Arial" w:eastAsia="Arial" w:hAnsi="Arial" w:cs="Arial"/>
          <w:color w:val="1F1F1F"/>
        </w:rPr>
        <w:lastRenderedPageBreak/>
        <w:t>their practice, individually and collectively, against nationally agreed standards of effective practice and affirm and celebrate their successes. The next professional standard is intended to support practitioners to identify areas for further professional development (Hwb, 2019). This can occur from observations and the power of identifying critical incidents to create next teaching steps. Being a reflective practitioner in Wales holds an extreme importance as it is part of the professional teacher standards that NQT’s must follow. The five main professional standards are set to develop personal pedagogy and to aid others with personal development. Teaching and learning are one of the most important standards that are identified as they are paramount. This standard implies the importance of formal leadership as a teacher, however, for reflective practice it is not only the teacher that should be reflected upon, but the learners that are at the receiving end of the effective pedagogy. The five professional standards outline the importance of reflective practice for personal development. The best way to practice being a reflective practitioner is to identify critical incidents by placing judgement on the significance of the incident and deciding how the incident can be avoided or how it can be managed effectively for future reference. This can be done through observations of a case study as displayed throughout this essay. This is a significant approach to being a reflective practitioner as it is a cyclical process than keep repeat itself through different incidents. For example, a situation is observed, a critical incident is recorded and then the incident is reflected upon for personal development and can also be shared within the school to collaborate with other teachers.</w:t>
      </w:r>
    </w:p>
    <w:p w14:paraId="1D29262C" w14:textId="2D2DBEC1" w:rsidR="649ECBB5" w:rsidRDefault="649ECBB5" w:rsidP="649ECBB5">
      <w:pPr>
        <w:ind w:left="360"/>
      </w:pPr>
    </w:p>
    <w:p w14:paraId="388889F2" w14:textId="04F7DE7E" w:rsidR="649ECBB5" w:rsidRDefault="649ECBB5" w:rsidP="649ECBB5">
      <w:pPr>
        <w:ind w:left="360"/>
      </w:pPr>
    </w:p>
    <w:p w14:paraId="23E3AF5D" w14:textId="285C6522" w:rsidR="649ECBB5" w:rsidRDefault="649ECBB5" w:rsidP="649ECBB5">
      <w:pPr>
        <w:ind w:left="360"/>
      </w:pPr>
    </w:p>
    <w:p w14:paraId="45CBE022" w14:textId="76F4C204" w:rsidR="59AFF27F" w:rsidRDefault="59AFF27F" w:rsidP="59AFF27F">
      <w:pPr>
        <w:ind w:left="360"/>
      </w:pPr>
    </w:p>
    <w:p w14:paraId="093005DB" w14:textId="2F9DF972" w:rsidR="59AFF27F" w:rsidRDefault="59AFF27F" w:rsidP="59AFF27F">
      <w:pPr>
        <w:ind w:left="360"/>
      </w:pPr>
    </w:p>
    <w:p w14:paraId="67271069" w14:textId="654DC2B6" w:rsidR="59AFF27F" w:rsidRDefault="59AFF27F" w:rsidP="59AFF27F">
      <w:pPr>
        <w:ind w:left="360"/>
      </w:pPr>
    </w:p>
    <w:p w14:paraId="4E9A5CC9" w14:textId="703B6725" w:rsidR="59AFF27F" w:rsidRDefault="59AFF27F" w:rsidP="59AFF27F">
      <w:pPr>
        <w:ind w:left="360"/>
      </w:pPr>
    </w:p>
    <w:p w14:paraId="6361CC48" w14:textId="726FB0E6" w:rsidR="59AFF27F" w:rsidRDefault="59AFF27F" w:rsidP="59AFF27F">
      <w:pPr>
        <w:ind w:left="360"/>
      </w:pPr>
    </w:p>
    <w:p w14:paraId="333E6F04" w14:textId="7536EFD1" w:rsidR="59AFF27F" w:rsidRDefault="59AFF27F" w:rsidP="59AFF27F">
      <w:pPr>
        <w:ind w:left="360"/>
      </w:pPr>
    </w:p>
    <w:p w14:paraId="6A2D3087" w14:textId="466DE3B8" w:rsidR="59AFF27F" w:rsidRDefault="59AFF27F" w:rsidP="59AFF27F">
      <w:pPr>
        <w:ind w:left="360"/>
      </w:pPr>
    </w:p>
    <w:p w14:paraId="625380D3" w14:textId="4190102B" w:rsidR="59AFF27F" w:rsidRDefault="59AFF27F" w:rsidP="59AFF27F">
      <w:pPr>
        <w:ind w:left="360"/>
      </w:pPr>
    </w:p>
    <w:p w14:paraId="2ED6A45D" w14:textId="46159442" w:rsidR="59AFF27F" w:rsidRDefault="59AFF27F" w:rsidP="59AFF27F">
      <w:pPr>
        <w:ind w:left="360"/>
      </w:pPr>
    </w:p>
    <w:p w14:paraId="070FD0DE" w14:textId="2A59CC51" w:rsidR="59AFF27F" w:rsidRDefault="59AFF27F">
      <w:r>
        <w:lastRenderedPageBreak/>
        <w:br w:type="page"/>
      </w:r>
    </w:p>
    <w:p w14:paraId="1E402136" w14:textId="586765F2" w:rsidR="649ECBB5" w:rsidRDefault="6C063EE7" w:rsidP="649ECBB5">
      <w:pPr>
        <w:ind w:left="360"/>
      </w:pPr>
      <w:r>
        <w:lastRenderedPageBreak/>
        <w:t>Reference List</w:t>
      </w:r>
    </w:p>
    <w:p w14:paraId="574B8445" w14:textId="40EF3536" w:rsidR="2F8188E2" w:rsidRDefault="2F8188E2" w:rsidP="2F8188E2">
      <w:pPr>
        <w:ind w:left="360"/>
        <w:rPr>
          <w:rFonts w:ascii="Calibri" w:eastAsia="Calibri" w:hAnsi="Calibri" w:cs="Calibri"/>
          <w:sz w:val="20"/>
          <w:szCs w:val="20"/>
        </w:rPr>
      </w:pPr>
      <w:r w:rsidRPr="2F8188E2">
        <w:rPr>
          <w:rFonts w:ascii="Calibri" w:eastAsia="Calibri" w:hAnsi="Calibri" w:cs="Calibri"/>
          <w:sz w:val="20"/>
          <w:szCs w:val="20"/>
        </w:rPr>
        <w:t>Adler, P. A., &amp; Adler, P. (1994). Observational techniques. In N. K. Denzin &amp; Y. S. Lincoln (Eds.), Handbook of qualitative research. Thousand Oaks, CA: Sage.</w:t>
      </w:r>
    </w:p>
    <w:p w14:paraId="503B098E" w14:textId="288EF2F6" w:rsidR="6183C76B" w:rsidRDefault="6183C76B" w:rsidP="6183C76B">
      <w:pPr>
        <w:ind w:left="360"/>
        <w:rPr>
          <w:rFonts w:ascii="Calibri" w:eastAsia="Calibri" w:hAnsi="Calibri" w:cs="Calibri"/>
          <w:sz w:val="20"/>
          <w:szCs w:val="20"/>
        </w:rPr>
      </w:pPr>
      <w:r w:rsidRPr="2F8188E2">
        <w:rPr>
          <w:rFonts w:ascii="Calibri" w:eastAsia="Calibri" w:hAnsi="Calibri" w:cs="Calibri"/>
          <w:sz w:val="20"/>
          <w:szCs w:val="20"/>
        </w:rPr>
        <w:t xml:space="preserve">CANTER, L. (1992). </w:t>
      </w:r>
      <w:r w:rsidRPr="2F8188E2">
        <w:rPr>
          <w:rFonts w:ascii="Calibri" w:eastAsia="Calibri" w:hAnsi="Calibri" w:cs="Calibri"/>
          <w:i/>
          <w:sz w:val="20"/>
          <w:szCs w:val="20"/>
        </w:rPr>
        <w:t>Lee Canter's assertive discipline: positive behavior management for today's classroom</w:t>
      </w:r>
      <w:r w:rsidRPr="2F8188E2">
        <w:rPr>
          <w:rFonts w:ascii="Calibri" w:eastAsia="Calibri" w:hAnsi="Calibri" w:cs="Calibri"/>
          <w:sz w:val="20"/>
          <w:szCs w:val="20"/>
        </w:rPr>
        <w:t>. Santa Monica, CA, Canter and Associates.</w:t>
      </w:r>
    </w:p>
    <w:p w14:paraId="56835734" w14:textId="6718530B" w:rsidR="6C063EE7" w:rsidRDefault="6C063EE7" w:rsidP="6C063EE7">
      <w:pPr>
        <w:ind w:left="360"/>
        <w:rPr>
          <w:rFonts w:ascii="Calibri" w:eastAsia="Calibri" w:hAnsi="Calibri" w:cs="Calibri"/>
          <w:sz w:val="20"/>
          <w:szCs w:val="20"/>
        </w:rPr>
      </w:pPr>
      <w:r w:rsidRPr="2F8188E2">
        <w:rPr>
          <w:rFonts w:ascii="Calibri" w:eastAsia="Calibri" w:hAnsi="Calibri" w:cs="Calibri"/>
          <w:sz w:val="20"/>
          <w:szCs w:val="20"/>
        </w:rPr>
        <w:t>Childrenssociety.org.uk. (2012). [online] Available at: https://www.childrenssociety.org.uk/sites/default/files/tcs/fair_and_square_policy_report_final.pdf [Accessed 20 Oct. 2019].</w:t>
      </w:r>
    </w:p>
    <w:p w14:paraId="0EA41150" w14:textId="48732B40" w:rsidR="67122C11" w:rsidRDefault="67122C11" w:rsidP="67122C11">
      <w:pPr>
        <w:ind w:left="360"/>
        <w:rPr>
          <w:rFonts w:ascii="Calibri" w:eastAsia="Calibri" w:hAnsi="Calibri" w:cs="Calibri"/>
          <w:sz w:val="20"/>
          <w:szCs w:val="20"/>
        </w:rPr>
      </w:pPr>
      <w:r w:rsidRPr="2F8188E2">
        <w:rPr>
          <w:rFonts w:ascii="Calibri" w:eastAsia="Calibri" w:hAnsi="Calibri" w:cs="Calibri"/>
          <w:sz w:val="20"/>
          <w:szCs w:val="20"/>
        </w:rPr>
        <w:t xml:space="preserve">Dewey, J. (1933). </w:t>
      </w:r>
      <w:r w:rsidRPr="2F8188E2">
        <w:rPr>
          <w:rFonts w:ascii="Calibri" w:eastAsia="Calibri" w:hAnsi="Calibri" w:cs="Calibri"/>
          <w:i/>
          <w:sz w:val="20"/>
          <w:szCs w:val="20"/>
        </w:rPr>
        <w:t>How We Think. A restatement of the relation of reflective thinking to the educative process (Revised edn.)</w:t>
      </w:r>
      <w:r w:rsidRPr="2F8188E2">
        <w:rPr>
          <w:rFonts w:ascii="Calibri" w:eastAsia="Calibri" w:hAnsi="Calibri" w:cs="Calibri"/>
          <w:sz w:val="20"/>
          <w:szCs w:val="20"/>
        </w:rPr>
        <w:t>. Boston, p.78.</w:t>
      </w:r>
    </w:p>
    <w:p w14:paraId="5ADAD457" w14:textId="5835B4FD" w:rsidR="7DDC3C70" w:rsidRDefault="7DDC3C70" w:rsidP="7DDC3C70">
      <w:pPr>
        <w:ind w:left="360"/>
        <w:rPr>
          <w:rFonts w:ascii="Calibri" w:eastAsia="Calibri" w:hAnsi="Calibri" w:cs="Calibri"/>
          <w:sz w:val="20"/>
          <w:szCs w:val="20"/>
        </w:rPr>
      </w:pPr>
      <w:r w:rsidRPr="2F8188E2">
        <w:rPr>
          <w:rFonts w:ascii="Calibri" w:eastAsia="Calibri" w:hAnsi="Calibri" w:cs="Calibri"/>
          <w:sz w:val="20"/>
          <w:szCs w:val="20"/>
        </w:rPr>
        <w:t xml:space="preserve">Dix, P. (2017). </w:t>
      </w:r>
      <w:r w:rsidRPr="2F8188E2">
        <w:rPr>
          <w:rFonts w:ascii="Calibri" w:eastAsia="Calibri" w:hAnsi="Calibri" w:cs="Calibri"/>
          <w:i/>
          <w:sz w:val="20"/>
          <w:szCs w:val="20"/>
        </w:rPr>
        <w:t>When the Adults Change, Everything Changes</w:t>
      </w:r>
      <w:r w:rsidRPr="2F8188E2">
        <w:rPr>
          <w:rFonts w:ascii="Calibri" w:eastAsia="Calibri" w:hAnsi="Calibri" w:cs="Calibri"/>
          <w:sz w:val="20"/>
          <w:szCs w:val="20"/>
        </w:rPr>
        <w:t>. La Vergne: Crown House Publishing.</w:t>
      </w:r>
    </w:p>
    <w:p w14:paraId="47D7FFE2" w14:textId="56B6D0FD" w:rsidR="7DDC3C70" w:rsidRDefault="7DDC3C70" w:rsidP="7DDC3C70">
      <w:pPr>
        <w:ind w:left="360"/>
        <w:rPr>
          <w:rFonts w:ascii="Calibri" w:eastAsia="Calibri" w:hAnsi="Calibri" w:cs="Calibri"/>
          <w:sz w:val="20"/>
          <w:szCs w:val="20"/>
        </w:rPr>
      </w:pPr>
      <w:r w:rsidRPr="2F8188E2">
        <w:rPr>
          <w:rFonts w:ascii="Calibri" w:eastAsia="Calibri" w:hAnsi="Calibri" w:cs="Calibri"/>
          <w:sz w:val="20"/>
          <w:szCs w:val="20"/>
        </w:rPr>
        <w:t>Dye, V. (2011) ‘Reflection, Reflection, Reflection. I’m thinking all the time, why do I need a theory or model of reflection?’, in McGregor, D. and Cartwright, L. (ed.) Developing Reflective Practice: A guide for beginning teachers. Maidenhead: McGraw-Hill Education (pp. 217-234).</w:t>
      </w:r>
    </w:p>
    <w:p w14:paraId="1565003C" w14:textId="4F7142A1" w:rsidR="6C063EE7" w:rsidRDefault="6C063EE7" w:rsidP="6C063EE7">
      <w:pPr>
        <w:ind w:left="360"/>
        <w:rPr>
          <w:rFonts w:ascii="Calibri" w:eastAsia="Calibri" w:hAnsi="Calibri" w:cs="Calibri"/>
          <w:sz w:val="20"/>
          <w:szCs w:val="20"/>
        </w:rPr>
      </w:pPr>
      <w:r w:rsidRPr="2F8188E2">
        <w:rPr>
          <w:rFonts w:ascii="Calibri" w:eastAsia="Calibri" w:hAnsi="Calibri" w:cs="Calibri"/>
          <w:sz w:val="20"/>
          <w:szCs w:val="20"/>
        </w:rPr>
        <w:t>Estyn.gov.wales. (2015). [online] Available at: https://www.estyn.gov.wales/sites/www.estyn.gov.wales/files/documents/Inspection_report_Morriston_Comprehensive_School_2015_English_only.pdf [Accessed 20 Oct. 2019].</w:t>
      </w:r>
    </w:p>
    <w:p w14:paraId="1A793EC0" w14:textId="2D1E8E6D" w:rsidR="67122C11" w:rsidRDefault="6183C76B" w:rsidP="67122C11">
      <w:pPr>
        <w:ind w:left="360"/>
        <w:rPr>
          <w:rFonts w:ascii="Calibri" w:eastAsia="Calibri" w:hAnsi="Calibri" w:cs="Calibri"/>
          <w:sz w:val="20"/>
          <w:szCs w:val="20"/>
        </w:rPr>
      </w:pPr>
      <w:r w:rsidRPr="2F8188E2">
        <w:rPr>
          <w:rFonts w:ascii="Calibri" w:eastAsia="Calibri" w:hAnsi="Calibri" w:cs="Calibri"/>
          <w:sz w:val="20"/>
          <w:szCs w:val="20"/>
        </w:rPr>
        <w:t xml:space="preserve">Hwb.gov.wales. (2019). </w:t>
      </w:r>
      <w:r w:rsidRPr="2F8188E2">
        <w:rPr>
          <w:rFonts w:ascii="Calibri" w:eastAsia="Calibri" w:hAnsi="Calibri" w:cs="Calibri"/>
          <w:i/>
          <w:sz w:val="20"/>
          <w:szCs w:val="20"/>
        </w:rPr>
        <w:t>Professional standards - Hwb</w:t>
      </w:r>
      <w:r w:rsidRPr="2F8188E2">
        <w:rPr>
          <w:rFonts w:ascii="Calibri" w:eastAsia="Calibri" w:hAnsi="Calibri" w:cs="Calibri"/>
          <w:sz w:val="20"/>
          <w:szCs w:val="20"/>
        </w:rPr>
        <w:t>. [online] Available at: https://hwb.gov.wales/professional-development/professional-standards/ [Accessed 21 Oct. 2019].</w:t>
      </w:r>
    </w:p>
    <w:p w14:paraId="6FEBE603" w14:textId="6A8DB7F2" w:rsidR="6183C76B" w:rsidRDefault="6183C76B" w:rsidP="6183C76B">
      <w:pPr>
        <w:ind w:left="360"/>
        <w:rPr>
          <w:rFonts w:ascii="Calibri" w:eastAsia="Calibri" w:hAnsi="Calibri" w:cs="Calibri"/>
          <w:sz w:val="20"/>
          <w:szCs w:val="20"/>
        </w:rPr>
      </w:pPr>
      <w:r w:rsidRPr="2F8188E2">
        <w:rPr>
          <w:rFonts w:ascii="Calibri" w:eastAsia="Calibri" w:hAnsi="Calibri" w:cs="Calibri"/>
          <w:sz w:val="20"/>
          <w:szCs w:val="20"/>
        </w:rPr>
        <w:t xml:space="preserve">*Hwb.gov.wales. (2019). </w:t>
      </w:r>
      <w:r w:rsidRPr="2F8188E2">
        <w:rPr>
          <w:rFonts w:ascii="Calibri" w:eastAsia="Calibri" w:hAnsi="Calibri" w:cs="Calibri"/>
          <w:i/>
          <w:sz w:val="20"/>
          <w:szCs w:val="20"/>
        </w:rPr>
        <w:t>Professional standards for teaching and leadership Hwb</w:t>
      </w:r>
      <w:r w:rsidRPr="2F8188E2">
        <w:rPr>
          <w:rFonts w:ascii="Calibri" w:eastAsia="Calibri" w:hAnsi="Calibri" w:cs="Calibri"/>
          <w:sz w:val="20"/>
          <w:szCs w:val="20"/>
        </w:rPr>
        <w:t>. [online] Available at: https://hwb.gov.wales/professional-development/professional-standards/ [Accessed 21 Oct. 2019].</w:t>
      </w:r>
    </w:p>
    <w:p w14:paraId="2CA8B177" w14:textId="44B54DD6" w:rsidR="4B6D4F84" w:rsidRDefault="6183C76B" w:rsidP="4B6D4F84">
      <w:pPr>
        <w:ind w:left="360"/>
        <w:rPr>
          <w:rFonts w:ascii="Calibri" w:eastAsia="Calibri" w:hAnsi="Calibri" w:cs="Calibri"/>
          <w:sz w:val="20"/>
          <w:szCs w:val="20"/>
        </w:rPr>
      </w:pPr>
      <w:r w:rsidRPr="2F8188E2">
        <w:rPr>
          <w:rFonts w:ascii="Calibri" w:eastAsia="Calibri" w:hAnsi="Calibri" w:cs="Calibri"/>
          <w:sz w:val="20"/>
          <w:szCs w:val="20"/>
        </w:rPr>
        <w:t xml:space="preserve">Skill Zone Ltd, h. (n.d.). </w:t>
      </w:r>
      <w:r w:rsidRPr="2F8188E2">
        <w:rPr>
          <w:rFonts w:ascii="Calibri" w:eastAsia="Calibri" w:hAnsi="Calibri" w:cs="Calibri"/>
          <w:i/>
          <w:sz w:val="20"/>
          <w:szCs w:val="20"/>
        </w:rPr>
        <w:t>Definition: Hawthorne Effect</w:t>
      </w:r>
      <w:r w:rsidRPr="2F8188E2">
        <w:rPr>
          <w:rFonts w:ascii="Calibri" w:eastAsia="Calibri" w:hAnsi="Calibri" w:cs="Calibri"/>
          <w:sz w:val="20"/>
          <w:szCs w:val="20"/>
        </w:rPr>
        <w:t>. [online] Association for Qualitative Research (AQR). Available at: https://www.aqr.org.uk/glossary/hawthorne-effect [Accessed 21 Oct. 2019].</w:t>
      </w:r>
    </w:p>
    <w:p w14:paraId="5B521858" w14:textId="44279A20" w:rsidR="6183C76B" w:rsidRDefault="6183C76B" w:rsidP="6183C76B">
      <w:pPr>
        <w:ind w:left="360"/>
        <w:rPr>
          <w:rFonts w:ascii="Calibri" w:eastAsia="Calibri" w:hAnsi="Calibri" w:cs="Calibri"/>
          <w:sz w:val="20"/>
          <w:szCs w:val="20"/>
        </w:rPr>
      </w:pPr>
      <w:r w:rsidRPr="2F8188E2">
        <w:rPr>
          <w:rFonts w:ascii="Calibri" w:eastAsia="Calibri" w:hAnsi="Calibri" w:cs="Calibri"/>
          <w:sz w:val="20"/>
          <w:szCs w:val="20"/>
        </w:rPr>
        <w:t xml:space="preserve">Tripp, D. (1993). </w:t>
      </w:r>
      <w:r w:rsidRPr="2F8188E2">
        <w:rPr>
          <w:rFonts w:ascii="Calibri" w:eastAsia="Calibri" w:hAnsi="Calibri" w:cs="Calibri"/>
          <w:i/>
          <w:sz w:val="20"/>
          <w:szCs w:val="20"/>
        </w:rPr>
        <w:t>Critical incidents in teaching: devoloping professional judgement</w:t>
      </w:r>
      <w:r w:rsidRPr="2F8188E2">
        <w:rPr>
          <w:rFonts w:ascii="Calibri" w:eastAsia="Calibri" w:hAnsi="Calibri" w:cs="Calibri"/>
          <w:sz w:val="20"/>
          <w:szCs w:val="20"/>
        </w:rPr>
        <w:t>. London: Routledge.</w:t>
      </w:r>
    </w:p>
    <w:p w14:paraId="5E52F01A" w14:textId="63429F72" w:rsidR="4B6D4F84" w:rsidRDefault="4B6D4F84" w:rsidP="4B6D4F84">
      <w:pPr>
        <w:ind w:left="360"/>
        <w:rPr>
          <w:rFonts w:ascii="Calibri" w:eastAsia="Calibri" w:hAnsi="Calibri" w:cs="Calibri"/>
          <w:sz w:val="20"/>
          <w:szCs w:val="20"/>
        </w:rPr>
      </w:pPr>
      <w:r w:rsidRPr="2F8188E2">
        <w:rPr>
          <w:rFonts w:ascii="Calibri" w:eastAsia="Calibri" w:hAnsi="Calibri" w:cs="Calibri"/>
          <w:sz w:val="20"/>
          <w:szCs w:val="20"/>
        </w:rPr>
        <w:t xml:space="preserve">Wjec.co.uk. (2019). </w:t>
      </w:r>
      <w:r w:rsidRPr="2F8188E2">
        <w:rPr>
          <w:rFonts w:ascii="Calibri" w:eastAsia="Calibri" w:hAnsi="Calibri" w:cs="Calibri"/>
          <w:i/>
          <w:sz w:val="20"/>
          <w:szCs w:val="20"/>
        </w:rPr>
        <w:t>Religious Studies</w:t>
      </w:r>
      <w:r w:rsidRPr="2F8188E2">
        <w:rPr>
          <w:rFonts w:ascii="Calibri" w:eastAsia="Calibri" w:hAnsi="Calibri" w:cs="Calibri"/>
          <w:sz w:val="20"/>
          <w:szCs w:val="20"/>
        </w:rPr>
        <w:t>. [online] Available at: https://www.wjec.co.uk/ [Accessed 21 Oct. 2019].</w:t>
      </w:r>
    </w:p>
    <w:p w14:paraId="1B4C33E3" w14:textId="225EF28E" w:rsidR="4B6D4F84" w:rsidRDefault="4B6D4F84" w:rsidP="4B6D4F84">
      <w:pPr>
        <w:ind w:left="360"/>
        <w:rPr>
          <w:rFonts w:ascii="Calibri" w:eastAsia="Calibri" w:hAnsi="Calibri" w:cs="Calibri"/>
          <w:sz w:val="19"/>
          <w:szCs w:val="19"/>
        </w:rPr>
      </w:pPr>
    </w:p>
    <w:p w14:paraId="6E4D4983" w14:textId="60A43745" w:rsidR="4B6D4F84" w:rsidRDefault="4B6D4F84" w:rsidP="4B6D4F84">
      <w:pPr>
        <w:ind w:left="360"/>
        <w:rPr>
          <w:rFonts w:ascii="Calibri" w:eastAsia="Calibri" w:hAnsi="Calibri" w:cs="Calibri"/>
          <w:sz w:val="19"/>
          <w:szCs w:val="19"/>
        </w:rPr>
      </w:pPr>
    </w:p>
    <w:p w14:paraId="51C3B019" w14:textId="12317E27" w:rsidR="4B6D4F84" w:rsidRDefault="4B6D4F84" w:rsidP="4B6D4F84">
      <w:pPr>
        <w:ind w:left="360"/>
        <w:rPr>
          <w:rFonts w:ascii="Calibri" w:eastAsia="Calibri" w:hAnsi="Calibri" w:cs="Calibri"/>
          <w:sz w:val="19"/>
          <w:szCs w:val="19"/>
        </w:rPr>
      </w:pPr>
    </w:p>
    <w:p w14:paraId="742C1ADC" w14:textId="43103727" w:rsidR="4B6D4F84" w:rsidRDefault="4B6D4F84" w:rsidP="4B6D4F84">
      <w:pPr>
        <w:ind w:left="360"/>
        <w:rPr>
          <w:rFonts w:ascii="Calibri" w:eastAsia="Calibri" w:hAnsi="Calibri" w:cs="Calibri"/>
          <w:sz w:val="19"/>
          <w:szCs w:val="19"/>
        </w:rPr>
      </w:pPr>
    </w:p>
    <w:p w14:paraId="6CFD1A8E" w14:textId="631A9375" w:rsidR="4B6D4F84" w:rsidRDefault="4B6D4F84" w:rsidP="4B6D4F84">
      <w:pPr>
        <w:ind w:left="360"/>
        <w:rPr>
          <w:rFonts w:ascii="Calibri" w:eastAsia="Calibri" w:hAnsi="Calibri" w:cs="Calibri"/>
          <w:sz w:val="19"/>
          <w:szCs w:val="19"/>
        </w:rPr>
      </w:pPr>
    </w:p>
    <w:p w14:paraId="3DC3C14F" w14:textId="48B80A74" w:rsidR="4B6D4F84" w:rsidRDefault="4B6D4F84" w:rsidP="4B6D4F84">
      <w:pPr>
        <w:ind w:left="360"/>
        <w:rPr>
          <w:rFonts w:ascii="Calibri" w:eastAsia="Calibri" w:hAnsi="Calibri" w:cs="Calibri"/>
          <w:sz w:val="19"/>
          <w:szCs w:val="19"/>
        </w:rPr>
      </w:pPr>
    </w:p>
    <w:p w14:paraId="79802846" w14:textId="43C8062E" w:rsidR="4B6D4F84" w:rsidRDefault="4B6D4F84" w:rsidP="4B6D4F84">
      <w:pPr>
        <w:ind w:left="360"/>
        <w:rPr>
          <w:rFonts w:ascii="Calibri" w:eastAsia="Calibri" w:hAnsi="Calibri" w:cs="Calibri"/>
          <w:sz w:val="19"/>
          <w:szCs w:val="19"/>
        </w:rPr>
      </w:pPr>
    </w:p>
    <w:p w14:paraId="09E8963E" w14:textId="4504E8A1" w:rsidR="4B6D4F84" w:rsidRDefault="4B6D4F84" w:rsidP="4B6D4F84">
      <w:pPr>
        <w:ind w:left="360"/>
        <w:rPr>
          <w:rFonts w:ascii="Calibri" w:eastAsia="Calibri" w:hAnsi="Calibri" w:cs="Calibri"/>
          <w:sz w:val="19"/>
          <w:szCs w:val="19"/>
        </w:rPr>
      </w:pPr>
    </w:p>
    <w:p w14:paraId="469902E0" w14:textId="31BC8BAB" w:rsidR="4B6D4F84" w:rsidRDefault="4B6D4F84" w:rsidP="4B6D4F84">
      <w:pPr>
        <w:ind w:left="360"/>
        <w:rPr>
          <w:rFonts w:ascii="Calibri" w:eastAsia="Calibri" w:hAnsi="Calibri" w:cs="Calibri"/>
          <w:sz w:val="19"/>
          <w:szCs w:val="19"/>
        </w:rPr>
      </w:pPr>
    </w:p>
    <w:p w14:paraId="05803665" w14:textId="1D1F9824" w:rsidR="4B6D4F84" w:rsidRDefault="4B6D4F84" w:rsidP="4B6D4F84">
      <w:pPr>
        <w:ind w:left="360"/>
        <w:rPr>
          <w:rFonts w:ascii="Calibri" w:eastAsia="Calibri" w:hAnsi="Calibri" w:cs="Calibri"/>
          <w:sz w:val="19"/>
          <w:szCs w:val="19"/>
        </w:rPr>
      </w:pPr>
    </w:p>
    <w:p w14:paraId="5688921F" w14:textId="0C541132" w:rsidR="4B6D4F84" w:rsidRDefault="4B6D4F84" w:rsidP="4B6D4F84">
      <w:pPr>
        <w:ind w:left="360"/>
        <w:rPr>
          <w:rFonts w:ascii="Calibri" w:eastAsia="Calibri" w:hAnsi="Calibri" w:cs="Calibri"/>
          <w:sz w:val="19"/>
          <w:szCs w:val="19"/>
        </w:rPr>
      </w:pPr>
    </w:p>
    <w:p w14:paraId="460FF4B7" w14:textId="2C33E0E9" w:rsidR="4B6D4F84" w:rsidRDefault="4B6D4F84" w:rsidP="4B6D4F84">
      <w:pPr>
        <w:ind w:left="360"/>
        <w:rPr>
          <w:rFonts w:ascii="Calibri" w:eastAsia="Calibri" w:hAnsi="Calibri" w:cs="Calibri"/>
          <w:sz w:val="19"/>
          <w:szCs w:val="19"/>
        </w:rPr>
      </w:pPr>
    </w:p>
    <w:p w14:paraId="57EEEA73" w14:textId="6232D56A" w:rsidR="4B6D4F84" w:rsidRDefault="59AFF27F" w:rsidP="59AFF27F">
      <w:pPr>
        <w:ind w:left="360"/>
        <w:rPr>
          <w:rFonts w:ascii="Calibri" w:eastAsia="Calibri" w:hAnsi="Calibri" w:cs="Calibri"/>
          <w:sz w:val="19"/>
          <w:szCs w:val="19"/>
        </w:rPr>
      </w:pPr>
      <w:r w:rsidRPr="59AFF27F">
        <w:rPr>
          <w:rFonts w:ascii="Calibri" w:eastAsia="Calibri" w:hAnsi="Calibri" w:cs="Calibri"/>
          <w:sz w:val="19"/>
          <w:szCs w:val="19"/>
        </w:rPr>
        <w:t>Appendix</w:t>
      </w:r>
    </w:p>
    <w:p w14:paraId="76C13424" w14:textId="359EC170" w:rsidR="2F8188E2" w:rsidRDefault="59AFF27F" w:rsidP="2F8188E2">
      <w:pPr>
        <w:ind w:left="360"/>
        <w:rPr>
          <w:rFonts w:ascii="Calibri" w:eastAsia="Calibri" w:hAnsi="Calibri" w:cs="Calibri"/>
          <w:sz w:val="19"/>
          <w:szCs w:val="19"/>
        </w:rPr>
      </w:pPr>
      <w:r w:rsidRPr="59AFF27F">
        <w:rPr>
          <w:rFonts w:ascii="Calibri" w:eastAsia="Calibri" w:hAnsi="Calibri" w:cs="Calibri"/>
          <w:sz w:val="19"/>
          <w:szCs w:val="19"/>
        </w:rPr>
        <w:t>1.</w:t>
      </w:r>
    </w:p>
    <w:p w14:paraId="4BFBE2AA" w14:textId="27D68652" w:rsidR="59AFF27F" w:rsidRDefault="00F45278" w:rsidP="59AFF27F">
      <w:pPr>
        <w:ind w:left="360"/>
        <w:rPr>
          <w:rFonts w:ascii="Calibri" w:eastAsia="Calibri" w:hAnsi="Calibri" w:cs="Calibri"/>
          <w:sz w:val="19"/>
          <w:szCs w:val="19"/>
        </w:rPr>
      </w:pPr>
      <w:r>
        <w:rPr>
          <w:noProof/>
        </w:rPr>
        <w:drawing>
          <wp:anchor distT="0" distB="0" distL="114300" distR="114300" simplePos="0" relativeHeight="251658241" behindDoc="0" locked="0" layoutInCell="1" allowOverlap="1" wp14:anchorId="6E119294" wp14:editId="4A655C36">
            <wp:simplePos x="0" y="0"/>
            <wp:positionH relativeFrom="column">
              <wp:posOffset>3524250</wp:posOffset>
            </wp:positionH>
            <wp:positionV relativeFrom="paragraph">
              <wp:posOffset>586740</wp:posOffset>
            </wp:positionV>
            <wp:extent cx="3021330" cy="4267200"/>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21330" cy="4267200"/>
                    </a:xfrm>
                    <a:prstGeom prst="rect">
                      <a:avLst/>
                    </a:prstGeom>
                  </pic:spPr>
                </pic:pic>
              </a:graphicData>
            </a:graphic>
            <wp14:sizeRelH relativeFrom="margin">
              <wp14:pctWidth>0</wp14:pctWidth>
            </wp14:sizeRelH>
            <wp14:sizeRelV relativeFrom="margin">
              <wp14:pctHeight>0</wp14:pctHeight>
            </wp14:sizeRelV>
          </wp:anchor>
        </w:drawing>
      </w:r>
      <w:r w:rsidR="00D92BA1">
        <w:rPr>
          <w:noProof/>
        </w:rPr>
        <w:drawing>
          <wp:anchor distT="0" distB="0" distL="114300" distR="114300" simplePos="0" relativeHeight="251658240" behindDoc="0" locked="0" layoutInCell="1" allowOverlap="1" wp14:anchorId="0D52A903" wp14:editId="2C398D0F">
            <wp:simplePos x="0" y="0"/>
            <wp:positionH relativeFrom="column">
              <wp:posOffset>-285750</wp:posOffset>
            </wp:positionH>
            <wp:positionV relativeFrom="paragraph">
              <wp:posOffset>170815</wp:posOffset>
            </wp:positionV>
            <wp:extent cx="3173095" cy="4572000"/>
            <wp:effectExtent l="0" t="0" r="190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73095" cy="4572000"/>
                    </a:xfrm>
                    <a:prstGeom prst="rect">
                      <a:avLst/>
                    </a:prstGeom>
                  </pic:spPr>
                </pic:pic>
              </a:graphicData>
            </a:graphic>
            <wp14:sizeRelH relativeFrom="margin">
              <wp14:pctWidth>0</wp14:pctWidth>
            </wp14:sizeRelH>
            <wp14:sizeRelV relativeFrom="margin">
              <wp14:pctHeight>0</wp14:pctHeight>
            </wp14:sizeRelV>
          </wp:anchor>
        </w:drawing>
      </w:r>
    </w:p>
    <w:p w14:paraId="481812B0" w14:textId="748BE0FA" w:rsidR="59AFF27F" w:rsidRDefault="59AFF27F" w:rsidP="59AFF27F">
      <w:pPr>
        <w:ind w:left="360"/>
        <w:rPr>
          <w:rFonts w:ascii="Calibri" w:eastAsia="Calibri" w:hAnsi="Calibri" w:cs="Calibri"/>
          <w:sz w:val="19"/>
          <w:szCs w:val="19"/>
        </w:rPr>
      </w:pPr>
    </w:p>
    <w:p w14:paraId="1F0F8C2E" w14:textId="59510462" w:rsidR="59AFF27F" w:rsidRDefault="59AFF27F" w:rsidP="59AFF27F">
      <w:pPr>
        <w:ind w:left="360"/>
        <w:rPr>
          <w:rFonts w:ascii="Calibri" w:eastAsia="Calibri" w:hAnsi="Calibri" w:cs="Calibri"/>
          <w:sz w:val="19"/>
          <w:szCs w:val="19"/>
        </w:rPr>
      </w:pPr>
    </w:p>
    <w:p w14:paraId="6ED38A0A" w14:textId="3C2690C5" w:rsidR="59AFF27F" w:rsidRDefault="59AFF27F" w:rsidP="59AFF27F">
      <w:pPr>
        <w:ind w:left="360"/>
        <w:rPr>
          <w:rFonts w:ascii="Calibri" w:eastAsia="Calibri" w:hAnsi="Calibri" w:cs="Calibri"/>
          <w:sz w:val="19"/>
          <w:szCs w:val="19"/>
        </w:rPr>
      </w:pPr>
    </w:p>
    <w:p w14:paraId="787F57AB" w14:textId="7DADCBB3" w:rsidR="59AFF27F" w:rsidRDefault="59AFF27F" w:rsidP="59AFF27F">
      <w:pPr>
        <w:ind w:left="360"/>
        <w:rPr>
          <w:rFonts w:ascii="Calibri" w:eastAsia="Calibri" w:hAnsi="Calibri" w:cs="Calibri"/>
          <w:sz w:val="19"/>
          <w:szCs w:val="19"/>
        </w:rPr>
      </w:pPr>
    </w:p>
    <w:p w14:paraId="090484F6" w14:textId="0E873244" w:rsidR="59AFF27F" w:rsidRDefault="59AFF27F" w:rsidP="59AFF27F">
      <w:pPr>
        <w:ind w:left="360"/>
        <w:rPr>
          <w:rFonts w:ascii="Calibri" w:eastAsia="Calibri" w:hAnsi="Calibri" w:cs="Calibri"/>
          <w:sz w:val="19"/>
          <w:szCs w:val="19"/>
        </w:rPr>
      </w:pPr>
    </w:p>
    <w:p w14:paraId="062196F3" w14:textId="487CA341" w:rsidR="59AFF27F" w:rsidRDefault="59AFF27F" w:rsidP="59AFF27F">
      <w:pPr>
        <w:ind w:left="360"/>
        <w:rPr>
          <w:rFonts w:ascii="Calibri" w:eastAsia="Calibri" w:hAnsi="Calibri" w:cs="Calibri"/>
          <w:sz w:val="19"/>
          <w:szCs w:val="19"/>
        </w:rPr>
      </w:pPr>
    </w:p>
    <w:p w14:paraId="273884BF" w14:textId="135D5F13" w:rsidR="59AFF27F" w:rsidRDefault="59AFF27F" w:rsidP="59AFF27F">
      <w:pPr>
        <w:ind w:left="360"/>
        <w:rPr>
          <w:rFonts w:ascii="Calibri" w:eastAsia="Calibri" w:hAnsi="Calibri" w:cs="Calibri"/>
          <w:sz w:val="19"/>
          <w:szCs w:val="19"/>
        </w:rPr>
      </w:pPr>
    </w:p>
    <w:p w14:paraId="65FA6E00" w14:textId="199E98EF" w:rsidR="59AFF27F" w:rsidRDefault="59AFF27F" w:rsidP="59AFF27F">
      <w:pPr>
        <w:ind w:left="360"/>
        <w:rPr>
          <w:rFonts w:ascii="Calibri" w:eastAsia="Calibri" w:hAnsi="Calibri" w:cs="Calibri"/>
          <w:sz w:val="19"/>
          <w:szCs w:val="19"/>
        </w:rPr>
      </w:pPr>
    </w:p>
    <w:p w14:paraId="5EEA60EE" w14:textId="1CA0FB97" w:rsidR="59AFF27F" w:rsidRDefault="59AFF27F" w:rsidP="59AFF27F">
      <w:pPr>
        <w:ind w:left="360"/>
        <w:rPr>
          <w:rFonts w:ascii="Calibri" w:eastAsia="Calibri" w:hAnsi="Calibri" w:cs="Calibri"/>
          <w:sz w:val="19"/>
          <w:szCs w:val="19"/>
        </w:rPr>
      </w:pPr>
    </w:p>
    <w:p w14:paraId="72F618C1" w14:textId="1BF1D71F" w:rsidR="59AFF27F" w:rsidRDefault="59AFF27F" w:rsidP="59AFF27F">
      <w:pPr>
        <w:ind w:left="360"/>
        <w:rPr>
          <w:rFonts w:ascii="Calibri" w:eastAsia="Calibri" w:hAnsi="Calibri" w:cs="Calibri"/>
          <w:sz w:val="19"/>
          <w:szCs w:val="19"/>
        </w:rPr>
      </w:pPr>
    </w:p>
    <w:p w14:paraId="7390524E" w14:textId="6F97B4DF" w:rsidR="59AFF27F" w:rsidRDefault="59AFF27F" w:rsidP="59AFF27F">
      <w:pPr>
        <w:ind w:left="360"/>
        <w:rPr>
          <w:rFonts w:ascii="Calibri" w:eastAsia="Calibri" w:hAnsi="Calibri" w:cs="Calibri"/>
          <w:sz w:val="19"/>
          <w:szCs w:val="19"/>
        </w:rPr>
      </w:pPr>
    </w:p>
    <w:p w14:paraId="1CA35187" w14:textId="56A266C2" w:rsidR="59AFF27F" w:rsidRDefault="00F45278" w:rsidP="59AFF27F">
      <w:pPr>
        <w:ind w:left="360"/>
        <w:rPr>
          <w:rFonts w:ascii="Calibri" w:eastAsia="Calibri" w:hAnsi="Calibri" w:cs="Calibri"/>
          <w:sz w:val="19"/>
          <w:szCs w:val="19"/>
        </w:rPr>
      </w:pPr>
      <w:r>
        <w:rPr>
          <w:rFonts w:ascii="Calibri" w:eastAsia="Calibri" w:hAnsi="Calibri" w:cs="Calibri"/>
          <w:sz w:val="19"/>
          <w:szCs w:val="19"/>
        </w:rPr>
        <w:t>2.</w:t>
      </w:r>
      <w:r w:rsidR="00E45A20" w:rsidRPr="00E45A20">
        <w:rPr>
          <w:noProof/>
        </w:rPr>
        <w:t xml:space="preserve"> </w:t>
      </w:r>
    </w:p>
    <w:p w14:paraId="003254D2" w14:textId="2EC424A6" w:rsidR="59AFF27F" w:rsidRDefault="00776907" w:rsidP="00E45A20">
      <w:pPr>
        <w:rPr>
          <w:rFonts w:ascii="Calibri" w:eastAsia="Calibri" w:hAnsi="Calibri" w:cs="Calibri"/>
          <w:sz w:val="19"/>
          <w:szCs w:val="19"/>
        </w:rPr>
      </w:pPr>
      <w:r>
        <w:rPr>
          <w:noProof/>
        </w:rPr>
        <w:drawing>
          <wp:anchor distT="0" distB="0" distL="114300" distR="114300" simplePos="0" relativeHeight="251658243" behindDoc="0" locked="0" layoutInCell="1" allowOverlap="1" wp14:anchorId="0DD2E341" wp14:editId="724DC640">
            <wp:simplePos x="0" y="0"/>
            <wp:positionH relativeFrom="column">
              <wp:posOffset>3620135</wp:posOffset>
            </wp:positionH>
            <wp:positionV relativeFrom="paragraph">
              <wp:posOffset>1270635</wp:posOffset>
            </wp:positionV>
            <wp:extent cx="2809875" cy="395541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09875" cy="3955415"/>
                    </a:xfrm>
                    <a:prstGeom prst="rect">
                      <a:avLst/>
                    </a:prstGeom>
                  </pic:spPr>
                </pic:pic>
              </a:graphicData>
            </a:graphic>
            <wp14:sizeRelH relativeFrom="margin">
              <wp14:pctWidth>0</wp14:pctWidth>
            </wp14:sizeRelH>
            <wp14:sizeRelV relativeFrom="margin">
              <wp14:pctHeight>0</wp14:pctHeight>
            </wp14:sizeRelV>
          </wp:anchor>
        </w:drawing>
      </w:r>
    </w:p>
    <w:p w14:paraId="04880315" w14:textId="5F696F04" w:rsidR="59AFF27F" w:rsidRDefault="00E45A20" w:rsidP="59AFF27F">
      <w:pPr>
        <w:ind w:left="360"/>
        <w:rPr>
          <w:rFonts w:ascii="Calibri" w:eastAsia="Calibri" w:hAnsi="Calibri" w:cs="Calibri"/>
          <w:sz w:val="19"/>
          <w:szCs w:val="19"/>
        </w:rPr>
      </w:pPr>
      <w:r>
        <w:rPr>
          <w:noProof/>
        </w:rPr>
        <w:drawing>
          <wp:anchor distT="0" distB="0" distL="114300" distR="114300" simplePos="0" relativeHeight="251658242" behindDoc="0" locked="0" layoutInCell="1" allowOverlap="1" wp14:anchorId="7AD88E0B" wp14:editId="73754A80">
            <wp:simplePos x="0" y="0"/>
            <wp:positionH relativeFrom="column">
              <wp:posOffset>60960</wp:posOffset>
            </wp:positionH>
            <wp:positionV relativeFrom="paragraph">
              <wp:posOffset>83820</wp:posOffset>
            </wp:positionV>
            <wp:extent cx="3512820" cy="4932680"/>
            <wp:effectExtent l="0" t="0" r="508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12820" cy="4932680"/>
                    </a:xfrm>
                    <a:prstGeom prst="rect">
                      <a:avLst/>
                    </a:prstGeom>
                  </pic:spPr>
                </pic:pic>
              </a:graphicData>
            </a:graphic>
            <wp14:sizeRelH relativeFrom="margin">
              <wp14:pctWidth>0</wp14:pctWidth>
            </wp14:sizeRelH>
            <wp14:sizeRelV relativeFrom="margin">
              <wp14:pctHeight>0</wp14:pctHeight>
            </wp14:sizeRelV>
          </wp:anchor>
        </w:drawing>
      </w:r>
    </w:p>
    <w:p w14:paraId="4DFDFB47" w14:textId="1B8A96B3" w:rsidR="59AFF27F" w:rsidRDefault="59AFF27F" w:rsidP="59AFF27F">
      <w:pPr>
        <w:ind w:left="360"/>
        <w:rPr>
          <w:rFonts w:ascii="Calibri" w:eastAsia="Calibri" w:hAnsi="Calibri" w:cs="Calibri"/>
          <w:sz w:val="19"/>
          <w:szCs w:val="19"/>
        </w:rPr>
      </w:pPr>
    </w:p>
    <w:p w14:paraId="03B10D78" w14:textId="2D8C6270" w:rsidR="59AFF27F" w:rsidRDefault="59AFF27F" w:rsidP="59AFF27F">
      <w:pPr>
        <w:ind w:left="360"/>
        <w:rPr>
          <w:rFonts w:ascii="Calibri" w:eastAsia="Calibri" w:hAnsi="Calibri" w:cs="Calibri"/>
          <w:sz w:val="19"/>
          <w:szCs w:val="19"/>
        </w:rPr>
      </w:pPr>
    </w:p>
    <w:p w14:paraId="0F298C4A" w14:textId="7E273B06" w:rsidR="59AFF27F" w:rsidRDefault="59AFF27F" w:rsidP="59AFF27F">
      <w:pPr>
        <w:ind w:left="360"/>
        <w:rPr>
          <w:rFonts w:ascii="Calibri" w:eastAsia="Calibri" w:hAnsi="Calibri" w:cs="Calibri"/>
          <w:sz w:val="19"/>
          <w:szCs w:val="19"/>
        </w:rPr>
      </w:pPr>
    </w:p>
    <w:p w14:paraId="57257126" w14:textId="306E56AE" w:rsidR="59AFF27F" w:rsidRDefault="59AFF27F" w:rsidP="59AFF27F">
      <w:pPr>
        <w:ind w:left="360"/>
        <w:rPr>
          <w:rFonts w:ascii="Calibri" w:eastAsia="Calibri" w:hAnsi="Calibri" w:cs="Calibri"/>
          <w:sz w:val="19"/>
          <w:szCs w:val="19"/>
        </w:rPr>
      </w:pPr>
    </w:p>
    <w:p w14:paraId="247ED77F" w14:textId="640569E1" w:rsidR="59AFF27F" w:rsidRDefault="59AFF27F" w:rsidP="59AFF27F">
      <w:pPr>
        <w:ind w:left="360"/>
        <w:rPr>
          <w:rFonts w:ascii="Calibri" w:eastAsia="Calibri" w:hAnsi="Calibri" w:cs="Calibri"/>
          <w:sz w:val="19"/>
          <w:szCs w:val="19"/>
        </w:rPr>
      </w:pPr>
    </w:p>
    <w:p w14:paraId="6B591FBF" w14:textId="5B7091C4" w:rsidR="59AFF27F" w:rsidRDefault="59AFF27F" w:rsidP="59AFF27F">
      <w:pPr>
        <w:ind w:left="360"/>
        <w:rPr>
          <w:rFonts w:ascii="Calibri" w:eastAsia="Calibri" w:hAnsi="Calibri" w:cs="Calibri"/>
          <w:sz w:val="19"/>
          <w:szCs w:val="19"/>
        </w:rPr>
      </w:pPr>
    </w:p>
    <w:p w14:paraId="7480863D" w14:textId="26EB4187" w:rsidR="59AFF27F" w:rsidRDefault="59AFF27F" w:rsidP="59AFF27F">
      <w:pPr>
        <w:ind w:left="360"/>
        <w:rPr>
          <w:rFonts w:ascii="Calibri" w:eastAsia="Calibri" w:hAnsi="Calibri" w:cs="Calibri"/>
          <w:sz w:val="19"/>
          <w:szCs w:val="19"/>
        </w:rPr>
      </w:pPr>
    </w:p>
    <w:p w14:paraId="63DABE94" w14:textId="3966CF5F" w:rsidR="59AFF27F" w:rsidRDefault="59AFF27F" w:rsidP="59AFF27F">
      <w:pPr>
        <w:rPr>
          <w:rFonts w:ascii="Calibri" w:eastAsia="Calibri" w:hAnsi="Calibri" w:cs="Calibri"/>
          <w:sz w:val="19"/>
          <w:szCs w:val="19"/>
        </w:rPr>
      </w:pPr>
    </w:p>
    <w:p w14:paraId="3F6C5B34" w14:textId="5ABBBC33" w:rsidR="2F8188E2" w:rsidRDefault="002F238F" w:rsidP="2F8188E2">
      <w:r>
        <w:rPr>
          <w:rFonts w:ascii="Calibri" w:eastAsia="Calibri" w:hAnsi="Calibri" w:cs="Calibri"/>
          <w:sz w:val="19"/>
          <w:szCs w:val="19"/>
        </w:rPr>
        <w:t>3.</w:t>
      </w:r>
    </w:p>
    <w:p w14:paraId="661DC67A" w14:textId="3732F154" w:rsidR="002F238F" w:rsidRDefault="00E81E87" w:rsidP="59AFF27F">
      <w:pPr>
        <w:rPr>
          <w:rFonts w:ascii="Calibri" w:eastAsia="Calibri" w:hAnsi="Calibri" w:cs="Calibri"/>
          <w:sz w:val="19"/>
          <w:szCs w:val="19"/>
        </w:rPr>
      </w:pPr>
      <w:r>
        <w:rPr>
          <w:noProof/>
        </w:rPr>
        <w:drawing>
          <wp:anchor distT="0" distB="0" distL="114300" distR="114300" simplePos="0" relativeHeight="251658245" behindDoc="0" locked="0" layoutInCell="1" allowOverlap="1" wp14:anchorId="27990D7B" wp14:editId="4041A78A">
            <wp:simplePos x="0" y="0"/>
            <wp:positionH relativeFrom="column">
              <wp:posOffset>3648710</wp:posOffset>
            </wp:positionH>
            <wp:positionV relativeFrom="paragraph">
              <wp:posOffset>1901825</wp:posOffset>
            </wp:positionV>
            <wp:extent cx="3190240" cy="451485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90240" cy="4514850"/>
                    </a:xfrm>
                    <a:prstGeom prst="rect">
                      <a:avLst/>
                    </a:prstGeom>
                  </pic:spPr>
                </pic:pic>
              </a:graphicData>
            </a:graphic>
            <wp14:sizeRelH relativeFrom="margin">
              <wp14:pctWidth>0</wp14:pctWidth>
            </wp14:sizeRelH>
            <wp14:sizeRelV relativeFrom="margin">
              <wp14:pctHeight>0</wp14:pctHeight>
            </wp14:sizeRelV>
          </wp:anchor>
        </w:drawing>
      </w:r>
    </w:p>
    <w:p w14:paraId="0DCF425D" w14:textId="267DE404" w:rsidR="59AFF27F" w:rsidRDefault="00DE0478" w:rsidP="59AFF27F">
      <w:pPr>
        <w:rPr>
          <w:rFonts w:ascii="Calibri" w:eastAsia="Calibri" w:hAnsi="Calibri" w:cs="Calibri"/>
          <w:sz w:val="19"/>
          <w:szCs w:val="19"/>
        </w:rPr>
      </w:pPr>
      <w:r>
        <w:rPr>
          <w:noProof/>
        </w:rPr>
        <w:drawing>
          <wp:anchor distT="0" distB="0" distL="114300" distR="114300" simplePos="0" relativeHeight="251658244" behindDoc="0" locked="0" layoutInCell="1" allowOverlap="1" wp14:anchorId="19FEBA4B" wp14:editId="2FBDED85">
            <wp:simplePos x="0" y="0"/>
            <wp:positionH relativeFrom="column">
              <wp:posOffset>-247650</wp:posOffset>
            </wp:positionH>
            <wp:positionV relativeFrom="paragraph">
              <wp:posOffset>139700</wp:posOffset>
            </wp:positionV>
            <wp:extent cx="3900805" cy="5547360"/>
            <wp:effectExtent l="0" t="0" r="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00805" cy="5547360"/>
                    </a:xfrm>
                    <a:prstGeom prst="rect">
                      <a:avLst/>
                    </a:prstGeom>
                  </pic:spPr>
                </pic:pic>
              </a:graphicData>
            </a:graphic>
            <wp14:sizeRelH relativeFrom="margin">
              <wp14:pctWidth>0</wp14:pctWidth>
            </wp14:sizeRelH>
            <wp14:sizeRelV relativeFrom="margin">
              <wp14:pctHeight>0</wp14:pctHeight>
            </wp14:sizeRelV>
          </wp:anchor>
        </w:drawing>
      </w:r>
    </w:p>
    <w:p w14:paraId="52AEEF75" w14:textId="21939E77" w:rsidR="59AFF27F" w:rsidRDefault="59AFF27F" w:rsidP="59AFF27F">
      <w:pPr>
        <w:rPr>
          <w:rFonts w:ascii="Calibri" w:eastAsia="Calibri" w:hAnsi="Calibri" w:cs="Calibri"/>
          <w:sz w:val="19"/>
          <w:szCs w:val="19"/>
        </w:rPr>
      </w:pPr>
    </w:p>
    <w:p w14:paraId="19920FF3" w14:textId="070C1EE8" w:rsidR="59AFF27F" w:rsidRDefault="59AFF27F" w:rsidP="59AFF27F">
      <w:pPr>
        <w:rPr>
          <w:rFonts w:ascii="Calibri" w:eastAsia="Calibri" w:hAnsi="Calibri" w:cs="Calibri"/>
          <w:sz w:val="19"/>
          <w:szCs w:val="19"/>
        </w:rPr>
      </w:pPr>
    </w:p>
    <w:p w14:paraId="4AE8B34F" w14:textId="3EC45B08" w:rsidR="59AFF27F" w:rsidRDefault="59AFF27F" w:rsidP="59AFF27F">
      <w:pPr>
        <w:rPr>
          <w:rFonts w:ascii="Calibri" w:eastAsia="Calibri" w:hAnsi="Calibri" w:cs="Calibri"/>
          <w:sz w:val="19"/>
          <w:szCs w:val="19"/>
        </w:rPr>
      </w:pPr>
    </w:p>
    <w:p w14:paraId="709A0CAC" w14:textId="34B8EF4F" w:rsidR="59AFF27F" w:rsidRDefault="59AFF27F" w:rsidP="59AFF27F">
      <w:pPr>
        <w:rPr>
          <w:rFonts w:ascii="Calibri" w:eastAsia="Calibri" w:hAnsi="Calibri" w:cs="Calibri"/>
          <w:sz w:val="19"/>
          <w:szCs w:val="19"/>
        </w:rPr>
      </w:pPr>
    </w:p>
    <w:p w14:paraId="4295219E" w14:textId="768B69E4" w:rsidR="59AFF27F" w:rsidRDefault="2F8188E2" w:rsidP="59AFF27F">
      <w:pPr>
        <w:rPr>
          <w:rFonts w:ascii="Calibri" w:eastAsia="Calibri" w:hAnsi="Calibri" w:cs="Calibri"/>
          <w:sz w:val="19"/>
          <w:szCs w:val="19"/>
        </w:rPr>
      </w:pPr>
      <w:r w:rsidRPr="2F8188E2">
        <w:rPr>
          <w:rFonts w:ascii="Calibri" w:eastAsia="Calibri" w:hAnsi="Calibri" w:cs="Calibri"/>
          <w:sz w:val="19"/>
          <w:szCs w:val="19"/>
        </w:rPr>
        <w:lastRenderedPageBreak/>
        <w:t>4.</w:t>
      </w:r>
    </w:p>
    <w:p w14:paraId="05095378" w14:textId="4E7B0B00" w:rsidR="59AFF27F" w:rsidRDefault="59AFF27F" w:rsidP="59AFF27F">
      <w:pPr>
        <w:rPr>
          <w:rFonts w:ascii="Calibri" w:eastAsia="Calibri" w:hAnsi="Calibri" w:cs="Calibri"/>
          <w:sz w:val="19"/>
          <w:szCs w:val="19"/>
        </w:rPr>
      </w:pPr>
    </w:p>
    <w:p w14:paraId="6161D11F" w14:textId="752AAB45" w:rsidR="001C7CD5" w:rsidRDefault="00AC7A47" w:rsidP="59AFF27F">
      <w:pPr>
        <w:rPr>
          <w:rFonts w:ascii="Calibri" w:eastAsia="Calibri" w:hAnsi="Calibri" w:cs="Calibri"/>
          <w:sz w:val="19"/>
          <w:szCs w:val="19"/>
        </w:rPr>
      </w:pPr>
      <w:r>
        <w:rPr>
          <w:noProof/>
        </w:rPr>
        <w:drawing>
          <wp:anchor distT="0" distB="0" distL="114300" distR="114300" simplePos="0" relativeHeight="251658247" behindDoc="0" locked="0" layoutInCell="1" allowOverlap="1" wp14:anchorId="03D9A6F3" wp14:editId="20640620">
            <wp:simplePos x="0" y="0"/>
            <wp:positionH relativeFrom="column">
              <wp:posOffset>3418840</wp:posOffset>
            </wp:positionH>
            <wp:positionV relativeFrom="paragraph">
              <wp:posOffset>1352550</wp:posOffset>
            </wp:positionV>
            <wp:extent cx="3093720" cy="4493895"/>
            <wp:effectExtent l="0" t="0" r="5080"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93720" cy="4493895"/>
                    </a:xfrm>
                    <a:prstGeom prst="rect">
                      <a:avLst/>
                    </a:prstGeom>
                  </pic:spPr>
                </pic:pic>
              </a:graphicData>
            </a:graphic>
            <wp14:sizeRelH relativeFrom="margin">
              <wp14:pctWidth>0</wp14:pctWidth>
            </wp14:sizeRelH>
            <wp14:sizeRelV relativeFrom="margin">
              <wp14:pctHeight>0</wp14:pctHeight>
            </wp14:sizeRelV>
          </wp:anchor>
        </w:drawing>
      </w:r>
    </w:p>
    <w:p w14:paraId="163BC73E" w14:textId="4BAA2012" w:rsidR="59AFF27F" w:rsidRDefault="00A74E7A" w:rsidP="59AFF27F">
      <w:pPr>
        <w:rPr>
          <w:rFonts w:ascii="Calibri" w:eastAsia="Calibri" w:hAnsi="Calibri" w:cs="Calibri"/>
          <w:sz w:val="19"/>
          <w:szCs w:val="19"/>
        </w:rPr>
      </w:pPr>
      <w:r>
        <w:rPr>
          <w:noProof/>
        </w:rPr>
        <w:drawing>
          <wp:anchor distT="0" distB="0" distL="114300" distR="114300" simplePos="0" relativeHeight="251658246" behindDoc="0" locked="0" layoutInCell="1" allowOverlap="1" wp14:anchorId="6FC36009" wp14:editId="2012BE8B">
            <wp:simplePos x="0" y="0"/>
            <wp:positionH relativeFrom="column">
              <wp:posOffset>-91440</wp:posOffset>
            </wp:positionH>
            <wp:positionV relativeFrom="paragraph">
              <wp:posOffset>135890</wp:posOffset>
            </wp:positionV>
            <wp:extent cx="3513455" cy="4937760"/>
            <wp:effectExtent l="0" t="0" r="4445"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13455" cy="4937760"/>
                    </a:xfrm>
                    <a:prstGeom prst="rect">
                      <a:avLst/>
                    </a:prstGeom>
                  </pic:spPr>
                </pic:pic>
              </a:graphicData>
            </a:graphic>
            <wp14:sizeRelH relativeFrom="margin">
              <wp14:pctWidth>0</wp14:pctWidth>
            </wp14:sizeRelH>
            <wp14:sizeRelV relativeFrom="margin">
              <wp14:pctHeight>0</wp14:pctHeight>
            </wp14:sizeRelV>
          </wp:anchor>
        </w:drawing>
      </w:r>
    </w:p>
    <w:p w14:paraId="7A084088" w14:textId="56617DF9" w:rsidR="59AFF27F" w:rsidRDefault="59AFF27F" w:rsidP="59AFF27F">
      <w:pPr>
        <w:rPr>
          <w:rFonts w:ascii="Calibri" w:eastAsia="Calibri" w:hAnsi="Calibri" w:cs="Calibri"/>
          <w:sz w:val="19"/>
          <w:szCs w:val="19"/>
        </w:rPr>
      </w:pPr>
    </w:p>
    <w:p w14:paraId="1EB2E2B9" w14:textId="28D89406" w:rsidR="59AFF27F" w:rsidRDefault="59AFF27F" w:rsidP="59AFF27F">
      <w:pPr>
        <w:rPr>
          <w:rFonts w:ascii="Calibri" w:eastAsia="Calibri" w:hAnsi="Calibri" w:cs="Calibri"/>
          <w:sz w:val="19"/>
          <w:szCs w:val="19"/>
        </w:rPr>
      </w:pPr>
    </w:p>
    <w:p w14:paraId="711A3416" w14:textId="05313425" w:rsidR="59AFF27F" w:rsidRDefault="59AFF27F" w:rsidP="59AFF27F">
      <w:pPr>
        <w:rPr>
          <w:rFonts w:ascii="Calibri" w:eastAsia="Calibri" w:hAnsi="Calibri" w:cs="Calibri"/>
          <w:sz w:val="19"/>
          <w:szCs w:val="19"/>
        </w:rPr>
      </w:pPr>
    </w:p>
    <w:p w14:paraId="07ACC759" w14:textId="008071F2" w:rsidR="59AFF27F" w:rsidRDefault="59AFF27F" w:rsidP="59AFF27F">
      <w:pPr>
        <w:rPr>
          <w:rFonts w:ascii="Calibri" w:eastAsia="Calibri" w:hAnsi="Calibri" w:cs="Calibri"/>
          <w:sz w:val="19"/>
          <w:szCs w:val="19"/>
        </w:rPr>
      </w:pPr>
    </w:p>
    <w:p w14:paraId="4B63E704" w14:textId="2C679423" w:rsidR="59AFF27F" w:rsidRDefault="59AFF27F" w:rsidP="59AFF27F">
      <w:pPr>
        <w:rPr>
          <w:rFonts w:ascii="Calibri" w:eastAsia="Calibri" w:hAnsi="Calibri" w:cs="Calibri"/>
          <w:sz w:val="19"/>
          <w:szCs w:val="19"/>
        </w:rPr>
      </w:pPr>
    </w:p>
    <w:p w14:paraId="469338FF" w14:textId="7FFF282F" w:rsidR="59AFF27F" w:rsidRDefault="59AFF27F" w:rsidP="59AFF27F">
      <w:pPr>
        <w:rPr>
          <w:rFonts w:ascii="Calibri" w:eastAsia="Calibri" w:hAnsi="Calibri" w:cs="Calibri"/>
          <w:sz w:val="19"/>
          <w:szCs w:val="19"/>
        </w:rPr>
      </w:pPr>
    </w:p>
    <w:p w14:paraId="5C35D5F0" w14:textId="22DE496B" w:rsidR="59AFF27F" w:rsidRDefault="59AFF27F" w:rsidP="59AFF27F">
      <w:pPr>
        <w:rPr>
          <w:rFonts w:ascii="Calibri" w:eastAsia="Calibri" w:hAnsi="Calibri" w:cs="Calibri"/>
          <w:sz w:val="19"/>
          <w:szCs w:val="19"/>
        </w:rPr>
      </w:pPr>
    </w:p>
    <w:p w14:paraId="58C09546" w14:textId="15653C26" w:rsidR="59AFF27F" w:rsidRDefault="59AFF27F" w:rsidP="59AFF27F">
      <w:pPr>
        <w:rPr>
          <w:rFonts w:ascii="Calibri" w:eastAsia="Calibri" w:hAnsi="Calibri" w:cs="Calibri"/>
          <w:sz w:val="19"/>
          <w:szCs w:val="19"/>
        </w:rPr>
      </w:pPr>
    </w:p>
    <w:p w14:paraId="54A31A65" w14:textId="6EC7C121" w:rsidR="2F8188E2" w:rsidRDefault="2F8188E2" w:rsidP="2F8188E2">
      <w:pPr>
        <w:rPr>
          <w:rFonts w:ascii="Calibri" w:eastAsia="Calibri" w:hAnsi="Calibri" w:cs="Calibri"/>
          <w:sz w:val="19"/>
          <w:szCs w:val="19"/>
        </w:rPr>
      </w:pPr>
    </w:p>
    <w:p w14:paraId="67C12E95" w14:textId="1BDC445C" w:rsidR="00AC7A47" w:rsidRDefault="00AD45EB" w:rsidP="59AFF27F">
      <w:pPr>
        <w:rPr>
          <w:rFonts w:ascii="Calibri" w:eastAsia="Calibri" w:hAnsi="Calibri" w:cs="Calibri"/>
          <w:sz w:val="19"/>
          <w:szCs w:val="19"/>
        </w:rPr>
      </w:pPr>
      <w:r>
        <w:rPr>
          <w:rFonts w:ascii="Calibri" w:eastAsia="Calibri" w:hAnsi="Calibri" w:cs="Calibri"/>
          <w:sz w:val="19"/>
          <w:szCs w:val="19"/>
        </w:rPr>
        <w:t>5.</w:t>
      </w:r>
    </w:p>
    <w:p w14:paraId="62A89E02" w14:textId="12CF8F1D" w:rsidR="59AFF27F" w:rsidRDefault="00C4532E" w:rsidP="59AFF27F">
      <w:pPr>
        <w:rPr>
          <w:rFonts w:ascii="Calibri" w:eastAsia="Calibri" w:hAnsi="Calibri" w:cs="Calibri"/>
          <w:sz w:val="19"/>
          <w:szCs w:val="19"/>
        </w:rPr>
      </w:pPr>
      <w:r>
        <w:rPr>
          <w:noProof/>
        </w:rPr>
        <w:lastRenderedPageBreak/>
        <w:drawing>
          <wp:anchor distT="0" distB="0" distL="114300" distR="114300" simplePos="0" relativeHeight="251658248" behindDoc="0" locked="0" layoutInCell="1" allowOverlap="1" wp14:anchorId="3FB2114B" wp14:editId="057D24FC">
            <wp:simplePos x="0" y="0"/>
            <wp:positionH relativeFrom="column">
              <wp:posOffset>-190500</wp:posOffset>
            </wp:positionH>
            <wp:positionV relativeFrom="paragraph">
              <wp:posOffset>308516</wp:posOffset>
            </wp:positionV>
            <wp:extent cx="5353050" cy="7655653"/>
            <wp:effectExtent l="0" t="0" r="0" b="254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53050" cy="7655653"/>
                    </a:xfrm>
                    <a:prstGeom prst="rect">
                      <a:avLst/>
                    </a:prstGeom>
                  </pic:spPr>
                </pic:pic>
              </a:graphicData>
            </a:graphic>
            <wp14:sizeRelH relativeFrom="margin">
              <wp14:pctWidth>0</wp14:pctWidth>
            </wp14:sizeRelH>
            <wp14:sizeRelV relativeFrom="margin">
              <wp14:pctHeight>0</wp14:pctHeight>
            </wp14:sizeRelV>
          </wp:anchor>
        </w:drawing>
      </w:r>
    </w:p>
    <w:p w14:paraId="601AD485" w14:textId="23275A17" w:rsidR="59AFF27F" w:rsidRDefault="0090596C" w:rsidP="59AFF27F">
      <w:pPr>
        <w:rPr>
          <w:rFonts w:ascii="Calibri" w:eastAsia="Calibri" w:hAnsi="Calibri" w:cs="Calibri"/>
          <w:sz w:val="19"/>
          <w:szCs w:val="19"/>
        </w:rPr>
      </w:pPr>
      <w:r>
        <w:rPr>
          <w:noProof/>
        </w:rPr>
        <w:drawing>
          <wp:anchor distT="0" distB="0" distL="114300" distR="114300" simplePos="0" relativeHeight="251658252" behindDoc="0" locked="0" layoutInCell="1" allowOverlap="1" wp14:anchorId="24E230E7" wp14:editId="28325AC1">
            <wp:simplePos x="0" y="0"/>
            <wp:positionH relativeFrom="column">
              <wp:posOffset>76200</wp:posOffset>
            </wp:positionH>
            <wp:positionV relativeFrom="paragraph">
              <wp:posOffset>266700</wp:posOffset>
            </wp:positionV>
            <wp:extent cx="4630966" cy="6467475"/>
            <wp:effectExtent l="0" t="0" r="571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30966" cy="6467475"/>
                    </a:xfrm>
                    <a:prstGeom prst="rect">
                      <a:avLst/>
                    </a:prstGeom>
                  </pic:spPr>
                </pic:pic>
              </a:graphicData>
            </a:graphic>
            <wp14:sizeRelH relativeFrom="margin">
              <wp14:pctWidth>0</wp14:pctWidth>
            </wp14:sizeRelH>
            <wp14:sizeRelV relativeFrom="margin">
              <wp14:pctHeight>0</wp14:pctHeight>
            </wp14:sizeRelV>
          </wp:anchor>
        </w:drawing>
      </w:r>
      <w:r w:rsidR="00C4532E">
        <w:rPr>
          <w:rFonts w:ascii="Calibri" w:eastAsia="Calibri" w:hAnsi="Calibri" w:cs="Calibri"/>
          <w:sz w:val="19"/>
          <w:szCs w:val="19"/>
        </w:rPr>
        <w:t>6.</w:t>
      </w:r>
    </w:p>
    <w:p w14:paraId="3395D21F" w14:textId="51127018" w:rsidR="00C4532E" w:rsidRDefault="00C4532E" w:rsidP="59AFF27F">
      <w:pPr>
        <w:rPr>
          <w:rFonts w:ascii="Calibri" w:eastAsia="Calibri" w:hAnsi="Calibri" w:cs="Calibri"/>
          <w:sz w:val="19"/>
          <w:szCs w:val="19"/>
        </w:rPr>
      </w:pPr>
    </w:p>
    <w:p w14:paraId="153E70BF" w14:textId="51C3A6CF" w:rsidR="59AFF27F" w:rsidRDefault="59AFF27F" w:rsidP="59AFF27F">
      <w:pPr>
        <w:rPr>
          <w:rFonts w:ascii="Calibri" w:eastAsia="Calibri" w:hAnsi="Calibri" w:cs="Calibri"/>
          <w:sz w:val="19"/>
          <w:szCs w:val="19"/>
        </w:rPr>
      </w:pPr>
    </w:p>
    <w:p w14:paraId="3D330BD5" w14:textId="7DFD9B61" w:rsidR="59AFF27F" w:rsidRDefault="2F8188E2" w:rsidP="59AFF27F">
      <w:pPr>
        <w:rPr>
          <w:rFonts w:ascii="Calibri" w:eastAsia="Calibri" w:hAnsi="Calibri" w:cs="Calibri"/>
          <w:sz w:val="19"/>
          <w:szCs w:val="19"/>
        </w:rPr>
      </w:pPr>
      <w:r w:rsidRPr="2F8188E2">
        <w:rPr>
          <w:rFonts w:ascii="Calibri" w:eastAsia="Calibri" w:hAnsi="Calibri" w:cs="Calibri"/>
          <w:sz w:val="19"/>
          <w:szCs w:val="19"/>
        </w:rPr>
        <w:t>7.</w:t>
      </w:r>
    </w:p>
    <w:p w14:paraId="27D870E8" w14:textId="2333F02E" w:rsidR="6C063EE7" w:rsidRDefault="002F38F9" w:rsidP="59AFF27F">
      <w:pPr>
        <w:rPr>
          <w:rFonts w:ascii="Calibri" w:eastAsia="Calibri" w:hAnsi="Calibri" w:cs="Calibri"/>
          <w:sz w:val="19"/>
          <w:szCs w:val="19"/>
        </w:rPr>
      </w:pPr>
      <w:r>
        <w:rPr>
          <w:noProof/>
        </w:rPr>
        <w:drawing>
          <wp:anchor distT="0" distB="0" distL="114300" distR="114300" simplePos="0" relativeHeight="251658253" behindDoc="0" locked="0" layoutInCell="1" allowOverlap="1" wp14:anchorId="4B654B1E" wp14:editId="297C5E21">
            <wp:simplePos x="0" y="0"/>
            <wp:positionH relativeFrom="column">
              <wp:posOffset>0</wp:posOffset>
            </wp:positionH>
            <wp:positionV relativeFrom="paragraph">
              <wp:posOffset>514350</wp:posOffset>
            </wp:positionV>
            <wp:extent cx="4717344" cy="6604281"/>
            <wp:effectExtent l="0" t="0" r="635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17344" cy="6604281"/>
                    </a:xfrm>
                    <a:prstGeom prst="rect">
                      <a:avLst/>
                    </a:prstGeom>
                  </pic:spPr>
                </pic:pic>
              </a:graphicData>
            </a:graphic>
            <wp14:sizeRelH relativeFrom="margin">
              <wp14:pctWidth>0</wp14:pctWidth>
            </wp14:sizeRelH>
            <wp14:sizeRelV relativeFrom="margin">
              <wp14:pctHeight>0</wp14:pctHeight>
            </wp14:sizeRelV>
          </wp:anchor>
        </w:drawing>
      </w:r>
    </w:p>
    <w:p w14:paraId="1A91E689" w14:textId="1358C655" w:rsidR="002F38F9" w:rsidRDefault="002F38F9" w:rsidP="59AFF27F">
      <w:pPr>
        <w:rPr>
          <w:noProof/>
        </w:rPr>
      </w:pPr>
    </w:p>
    <w:p w14:paraId="4FBD628D" w14:textId="2F7A937D" w:rsidR="002F38F9" w:rsidRDefault="002F38F9" w:rsidP="59AFF27F">
      <w:pPr>
        <w:rPr>
          <w:noProof/>
        </w:rPr>
      </w:pPr>
    </w:p>
    <w:p w14:paraId="47CC37C8" w14:textId="78E6BFA4" w:rsidR="002F38F9" w:rsidRDefault="002F38F9" w:rsidP="59AFF27F">
      <w:pPr>
        <w:rPr>
          <w:noProof/>
        </w:rPr>
      </w:pPr>
    </w:p>
    <w:p w14:paraId="6F466A07" w14:textId="41F70A08" w:rsidR="002F38F9" w:rsidRDefault="00AB1247" w:rsidP="2F8188E2">
      <w:pPr>
        <w:rPr>
          <w:noProof/>
        </w:rPr>
      </w:pPr>
      <w:r>
        <w:rPr>
          <w:noProof/>
        </w:rPr>
        <w:drawing>
          <wp:anchor distT="0" distB="0" distL="114300" distR="114300" simplePos="0" relativeHeight="251658249" behindDoc="0" locked="0" layoutInCell="1" allowOverlap="1" wp14:anchorId="31AEBE01" wp14:editId="10149B55">
            <wp:simplePos x="0" y="0"/>
            <wp:positionH relativeFrom="column">
              <wp:posOffset>95250</wp:posOffset>
            </wp:positionH>
            <wp:positionV relativeFrom="paragraph">
              <wp:posOffset>320675</wp:posOffset>
            </wp:positionV>
            <wp:extent cx="5276850" cy="7614285"/>
            <wp:effectExtent l="0" t="0" r="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6850" cy="7614285"/>
                    </a:xfrm>
                    <a:prstGeom prst="rect">
                      <a:avLst/>
                    </a:prstGeom>
                  </pic:spPr>
                </pic:pic>
              </a:graphicData>
            </a:graphic>
            <wp14:sizeRelH relativeFrom="margin">
              <wp14:pctWidth>0</wp14:pctWidth>
            </wp14:sizeRelH>
            <wp14:sizeRelV relativeFrom="margin">
              <wp14:pctHeight>0</wp14:pctHeight>
            </wp14:sizeRelV>
          </wp:anchor>
        </w:drawing>
      </w:r>
      <w:r w:rsidR="002F38F9">
        <w:rPr>
          <w:noProof/>
        </w:rPr>
        <w:t>8.</w:t>
      </w:r>
    </w:p>
    <w:p w14:paraId="59D0A603" w14:textId="10A32000" w:rsidR="002F38F9" w:rsidRDefault="002F38F9" w:rsidP="2F8188E2">
      <w:pPr>
        <w:rPr>
          <w:noProof/>
        </w:rPr>
      </w:pPr>
    </w:p>
    <w:p w14:paraId="4EAC18EE" w14:textId="781E77B1" w:rsidR="002F38F9" w:rsidRDefault="002F38F9" w:rsidP="59AFF27F">
      <w:pPr>
        <w:rPr>
          <w:noProof/>
        </w:rPr>
      </w:pPr>
    </w:p>
    <w:p w14:paraId="274F0CCD" w14:textId="0B4836C6" w:rsidR="2F8188E2" w:rsidRDefault="2F8188E2" w:rsidP="2F8188E2">
      <w:pPr>
        <w:rPr>
          <w:noProof/>
        </w:rPr>
      </w:pPr>
    </w:p>
    <w:p w14:paraId="3114EF20" w14:textId="012E08EE" w:rsidR="2F8188E2" w:rsidRDefault="2F8188E2" w:rsidP="2F8188E2">
      <w:pPr>
        <w:rPr>
          <w:noProof/>
        </w:rPr>
      </w:pPr>
    </w:p>
    <w:p w14:paraId="7D6769B9" w14:textId="4C3FEACD" w:rsidR="2F8188E2" w:rsidRDefault="2F8188E2" w:rsidP="2F8188E2">
      <w:pPr>
        <w:rPr>
          <w:noProof/>
        </w:rPr>
      </w:pPr>
    </w:p>
    <w:p w14:paraId="6D0FF6FA" w14:textId="5C763BED" w:rsidR="2F8188E2" w:rsidRDefault="2F8188E2" w:rsidP="2F8188E2">
      <w:pPr>
        <w:rPr>
          <w:noProof/>
        </w:rPr>
      </w:pPr>
    </w:p>
    <w:p w14:paraId="798A73E0" w14:textId="1CFB5395" w:rsidR="2F8188E2" w:rsidRDefault="2F8188E2" w:rsidP="2F8188E2">
      <w:pPr>
        <w:rPr>
          <w:noProof/>
        </w:rPr>
      </w:pPr>
    </w:p>
    <w:p w14:paraId="5F858916" w14:textId="726553A8" w:rsidR="2F8188E2" w:rsidRDefault="00AB1247" w:rsidP="2F8188E2">
      <w:pPr>
        <w:rPr>
          <w:noProof/>
        </w:rPr>
      </w:pPr>
      <w:r>
        <w:rPr>
          <w:noProof/>
        </w:rPr>
        <w:t>9</w:t>
      </w:r>
      <w:r w:rsidR="301DC127" w:rsidRPr="301DC127">
        <w:rPr>
          <w:noProof/>
        </w:rPr>
        <w:t>.</w:t>
      </w:r>
    </w:p>
    <w:p w14:paraId="5D0F5B1E" w14:textId="2657212A" w:rsidR="00AB1247" w:rsidRDefault="00182BA4" w:rsidP="59AFF27F">
      <w:pPr>
        <w:rPr>
          <w:noProof/>
        </w:rPr>
      </w:pPr>
      <w:r>
        <w:rPr>
          <w:noProof/>
        </w:rPr>
        <w:lastRenderedPageBreak/>
        <w:drawing>
          <wp:anchor distT="0" distB="0" distL="114300" distR="114300" simplePos="0" relativeHeight="251658250" behindDoc="0" locked="0" layoutInCell="1" allowOverlap="1" wp14:anchorId="401207BD" wp14:editId="0EBFC0A5">
            <wp:simplePos x="0" y="0"/>
            <wp:positionH relativeFrom="column">
              <wp:posOffset>0</wp:posOffset>
            </wp:positionH>
            <wp:positionV relativeFrom="paragraph">
              <wp:posOffset>288290</wp:posOffset>
            </wp:positionV>
            <wp:extent cx="5257800" cy="72390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57800" cy="7239000"/>
                    </a:xfrm>
                    <a:prstGeom prst="rect">
                      <a:avLst/>
                    </a:prstGeom>
                  </pic:spPr>
                </pic:pic>
              </a:graphicData>
            </a:graphic>
          </wp:anchor>
        </w:drawing>
      </w:r>
    </w:p>
    <w:p w14:paraId="77A002D9" w14:textId="509A40AF" w:rsidR="00182BA4" w:rsidRDefault="00182BA4" w:rsidP="59AFF27F">
      <w:pPr>
        <w:rPr>
          <w:noProof/>
        </w:rPr>
      </w:pPr>
    </w:p>
    <w:p w14:paraId="48B04B2C" w14:textId="2E40A968" w:rsidR="00182BA4" w:rsidRDefault="00182BA4" w:rsidP="59AFF27F">
      <w:pPr>
        <w:rPr>
          <w:noProof/>
        </w:rPr>
      </w:pPr>
    </w:p>
    <w:p w14:paraId="01AFCD22" w14:textId="4507AD63" w:rsidR="00182BA4" w:rsidRDefault="00182BA4" w:rsidP="59AFF27F">
      <w:pPr>
        <w:rPr>
          <w:noProof/>
        </w:rPr>
      </w:pPr>
      <w:r>
        <w:rPr>
          <w:noProof/>
        </w:rPr>
        <w:lastRenderedPageBreak/>
        <w:t>10.</w:t>
      </w:r>
    </w:p>
    <w:p w14:paraId="66E2BD05" w14:textId="3DA5E5BC" w:rsidR="00970DB0" w:rsidRDefault="006A5331" w:rsidP="59AFF27F">
      <w:pPr>
        <w:rPr>
          <w:noProof/>
        </w:rPr>
      </w:pPr>
      <w:bookmarkStart w:id="0" w:name="_GoBack"/>
      <w:r>
        <w:rPr>
          <w:noProof/>
        </w:rPr>
        <w:drawing>
          <wp:anchor distT="0" distB="0" distL="114300" distR="114300" simplePos="0" relativeHeight="251658251" behindDoc="0" locked="0" layoutInCell="1" allowOverlap="1" wp14:anchorId="206B4274" wp14:editId="4DE117DC">
            <wp:simplePos x="0" y="0"/>
            <wp:positionH relativeFrom="column">
              <wp:posOffset>0</wp:posOffset>
            </wp:positionH>
            <wp:positionV relativeFrom="paragraph">
              <wp:posOffset>287655</wp:posOffset>
            </wp:positionV>
            <wp:extent cx="5257800" cy="72263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57800" cy="7226300"/>
                    </a:xfrm>
                    <a:prstGeom prst="rect">
                      <a:avLst/>
                    </a:prstGeom>
                  </pic:spPr>
                </pic:pic>
              </a:graphicData>
            </a:graphic>
          </wp:anchor>
        </w:drawing>
      </w:r>
      <w:bookmarkEnd w:id="0"/>
    </w:p>
    <w:p w14:paraId="52937FF6" w14:textId="77777777" w:rsidR="000E7CC7" w:rsidRDefault="000E7CC7" w:rsidP="59AFF27F">
      <w:pPr>
        <w:rPr>
          <w:rFonts w:ascii="Calibri" w:eastAsia="Calibri" w:hAnsi="Calibri" w:cs="Calibri"/>
          <w:sz w:val="19"/>
          <w:szCs w:val="19"/>
        </w:rPr>
      </w:pPr>
    </w:p>
    <w:sectPr w:rsidR="000E7CC7">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8C864D" w14:textId="77777777" w:rsidR="007D0FF7" w:rsidRDefault="007D0FF7" w:rsidP="002557E7">
      <w:pPr>
        <w:spacing w:after="0" w:line="240" w:lineRule="auto"/>
      </w:pPr>
      <w:r>
        <w:separator/>
      </w:r>
    </w:p>
  </w:endnote>
  <w:endnote w:type="continuationSeparator" w:id="0">
    <w:p w14:paraId="336B6A62" w14:textId="77777777" w:rsidR="007D0FF7" w:rsidRDefault="007D0FF7" w:rsidP="002557E7">
      <w:pPr>
        <w:spacing w:after="0" w:line="240" w:lineRule="auto"/>
      </w:pPr>
      <w:r>
        <w:continuationSeparator/>
      </w:r>
    </w:p>
  </w:endnote>
  <w:endnote w:type="continuationNotice" w:id="1">
    <w:p w14:paraId="4A92EC3D" w14:textId="77777777" w:rsidR="007D0FF7" w:rsidRDefault="007D0FF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67122C11" w14:paraId="57E51936" w14:textId="77777777" w:rsidTr="67122C11">
      <w:tc>
        <w:tcPr>
          <w:tcW w:w="3120" w:type="dxa"/>
        </w:tcPr>
        <w:p w14:paraId="0D5B81D4" w14:textId="11126298" w:rsidR="67122C11" w:rsidRDefault="67122C11" w:rsidP="67122C11">
          <w:pPr>
            <w:pStyle w:val="Header"/>
            <w:ind w:left="-115"/>
          </w:pPr>
        </w:p>
      </w:tc>
      <w:tc>
        <w:tcPr>
          <w:tcW w:w="3120" w:type="dxa"/>
        </w:tcPr>
        <w:p w14:paraId="4A8B0C3F" w14:textId="005A4E1E" w:rsidR="67122C11" w:rsidRDefault="67122C11" w:rsidP="67122C11">
          <w:pPr>
            <w:pStyle w:val="Header"/>
            <w:jc w:val="center"/>
          </w:pPr>
        </w:p>
      </w:tc>
      <w:tc>
        <w:tcPr>
          <w:tcW w:w="3120" w:type="dxa"/>
        </w:tcPr>
        <w:p w14:paraId="73F96BCB" w14:textId="4BF93552" w:rsidR="67122C11" w:rsidRDefault="67122C11" w:rsidP="67122C11">
          <w:pPr>
            <w:pStyle w:val="Header"/>
            <w:ind w:right="-115"/>
            <w:jc w:val="right"/>
          </w:pPr>
        </w:p>
      </w:tc>
    </w:tr>
  </w:tbl>
  <w:p w14:paraId="02D80E61" w14:textId="26A3BFBB" w:rsidR="002557E7" w:rsidRDefault="00255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DE1E6" w14:textId="77777777" w:rsidR="007D0FF7" w:rsidRDefault="007D0FF7" w:rsidP="002557E7">
      <w:pPr>
        <w:spacing w:after="0" w:line="240" w:lineRule="auto"/>
      </w:pPr>
      <w:r>
        <w:separator/>
      </w:r>
    </w:p>
  </w:footnote>
  <w:footnote w:type="continuationSeparator" w:id="0">
    <w:p w14:paraId="250ADAA9" w14:textId="77777777" w:rsidR="007D0FF7" w:rsidRDefault="007D0FF7" w:rsidP="002557E7">
      <w:pPr>
        <w:spacing w:after="0" w:line="240" w:lineRule="auto"/>
      </w:pPr>
      <w:r>
        <w:continuationSeparator/>
      </w:r>
    </w:p>
  </w:footnote>
  <w:footnote w:type="continuationNotice" w:id="1">
    <w:p w14:paraId="5E5BF206" w14:textId="77777777" w:rsidR="007D0FF7" w:rsidRDefault="007D0FF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120"/>
      <w:gridCol w:w="3120"/>
      <w:gridCol w:w="3120"/>
    </w:tblGrid>
    <w:tr w:rsidR="67122C11" w14:paraId="7708CA47" w14:textId="77777777" w:rsidTr="67122C11">
      <w:tc>
        <w:tcPr>
          <w:tcW w:w="3120" w:type="dxa"/>
        </w:tcPr>
        <w:p w14:paraId="1692068D" w14:textId="6E946D8C" w:rsidR="67122C11" w:rsidRDefault="67122C11" w:rsidP="67122C11">
          <w:pPr>
            <w:pStyle w:val="Header"/>
            <w:ind w:left="-115"/>
          </w:pPr>
          <w:r>
            <w:t xml:space="preserve">1600465                                           </w:t>
          </w:r>
        </w:p>
      </w:tc>
      <w:tc>
        <w:tcPr>
          <w:tcW w:w="3120" w:type="dxa"/>
        </w:tcPr>
        <w:p w14:paraId="7972EE20" w14:textId="67D32981" w:rsidR="67122C11" w:rsidRDefault="67122C11" w:rsidP="67122C11">
          <w:pPr>
            <w:pStyle w:val="Header"/>
            <w:jc w:val="center"/>
          </w:pPr>
        </w:p>
      </w:tc>
      <w:tc>
        <w:tcPr>
          <w:tcW w:w="3120" w:type="dxa"/>
        </w:tcPr>
        <w:p w14:paraId="6015A0DB" w14:textId="57E31344" w:rsidR="67122C11" w:rsidRDefault="67122C11" w:rsidP="67122C11">
          <w:pPr>
            <w:pStyle w:val="Header"/>
            <w:ind w:right="-115"/>
            <w:jc w:val="right"/>
          </w:pPr>
          <w:r>
            <w:t>Emily Carroll</w:t>
          </w:r>
        </w:p>
      </w:tc>
    </w:tr>
  </w:tbl>
  <w:p w14:paraId="4AAFA150" w14:textId="7E2F9C81" w:rsidR="002557E7" w:rsidRDefault="002557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67898"/>
    <w:multiLevelType w:val="hybridMultilevel"/>
    <w:tmpl w:val="FFFFFFFF"/>
    <w:lvl w:ilvl="0" w:tplc="4DF4D83A">
      <w:start w:val="1"/>
      <w:numFmt w:val="decimal"/>
      <w:lvlText w:val="%1."/>
      <w:lvlJc w:val="left"/>
      <w:pPr>
        <w:ind w:left="720" w:hanging="360"/>
      </w:pPr>
    </w:lvl>
    <w:lvl w:ilvl="1" w:tplc="B9046A00">
      <w:start w:val="1"/>
      <w:numFmt w:val="lowerLetter"/>
      <w:lvlText w:val="%2."/>
      <w:lvlJc w:val="left"/>
      <w:pPr>
        <w:ind w:left="1440" w:hanging="360"/>
      </w:pPr>
    </w:lvl>
    <w:lvl w:ilvl="2" w:tplc="059A339E">
      <w:start w:val="1"/>
      <w:numFmt w:val="lowerRoman"/>
      <w:lvlText w:val="%3."/>
      <w:lvlJc w:val="right"/>
      <w:pPr>
        <w:ind w:left="2160" w:hanging="180"/>
      </w:pPr>
    </w:lvl>
    <w:lvl w:ilvl="3" w:tplc="82660B3C">
      <w:start w:val="1"/>
      <w:numFmt w:val="decimal"/>
      <w:lvlText w:val="%4."/>
      <w:lvlJc w:val="left"/>
      <w:pPr>
        <w:ind w:left="2880" w:hanging="360"/>
      </w:pPr>
    </w:lvl>
    <w:lvl w:ilvl="4" w:tplc="78D4FB48">
      <w:start w:val="1"/>
      <w:numFmt w:val="lowerLetter"/>
      <w:lvlText w:val="%5."/>
      <w:lvlJc w:val="left"/>
      <w:pPr>
        <w:ind w:left="3600" w:hanging="360"/>
      </w:pPr>
    </w:lvl>
    <w:lvl w:ilvl="5" w:tplc="ACB8B5B6">
      <w:start w:val="1"/>
      <w:numFmt w:val="lowerRoman"/>
      <w:lvlText w:val="%6."/>
      <w:lvlJc w:val="right"/>
      <w:pPr>
        <w:ind w:left="4320" w:hanging="180"/>
      </w:pPr>
    </w:lvl>
    <w:lvl w:ilvl="6" w:tplc="7BF0373C">
      <w:start w:val="1"/>
      <w:numFmt w:val="decimal"/>
      <w:lvlText w:val="%7."/>
      <w:lvlJc w:val="left"/>
      <w:pPr>
        <w:ind w:left="5040" w:hanging="360"/>
      </w:pPr>
    </w:lvl>
    <w:lvl w:ilvl="7" w:tplc="7410E5EA">
      <w:start w:val="1"/>
      <w:numFmt w:val="lowerLetter"/>
      <w:lvlText w:val="%8."/>
      <w:lvlJc w:val="left"/>
      <w:pPr>
        <w:ind w:left="5760" w:hanging="360"/>
      </w:pPr>
    </w:lvl>
    <w:lvl w:ilvl="8" w:tplc="09987042">
      <w:start w:val="1"/>
      <w:numFmt w:val="lowerRoman"/>
      <w:lvlText w:val="%9."/>
      <w:lvlJc w:val="right"/>
      <w:pPr>
        <w:ind w:left="6480" w:hanging="180"/>
      </w:pPr>
    </w:lvl>
  </w:abstractNum>
  <w:abstractNum w:abstractNumId="1" w15:restartNumberingAfterBreak="0">
    <w:nsid w:val="34B367FF"/>
    <w:multiLevelType w:val="hybridMultilevel"/>
    <w:tmpl w:val="FFFFFFFF"/>
    <w:lvl w:ilvl="0" w:tplc="E7A2BA40">
      <w:start w:val="1"/>
      <w:numFmt w:val="decimal"/>
      <w:lvlText w:val="%1."/>
      <w:lvlJc w:val="left"/>
      <w:pPr>
        <w:ind w:left="720" w:hanging="360"/>
      </w:pPr>
    </w:lvl>
    <w:lvl w:ilvl="1" w:tplc="A58420EC">
      <w:start w:val="1"/>
      <w:numFmt w:val="lowerLetter"/>
      <w:lvlText w:val="%2."/>
      <w:lvlJc w:val="left"/>
      <w:pPr>
        <w:ind w:left="1440" w:hanging="360"/>
      </w:pPr>
    </w:lvl>
    <w:lvl w:ilvl="2" w:tplc="8676E76E">
      <w:start w:val="1"/>
      <w:numFmt w:val="lowerRoman"/>
      <w:lvlText w:val="%3."/>
      <w:lvlJc w:val="right"/>
      <w:pPr>
        <w:ind w:left="2160" w:hanging="180"/>
      </w:pPr>
    </w:lvl>
    <w:lvl w:ilvl="3" w:tplc="F06605AC">
      <w:start w:val="1"/>
      <w:numFmt w:val="decimal"/>
      <w:lvlText w:val="%4."/>
      <w:lvlJc w:val="left"/>
      <w:pPr>
        <w:ind w:left="2880" w:hanging="360"/>
      </w:pPr>
    </w:lvl>
    <w:lvl w:ilvl="4" w:tplc="0532A704">
      <w:start w:val="1"/>
      <w:numFmt w:val="lowerLetter"/>
      <w:lvlText w:val="%5."/>
      <w:lvlJc w:val="left"/>
      <w:pPr>
        <w:ind w:left="3600" w:hanging="360"/>
      </w:pPr>
    </w:lvl>
    <w:lvl w:ilvl="5" w:tplc="EB3C189E">
      <w:start w:val="1"/>
      <w:numFmt w:val="lowerRoman"/>
      <w:lvlText w:val="%6."/>
      <w:lvlJc w:val="right"/>
      <w:pPr>
        <w:ind w:left="4320" w:hanging="180"/>
      </w:pPr>
    </w:lvl>
    <w:lvl w:ilvl="6" w:tplc="E9B67EA6">
      <w:start w:val="1"/>
      <w:numFmt w:val="decimal"/>
      <w:lvlText w:val="%7."/>
      <w:lvlJc w:val="left"/>
      <w:pPr>
        <w:ind w:left="5040" w:hanging="360"/>
      </w:pPr>
    </w:lvl>
    <w:lvl w:ilvl="7" w:tplc="084A3A9A">
      <w:start w:val="1"/>
      <w:numFmt w:val="lowerLetter"/>
      <w:lvlText w:val="%8."/>
      <w:lvlJc w:val="left"/>
      <w:pPr>
        <w:ind w:left="5760" w:hanging="360"/>
      </w:pPr>
    </w:lvl>
    <w:lvl w:ilvl="8" w:tplc="AE30E288">
      <w:start w:val="1"/>
      <w:numFmt w:val="lowerRoman"/>
      <w:lvlText w:val="%9."/>
      <w:lvlJc w:val="right"/>
      <w:pPr>
        <w:ind w:left="6480" w:hanging="180"/>
      </w:pPr>
    </w:lvl>
  </w:abstractNum>
  <w:abstractNum w:abstractNumId="2" w15:restartNumberingAfterBreak="0">
    <w:nsid w:val="4C6D4960"/>
    <w:multiLevelType w:val="hybridMultilevel"/>
    <w:tmpl w:val="FFFFFFFF"/>
    <w:lvl w:ilvl="0" w:tplc="4EEACEAA">
      <w:start w:val="1"/>
      <w:numFmt w:val="decimal"/>
      <w:lvlText w:val="%1."/>
      <w:lvlJc w:val="left"/>
      <w:pPr>
        <w:ind w:left="720" w:hanging="360"/>
      </w:pPr>
    </w:lvl>
    <w:lvl w:ilvl="1" w:tplc="01BE3936">
      <w:start w:val="1"/>
      <w:numFmt w:val="lowerLetter"/>
      <w:lvlText w:val="%2."/>
      <w:lvlJc w:val="left"/>
      <w:pPr>
        <w:ind w:left="1440" w:hanging="360"/>
      </w:pPr>
    </w:lvl>
    <w:lvl w:ilvl="2" w:tplc="4524F130">
      <w:start w:val="1"/>
      <w:numFmt w:val="lowerRoman"/>
      <w:lvlText w:val="%3."/>
      <w:lvlJc w:val="right"/>
      <w:pPr>
        <w:ind w:left="2160" w:hanging="180"/>
      </w:pPr>
    </w:lvl>
    <w:lvl w:ilvl="3" w:tplc="8004B4E6">
      <w:start w:val="1"/>
      <w:numFmt w:val="decimal"/>
      <w:lvlText w:val="%4."/>
      <w:lvlJc w:val="left"/>
      <w:pPr>
        <w:ind w:left="2880" w:hanging="360"/>
      </w:pPr>
    </w:lvl>
    <w:lvl w:ilvl="4" w:tplc="643A5968">
      <w:start w:val="1"/>
      <w:numFmt w:val="lowerLetter"/>
      <w:lvlText w:val="%5."/>
      <w:lvlJc w:val="left"/>
      <w:pPr>
        <w:ind w:left="3600" w:hanging="360"/>
      </w:pPr>
    </w:lvl>
    <w:lvl w:ilvl="5" w:tplc="5B6EF64A">
      <w:start w:val="1"/>
      <w:numFmt w:val="lowerRoman"/>
      <w:lvlText w:val="%6."/>
      <w:lvlJc w:val="right"/>
      <w:pPr>
        <w:ind w:left="4320" w:hanging="180"/>
      </w:pPr>
    </w:lvl>
    <w:lvl w:ilvl="6" w:tplc="18CE0196">
      <w:start w:val="1"/>
      <w:numFmt w:val="decimal"/>
      <w:lvlText w:val="%7."/>
      <w:lvlJc w:val="left"/>
      <w:pPr>
        <w:ind w:left="5040" w:hanging="360"/>
      </w:pPr>
    </w:lvl>
    <w:lvl w:ilvl="7" w:tplc="32FA137C">
      <w:start w:val="1"/>
      <w:numFmt w:val="lowerLetter"/>
      <w:lvlText w:val="%8."/>
      <w:lvlJc w:val="left"/>
      <w:pPr>
        <w:ind w:left="5760" w:hanging="360"/>
      </w:pPr>
    </w:lvl>
    <w:lvl w:ilvl="8" w:tplc="D7928A60">
      <w:start w:val="1"/>
      <w:numFmt w:val="lowerRoman"/>
      <w:lvlText w:val="%9."/>
      <w:lvlJc w:val="right"/>
      <w:pPr>
        <w:ind w:left="6480" w:hanging="180"/>
      </w:pPr>
    </w:lvl>
  </w:abstractNum>
  <w:abstractNum w:abstractNumId="3" w15:restartNumberingAfterBreak="0">
    <w:nsid w:val="69F53075"/>
    <w:multiLevelType w:val="hybridMultilevel"/>
    <w:tmpl w:val="FFFFFFFF"/>
    <w:lvl w:ilvl="0" w:tplc="8E98F5CC">
      <w:start w:val="1"/>
      <w:numFmt w:val="bullet"/>
      <w:lvlText w:val=""/>
      <w:lvlJc w:val="left"/>
      <w:pPr>
        <w:ind w:left="720" w:hanging="360"/>
      </w:pPr>
      <w:rPr>
        <w:rFonts w:ascii="Symbol" w:hAnsi="Symbol" w:hint="default"/>
      </w:rPr>
    </w:lvl>
    <w:lvl w:ilvl="1" w:tplc="150CEF16">
      <w:start w:val="1"/>
      <w:numFmt w:val="bullet"/>
      <w:lvlText w:val="o"/>
      <w:lvlJc w:val="left"/>
      <w:pPr>
        <w:ind w:left="1440" w:hanging="360"/>
      </w:pPr>
      <w:rPr>
        <w:rFonts w:ascii="Courier New" w:hAnsi="Courier New" w:hint="default"/>
      </w:rPr>
    </w:lvl>
    <w:lvl w:ilvl="2" w:tplc="CC00B614">
      <w:start w:val="1"/>
      <w:numFmt w:val="bullet"/>
      <w:lvlText w:val=""/>
      <w:lvlJc w:val="left"/>
      <w:pPr>
        <w:ind w:left="2160" w:hanging="360"/>
      </w:pPr>
      <w:rPr>
        <w:rFonts w:ascii="Wingdings" w:hAnsi="Wingdings" w:hint="default"/>
      </w:rPr>
    </w:lvl>
    <w:lvl w:ilvl="3" w:tplc="BA363EA2">
      <w:start w:val="1"/>
      <w:numFmt w:val="bullet"/>
      <w:lvlText w:val=""/>
      <w:lvlJc w:val="left"/>
      <w:pPr>
        <w:ind w:left="2880" w:hanging="360"/>
      </w:pPr>
      <w:rPr>
        <w:rFonts w:ascii="Symbol" w:hAnsi="Symbol" w:hint="default"/>
      </w:rPr>
    </w:lvl>
    <w:lvl w:ilvl="4" w:tplc="31028644">
      <w:start w:val="1"/>
      <w:numFmt w:val="bullet"/>
      <w:lvlText w:val="o"/>
      <w:lvlJc w:val="left"/>
      <w:pPr>
        <w:ind w:left="3600" w:hanging="360"/>
      </w:pPr>
      <w:rPr>
        <w:rFonts w:ascii="Courier New" w:hAnsi="Courier New" w:hint="default"/>
      </w:rPr>
    </w:lvl>
    <w:lvl w:ilvl="5" w:tplc="897856D2">
      <w:start w:val="1"/>
      <w:numFmt w:val="bullet"/>
      <w:lvlText w:val=""/>
      <w:lvlJc w:val="left"/>
      <w:pPr>
        <w:ind w:left="4320" w:hanging="360"/>
      </w:pPr>
      <w:rPr>
        <w:rFonts w:ascii="Wingdings" w:hAnsi="Wingdings" w:hint="default"/>
      </w:rPr>
    </w:lvl>
    <w:lvl w:ilvl="6" w:tplc="28CC6BA4">
      <w:start w:val="1"/>
      <w:numFmt w:val="bullet"/>
      <w:lvlText w:val=""/>
      <w:lvlJc w:val="left"/>
      <w:pPr>
        <w:ind w:left="5040" w:hanging="360"/>
      </w:pPr>
      <w:rPr>
        <w:rFonts w:ascii="Symbol" w:hAnsi="Symbol" w:hint="default"/>
      </w:rPr>
    </w:lvl>
    <w:lvl w:ilvl="7" w:tplc="F378E8C2">
      <w:start w:val="1"/>
      <w:numFmt w:val="bullet"/>
      <w:lvlText w:val="o"/>
      <w:lvlJc w:val="left"/>
      <w:pPr>
        <w:ind w:left="5760" w:hanging="360"/>
      </w:pPr>
      <w:rPr>
        <w:rFonts w:ascii="Courier New" w:hAnsi="Courier New" w:hint="default"/>
      </w:rPr>
    </w:lvl>
    <w:lvl w:ilvl="8" w:tplc="F18624EA">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53CFFB"/>
    <w:rsid w:val="00044D2D"/>
    <w:rsid w:val="000E7CC7"/>
    <w:rsid w:val="00182BA4"/>
    <w:rsid w:val="001C4EBD"/>
    <w:rsid w:val="001C7CD5"/>
    <w:rsid w:val="002500FB"/>
    <w:rsid w:val="002557E7"/>
    <w:rsid w:val="0029244C"/>
    <w:rsid w:val="002E0EAE"/>
    <w:rsid w:val="002F238F"/>
    <w:rsid w:val="002F38F9"/>
    <w:rsid w:val="00325DA3"/>
    <w:rsid w:val="003D7215"/>
    <w:rsid w:val="00401A8E"/>
    <w:rsid w:val="00443131"/>
    <w:rsid w:val="00450D33"/>
    <w:rsid w:val="004F740F"/>
    <w:rsid w:val="005779BE"/>
    <w:rsid w:val="005800AE"/>
    <w:rsid w:val="005871B2"/>
    <w:rsid w:val="005A0285"/>
    <w:rsid w:val="006069E4"/>
    <w:rsid w:val="0069713B"/>
    <w:rsid w:val="006A5331"/>
    <w:rsid w:val="007215F5"/>
    <w:rsid w:val="00776907"/>
    <w:rsid w:val="007948A8"/>
    <w:rsid w:val="007B3F7B"/>
    <w:rsid w:val="007D0FF7"/>
    <w:rsid w:val="007E333D"/>
    <w:rsid w:val="008921EF"/>
    <w:rsid w:val="008F3035"/>
    <w:rsid w:val="00901E24"/>
    <w:rsid w:val="0090596C"/>
    <w:rsid w:val="00912345"/>
    <w:rsid w:val="009442BA"/>
    <w:rsid w:val="00962E50"/>
    <w:rsid w:val="00970DB0"/>
    <w:rsid w:val="009B2B5E"/>
    <w:rsid w:val="00A21601"/>
    <w:rsid w:val="00A74E7A"/>
    <w:rsid w:val="00AB1247"/>
    <w:rsid w:val="00AC7A47"/>
    <w:rsid w:val="00AD45EB"/>
    <w:rsid w:val="00BA6216"/>
    <w:rsid w:val="00C4532E"/>
    <w:rsid w:val="00C45BE1"/>
    <w:rsid w:val="00C8089E"/>
    <w:rsid w:val="00CE7D7B"/>
    <w:rsid w:val="00CF13A1"/>
    <w:rsid w:val="00D26B70"/>
    <w:rsid w:val="00D879A0"/>
    <w:rsid w:val="00D92BA1"/>
    <w:rsid w:val="00DE0478"/>
    <w:rsid w:val="00E45A20"/>
    <w:rsid w:val="00E72D9C"/>
    <w:rsid w:val="00E81E87"/>
    <w:rsid w:val="00F45278"/>
    <w:rsid w:val="18531F87"/>
    <w:rsid w:val="1892FDE1"/>
    <w:rsid w:val="2F8188E2"/>
    <w:rsid w:val="301DC127"/>
    <w:rsid w:val="3453CFFB"/>
    <w:rsid w:val="40218EF7"/>
    <w:rsid w:val="43FC8301"/>
    <w:rsid w:val="44774B16"/>
    <w:rsid w:val="4B6D4F84"/>
    <w:rsid w:val="59AFF27F"/>
    <w:rsid w:val="6183C76B"/>
    <w:rsid w:val="649ECBB5"/>
    <w:rsid w:val="67122C11"/>
    <w:rsid w:val="6C063EE7"/>
    <w:rsid w:val="78AD6F7B"/>
    <w:rsid w:val="7D3500D0"/>
    <w:rsid w:val="7DDC3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122B3"/>
  <w15:chartTrackingRefBased/>
  <w15:docId w15:val="{411F1ADF-EE91-514E-BEF6-DE0F9E07E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255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7E7"/>
  </w:style>
  <w:style w:type="paragraph" w:styleId="Footer">
    <w:name w:val="footer"/>
    <w:basedOn w:val="Normal"/>
    <w:link w:val="FooterChar"/>
    <w:uiPriority w:val="99"/>
    <w:unhideWhenUsed/>
    <w:rsid w:val="00255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7E7"/>
  </w:style>
  <w:style w:type="table" w:styleId="TableGrid">
    <w:name w:val="Table Grid"/>
    <w:basedOn w:val="TableNormal"/>
    <w:uiPriority w:val="59"/>
    <w:rsid w:val="002557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21</Pages>
  <Words>3684</Words>
  <Characters>21000</Characters>
  <Application>Microsoft Office Word</Application>
  <DocSecurity>0</DocSecurity>
  <Lines>175</Lines>
  <Paragraphs>49</Paragraphs>
  <ScaleCrop>false</ScaleCrop>
  <Company/>
  <LinksUpToDate>false</LinksUpToDate>
  <CharactersWithSpaces>24635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Carroll (1600465)</dc:creator>
  <cp:keywords/>
  <dc:description/>
  <cp:lastModifiedBy>Emily Carroll (1600465)</cp:lastModifiedBy>
  <cp:revision>54</cp:revision>
  <dcterms:created xsi:type="dcterms:W3CDTF">2019-09-28T19:58:00Z</dcterms:created>
  <dcterms:modified xsi:type="dcterms:W3CDTF">2019-10-29T21:22:00Z</dcterms:modified>
</cp:coreProperties>
</file>