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Cambria" w:hAnsi="Cambria" w:cs="Cambria" w:eastAsia="Cambria"/>
          <w:color w:val="auto"/>
          <w:spacing w:val="-10"/>
          <w:position w:val="0"/>
          <w:sz w:val="56"/>
          <w:shd w:fill="auto" w:val="clear"/>
        </w:rPr>
      </w:pPr>
    </w:p>
    <w:p>
      <w:pPr>
        <w:spacing w:before="0" w:after="0" w:line="240"/>
        <w:ind w:right="0" w:left="0" w:firstLine="0"/>
        <w:jc w:val="center"/>
        <w:rPr>
          <w:rFonts w:ascii="Calibri" w:hAnsi="Calibri" w:cs="Calibri" w:eastAsia="Calibri"/>
          <w:color w:val="auto"/>
          <w:spacing w:val="0"/>
          <w:position w:val="0"/>
          <w:sz w:val="22"/>
          <w:shd w:fill="auto" w:val="clear"/>
        </w:rPr>
      </w:pPr>
      <w:r>
        <w:object w:dxaOrig="8950" w:dyaOrig="5892">
          <v:rect xmlns:o="urn:schemas-microsoft-com:office:office" xmlns:v="urn:schemas-microsoft-com:vml" id="rectole0000000000" style="width:447.500000pt;height:294.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240"/>
        <w:ind w:right="0" w:left="0" w:firstLine="0"/>
        <w:jc w:val="center"/>
        <w:rPr>
          <w:rFonts w:ascii="Calibri Light" w:hAnsi="Calibri Light" w:cs="Calibri Light" w:eastAsia="Calibri Light"/>
          <w:color w:val="auto"/>
          <w:spacing w:val="-10"/>
          <w:position w:val="0"/>
          <w:sz w:val="56"/>
          <w:shd w:fill="auto" w:val="clear"/>
        </w:rPr>
      </w:pP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mbria" w:hAnsi="Cambria" w:cs="Cambria" w:eastAsia="Cambria"/>
          <w:b/>
          <w:color w:val="auto"/>
          <w:spacing w:val="0"/>
          <w:position w:val="0"/>
          <w:sz w:val="24"/>
          <w:shd w:fill="auto" w:val="clear"/>
        </w:rPr>
        <w:t xml:space="preserve">Submitted by: </w:t>
      </w:r>
      <w:r>
        <w:rPr>
          <w:rFonts w:ascii="Calibri" w:hAnsi="Calibri" w:cs="Calibri" w:eastAsia="Calibri"/>
          <w:color w:val="auto"/>
          <w:spacing w:val="0"/>
          <w:position w:val="0"/>
          <w:sz w:val="24"/>
          <w:shd w:fill="auto" w:val="clear"/>
        </w:rPr>
        <w:t xml:space="preserve">Denisa Maria Smarandoiu</w:t>
      </w:r>
    </w:p>
    <w:p>
      <w:pPr>
        <w:spacing w:before="0" w:after="200" w:line="276"/>
        <w:ind w:right="0" w:left="0" w:firstLine="0"/>
        <w:jc w:val="center"/>
        <w:rPr>
          <w:rFonts w:ascii="Cambria" w:hAnsi="Cambria" w:cs="Cambria" w:eastAsia="Cambria"/>
          <w:b/>
          <w:color w:val="auto"/>
          <w:spacing w:val="0"/>
          <w:position w:val="0"/>
          <w:sz w:val="24"/>
          <w:shd w:fill="auto" w:val="clear"/>
        </w:rPr>
      </w:pPr>
      <w:r>
        <w:rPr>
          <w:rFonts w:ascii="Calibri" w:hAnsi="Calibri" w:cs="Calibri" w:eastAsia="Calibri"/>
          <w:b/>
          <w:color w:val="auto"/>
          <w:spacing w:val="0"/>
          <w:position w:val="0"/>
          <w:sz w:val="24"/>
          <w:shd w:fill="auto" w:val="clear"/>
        </w:rPr>
        <w:t xml:space="preserve">Student id number</w:t>
      </w:r>
      <w:r>
        <w:rPr>
          <w:rFonts w:ascii="Calibri" w:hAnsi="Calibri" w:cs="Calibri" w:eastAsia="Calibri"/>
          <w:color w:val="auto"/>
          <w:spacing w:val="0"/>
          <w:position w:val="0"/>
          <w:sz w:val="24"/>
          <w:shd w:fill="auto" w:val="clear"/>
        </w:rPr>
        <w:t xml:space="preserve">:181</w:t>
      </w:r>
      <w:r>
        <w:rPr>
          <w:rFonts w:ascii="Calibri" w:hAnsi="Calibri" w:cs="Calibri" w:eastAsia="Calibri"/>
          <w:color w:val="auto"/>
          <w:spacing w:val="0"/>
          <w:position w:val="0"/>
          <w:sz w:val="24"/>
          <w:shd w:fill="auto" w:val="clear"/>
        </w:rPr>
        <w:t xml:space="preserve">6244</w:t>
      </w:r>
    </w:p>
    <w:p>
      <w:pPr>
        <w:spacing w:before="0" w:after="200" w:line="276"/>
        <w:ind w:right="0" w:left="0" w:firstLine="0"/>
        <w:jc w:val="center"/>
        <w:rPr>
          <w:rFonts w:ascii="Segoe UI" w:hAnsi="Segoe UI" w:cs="Segoe UI" w:eastAsia="Segoe UI"/>
          <w:color w:val="00090E"/>
          <w:spacing w:val="0"/>
          <w:position w:val="0"/>
          <w:sz w:val="23"/>
          <w:shd w:fill="FBF7F5" w:val="clear"/>
        </w:rPr>
      </w:pPr>
      <w:r>
        <w:rPr>
          <w:rFonts w:ascii="Calibri" w:hAnsi="Calibri" w:cs="Calibri" w:eastAsia="Calibri"/>
          <w:b/>
          <w:color w:val="auto"/>
          <w:spacing w:val="0"/>
          <w:position w:val="0"/>
          <w:sz w:val="24"/>
          <w:shd w:fill="auto" w:val="clear"/>
        </w:rPr>
        <w:t xml:space="preserve">Module Title </w:t>
      </w:r>
      <w:r>
        <w:rPr>
          <w:rFonts w:ascii="Calibri" w:hAnsi="Calibri" w:cs="Calibri" w:eastAsia="Calibri"/>
          <w:b/>
          <w:color w:val="auto"/>
          <w:spacing w:val="0"/>
          <w:position w:val="0"/>
          <w:sz w:val="24"/>
          <w:shd w:fill="auto" w:val="clear"/>
        </w:rPr>
        <w:t xml:space="preserve">: </w:t>
      </w:r>
      <w:r>
        <w:rPr>
          <w:rFonts w:ascii="Calibri" w:hAnsi="Calibri" w:cs="Calibri" w:eastAsia="Calibri"/>
          <w:color w:val="auto"/>
          <w:spacing w:val="0"/>
          <w:position w:val="0"/>
          <w:sz w:val="24"/>
          <w:shd w:fill="auto" w:val="clear"/>
        </w:rPr>
        <w:t xml:space="preserve">Project management</w:t>
      </w:r>
      <w:r>
        <w:rPr>
          <w:rFonts w:ascii="Calibri" w:hAnsi="Calibri" w:cs="Calibri" w:eastAsia="Calibri"/>
          <w:color w:val="00090E"/>
          <w:spacing w:val="0"/>
          <w:position w:val="0"/>
          <w:sz w:val="24"/>
          <w:shd w:fill="FBF7F5" w:val="clear"/>
        </w:rPr>
        <w:t xml:space="preserve">(LCB500</w:t>
      </w:r>
      <w:r>
        <w:rPr>
          <w:rFonts w:ascii="Calibri" w:hAnsi="Calibri" w:cs="Calibri" w:eastAsia="Calibri"/>
          <w:color w:val="00090E"/>
          <w:spacing w:val="0"/>
          <w:position w:val="0"/>
          <w:sz w:val="24"/>
          <w:shd w:fill="FBF7F5" w:val="clear"/>
        </w:rPr>
        <w:t xml:space="preserve">5</w:t>
      </w:r>
      <w:r>
        <w:rPr>
          <w:rFonts w:ascii="inherit" w:hAnsi="inherit" w:cs="inherit" w:eastAsia="inherit"/>
          <w:color w:val="00090E"/>
          <w:spacing w:val="0"/>
          <w:position w:val="0"/>
          <w:sz w:val="24"/>
          <w:shd w:fill="FBF7F5" w:val="clear"/>
        </w:rPr>
        <w:t xml:space="preserve">)</w:t>
      </w:r>
    </w:p>
    <w:p>
      <w:pPr>
        <w:spacing w:before="0" w:after="200" w:line="276"/>
        <w:ind w:right="0" w:left="0" w:firstLine="0"/>
        <w:jc w:val="center"/>
        <w:rPr>
          <w:rFonts w:ascii="Calibri" w:hAnsi="Calibri" w:cs="Calibri" w:eastAsia="Calibri"/>
          <w:color w:val="auto"/>
          <w:spacing w:val="0"/>
          <w:position w:val="0"/>
          <w:sz w:val="24"/>
          <w:shd w:fill="auto" w:val="clear"/>
        </w:rPr>
      </w:pPr>
      <w:r>
        <w:rPr>
          <w:rFonts w:ascii="Calibri" w:hAnsi="Calibri" w:cs="Calibri" w:eastAsia="Calibri"/>
          <w:b/>
          <w:color w:val="auto"/>
          <w:spacing w:val="0"/>
          <w:position w:val="0"/>
          <w:sz w:val="24"/>
          <w:shd w:fill="auto" w:val="clear"/>
        </w:rPr>
        <w:t xml:space="preserve"> Assignment Title :</w:t>
      </w:r>
      <w:r>
        <w:rPr>
          <w:rFonts w:ascii="Calibri" w:hAnsi="Calibri" w:cs="Calibri" w:eastAsia="Calibri"/>
          <w:color w:val="auto"/>
          <w:spacing w:val="0"/>
          <w:position w:val="0"/>
          <w:sz w:val="22"/>
          <w:shd w:fill="auto" w:val="clear"/>
        </w:rPr>
        <w:t xml:space="preserve"> </w:t>
      </w:r>
      <w:r>
        <w:rPr>
          <w:rFonts w:ascii="Calibri" w:hAnsi="Calibri" w:cs="Calibri" w:eastAsia="Calibri"/>
          <w:color w:val="00090E"/>
          <w:spacing w:val="0"/>
          <w:position w:val="0"/>
          <w:sz w:val="24"/>
          <w:shd w:fill="FBF7F5" w:val="clear"/>
        </w:rPr>
        <w:t xml:space="preserve">Project management</w:t>
      </w:r>
      <w:r>
        <w:rPr>
          <w:rFonts w:ascii="Calibri" w:hAnsi="Calibri" w:cs="Calibri" w:eastAsia="Calibri"/>
          <w:color w:val="auto"/>
          <w:spacing w:val="0"/>
          <w:position w:val="0"/>
          <w:sz w:val="24"/>
          <w:shd w:fill="auto" w:val="clear"/>
        </w:rPr>
        <w:t xml:space="preserve">(LCBB500</w:t>
      </w:r>
      <w:r>
        <w:rPr>
          <w:rFonts w:ascii="Calibri" w:hAnsi="Calibri" w:cs="Calibri" w:eastAsia="Calibri"/>
          <w:color w:val="auto"/>
          <w:spacing w:val="0"/>
          <w:position w:val="0"/>
          <w:sz w:val="24"/>
          <w:shd w:fill="auto" w:val="clear"/>
        </w:rPr>
        <w:t xml:space="preserve">5</w:t>
      </w:r>
      <w:r>
        <w:rPr>
          <w:rFonts w:ascii="Calibri" w:hAnsi="Calibri" w:cs="Calibri" w:eastAsia="Calibri"/>
          <w:color w:val="auto"/>
          <w:spacing w:val="0"/>
          <w:position w:val="0"/>
          <w:sz w:val="24"/>
          <w:shd w:fill="auto" w:val="clear"/>
        </w:rPr>
        <w:t xml:space="preserve">) A1</w:t>
      </w:r>
    </w:p>
    <w:p>
      <w:pPr>
        <w:spacing w:before="0" w:after="200" w:line="276"/>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4"/>
          <w:shd w:fill="auto" w:val="clear"/>
        </w:rPr>
        <w:t xml:space="preserve">Module Lecturer`s Name: </w:t>
      </w:r>
      <w:r>
        <w:rPr>
          <w:rFonts w:ascii="Calibri" w:hAnsi="Calibri" w:cs="Calibri" w:eastAsia="Calibri"/>
          <w:color w:val="auto"/>
          <w:spacing w:val="0"/>
          <w:position w:val="0"/>
          <w:sz w:val="24"/>
          <w:shd w:fill="auto" w:val="clear"/>
        </w:rPr>
        <w:t xml:space="preserve">Molly Jack</w:t>
      </w:r>
    </w:p>
    <w:p>
      <w:pPr>
        <w:spacing w:before="0" w:after="160" w:line="259"/>
        <w:ind w:right="0" w:left="0" w:firstLine="0"/>
        <w:jc w:val="center"/>
        <w:rPr>
          <w:rFonts w:ascii="Arial" w:hAnsi="Arial" w:cs="Arial" w:eastAsia="Arial"/>
          <w:color w:val="auto"/>
          <w:spacing w:val="0"/>
          <w:position w:val="0"/>
          <w:sz w:val="48"/>
          <w:shd w:fill="auto" w:val="clear"/>
        </w:rPr>
      </w:pPr>
    </w:p>
    <w:p>
      <w:pPr>
        <w:spacing w:before="0" w:after="160" w:line="259"/>
        <w:ind w:right="0" w:left="0" w:firstLine="0"/>
        <w:jc w:val="center"/>
        <w:rPr>
          <w:rFonts w:ascii="Arial" w:hAnsi="Arial" w:cs="Arial" w:eastAsia="Arial"/>
          <w:color w:val="auto"/>
          <w:spacing w:val="0"/>
          <w:position w:val="0"/>
          <w:sz w:val="48"/>
          <w:shd w:fill="auto" w:val="clear"/>
        </w:rPr>
      </w:pPr>
    </w:p>
    <w:p>
      <w:pPr>
        <w:spacing w:before="0" w:after="160" w:line="259"/>
        <w:ind w:right="0" w:left="0" w:firstLine="0"/>
        <w:jc w:val="center"/>
        <w:rPr>
          <w:rFonts w:ascii="Arial" w:hAnsi="Arial" w:cs="Arial" w:eastAsia="Arial"/>
          <w:color w:val="auto"/>
          <w:spacing w:val="0"/>
          <w:position w:val="0"/>
          <w:sz w:val="36"/>
          <w:shd w:fill="auto" w:val="clear"/>
        </w:rPr>
      </w:pPr>
      <w:r>
        <w:rPr>
          <w:rFonts w:ascii="Arial" w:hAnsi="Arial" w:cs="Arial" w:eastAsia="Arial"/>
          <w:b/>
          <w:color w:val="auto"/>
          <w:spacing w:val="0"/>
          <w:position w:val="0"/>
          <w:sz w:val="44"/>
          <w:shd w:fill="auto" w:val="clear"/>
        </w:rPr>
        <w:t xml:space="preserve">Project Managemen</w:t>
      </w:r>
      <w:r>
        <w:rPr>
          <w:rFonts w:ascii="Arial" w:hAnsi="Arial" w:cs="Arial" w:eastAsia="Arial"/>
          <w:b/>
          <w:color w:val="auto"/>
          <w:spacing w:val="0"/>
          <w:position w:val="0"/>
          <w:sz w:val="44"/>
          <w:shd w:fill="auto" w:val="clear"/>
        </w:rPr>
        <w:t xml:space="preserve">t</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259"/>
        <w:ind w:right="0" w:left="0" w:firstLine="0"/>
        <w:jc w:val="both"/>
        <w:rPr>
          <w:rFonts w:ascii="Arial" w:hAnsi="Arial" w:cs="Arial" w:eastAsia="Arial"/>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8"/>
          <w:shd w:fill="auto" w:val="clear"/>
        </w:rPr>
      </w:pPr>
    </w:p>
    <w:p>
      <w:pPr>
        <w:keepNext w:val="true"/>
        <w:keepLines w:val="true"/>
        <w:numPr>
          <w:ilvl w:val="0"/>
          <w:numId w:val="5"/>
        </w:numPr>
        <w:spacing w:before="240" w:after="240" w:line="259"/>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keepNext w:val="true"/>
        <w:keepLines w:val="true"/>
        <w:numPr>
          <w:ilvl w:val="0"/>
          <w:numId w:val="5"/>
        </w:numPr>
        <w:spacing w:before="240" w:after="240" w:line="259"/>
        <w:ind w:right="0" w:left="720" w:hanging="36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Business Case</w:t>
      </w:r>
    </w:p>
    <w:p>
      <w:pPr>
        <w:numPr>
          <w:ilvl w:val="0"/>
          <w:numId w:val="5"/>
        </w:numPr>
        <w:spacing w:before="100" w:after="160" w:line="259"/>
        <w:ind w:right="0" w:left="1418" w:hanging="371"/>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What is the business problem?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small business organisation in the UK named Furniture Practice manufactures furniture for offices. The company has been operating for more than 20 years in the country (Best Companies, 2020). It basically deals with institutional clients who purchase furniture at bulk quantities. The company sources the raw materials from a variety of suppliers. The company often face problems while supplying the products to the clients on time. The management has found that the major problems behind this issue are weakness in sales forecast and inventory management. Due to the pandemic situation worldwide, the sales pattern has changed significantly. The company found out that it needs to sell the products for home usage also. The management has identified that the company needs to target both office and home décor clients and devise the supply chain efficiently.</w:t>
      </w:r>
    </w:p>
    <w:p>
      <w:pPr>
        <w:spacing w:before="0" w:after="160" w:line="360"/>
        <w:ind w:right="0" w:left="0" w:firstLine="0"/>
        <w:jc w:val="both"/>
        <w:rPr>
          <w:rFonts w:ascii="Arial" w:hAnsi="Arial" w:cs="Arial" w:eastAsia="Arial"/>
          <w:color w:val="auto"/>
          <w:spacing w:val="0"/>
          <w:position w:val="0"/>
          <w:sz w:val="22"/>
          <w:shd w:fill="auto" w:val="clear"/>
        </w:rPr>
      </w:pPr>
      <w:r>
        <w:rPr>
          <w:rFonts w:ascii="Times New Roman" w:hAnsi="Times New Roman" w:cs="Times New Roman" w:eastAsia="Times New Roman"/>
          <w:color w:val="auto"/>
          <w:spacing w:val="0"/>
          <w:position w:val="0"/>
          <w:sz w:val="24"/>
          <w:shd w:fill="auto" w:val="clear"/>
        </w:rPr>
        <w:t xml:space="preserve">The company has allocated £50,000 to undertake a project to deal with the issue within 6 months timeframe. The project will be to design a sustainable solution for effective raw material sourcing to meet the diversified production needs for both office and home décor clients. The solution will also target to better forecast the sales patterns for both the client segments. An ERP software will be purchased potentially from SAP for the better understanding and control of the overall business process (Technologyadvice.com, 2020).</w:t>
      </w:r>
      <w:r>
        <w:rPr>
          <w:rFonts w:ascii="Arial" w:hAnsi="Arial" w:cs="Arial" w:eastAsia="Arial"/>
          <w:color w:val="auto"/>
          <w:spacing w:val="0"/>
          <w:position w:val="0"/>
          <w:sz w:val="22"/>
          <w:shd w:fill="auto" w:val="clear"/>
        </w:rPr>
        <w:t xml:space="preserve">    </w:t>
      </w:r>
    </w:p>
    <w:p>
      <w:pPr>
        <w:spacing w:before="0" w:after="160" w:line="259"/>
        <w:ind w:right="0" w:left="0" w:firstLine="0"/>
        <w:jc w:val="both"/>
        <w:rPr>
          <w:rFonts w:ascii="Arial" w:hAnsi="Arial" w:cs="Arial" w:eastAsia="Arial"/>
          <w:color w:val="auto"/>
          <w:spacing w:val="0"/>
          <w:position w:val="0"/>
          <w:sz w:val="22"/>
          <w:shd w:fill="auto" w:val="clear"/>
        </w:rPr>
      </w:pPr>
    </w:p>
    <w:p>
      <w:pPr>
        <w:numPr>
          <w:ilvl w:val="0"/>
          <w:numId w:val="10"/>
        </w:numPr>
        <w:spacing w:before="100" w:after="160" w:line="259"/>
        <w:ind w:right="0" w:left="1418" w:hanging="371"/>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What are the benefits?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will be several potential benefits of the project which are discussed below.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will focus on increasing the sales revenue from both client segment and create an optimum mix of the both segments so that there is no overdependence on either of the segments for sales revenue (Short, 2018).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will tend to reduce the lag in raw material sourcing. There was slight problem in supply chain previously due to which there was delay in supplying the final products to the client. While the company will target a new customer segment, further modification will be needed in raw material sourcing to reduce costs.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Most importantly, the project will increase the competitive advantage of the company and address the worldwide situation for the benefit of the company (Mann, 2020). </w:t>
      </w:r>
    </w:p>
    <w:p>
      <w:pPr>
        <w:spacing w:before="0" w:after="160" w:line="259"/>
        <w:ind w:right="0" w:left="720" w:firstLine="0"/>
        <w:jc w:val="both"/>
        <w:rPr>
          <w:rFonts w:ascii="Arial" w:hAnsi="Arial" w:cs="Arial" w:eastAsia="Arial"/>
          <w:color w:val="auto"/>
          <w:spacing w:val="0"/>
          <w:position w:val="0"/>
          <w:sz w:val="22"/>
          <w:shd w:fill="auto" w:val="clear"/>
        </w:rPr>
      </w:pPr>
    </w:p>
    <w:p>
      <w:pPr>
        <w:numPr>
          <w:ilvl w:val="0"/>
          <w:numId w:val="13"/>
        </w:numPr>
        <w:spacing w:before="100" w:after="160" w:line="259"/>
        <w:ind w:right="0" w:left="1418" w:hanging="371"/>
        <w:jc w:val="left"/>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Stakeholder Analysis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will be a number of stakeholders involved in this project. Power interest grid will be used to analyse the stakeholders. Also, the factors involved in the communication process will also be discussed.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stakeholders of the project are listed below.</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of the company </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Purchasing department</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Production department </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Sales department</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department</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Both office and home décor customers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Raw material suppliers</w:t>
      </w:r>
    </w:p>
    <w:p>
      <w:pPr>
        <w:numPr>
          <w:ilvl w:val="0"/>
          <w:numId w:val="1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Supplier of the software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Power interest grid: </w:t>
      </w:r>
      <w:r>
        <w:rPr>
          <w:rFonts w:ascii="Times New Roman" w:hAnsi="Times New Roman" w:cs="Times New Roman" w:eastAsia="Times New Roman"/>
          <w:color w:val="auto"/>
          <w:spacing w:val="0"/>
          <w:position w:val="0"/>
          <w:sz w:val="24"/>
          <w:shd w:fill="auto" w:val="clear"/>
        </w:rPr>
        <w:t xml:space="preserve">This grid classifies the stakeholder of a project in four different segments depending on two ends of each factor (Bdaiwi, 2017). The grid for the project is given below.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895"/>
        <w:gridCol w:w="940"/>
        <w:gridCol w:w="865"/>
        <w:gridCol w:w="811"/>
        <w:gridCol w:w="871"/>
      </w:tblGrid>
      <w:tr>
        <w:trPr>
          <w:trHeight w:val="295" w:hRule="auto"/>
          <w:jc w:val="center"/>
        </w:trPr>
        <w:tc>
          <w:tcPr>
            <w:tcW w:w="8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w:t>
            </w:r>
          </w:p>
        </w:tc>
        <w:tc>
          <w:tcPr>
            <w:tcW w:w="1805" w:type="dxa"/>
            <w:gridSpan w:val="2"/>
            <w:vMerge w:val="restart"/>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w:t>
            </w:r>
          </w:p>
        </w:tc>
        <w:tc>
          <w:tcPr>
            <w:tcW w:w="1682" w:type="dxa"/>
            <w:gridSpan w:val="2"/>
            <w:vMerge w:val="restart"/>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r>
      <w:tr>
        <w:trPr>
          <w:trHeight w:val="414" w:hRule="auto"/>
          <w:jc w:val="center"/>
        </w:trPr>
        <w:tc>
          <w:tcPr>
            <w:tcW w:w="895"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Power</w:t>
            </w:r>
          </w:p>
        </w:tc>
        <w:tc>
          <w:tcPr>
            <w:tcW w:w="1805" w:type="dxa"/>
            <w:gridSpan w:val="2"/>
            <w:vMerge/>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160" w:line="259"/>
              <w:ind w:right="0" w:left="0" w:firstLine="0"/>
              <w:jc w:val="center"/>
              <w:rPr>
                <w:color w:val="auto"/>
                <w:spacing w:val="0"/>
                <w:position w:val="0"/>
                <w:shd w:fill="auto" w:val="clear"/>
              </w:rPr>
            </w:pPr>
          </w:p>
        </w:tc>
        <w:tc>
          <w:tcPr>
            <w:tcW w:w="1682" w:type="dxa"/>
            <w:gridSpan w:val="2"/>
            <w:vMerge/>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160" w:line="259"/>
              <w:ind w:right="0" w:left="0" w:firstLine="0"/>
              <w:jc w:val="center"/>
              <w:rPr>
                <w:color w:val="auto"/>
                <w:spacing w:val="0"/>
                <w:position w:val="0"/>
                <w:shd w:fill="auto" w:val="clear"/>
              </w:rPr>
            </w:pPr>
          </w:p>
        </w:tc>
      </w:tr>
      <w:tr>
        <w:trPr>
          <w:trHeight w:val="414" w:hRule="auto"/>
          <w:jc w:val="center"/>
        </w:trPr>
        <w:tc>
          <w:tcPr>
            <w:tcW w:w="895"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259"/>
              <w:ind w:right="0" w:left="0" w:firstLine="0"/>
              <w:jc w:val="center"/>
              <w:rPr>
                <w:rFonts w:ascii="Calibri" w:hAnsi="Calibri" w:cs="Calibri" w:eastAsia="Calibri"/>
                <w:color w:val="auto"/>
                <w:spacing w:val="0"/>
                <w:position w:val="0"/>
                <w:sz w:val="22"/>
                <w:shd w:fill="auto" w:val="clear"/>
              </w:rPr>
            </w:pPr>
          </w:p>
        </w:tc>
        <w:tc>
          <w:tcPr>
            <w:tcW w:w="1805" w:type="dxa"/>
            <w:gridSpan w:val="2"/>
            <w:vMerge w:val="restart"/>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6, 7</w:t>
            </w:r>
          </w:p>
        </w:tc>
        <w:tc>
          <w:tcPr>
            <w:tcW w:w="1682" w:type="dxa"/>
            <w:gridSpan w:val="2"/>
            <w:vMerge w:val="restart"/>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2, 3, 4, 5</w:t>
            </w:r>
          </w:p>
        </w:tc>
      </w:tr>
      <w:tr>
        <w:trPr>
          <w:trHeight w:val="70" w:hRule="auto"/>
          <w:jc w:val="center"/>
        </w:trPr>
        <w:tc>
          <w:tcPr>
            <w:tcW w:w="8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Low</w:t>
            </w:r>
          </w:p>
        </w:tc>
        <w:tc>
          <w:tcPr>
            <w:tcW w:w="1805" w:type="dxa"/>
            <w:gridSpan w:val="2"/>
            <w:vMerge/>
            <w:tcBorders>
              <w:top w:val="single" w:color="000000" w:sz="4"/>
              <w:left w:val="single" w:color="000000" w:sz="4"/>
              <w:bottom w:val="single" w:color="000000" w:sz="4"/>
              <w:right w:val="single" w:color="000000" w:sz="4"/>
            </w:tcBorders>
            <w:shd w:color="auto" w:fill="c5e0b3" w:val="clear"/>
            <w:tcMar>
              <w:left w:w="108" w:type="dxa"/>
              <w:right w:w="108" w:type="dxa"/>
            </w:tcMar>
            <w:vAlign w:val="top"/>
          </w:tcPr>
          <w:p>
            <w:pPr>
              <w:spacing w:before="0" w:after="160" w:line="259"/>
              <w:ind w:right="0" w:left="0" w:firstLine="0"/>
              <w:jc w:val="center"/>
              <w:rPr>
                <w:color w:val="auto"/>
                <w:spacing w:val="0"/>
                <w:position w:val="0"/>
                <w:shd w:fill="auto" w:val="clear"/>
              </w:rPr>
            </w:pPr>
          </w:p>
        </w:tc>
        <w:tc>
          <w:tcPr>
            <w:tcW w:w="1682" w:type="dxa"/>
            <w:gridSpan w:val="2"/>
            <w:vMerge/>
            <w:tcBorders>
              <w:top w:val="single" w:color="000000" w:sz="4"/>
              <w:left w:val="single" w:color="000000" w:sz="4"/>
              <w:bottom w:val="single" w:color="000000" w:sz="4"/>
              <w:right w:val="single" w:color="000000" w:sz="4"/>
            </w:tcBorders>
            <w:shd w:color="auto" w:fill="c5e0b3" w:val="clear"/>
            <w:tcMar>
              <w:left w:w="108" w:type="dxa"/>
              <w:right w:w="108" w:type="dxa"/>
            </w:tcMar>
            <w:vAlign w:val="top"/>
          </w:tcPr>
          <w:p>
            <w:pPr>
              <w:spacing w:before="0" w:after="160" w:line="259"/>
              <w:ind w:right="0" w:left="0" w:firstLine="0"/>
              <w:jc w:val="center"/>
              <w:rPr>
                <w:color w:val="auto"/>
                <w:spacing w:val="0"/>
                <w:position w:val="0"/>
                <w:shd w:fill="auto" w:val="clear"/>
              </w:rPr>
            </w:pPr>
          </w:p>
        </w:tc>
      </w:tr>
      <w:tr>
        <w:trPr>
          <w:trHeight w:val="88" w:hRule="auto"/>
          <w:jc w:val="center"/>
        </w:trPr>
        <w:tc>
          <w:tcPr>
            <w:tcW w:w="89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rFonts w:ascii="Calibri" w:hAnsi="Calibri" w:cs="Calibri" w:eastAsia="Calibri"/>
                <w:color w:val="auto"/>
                <w:spacing w:val="0"/>
                <w:position w:val="0"/>
                <w:sz w:val="22"/>
                <w:shd w:fill="auto" w:val="clear"/>
              </w:rPr>
            </w:pPr>
          </w:p>
        </w:tc>
        <w:tc>
          <w:tcPr>
            <w:tcW w:w="94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Low</w:t>
            </w:r>
          </w:p>
        </w:tc>
        <w:tc>
          <w:tcPr>
            <w:tcW w:w="1676" w:type="dxa"/>
            <w:gridSpan w:val="2"/>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Interest</w:t>
            </w:r>
          </w:p>
        </w:tc>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righ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w:t>
            </w:r>
          </w:p>
        </w:tc>
      </w:tr>
    </w:tbl>
    <w:p>
      <w:pPr>
        <w:spacing w:before="0" w:after="160" w:line="360"/>
        <w:ind w:right="0" w:left="0" w:firstLine="0"/>
        <w:jc w:val="center"/>
        <w:rPr>
          <w:rFonts w:ascii="Times New Roman" w:hAnsi="Times New Roman" w:cs="Times New Roman" w:eastAsia="Times New Roman"/>
          <w:i/>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Figure 1: Power Interest grid of the project.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management of the company has both high power and high influence over the project. Other departments involved in the project such as purchasing department, production department, sales department and IT department have high interest but low power. The customers and raw material suppliers have both low power and low interest in the project. The supplier of the ERP software have low interest and high power regarding the project.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communication plan involves several factors such as what information will be communicated, how it will be communicated, how often it will be communicated, how detailed the communication will be etc. The communication plan of the project is given below. </w:t>
      </w:r>
    </w:p>
    <w:tbl>
      <w:tblPr/>
      <w:tblGrid>
        <w:gridCol w:w="1555"/>
        <w:gridCol w:w="1559"/>
        <w:gridCol w:w="2835"/>
        <w:gridCol w:w="1263"/>
        <w:gridCol w:w="1804"/>
      </w:tblGrid>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Stakeholder</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Title</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Information details</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Frequency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Method</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Company Management</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Status report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Project status in terms of work completion regarding time and cost</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Monthly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Written report and oral presentation </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Purchasing department</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Status report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Requirement and potential outputs regarding raw material sourcing efficiency</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Bi-weekly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Written report and e-mail</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Production department</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Status report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Requirement and potential outputs regarding production efficiency</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Monthly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Written report and e-mail</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Sales department</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Status report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Requirement and potential outputs regarding sales forecast</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Bi-weekly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Written report and e-mail</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IT department</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Status report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Incorporation of the software into the organisational system</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Weekly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Written report and face to face discussions</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Office and home décor customers</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Project requirements</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Collection of necessary data</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Ad-hoc</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E-mail and website update</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Raw material suppliers</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Project requirement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Collection of necessary data and sourcing process</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Ad-hoc</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E-mail and website update</w:t>
            </w:r>
          </w:p>
        </w:tc>
      </w:tr>
      <w:tr>
        <w:trPr>
          <w:trHeight w:val="1" w:hRule="atLeast"/>
          <w:jc w:val="left"/>
        </w:trPr>
        <w:tc>
          <w:tcPr>
            <w:tcW w:w="155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Supplier of the software</w:t>
            </w:r>
          </w:p>
        </w:tc>
        <w:tc>
          <w:tcPr>
            <w:tcW w:w="155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Work order and requirement</w:t>
            </w:r>
          </w:p>
        </w:tc>
        <w:tc>
          <w:tcPr>
            <w:tcW w:w="28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Necessary data, processes and analytical capability required  </w:t>
            </w:r>
          </w:p>
        </w:tc>
        <w:tc>
          <w:tcPr>
            <w:tcW w:w="126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Bi-weekly</w:t>
            </w:r>
          </w:p>
        </w:tc>
        <w:tc>
          <w:tcPr>
            <w:tcW w:w="18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Written report, e-mail and face to face discussions</w:t>
            </w:r>
          </w:p>
        </w:tc>
      </w:tr>
    </w:tbl>
    <w:p>
      <w:pPr>
        <w:keepNext w:val="true"/>
        <w:keepLines w:val="true"/>
        <w:numPr>
          <w:ilvl w:val="0"/>
          <w:numId w:val="60"/>
        </w:numPr>
        <w:spacing w:before="240" w:after="240" w:line="360"/>
        <w:ind w:right="0" w:left="426"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SMART Objectives</w:t>
      </w:r>
    </w:p>
    <w:p>
      <w:pPr>
        <w:keepNext w:val="true"/>
        <w:keepLines w:val="true"/>
        <w:numPr>
          <w:ilvl w:val="0"/>
          <w:numId w:val="60"/>
        </w:numPr>
        <w:spacing w:before="240" w:after="240" w:line="36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Goals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goal of this project is to analyse the requirements of the company in terms of of sourcing efficiency and sales forecast as well as overall operational improvement (Westland, 2020). An advanced ERP (Enterprise Resource Planning) software will be purchased which along with other features will mainly analyse the sales patterns and estimate the raw material requirement accordingly. To understand the current issues, several meetings will be conducted with the departments involved and their requirements will be analysed properly. Necessary communication will alo be maintained with the potential customers and raw material suppliers. After properly understanding the requirements, necessary communications will be maintained with the software supplier. The supplier will deliver the ERP software within 3 months. Purchasing department, production department, sales department and IT department will give their comments on the software usefulness and efficiency. After 2 month of modifications wherever necessary, the software will be fully installed into the system of the organisation. Employees will also be trained within the last month so that everyone can use the software after the project is completed.  </w:t>
      </w:r>
    </w:p>
    <w:p>
      <w:pPr>
        <w:keepNext w:val="true"/>
        <w:keepLines w:val="true"/>
        <w:numPr>
          <w:ilvl w:val="0"/>
          <w:numId w:val="63"/>
        </w:numPr>
        <w:spacing w:before="240" w:after="240" w:line="36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Objectives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objectives of the project are discussed below.</w:t>
      </w:r>
    </w:p>
    <w:p>
      <w:pPr>
        <w:numPr>
          <w:ilvl w:val="0"/>
          <w:numId w:val="6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very specific objective of the project is to increase supply chain efficiency as well as sales by properly analysing sales patterns and raw material requirements.</w:t>
      </w:r>
    </w:p>
    <w:p>
      <w:pPr>
        <w:numPr>
          <w:ilvl w:val="0"/>
          <w:numId w:val="6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measurable objective of the project is that, incorporation of the software will increase sales volume by 20% and reduce inventory related wastage by 30% (Dysart, 2019). </w:t>
      </w:r>
    </w:p>
    <w:p>
      <w:pPr>
        <w:numPr>
          <w:ilvl w:val="0"/>
          <w:numId w:val="6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manager is assigned to communicate with all the relevant stakeholders. </w:t>
      </w:r>
    </w:p>
    <w:p>
      <w:pPr>
        <w:numPr>
          <w:ilvl w:val="0"/>
          <w:numId w:val="6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is realistic by considering the present pandemic condition. Identifying a new customer segment is surely profitable for the company (Landau, 2018).</w:t>
      </w:r>
    </w:p>
    <w:p>
      <w:pPr>
        <w:numPr>
          <w:ilvl w:val="0"/>
          <w:numId w:val="65"/>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timeframe of the project is very clear. The supplier will provide the software within 3 months. Required changes will be conducted within next 2 months. And, the last month will be for employee training. </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67"/>
        </w:numPr>
        <w:spacing w:before="240" w:after="240" w:line="259"/>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Work Breakdown Structure</w:t>
      </w:r>
    </w:p>
    <w:p>
      <w:pPr>
        <w:keepNext w:val="true"/>
        <w:keepLines w:val="true"/>
        <w:numPr>
          <w:ilvl w:val="0"/>
          <w:numId w:val="67"/>
        </w:numPr>
        <w:spacing w:before="240" w:after="240" w:line="259"/>
        <w:ind w:right="0" w:left="720" w:hanging="36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WBS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 breakdown structure is an effective tool to show the structure of the overall project. Using a hierarchical description, work breakdown structure shows how the project activities need to be completed to successfully achieve the desired outcome (Murray-Webster, 2007). The work units are presented in several branches and sub-branches. The work breakdown structure of the project of Furniture Practice is given below.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Figure 2: Work Breakdown Structure of Furniture Practice project.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72"/>
        </w:numPr>
        <w:spacing w:before="240" w:after="240" w:line="36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Activity List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Work breakdown structure presents the works in a structured an easily understandable manner. When the activities has reached a manageable level, work breakdown structure stops (Hederman and Seegers, 2018). There are several criteria for an activity to be manageable. The activity list for this project of Furniture Practice is given below. </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management meetings and understanding the expectation of the company regarding the project in terms of sales growth and raw material cost optimization. </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meetings with sales department to understand how it analyses the sales patterns and how successful it is in anticipating the future sales.</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meetings with production department to understand how it receives the production requirements and whether the production are consistent with the sales anticipation. Also understanding from the production department how it communicates with the purchasing department regarding the raw material requirement and how fast it receives the raw materials. </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Conducting meetings with purchasing department to understand how and in what ways it receives the purchase order, how it communicates with the suppliers and how it receives the raw materials from them.</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Communicating with the customers to understand what problems they face regarding the service given by the company.</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Communicating with the raw material suppliers to understand the problems they face while delivering the products and how these problems can be solved.  </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Understanding the requirement and designing a basic outline of the ERP software accordingly to be delivered to the software developer. The software will include analytics to store all the sales data including some related factors. Depending on the sales forecast, automatic message will be delivered to the production department and purchasing department. The purchasing department will purchase the raw materials accordingly which will reduce the costs.</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developer will provide the software which will be used on a trial basis. After the required modifications, when all the department are satisfied with the service, the deal will be closed with the software developer.</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Finally the software will be handed over to the management of the company. </w:t>
      </w:r>
    </w:p>
    <w:p>
      <w:pPr>
        <w:numPr>
          <w:ilvl w:val="0"/>
          <w:numId w:val="74"/>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Senior officials from all the departments will be requested to attend the training sessions each week on the last month. Other officials will then learn using the software from the senior officials.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76"/>
        </w:numPr>
        <w:spacing w:before="240" w:after="240" w:line="36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Risk Management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Risk management of a project plan involves the risk management process regarding identification, analysis, treatment and management of the risk related to the project (Lavanya and Malarvizhi, 2008). In this project management plan, risk priority graph will be used. The potential risk documented in the risk registered are listed below along with their probability and impact on the project. </w:t>
      </w:r>
    </w:p>
    <w:tbl>
      <w:tblPr/>
      <w:tblGrid>
        <w:gridCol w:w="987"/>
        <w:gridCol w:w="5805"/>
        <w:gridCol w:w="1283"/>
        <w:gridCol w:w="941"/>
      </w:tblGrid>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Risk ID</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Risk</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Probability</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Impact</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Customer information and analysis are not accurate</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Supplier information is not accurate</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Information provided by relevant departments is not accurate</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Analysis of all the information given by all the related stakeholders is not accurate and reliable</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software outline has fault </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software developer don’t have the required capabilities to provide a quality software</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7</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developer couldn’t provide the software on time</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8</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software has fault</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9</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employee can’t use the software properly</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w:t>
            </w:r>
          </w:p>
        </w:tc>
      </w:tr>
      <w:tr>
        <w:trPr>
          <w:trHeight w:val="1" w:hRule="atLeast"/>
          <w:jc w:val="left"/>
        </w:trPr>
        <w:tc>
          <w:tcPr>
            <w:tcW w:w="9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w:t>
            </w:r>
          </w:p>
        </w:tc>
        <w:tc>
          <w:tcPr>
            <w:tcW w:w="580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The objective of the project changed within the project duration</w:t>
            </w:r>
          </w:p>
        </w:tc>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w:t>
            </w:r>
          </w:p>
        </w:tc>
        <w:tc>
          <w:tcPr>
            <w:tcW w:w="94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283"/>
        <w:gridCol w:w="1054"/>
        <w:gridCol w:w="1620"/>
        <w:gridCol w:w="1685"/>
        <w:gridCol w:w="1630"/>
      </w:tblGrid>
      <w:tr>
        <w:trPr>
          <w:trHeight w:val="182" w:hRule="auto"/>
          <w:jc w:val="center"/>
        </w:trPr>
        <w:tc>
          <w:tcPr>
            <w:tcW w:w="1283" w:type="dxa"/>
            <w:vMerge w:val="restart"/>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Probability</w:t>
            </w:r>
          </w:p>
        </w:tc>
        <w:tc>
          <w:tcPr>
            <w:tcW w:w="10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w:t>
            </w:r>
          </w:p>
        </w:tc>
        <w:tc>
          <w:tcPr>
            <w:tcW w:w="1620" w:type="dxa"/>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685"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630"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w:t>
            </w:r>
          </w:p>
        </w:tc>
      </w:tr>
      <w:tr>
        <w:trPr>
          <w:trHeight w:val="82" w:hRule="auto"/>
          <w:jc w:val="center"/>
        </w:trPr>
        <w:tc>
          <w:tcPr>
            <w:tcW w:w="1283"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160" w:line="259"/>
              <w:ind w:right="0" w:left="0" w:firstLine="0"/>
              <w:jc w:val="center"/>
              <w:rPr>
                <w:rFonts w:ascii="Calibri" w:hAnsi="Calibri" w:cs="Calibri" w:eastAsia="Calibri"/>
                <w:color w:val="auto"/>
                <w:spacing w:val="0"/>
                <w:position w:val="0"/>
                <w:sz w:val="22"/>
                <w:shd w:fill="auto" w:val="clear"/>
              </w:rPr>
            </w:pPr>
          </w:p>
        </w:tc>
        <w:tc>
          <w:tcPr>
            <w:tcW w:w="10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Medium</w:t>
            </w:r>
          </w:p>
        </w:tc>
        <w:tc>
          <w:tcPr>
            <w:tcW w:w="1620" w:type="dxa"/>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685"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5, 9</w:t>
            </w:r>
          </w:p>
        </w:tc>
        <w:tc>
          <w:tcPr>
            <w:tcW w:w="1630"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1, 8</w:t>
            </w:r>
          </w:p>
        </w:tc>
      </w:tr>
      <w:tr>
        <w:trPr>
          <w:trHeight w:val="82" w:hRule="auto"/>
          <w:jc w:val="center"/>
        </w:trPr>
        <w:tc>
          <w:tcPr>
            <w:tcW w:w="1283" w:type="dxa"/>
            <w:vMerge/>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160" w:line="259"/>
              <w:ind w:right="0" w:left="0" w:firstLine="0"/>
              <w:jc w:val="center"/>
              <w:rPr>
                <w:rFonts w:ascii="Calibri" w:hAnsi="Calibri" w:cs="Calibri" w:eastAsia="Calibri"/>
                <w:color w:val="auto"/>
                <w:spacing w:val="0"/>
                <w:position w:val="0"/>
                <w:sz w:val="22"/>
                <w:shd w:fill="auto" w:val="clear"/>
              </w:rPr>
            </w:pPr>
          </w:p>
        </w:tc>
        <w:tc>
          <w:tcPr>
            <w:tcW w:w="10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Low</w:t>
            </w:r>
          </w:p>
        </w:tc>
        <w:tc>
          <w:tcPr>
            <w:tcW w:w="1620" w:type="dxa"/>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w:t>
            </w:r>
          </w:p>
        </w:tc>
        <w:tc>
          <w:tcPr>
            <w:tcW w:w="1685" w:type="dxa"/>
            <w:tcBorders>
              <w:top w:val="single" w:color="000000" w:sz="4"/>
              <w:left w:val="single" w:color="000000" w:sz="4"/>
              <w:bottom w:val="single" w:color="000000" w:sz="4"/>
              <w:right w:val="single" w:color="000000" w:sz="4"/>
            </w:tcBorders>
            <w:shd w:color="auto" w:fill="c5e0b3"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6, 7</w:t>
            </w:r>
          </w:p>
        </w:tc>
        <w:tc>
          <w:tcPr>
            <w:tcW w:w="1630" w:type="dxa"/>
            <w:tcBorders>
              <w:top w:val="single" w:color="000000" w:sz="4"/>
              <w:left w:val="single" w:color="000000" w:sz="4"/>
              <w:bottom w:val="single" w:color="000000" w:sz="4"/>
              <w:right w:val="single" w:color="000000" w:sz="4"/>
            </w:tcBorders>
            <w:shd w:color="auto" w:fill="f7caac"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3, 10</w:t>
            </w:r>
          </w:p>
        </w:tc>
      </w:tr>
      <w:tr>
        <w:trPr>
          <w:trHeight w:val="82" w:hRule="auto"/>
          <w:jc w:val="center"/>
        </w:trPr>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62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Low</w:t>
            </w:r>
          </w:p>
        </w:tc>
        <w:tc>
          <w:tcPr>
            <w:tcW w:w="168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Medium</w:t>
            </w:r>
          </w:p>
        </w:tc>
        <w:tc>
          <w:tcPr>
            <w:tcW w:w="163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High</w:t>
            </w:r>
          </w:p>
        </w:tc>
      </w:tr>
      <w:tr>
        <w:trPr>
          <w:trHeight w:val="82" w:hRule="auto"/>
          <w:jc w:val="center"/>
        </w:trPr>
        <w:tc>
          <w:tcPr>
            <w:tcW w:w="128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5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4935" w:type="dxa"/>
            <w:gridSpan w:val="3"/>
            <w:tcBorders>
              <w:top w:val="single" w:color="000000" w:sz="4"/>
              <w:left w:val="single" w:color="000000" w:sz="4"/>
              <w:bottom w:val="single" w:color="000000" w:sz="4"/>
              <w:right w:val="single" w:color="000000" w:sz="4"/>
            </w:tcBorders>
            <w:shd w:color="000000" w:fill="ffffff" w:val="clear"/>
            <w:tcMar>
              <w:left w:w="108" w:type="dxa"/>
              <w:right w:w="108" w:type="dxa"/>
            </w:tcMar>
            <w:vAlign w:val="center"/>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Impact</w:t>
            </w:r>
          </w:p>
        </w:tc>
      </w:tr>
    </w:tbl>
    <w:p>
      <w:pPr>
        <w:spacing w:before="0" w:after="160" w:line="360"/>
        <w:ind w:right="0" w:left="0" w:firstLine="0"/>
        <w:jc w:val="center"/>
        <w:rPr>
          <w:rFonts w:ascii="Times New Roman" w:hAnsi="Times New Roman" w:cs="Times New Roman" w:eastAsia="Times New Roman"/>
          <w:i/>
          <w:color w:val="auto"/>
          <w:spacing w:val="0"/>
          <w:position w:val="0"/>
          <w:sz w:val="24"/>
          <w:shd w:fill="auto" w:val="clear"/>
        </w:rPr>
      </w:pPr>
    </w:p>
    <w:p>
      <w:pPr>
        <w:spacing w:before="0" w:after="160" w:line="360"/>
        <w:ind w:right="0" w:left="0" w:firstLine="0"/>
        <w:jc w:val="center"/>
        <w:rPr>
          <w:rFonts w:ascii="Times New Roman" w:hAnsi="Times New Roman" w:cs="Times New Roman" w:eastAsia="Times New Roman"/>
          <w:i/>
          <w:color w:val="auto"/>
          <w:spacing w:val="0"/>
          <w:position w:val="0"/>
          <w:sz w:val="24"/>
          <w:shd w:fill="auto" w:val="clear"/>
        </w:rPr>
      </w:pPr>
      <w:r>
        <w:rPr>
          <w:rFonts w:ascii="Times New Roman" w:hAnsi="Times New Roman" w:cs="Times New Roman" w:eastAsia="Times New Roman"/>
          <w:i/>
          <w:color w:val="auto"/>
          <w:spacing w:val="0"/>
          <w:position w:val="0"/>
          <w:sz w:val="24"/>
          <w:shd w:fill="auto" w:val="clear"/>
        </w:rPr>
        <w:t xml:space="preserve">Figure 3: Risk Priority Graph.</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p>
      <w:pPr>
        <w:keepNext w:val="true"/>
        <w:keepLines w:val="true"/>
        <w:numPr>
          <w:ilvl w:val="0"/>
          <w:numId w:val="142"/>
        </w:numPr>
        <w:spacing w:before="240" w:after="240" w:line="259"/>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Activity Sequencing </w:t>
      </w:r>
    </w:p>
    <w:p>
      <w:pPr>
        <w:keepNext w:val="true"/>
        <w:keepLines w:val="true"/>
        <w:numPr>
          <w:ilvl w:val="0"/>
          <w:numId w:val="142"/>
        </w:numPr>
        <w:spacing w:before="240" w:after="24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Gantt chart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Gantt chart is a very effective tool to show the sequence of the activities of a given project (Burke, 2019). A project includes several activities. Each of the activities needs a specific amount of time to be completed. Also the activities might be conditional on the fulfilment of any other activity before. This project of Furniture Practice also has several activities to be completed and some of the activities have to be started after some of the other activities have been completed. The activities of the project will be clearly listed below. After that, Gantt chart will be presented. </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Management meetings</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Departmental meetings</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Data collection from customers and suppliers</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Designing the software solution </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Communicating the solution with the software supplier and giving order</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Keeping updates of the work completion of the software</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Receiving the software and conducting trial runs by the departments</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Communicating the necessary changes in the software to the developer</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Receiving the final version of the software</w:t>
      </w:r>
    </w:p>
    <w:p>
      <w:pPr>
        <w:numPr>
          <w:ilvl w:val="0"/>
          <w:numId w:val="145"/>
        </w:numPr>
        <w:spacing w:before="0" w:after="160" w:line="360"/>
        <w:ind w:right="0" w:left="1276"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Educating the users regarding the software</w:t>
      </w:r>
    </w:p>
    <w:p>
      <w:pPr>
        <w:spacing w:before="0" w:after="160" w:line="259"/>
        <w:ind w:right="0" w:left="0" w:firstLine="0"/>
        <w:jc w:val="both"/>
        <w:rPr>
          <w:rFonts w:ascii="Arial" w:hAnsi="Arial" w:cs="Arial" w:eastAsia="Arial"/>
          <w:b/>
          <w:color w:val="auto"/>
          <w:spacing w:val="0"/>
          <w:position w:val="0"/>
          <w:sz w:val="22"/>
          <w:shd w:fill="auto" w:val="clear"/>
        </w:rPr>
      </w:pPr>
    </w:p>
    <w:p>
      <w:pPr>
        <w:spacing w:before="0" w:after="160" w:line="259"/>
        <w:ind w:right="0" w:left="0" w:firstLine="0"/>
        <w:jc w:val="both"/>
        <w:rPr>
          <w:rFonts w:ascii="Arial" w:hAnsi="Arial" w:cs="Arial" w:eastAsia="Arial"/>
          <w:b/>
          <w:color w:val="auto"/>
          <w:spacing w:val="0"/>
          <w:position w:val="0"/>
          <w:sz w:val="22"/>
          <w:shd w:fill="auto" w:val="clear"/>
        </w:rPr>
      </w:pPr>
      <w:r>
        <w:rPr>
          <w:rFonts w:ascii="Arial" w:hAnsi="Arial" w:cs="Arial" w:eastAsia="Arial"/>
          <w:b/>
          <w:color w:val="auto"/>
          <w:spacing w:val="0"/>
          <w:position w:val="0"/>
          <w:sz w:val="22"/>
          <w:shd w:fill="auto" w:val="clear"/>
        </w:rPr>
        <w:t xml:space="preserve">Gantt chart </w:t>
      </w:r>
    </w:p>
    <w:tbl>
      <w:tblPr/>
      <w:tblGrid>
        <w:gridCol w:w="1196"/>
        <w:gridCol w:w="1331"/>
        <w:gridCol w:w="1331"/>
        <w:gridCol w:w="1331"/>
        <w:gridCol w:w="1331"/>
        <w:gridCol w:w="1331"/>
        <w:gridCol w:w="1335"/>
      </w:tblGrid>
      <w:tr>
        <w:trPr>
          <w:trHeight w:val="262"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7990" w:type="dxa"/>
            <w:gridSpan w:val="6"/>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Months</w:t>
            </w:r>
          </w:p>
        </w:tc>
      </w:tr>
      <w:tr>
        <w:trPr>
          <w:trHeight w:val="246"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color w:val="auto"/>
                <w:spacing w:val="0"/>
                <w:position w:val="0"/>
                <w:sz w:val="22"/>
                <w:shd w:fill="auto" w:val="clear"/>
              </w:rPr>
            </w:pPr>
            <w:r>
              <w:rPr>
                <w:rFonts w:ascii="Arial" w:hAnsi="Arial" w:cs="Arial" w:eastAsia="Arial"/>
                <w:b/>
                <w:color w:val="auto"/>
                <w:spacing w:val="0"/>
                <w:position w:val="0"/>
                <w:sz w:val="22"/>
                <w:shd w:fill="auto" w:val="clear"/>
              </w:rPr>
              <w:t xml:space="preserve">Activities</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right"/>
              <w:rPr>
                <w:color w:val="auto"/>
                <w:spacing w:val="0"/>
                <w:position w:val="0"/>
                <w:sz w:val="22"/>
                <w:shd w:fill="auto" w:val="clear"/>
              </w:rPr>
            </w:pPr>
            <w:r>
              <w:rPr>
                <w:rFonts w:ascii="Arial" w:hAnsi="Arial" w:cs="Arial" w:eastAsia="Arial"/>
                <w:color w:val="auto"/>
                <w:spacing w:val="0"/>
                <w:position w:val="0"/>
                <w:sz w:val="22"/>
                <w:shd w:fill="auto" w:val="clear"/>
              </w:rPr>
              <w:t xml:space="preserve">1</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right"/>
              <w:rPr>
                <w:color w:val="auto"/>
                <w:spacing w:val="0"/>
                <w:position w:val="0"/>
                <w:sz w:val="22"/>
                <w:shd w:fill="auto" w:val="clear"/>
              </w:rPr>
            </w:pPr>
            <w:r>
              <w:rPr>
                <w:rFonts w:ascii="Arial" w:hAnsi="Arial" w:cs="Arial" w:eastAsia="Arial"/>
                <w:color w:val="auto"/>
                <w:spacing w:val="0"/>
                <w:position w:val="0"/>
                <w:sz w:val="22"/>
                <w:shd w:fill="auto" w:val="clear"/>
              </w:rPr>
              <w:t xml:space="preserve">2</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right"/>
              <w:rPr>
                <w:color w:val="auto"/>
                <w:spacing w:val="0"/>
                <w:position w:val="0"/>
                <w:sz w:val="22"/>
                <w:shd w:fill="auto" w:val="clear"/>
              </w:rPr>
            </w:pPr>
            <w:r>
              <w:rPr>
                <w:rFonts w:ascii="Arial" w:hAnsi="Arial" w:cs="Arial" w:eastAsia="Arial"/>
                <w:color w:val="auto"/>
                <w:spacing w:val="0"/>
                <w:position w:val="0"/>
                <w:sz w:val="22"/>
                <w:shd w:fill="auto" w:val="clear"/>
              </w:rPr>
              <w:t xml:space="preserve">3</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right"/>
              <w:rPr>
                <w:color w:val="auto"/>
                <w:spacing w:val="0"/>
                <w:position w:val="0"/>
                <w:sz w:val="22"/>
                <w:shd w:fill="auto" w:val="clear"/>
              </w:rPr>
            </w:pPr>
            <w:r>
              <w:rPr>
                <w:rFonts w:ascii="Arial" w:hAnsi="Arial" w:cs="Arial" w:eastAsia="Arial"/>
                <w:color w:val="auto"/>
                <w:spacing w:val="0"/>
                <w:position w:val="0"/>
                <w:sz w:val="22"/>
                <w:shd w:fill="auto" w:val="clear"/>
              </w:rPr>
              <w:t xml:space="preserve">4</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right"/>
              <w:rPr>
                <w:color w:val="auto"/>
                <w:spacing w:val="0"/>
                <w:position w:val="0"/>
                <w:sz w:val="22"/>
                <w:shd w:fill="auto" w:val="clear"/>
              </w:rPr>
            </w:pPr>
            <w:r>
              <w:rPr>
                <w:rFonts w:ascii="Arial" w:hAnsi="Arial" w:cs="Arial" w:eastAsia="Arial"/>
                <w:color w:val="auto"/>
                <w:spacing w:val="0"/>
                <w:position w:val="0"/>
                <w:sz w:val="22"/>
                <w:shd w:fill="auto" w:val="clear"/>
              </w:rPr>
              <w:t xml:space="preserve">5</w:t>
            </w: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right"/>
              <w:rPr>
                <w:color w:val="auto"/>
                <w:spacing w:val="0"/>
                <w:position w:val="0"/>
                <w:sz w:val="22"/>
                <w:shd w:fill="auto" w:val="clear"/>
              </w:rPr>
            </w:pPr>
            <w:r>
              <w:rPr>
                <w:rFonts w:ascii="Arial" w:hAnsi="Arial" w:cs="Arial" w:eastAsia="Arial"/>
                <w:color w:val="auto"/>
                <w:spacing w:val="0"/>
                <w:position w:val="0"/>
                <w:sz w:val="22"/>
                <w:shd w:fill="auto" w:val="clear"/>
              </w:rPr>
              <w:t xml:space="preserve">6</w:t>
            </w:r>
          </w:p>
        </w:tc>
      </w:tr>
      <w:tr>
        <w:trPr>
          <w:trHeight w:val="262"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A</w:t>
            </w:r>
          </w:p>
        </w:tc>
        <w:tc>
          <w:tcPr>
            <w:tcW w:w="1331" w:type="dxa"/>
            <w:tcBorders>
              <w:top w:val="single" w:color="000000" w:sz="4"/>
              <w:left w:val="single" w:color="000000" w:sz="4"/>
              <w:bottom w:val="single" w:color="000000" w:sz="4"/>
              <w:right w:val="single" w:color="000000" w:sz="4"/>
            </w:tcBorders>
            <w:shd w:color="auto" w:fill="4472c4"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46"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B</w:t>
            </w:r>
          </w:p>
        </w:tc>
        <w:tc>
          <w:tcPr>
            <w:tcW w:w="1331" w:type="dxa"/>
            <w:tcBorders>
              <w:top w:val="single" w:color="000000" w:sz="4"/>
              <w:left w:val="single" w:color="000000" w:sz="4"/>
              <w:bottom w:val="single" w:color="000000" w:sz="4"/>
              <w:right w:val="single" w:color="000000" w:sz="4"/>
            </w:tcBorders>
            <w:shd w:color="auto" w:fill="ed7d31"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ed7d31"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62"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C</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44546a"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auto"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46"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D</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70ad47"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62"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E</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7030a0"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46"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F</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ffc000"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ffc000"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62"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G</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aeaaaa"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aeaaaa"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46"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H</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auto" w:fill="c45911"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auto" w:fill="c45911"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62"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I</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auto" w:fill="9cc2e5"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r>
        <w:trPr>
          <w:trHeight w:val="246" w:hRule="auto"/>
          <w:jc w:val="left"/>
        </w:trPr>
        <w:tc>
          <w:tcPr>
            <w:tcW w:w="119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J</w:t>
            </w: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c>
          <w:tcPr>
            <w:tcW w:w="1335" w:type="dxa"/>
            <w:tcBorders>
              <w:top w:val="single" w:color="000000" w:sz="4"/>
              <w:left w:val="single" w:color="000000" w:sz="4"/>
              <w:bottom w:val="single" w:color="000000" w:sz="4"/>
              <w:right w:val="single" w:color="000000" w:sz="4"/>
            </w:tcBorders>
            <w:shd w:color="auto" w:fill="a8d08d" w:val="clear"/>
            <w:tcMar>
              <w:left w:w="108" w:type="dxa"/>
              <w:right w:w="108" w:type="dxa"/>
            </w:tcMar>
            <w:vAlign w:val="top"/>
          </w:tcPr>
          <w:p>
            <w:pPr>
              <w:spacing w:before="0" w:after="0" w:line="240"/>
              <w:ind w:right="0" w:left="0" w:firstLine="0"/>
              <w:jc w:val="both"/>
              <w:rPr>
                <w:rFonts w:ascii="Calibri" w:hAnsi="Calibri" w:cs="Calibri" w:eastAsia="Calibri"/>
                <w:color w:val="auto"/>
                <w:spacing w:val="0"/>
                <w:position w:val="0"/>
                <w:sz w:val="22"/>
                <w:shd w:fill="auto" w:val="clear"/>
              </w:rPr>
            </w:pPr>
          </w:p>
        </w:tc>
      </w:tr>
    </w:tbl>
    <w:p>
      <w:pPr>
        <w:spacing w:before="0" w:after="160" w:line="259"/>
        <w:ind w:right="0" w:left="0" w:firstLine="0"/>
        <w:jc w:val="center"/>
        <w:rPr>
          <w:rFonts w:ascii="Arial" w:hAnsi="Arial" w:cs="Arial" w:eastAsia="Arial"/>
          <w:i/>
          <w:color w:val="auto"/>
          <w:spacing w:val="0"/>
          <w:position w:val="0"/>
          <w:sz w:val="20"/>
          <w:shd w:fill="auto" w:val="clear"/>
        </w:rPr>
      </w:pPr>
    </w:p>
    <w:p>
      <w:pPr>
        <w:spacing w:before="0" w:after="160" w:line="259"/>
        <w:ind w:right="0" w:left="0" w:firstLine="0"/>
        <w:jc w:val="center"/>
        <w:rPr>
          <w:rFonts w:ascii="Arial" w:hAnsi="Arial" w:cs="Arial" w:eastAsia="Arial"/>
          <w:color w:val="auto"/>
          <w:spacing w:val="0"/>
          <w:position w:val="0"/>
          <w:sz w:val="22"/>
          <w:shd w:fill="auto" w:val="clear"/>
        </w:rPr>
      </w:pPr>
      <w:r>
        <w:rPr>
          <w:rFonts w:ascii="Arial" w:hAnsi="Arial" w:cs="Arial" w:eastAsia="Arial"/>
          <w:i/>
          <w:color w:val="auto"/>
          <w:spacing w:val="0"/>
          <w:position w:val="0"/>
          <w:sz w:val="20"/>
          <w:shd w:fill="auto" w:val="clear"/>
        </w:rPr>
        <w:t xml:space="preserve">Figure 4: Gantt chart of Furniture Practice project.</w:t>
      </w:r>
    </w:p>
    <w:p>
      <w:pPr>
        <w:spacing w:before="0" w:after="160" w:line="259"/>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197"/>
        </w:numPr>
        <w:spacing w:before="240" w:after="240" w:line="259"/>
        <w:ind w:right="0" w:left="720" w:hanging="36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Project Duration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duration with duration along with potential start date and end date of individual activities is given below. </w:t>
      </w:r>
    </w:p>
    <w:tbl>
      <w:tblPr/>
      <w:tblGrid>
        <w:gridCol w:w="1361"/>
        <w:gridCol w:w="2568"/>
        <w:gridCol w:w="2568"/>
        <w:gridCol w:w="2568"/>
      </w:tblGrid>
      <w:tr>
        <w:trPr>
          <w:trHeight w:val="273"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Activities</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Start Date</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End Date</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Duration (Days)</w:t>
            </w:r>
          </w:p>
        </w:tc>
      </w:tr>
      <w:tr>
        <w:trPr>
          <w:trHeight w:val="257"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1-9-2020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20-9-2020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w:t>
            </w:r>
          </w:p>
        </w:tc>
      </w:tr>
      <w:tr>
        <w:trPr>
          <w:trHeight w:val="273"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B</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21-9-2020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31-10-2020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w:t>
            </w:r>
          </w:p>
        </w:tc>
      </w:tr>
      <w:tr>
        <w:trPr>
          <w:trHeight w:val="257"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1-10-2020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15-10-2020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w:t>
            </w:r>
          </w:p>
        </w:tc>
      </w:tr>
      <w:tr>
        <w:trPr>
          <w:trHeight w:val="273"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11-10-2020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31-10-2020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w:t>
            </w:r>
          </w:p>
        </w:tc>
      </w:tr>
      <w:tr>
        <w:trPr>
          <w:trHeight w:val="257"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E</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1-11-2020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20-11-2020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w:t>
            </w:r>
          </w:p>
        </w:tc>
      </w:tr>
      <w:tr>
        <w:trPr>
          <w:trHeight w:val="273"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F</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21-11-2020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31-12-2020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41</w:t>
            </w:r>
          </w:p>
        </w:tc>
      </w:tr>
      <w:tr>
        <w:trPr>
          <w:trHeight w:val="273"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G</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26-12-2020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20-1-2020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26</w:t>
            </w:r>
          </w:p>
        </w:tc>
      </w:tr>
      <w:tr>
        <w:trPr>
          <w:trHeight w:val="257"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H</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6-1-2020</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10-2-2021</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36</w:t>
            </w:r>
          </w:p>
        </w:tc>
      </w:tr>
      <w:tr>
        <w:trPr>
          <w:trHeight w:val="273"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I</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1-2-2021</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10-2-2021</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w:t>
            </w:r>
          </w:p>
        </w:tc>
      </w:tr>
      <w:tr>
        <w:trPr>
          <w:trHeight w:val="257" w:hRule="auto"/>
          <w:jc w:val="left"/>
        </w:trPr>
        <w:tc>
          <w:tcPr>
            <w:tcW w:w="136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J</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11-2-2021</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28-2-2021</w:t>
            </w:r>
          </w:p>
        </w:tc>
        <w:tc>
          <w:tcPr>
            <w:tcW w:w="25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18</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232"/>
        </w:numPr>
        <w:spacing w:before="240" w:after="240" w:line="259"/>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Budget Modelling </w:t>
      </w:r>
    </w:p>
    <w:p>
      <w:pPr>
        <w:keepNext w:val="true"/>
        <w:keepLines w:val="true"/>
        <w:numPr>
          <w:ilvl w:val="0"/>
          <w:numId w:val="232"/>
        </w:numPr>
        <w:spacing w:before="240" w:after="240" w:line="259"/>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Budget and cumulative costs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Budget is a very important consideration for any project. Budgeting means allocating the total cost of the project to the individual activities (Borad, 2019). There are two basic methods to determine budget which are top down budget and bottom up budget. Top down budget means where the total spending of the project is predetermined by the project authority. Bottom up budget is exactly opposite of top down project. Here, the budget is determined by first identifying the required activities and then calculating the spending needed to perform each of the activities.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project of Furniture Practice, there is a top down budget. Here, the management of the company has allocated £50,000 as the total spending of the project. The activities have to be completed within this spending limit. A probable budget of the project is given. </w:t>
      </w:r>
    </w:p>
    <w:tbl>
      <w:tblPr/>
      <w:tblGrid>
        <w:gridCol w:w="7792"/>
        <w:gridCol w:w="1224"/>
      </w:tblGrid>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Particulars</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Cost (£)</w:t>
            </w:r>
          </w:p>
        </w:tc>
      </w:tr>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Data collection from the customers and suppliers </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r>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Conducting face to face discussions with the management, related departments and the software developer</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r>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of purchasing and installing the software</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42,500</w:t>
            </w:r>
          </w:p>
        </w:tc>
      </w:tr>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Transportation</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w:t>
            </w:r>
          </w:p>
        </w:tc>
      </w:tr>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Arranging relevant training sessions for the employees </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180" w:leader="none"/>
                <w:tab w:val="center" w:pos="504" w:leader="none"/>
              </w:tabs>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w:t>
            </w:r>
          </w:p>
        </w:tc>
      </w:tr>
      <w:tr>
        <w:trPr>
          <w:trHeight w:val="1" w:hRule="atLeast"/>
          <w:jc w:val="left"/>
        </w:trPr>
        <w:tc>
          <w:tcPr>
            <w:tcW w:w="7792"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w:t>
            </w:r>
          </w:p>
        </w:tc>
        <w:tc>
          <w:tcPr>
            <w:tcW w:w="122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180" w:leader="none"/>
                <w:tab w:val="center" w:pos="504" w:leader="none"/>
              </w:tabs>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50,000</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numPr>
          <w:ilvl w:val="0"/>
          <w:numId w:val="258"/>
        </w:numPr>
        <w:spacing w:before="240" w:after="240" w:line="360"/>
        <w:ind w:right="0" w:left="720" w:hanging="36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Cash Flow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Cash flow is an important consideration of project management plan. Cash flow generally means the inflow and outflow of cash related to a specific project involving a series of activities (Wootton, 2020). There is no direct cash inflow related to this project. Within the 6-months timeframe, there will be cash outflow. The cash outflows are presented below.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tbl>
      <w:tblPr/>
      <w:tblGrid>
        <w:gridCol w:w="1634"/>
        <w:gridCol w:w="1256"/>
        <w:gridCol w:w="1021"/>
        <w:gridCol w:w="1021"/>
        <w:gridCol w:w="1021"/>
        <w:gridCol w:w="1021"/>
        <w:gridCol w:w="1021"/>
        <w:gridCol w:w="1021"/>
      </w:tblGrid>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Activity name</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Estimated Cost (£)</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 1</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 2</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 3</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 4</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 5</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Month 6</w:t>
            </w:r>
          </w:p>
        </w:tc>
      </w:tr>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Data collection from the customers and suppliers </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Conducting face to face discussions with the management, related departments and the software developer</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500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Cost of purchasing and installing the software</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42,500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10,000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20,000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12,500</w:t>
            </w:r>
          </w:p>
        </w:tc>
      </w:tr>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Transportation</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1,500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250</w:t>
            </w:r>
          </w:p>
        </w:tc>
      </w:tr>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Arranging relevant training sessions for the employees </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180" w:leader="none"/>
                <w:tab w:val="center" w:pos="504" w:leader="none"/>
              </w:tabs>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rFonts w:ascii="Calibri" w:hAnsi="Calibri" w:cs="Calibri" w:eastAsia="Calibri"/>
                <w:color w:val="auto"/>
                <w:spacing w:val="0"/>
                <w:position w:val="0"/>
                <w:sz w:val="22"/>
                <w:shd w:fill="auto" w:val="clear"/>
              </w:rPr>
            </w:pP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color w:val="auto"/>
                <w:spacing w:val="0"/>
                <w:position w:val="0"/>
                <w:sz w:val="24"/>
                <w:shd w:fill="auto" w:val="clear"/>
              </w:rPr>
              <w:t xml:space="preserve">4,000</w:t>
            </w:r>
          </w:p>
        </w:tc>
      </w:tr>
      <w:tr>
        <w:trPr>
          <w:trHeight w:val="1" w:hRule="atLeast"/>
          <w:jc w:val="left"/>
        </w:trPr>
        <w:tc>
          <w:tcPr>
            <w:tcW w:w="163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left"/>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Total </w:t>
            </w:r>
          </w:p>
        </w:tc>
        <w:tc>
          <w:tcPr>
            <w:tcW w:w="125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tabs>
                <w:tab w:val="left" w:pos="180" w:leader="none"/>
                <w:tab w:val="center" w:pos="504" w:leader="none"/>
              </w:tabs>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50,000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750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1,750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10,250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20,250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250</w:t>
            </w:r>
          </w:p>
        </w:tc>
        <w:tc>
          <w:tcPr>
            <w:tcW w:w="10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center"/>
              <w:rPr>
                <w:color w:val="auto"/>
                <w:spacing w:val="0"/>
                <w:position w:val="0"/>
                <w:shd w:fill="auto" w:val="clear"/>
              </w:rPr>
            </w:pPr>
            <w:r>
              <w:rPr>
                <w:rFonts w:ascii="Times New Roman" w:hAnsi="Times New Roman" w:cs="Times New Roman" w:eastAsia="Times New Roman"/>
                <w:b/>
                <w:color w:val="auto"/>
                <w:spacing w:val="0"/>
                <w:position w:val="0"/>
                <w:sz w:val="24"/>
                <w:shd w:fill="auto" w:val="clear"/>
              </w:rPr>
              <w:t xml:space="preserve">16,750</w:t>
            </w:r>
          </w:p>
        </w:tc>
      </w:tr>
    </w:tbl>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keepNext w:val="true"/>
        <w:keepLines w:val="true"/>
        <w:numPr>
          <w:ilvl w:val="0"/>
          <w:numId w:val="286"/>
        </w:numPr>
        <w:spacing w:before="240" w:after="240" w:line="360"/>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Project Execution Challenges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Several challenges in executing any project includes management of the team members and related stakeholders, following the all the processes, accordingly, maintaining communication with all the related parties including sponsor (Caietti, 2018). Some of the challenges to be faced while executing the project of Furniture Practice are discussed below along with potential solutions. </w:t>
      </w:r>
    </w:p>
    <w:p>
      <w:pPr>
        <w:numPr>
          <w:ilvl w:val="0"/>
          <w:numId w:val="288"/>
        </w:numPr>
        <w:spacing w:before="0" w:after="16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People management:</w:t>
      </w:r>
      <w:r>
        <w:rPr>
          <w:rFonts w:ascii="Times New Roman" w:hAnsi="Times New Roman" w:cs="Times New Roman" w:eastAsia="Times New Roman"/>
          <w:color w:val="auto"/>
          <w:spacing w:val="0"/>
          <w:position w:val="0"/>
          <w:sz w:val="24"/>
          <w:shd w:fill="auto" w:val="clear"/>
        </w:rPr>
        <w:t xml:space="preserve"> To manage the people in the project team, regular discussions will be held with them. People directly working with me as the project manager will be given update regarding the project activities on a daily basis. Also, regular updates regarding the activities will be taken from them. </w:t>
      </w:r>
    </w:p>
    <w:p>
      <w:pPr>
        <w:spacing w:before="0" w:after="160" w:line="36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290"/>
        </w:numPr>
        <w:spacing w:before="0" w:after="160" w:line="360"/>
        <w:ind w:right="0" w:left="720" w:hanging="36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Maintaining communication with all stakeholder:</w:t>
      </w:r>
      <w:r>
        <w:rPr>
          <w:rFonts w:ascii="Times New Roman" w:hAnsi="Times New Roman" w:cs="Times New Roman" w:eastAsia="Times New Roman"/>
          <w:color w:val="auto"/>
          <w:spacing w:val="0"/>
          <w:position w:val="0"/>
          <w:sz w:val="24"/>
          <w:shd w:fill="auto" w:val="clear"/>
        </w:rPr>
        <w:t xml:space="preserve"> Company management will be notified about the project updates every month through email and written report.</w:t>
      </w:r>
      <w:r>
        <w:rPr>
          <w:rFonts w:ascii="Times New Roman" w:hAnsi="Times New Roman" w:cs="Times New Roman" w:eastAsia="Times New Roman"/>
          <w:b/>
          <w:color w:val="auto"/>
          <w:spacing w:val="0"/>
          <w:position w:val="0"/>
          <w:sz w:val="24"/>
          <w:shd w:fill="auto" w:val="clear"/>
        </w:rPr>
        <w:t xml:space="preserve"> </w:t>
      </w:r>
      <w:r>
        <w:rPr>
          <w:rFonts w:ascii="Times New Roman" w:hAnsi="Times New Roman" w:cs="Times New Roman" w:eastAsia="Times New Roman"/>
          <w:color w:val="auto"/>
          <w:spacing w:val="0"/>
          <w:position w:val="0"/>
          <w:sz w:val="24"/>
          <w:shd w:fill="auto" w:val="clear"/>
        </w:rPr>
        <w:t xml:space="preserve">If required, oral presentations will be given.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292"/>
        </w:numPr>
        <w:spacing w:before="240" w:after="240" w:line="360"/>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project of Furniture Practice will focus on increasing the sales forecast accuracy and manage the raw material costs efficiently. An ERP software targeted towards these two basic areas along with all the other operating areas of the company will be purchased and installed. The detailed plan proves that, completing the project within the required timeframe is possible. And once completed, the project outcome will greatly benefit the company in increasing its competitive advantage. </w:t>
      </w:r>
    </w:p>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 </w:t>
      </w:r>
    </w:p>
    <w:p>
      <w:pPr>
        <w:spacing w:before="0" w:after="160" w:line="360"/>
        <w:ind w:right="0" w:left="0" w:firstLine="0"/>
        <w:jc w:val="both"/>
        <w:rPr>
          <w:rFonts w:ascii="Arial" w:hAnsi="Arial" w:cs="Arial" w:eastAsia="Arial"/>
          <w:color w:val="auto"/>
          <w:spacing w:val="0"/>
          <w:position w:val="0"/>
          <w:sz w:val="22"/>
          <w:shd w:fill="auto" w:val="clear"/>
        </w:rPr>
      </w:pPr>
    </w:p>
    <w:p>
      <w:pPr>
        <w:keepNext w:val="true"/>
        <w:keepLines w:val="true"/>
        <w:numPr>
          <w:ilvl w:val="0"/>
          <w:numId w:val="294"/>
        </w:numPr>
        <w:spacing w:before="240" w:after="240" w:line="360"/>
        <w:ind w:right="0" w:left="426" w:hanging="360"/>
        <w:jc w:val="left"/>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Reference </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Bdaiwi, Y., 2017. </w:t>
      </w:r>
      <w:r>
        <w:rPr>
          <w:rFonts w:ascii="Times New Roman" w:hAnsi="Times New Roman" w:cs="Times New Roman" w:eastAsia="Times New Roman"/>
          <w:i/>
          <w:color w:val="000000"/>
          <w:spacing w:val="0"/>
          <w:position w:val="0"/>
          <w:sz w:val="24"/>
          <w:shd w:fill="auto" w:val="clear"/>
        </w:rPr>
        <w:t xml:space="preserve">Projectmanagement.Com - Stakeholder Analysis Using The Power Interest Grid</w:t>
      </w:r>
      <w:r>
        <w:rPr>
          <w:rFonts w:ascii="Times New Roman" w:hAnsi="Times New Roman" w:cs="Times New Roman" w:eastAsia="Times New Roman"/>
          <w:color w:val="000000"/>
          <w:spacing w:val="0"/>
          <w:position w:val="0"/>
          <w:sz w:val="24"/>
          <w:shd w:fill="auto" w:val="clear"/>
        </w:rPr>
        <w:t xml:space="preserve">. [online] Projectmanagement.com. Available at: &lt;</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auto" w:val="clear"/>
          </w:rPr>
          <w:t xml:space="preserve">https://www.projectmanagement.com/wikis/368897/Stakeholder-Analysis--using-the-Power-Interest-Grid</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Best Companies. 2020. </w:t>
      </w:r>
      <w:r>
        <w:rPr>
          <w:rFonts w:ascii="Times New Roman" w:hAnsi="Times New Roman" w:cs="Times New Roman" w:eastAsia="Times New Roman"/>
          <w:i/>
          <w:color w:val="000000"/>
          <w:spacing w:val="0"/>
          <w:position w:val="0"/>
          <w:sz w:val="24"/>
          <w:shd w:fill="auto" w:val="clear"/>
        </w:rPr>
        <w:t xml:space="preserve">Company Profile | Best Companies</w:t>
      </w:r>
      <w:r>
        <w:rPr>
          <w:rFonts w:ascii="Times New Roman" w:hAnsi="Times New Roman" w:cs="Times New Roman" w:eastAsia="Times New Roman"/>
          <w:color w:val="000000"/>
          <w:spacing w:val="0"/>
          <w:position w:val="0"/>
          <w:sz w:val="24"/>
          <w:shd w:fill="auto" w:val="clear"/>
        </w:rPr>
        <w:t xml:space="preserve">. [online] Available at: &lt;</w:t>
      </w:r>
      <w:hyperlink xmlns:r="http://schemas.openxmlformats.org/officeDocument/2006/relationships" r:id="docRId3">
        <w:r>
          <w:rPr>
            <w:rFonts w:ascii="Times New Roman" w:hAnsi="Times New Roman" w:cs="Times New Roman" w:eastAsia="Times New Roman"/>
            <w:color w:val="000000"/>
            <w:spacing w:val="0"/>
            <w:position w:val="0"/>
            <w:sz w:val="24"/>
            <w:u w:val="single"/>
            <w:shd w:fill="auto" w:val="clear"/>
          </w:rPr>
          <w:t xml:space="preserve">https://www.b.co.uk/company-profile/?the-furniture-practice-108431</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Borad, S., 2019. </w:t>
      </w:r>
      <w:r>
        <w:rPr>
          <w:rFonts w:ascii="Times New Roman" w:hAnsi="Times New Roman" w:cs="Times New Roman" w:eastAsia="Times New Roman"/>
          <w:i/>
          <w:color w:val="000000"/>
          <w:spacing w:val="0"/>
          <w:position w:val="0"/>
          <w:sz w:val="24"/>
          <w:shd w:fill="auto" w:val="clear"/>
        </w:rPr>
        <w:t xml:space="preserve">Budgeting In Project Management | Efinancemanagement.Com</w:t>
      </w:r>
      <w:r>
        <w:rPr>
          <w:rFonts w:ascii="Times New Roman" w:hAnsi="Times New Roman" w:cs="Times New Roman" w:eastAsia="Times New Roman"/>
          <w:color w:val="000000"/>
          <w:spacing w:val="0"/>
          <w:position w:val="0"/>
          <w:sz w:val="24"/>
          <w:shd w:fill="auto" w:val="clear"/>
        </w:rPr>
        <w:t xml:space="preserve">. [online] eFinanceManagement.com. Available at: &lt;</w:t>
      </w:r>
      <w:hyperlink xmlns:r="http://schemas.openxmlformats.org/officeDocument/2006/relationships" r:id="docRId4">
        <w:r>
          <w:rPr>
            <w:rFonts w:ascii="Times New Roman" w:hAnsi="Times New Roman" w:cs="Times New Roman" w:eastAsia="Times New Roman"/>
            <w:color w:val="000000"/>
            <w:spacing w:val="0"/>
            <w:position w:val="0"/>
            <w:sz w:val="24"/>
            <w:u w:val="single"/>
            <w:shd w:fill="auto" w:val="clear"/>
          </w:rPr>
          <w:t xml:space="preserve">https://efinancemanagement.com/budgeting/budgeting-in-project-management</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Burke, R., 2019. </w:t>
      </w:r>
      <w:r>
        <w:rPr>
          <w:rFonts w:ascii="Times New Roman" w:hAnsi="Times New Roman" w:cs="Times New Roman" w:eastAsia="Times New Roman"/>
          <w:i/>
          <w:color w:val="000000"/>
          <w:spacing w:val="0"/>
          <w:position w:val="0"/>
          <w:sz w:val="24"/>
          <w:shd w:fill="auto" w:val="clear"/>
        </w:rPr>
        <w:t xml:space="preserve">Project Management Techniques</w:t>
      </w:r>
      <w:r>
        <w:rPr>
          <w:rFonts w:ascii="Times New Roman" w:hAnsi="Times New Roman" w:cs="Times New Roman" w:eastAsia="Times New Roman"/>
          <w:color w:val="000000"/>
          <w:spacing w:val="0"/>
          <w:position w:val="0"/>
          <w:sz w:val="24"/>
          <w:shd w:fill="auto" w:val="clear"/>
        </w:rPr>
        <w:t xml:space="preserve">. [Place of publication not identified]: Burke Publishing.</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Caietti, N., 2018. </w:t>
      </w:r>
      <w:r>
        <w:rPr>
          <w:rFonts w:ascii="Times New Roman" w:hAnsi="Times New Roman" w:cs="Times New Roman" w:eastAsia="Times New Roman"/>
          <w:i/>
          <w:color w:val="000000"/>
          <w:spacing w:val="0"/>
          <w:position w:val="0"/>
          <w:sz w:val="24"/>
          <w:shd w:fill="auto" w:val="clear"/>
        </w:rPr>
        <w:t xml:space="preserve">10 Strategies To Promote Successful Project Execution</w:t>
      </w:r>
      <w:r>
        <w:rPr>
          <w:rFonts w:ascii="Times New Roman" w:hAnsi="Times New Roman" w:cs="Times New Roman" w:eastAsia="Times New Roman"/>
          <w:color w:val="000000"/>
          <w:spacing w:val="0"/>
          <w:position w:val="0"/>
          <w:sz w:val="24"/>
          <w:shd w:fill="auto" w:val="clear"/>
        </w:rPr>
        <w:t xml:space="preserve">. [online] ProjectManager.com. Available at: &lt;</w:t>
      </w:r>
      <w:hyperlink xmlns:r="http://schemas.openxmlformats.org/officeDocument/2006/relationships" r:id="docRId5">
        <w:r>
          <w:rPr>
            <w:rFonts w:ascii="Times New Roman" w:hAnsi="Times New Roman" w:cs="Times New Roman" w:eastAsia="Times New Roman"/>
            <w:color w:val="000000"/>
            <w:spacing w:val="0"/>
            <w:position w:val="0"/>
            <w:sz w:val="24"/>
            <w:u w:val="single"/>
            <w:shd w:fill="auto" w:val="clear"/>
          </w:rPr>
          <w:t xml:space="preserve">https://www.projectmanager.com/blog/project-execution</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Dysart, M., 2019. </w:t>
      </w:r>
      <w:r>
        <w:rPr>
          <w:rFonts w:ascii="Times New Roman" w:hAnsi="Times New Roman" w:cs="Times New Roman" w:eastAsia="Times New Roman"/>
          <w:i/>
          <w:color w:val="000000"/>
          <w:spacing w:val="0"/>
          <w:position w:val="0"/>
          <w:sz w:val="24"/>
          <w:shd w:fill="auto" w:val="clear"/>
        </w:rPr>
        <w:t xml:space="preserve">Understand SMART Project Objectives &amp; Learn How To Write Them For Your Projects (With Examples) - The Digital Project Manager</w:t>
      </w:r>
      <w:r>
        <w:rPr>
          <w:rFonts w:ascii="Times New Roman" w:hAnsi="Times New Roman" w:cs="Times New Roman" w:eastAsia="Times New Roman"/>
          <w:color w:val="000000"/>
          <w:spacing w:val="0"/>
          <w:position w:val="0"/>
          <w:sz w:val="24"/>
          <w:shd w:fill="auto" w:val="clear"/>
        </w:rPr>
        <w:t xml:space="preserve">. [online] The Digital Project Manager. Available at: &lt;</w:t>
      </w:r>
      <w:hyperlink xmlns:r="http://schemas.openxmlformats.org/officeDocument/2006/relationships" r:id="docRId6">
        <w:r>
          <w:rPr>
            <w:rFonts w:ascii="Times New Roman" w:hAnsi="Times New Roman" w:cs="Times New Roman" w:eastAsia="Times New Roman"/>
            <w:color w:val="000000"/>
            <w:spacing w:val="0"/>
            <w:position w:val="0"/>
            <w:sz w:val="24"/>
            <w:u w:val="single"/>
            <w:shd w:fill="auto" w:val="clear"/>
          </w:rPr>
          <w:t xml:space="preserve">https://thedigitalprojectmanager.com/project-objectives/</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Hedeman, B. and Seegers, R., 2018. </w:t>
      </w:r>
      <w:r>
        <w:rPr>
          <w:rFonts w:ascii="Times New Roman" w:hAnsi="Times New Roman" w:cs="Times New Roman" w:eastAsia="Times New Roman"/>
          <w:i/>
          <w:color w:val="000000"/>
          <w:spacing w:val="0"/>
          <w:position w:val="0"/>
          <w:sz w:val="24"/>
          <w:shd w:fill="auto" w:val="clear"/>
        </w:rPr>
        <w:t xml:space="preserve">PRINCE2 (Tm) 2017 Edition - A Pocket Guide</w:t>
      </w:r>
      <w:r>
        <w:rPr>
          <w:rFonts w:ascii="Times New Roman" w:hAnsi="Times New Roman" w:cs="Times New Roman" w:eastAsia="Times New Roman"/>
          <w:color w:val="000000"/>
          <w:spacing w:val="0"/>
          <w:position w:val="0"/>
          <w:sz w:val="24"/>
          <w:shd w:fill="auto" w:val="clear"/>
        </w:rPr>
        <w:t xml:space="preserve">. Zaltbommel: Van Haren Publishing.</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Landau, P., 2018. </w:t>
      </w:r>
      <w:r>
        <w:rPr>
          <w:rFonts w:ascii="Times New Roman" w:hAnsi="Times New Roman" w:cs="Times New Roman" w:eastAsia="Times New Roman"/>
          <w:i/>
          <w:color w:val="000000"/>
          <w:spacing w:val="0"/>
          <w:position w:val="0"/>
          <w:sz w:val="24"/>
          <w:shd w:fill="auto" w:val="clear"/>
        </w:rPr>
        <w:t xml:space="preserve">How To Create SMART Goals (Example Included) - Projectmanager.Com</w:t>
      </w:r>
      <w:r>
        <w:rPr>
          <w:rFonts w:ascii="Times New Roman" w:hAnsi="Times New Roman" w:cs="Times New Roman" w:eastAsia="Times New Roman"/>
          <w:color w:val="000000"/>
          <w:spacing w:val="0"/>
          <w:position w:val="0"/>
          <w:sz w:val="24"/>
          <w:shd w:fill="auto" w:val="clear"/>
        </w:rPr>
        <w:t xml:space="preserve">. [online] ProjectManager.com. Available at: &lt;</w:t>
      </w:r>
      <w:hyperlink xmlns:r="http://schemas.openxmlformats.org/officeDocument/2006/relationships" r:id="docRId7">
        <w:r>
          <w:rPr>
            <w:rFonts w:ascii="Times New Roman" w:hAnsi="Times New Roman" w:cs="Times New Roman" w:eastAsia="Times New Roman"/>
            <w:color w:val="000000"/>
            <w:spacing w:val="0"/>
            <w:position w:val="0"/>
            <w:sz w:val="24"/>
            <w:u w:val="single"/>
            <w:shd w:fill="auto" w:val="clear"/>
          </w:rPr>
          <w:t xml:space="preserve">https://www.projectmanager.com/blog/how-to-create-smart-goals</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Lavanya, N. and Malarvizhi, T., 2008. </w:t>
      </w:r>
      <w:r>
        <w:rPr>
          <w:rFonts w:ascii="Times New Roman" w:hAnsi="Times New Roman" w:cs="Times New Roman" w:eastAsia="Times New Roman"/>
          <w:i/>
          <w:color w:val="000000"/>
          <w:spacing w:val="0"/>
          <w:position w:val="0"/>
          <w:sz w:val="24"/>
          <w:shd w:fill="auto" w:val="clear"/>
        </w:rPr>
        <w:t xml:space="preserve">Risk Analysis And Management</w:t>
      </w:r>
      <w:r>
        <w:rPr>
          <w:rFonts w:ascii="Times New Roman" w:hAnsi="Times New Roman" w:cs="Times New Roman" w:eastAsia="Times New Roman"/>
          <w:color w:val="000000"/>
          <w:spacing w:val="0"/>
          <w:position w:val="0"/>
          <w:sz w:val="24"/>
          <w:shd w:fill="auto" w:val="clear"/>
        </w:rPr>
        <w:t xml:space="preserve">. [online] Pmi.org. Available at: &lt;</w:t>
      </w:r>
      <w:hyperlink xmlns:r="http://schemas.openxmlformats.org/officeDocument/2006/relationships" r:id="docRId8">
        <w:r>
          <w:rPr>
            <w:rFonts w:ascii="Times New Roman" w:hAnsi="Times New Roman" w:cs="Times New Roman" w:eastAsia="Times New Roman"/>
            <w:color w:val="000000"/>
            <w:spacing w:val="0"/>
            <w:position w:val="0"/>
            <w:sz w:val="24"/>
            <w:u w:val="single"/>
            <w:shd w:fill="auto" w:val="clear"/>
          </w:rPr>
          <w:t xml:space="preserve">https://www.pmi.org/learning/library/risk-analysis-project-management-7070</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Mann, K., 2020. </w:t>
      </w:r>
      <w:r>
        <w:rPr>
          <w:rFonts w:ascii="Times New Roman" w:hAnsi="Times New Roman" w:cs="Times New Roman" w:eastAsia="Times New Roman"/>
          <w:i/>
          <w:color w:val="000000"/>
          <w:spacing w:val="0"/>
          <w:position w:val="0"/>
          <w:sz w:val="24"/>
          <w:shd w:fill="auto" w:val="clear"/>
        </w:rPr>
        <w:t xml:space="preserve">5 Benefits Of ERP Software In The Manufacturing Industry</w:t>
      </w:r>
      <w:r>
        <w:rPr>
          <w:rFonts w:ascii="Times New Roman" w:hAnsi="Times New Roman" w:cs="Times New Roman" w:eastAsia="Times New Roman"/>
          <w:color w:val="000000"/>
          <w:spacing w:val="0"/>
          <w:position w:val="0"/>
          <w:sz w:val="24"/>
          <w:shd w:fill="auto" w:val="clear"/>
        </w:rPr>
        <w:t xml:space="preserve">. [online] Mnp.ca. Available at: &lt;</w:t>
      </w:r>
      <w:hyperlink xmlns:r="http://schemas.openxmlformats.org/officeDocument/2006/relationships" r:id="docRId9">
        <w:r>
          <w:rPr>
            <w:rFonts w:ascii="Times New Roman" w:hAnsi="Times New Roman" w:cs="Times New Roman" w:eastAsia="Times New Roman"/>
            <w:color w:val="000000"/>
            <w:spacing w:val="0"/>
            <w:position w:val="0"/>
            <w:sz w:val="24"/>
            <w:u w:val="single"/>
            <w:shd w:fill="auto" w:val="clear"/>
          </w:rPr>
          <w:t xml:space="preserve">https://www.mnp.ca/en/posts/5-benefits-of-erp-software-in-the-manufacturing-industry</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Murray-Webster, R., 2007. </w:t>
      </w:r>
      <w:r>
        <w:rPr>
          <w:rFonts w:ascii="Times New Roman" w:hAnsi="Times New Roman" w:cs="Times New Roman" w:eastAsia="Times New Roman"/>
          <w:i/>
          <w:color w:val="000000"/>
          <w:spacing w:val="0"/>
          <w:position w:val="0"/>
          <w:sz w:val="24"/>
          <w:shd w:fill="auto" w:val="clear"/>
        </w:rPr>
        <w:t xml:space="preserve">Starting Out In Project Management</w:t>
      </w:r>
      <w:r>
        <w:rPr>
          <w:rFonts w:ascii="Times New Roman" w:hAnsi="Times New Roman" w:cs="Times New Roman" w:eastAsia="Times New Roman"/>
          <w:color w:val="000000"/>
          <w:spacing w:val="0"/>
          <w:position w:val="0"/>
          <w:sz w:val="24"/>
          <w:shd w:fill="auto" w:val="clear"/>
        </w:rPr>
        <w:t xml:space="preserve">. Princes Risborough, UK: APM Publishing.</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Short, T., 2018. </w:t>
      </w:r>
      <w:r>
        <w:rPr>
          <w:rFonts w:ascii="Times New Roman" w:hAnsi="Times New Roman" w:cs="Times New Roman" w:eastAsia="Times New Roman"/>
          <w:i/>
          <w:color w:val="000000"/>
          <w:spacing w:val="0"/>
          <w:position w:val="0"/>
          <w:sz w:val="24"/>
          <w:shd w:fill="auto" w:val="clear"/>
        </w:rPr>
        <w:t xml:space="preserve">3 Benefits Of ERP In The Manufacturing Industry You Never Considered</w:t>
      </w:r>
      <w:r>
        <w:rPr>
          <w:rFonts w:ascii="Times New Roman" w:hAnsi="Times New Roman" w:cs="Times New Roman" w:eastAsia="Times New Roman"/>
          <w:color w:val="000000"/>
          <w:spacing w:val="0"/>
          <w:position w:val="0"/>
          <w:sz w:val="24"/>
          <w:shd w:fill="auto" w:val="clear"/>
        </w:rPr>
        <w:t xml:space="preserve">. [online] Software Advice. Available at: &lt;</w:t>
      </w:r>
      <w:hyperlink xmlns:r="http://schemas.openxmlformats.org/officeDocument/2006/relationships" r:id="docRId10">
        <w:r>
          <w:rPr>
            <w:rFonts w:ascii="Times New Roman" w:hAnsi="Times New Roman" w:cs="Times New Roman" w:eastAsia="Times New Roman"/>
            <w:color w:val="000000"/>
            <w:spacing w:val="0"/>
            <w:position w:val="0"/>
            <w:sz w:val="24"/>
            <w:u w:val="single"/>
            <w:shd w:fill="auto" w:val="clear"/>
          </w:rPr>
          <w:t xml:space="preserve">https://www.softwareadvice.com/resources/3-erp-benefits-in-manufacturing/</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Technologyadvice.com. 2020. </w:t>
      </w:r>
      <w:r>
        <w:rPr>
          <w:rFonts w:ascii="Times New Roman" w:hAnsi="Times New Roman" w:cs="Times New Roman" w:eastAsia="Times New Roman"/>
          <w:i/>
          <w:color w:val="000000"/>
          <w:spacing w:val="0"/>
          <w:position w:val="0"/>
          <w:sz w:val="24"/>
          <w:shd w:fill="auto" w:val="clear"/>
        </w:rPr>
        <w:t xml:space="preserve">Enterprise Resource Planning Software Buyer's Guide</w:t>
      </w:r>
      <w:r>
        <w:rPr>
          <w:rFonts w:ascii="Times New Roman" w:hAnsi="Times New Roman" w:cs="Times New Roman" w:eastAsia="Times New Roman"/>
          <w:color w:val="000000"/>
          <w:spacing w:val="0"/>
          <w:position w:val="0"/>
          <w:sz w:val="24"/>
          <w:shd w:fill="auto" w:val="clear"/>
        </w:rPr>
        <w:t xml:space="preserve">. [online] Available at: &lt;</w:t>
      </w:r>
      <w:hyperlink xmlns:r="http://schemas.openxmlformats.org/officeDocument/2006/relationships" r:id="docRId11">
        <w:r>
          <w:rPr>
            <w:rFonts w:ascii="Times New Roman" w:hAnsi="Times New Roman" w:cs="Times New Roman" w:eastAsia="Times New Roman"/>
            <w:color w:val="000000"/>
            <w:spacing w:val="0"/>
            <w:position w:val="0"/>
            <w:sz w:val="24"/>
            <w:u w:val="single"/>
            <w:shd w:fill="auto" w:val="clear"/>
          </w:rPr>
          <w:t xml:space="preserve">https://technologyadvice.com/erp/</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Westland, J., 2020. </w:t>
      </w:r>
      <w:r>
        <w:rPr>
          <w:rFonts w:ascii="Times New Roman" w:hAnsi="Times New Roman" w:cs="Times New Roman" w:eastAsia="Times New Roman"/>
          <w:i/>
          <w:color w:val="000000"/>
          <w:spacing w:val="0"/>
          <w:position w:val="0"/>
          <w:sz w:val="24"/>
          <w:shd w:fill="auto" w:val="clear"/>
        </w:rPr>
        <w:t xml:space="preserve">The Five Goals Of A Project Manager</w:t>
      </w:r>
      <w:r>
        <w:rPr>
          <w:rFonts w:ascii="Times New Roman" w:hAnsi="Times New Roman" w:cs="Times New Roman" w:eastAsia="Times New Roman"/>
          <w:color w:val="000000"/>
          <w:spacing w:val="0"/>
          <w:position w:val="0"/>
          <w:sz w:val="24"/>
          <w:shd w:fill="auto" w:val="clear"/>
        </w:rPr>
        <w:t xml:space="preserve">. [online] </w:t>
      </w:r>
      <w:hyperlink xmlns:r="http://schemas.openxmlformats.org/officeDocument/2006/relationships" r:id="docRId12">
        <w:r>
          <w:rPr>
            <w:rFonts w:ascii="Times New Roman" w:hAnsi="Times New Roman" w:cs="Times New Roman" w:eastAsia="Times New Roman"/>
            <w:color w:val="000000"/>
            <w:spacing w:val="0"/>
            <w:position w:val="0"/>
            <w:sz w:val="24"/>
            <w:u w:val="single"/>
            <w:shd w:fill="auto" w:val="clear"/>
          </w:rPr>
          <w:t xml:space="preserve">https://www.projecttimes.com/</w:t>
        </w:r>
      </w:hyperlink>
      <w:r>
        <w:rPr>
          <w:rFonts w:ascii="Times New Roman" w:hAnsi="Times New Roman" w:cs="Times New Roman" w:eastAsia="Times New Roman"/>
          <w:color w:val="000000"/>
          <w:spacing w:val="0"/>
          <w:position w:val="0"/>
          <w:sz w:val="24"/>
          <w:shd w:fill="auto" w:val="clear"/>
        </w:rPr>
        <w:t xml:space="preserve">. Available at: &lt;</w:t>
      </w:r>
      <w:hyperlink xmlns:r="http://schemas.openxmlformats.org/officeDocument/2006/relationships" r:id="docRId13">
        <w:r>
          <w:rPr>
            <w:rFonts w:ascii="Times New Roman" w:hAnsi="Times New Roman" w:cs="Times New Roman" w:eastAsia="Times New Roman"/>
            <w:color w:val="000000"/>
            <w:spacing w:val="0"/>
            <w:position w:val="0"/>
            <w:sz w:val="24"/>
            <w:u w:val="single"/>
            <w:shd w:fill="auto" w:val="clear"/>
          </w:rPr>
          <w:t xml:space="preserve">https://www.projecttimes.com/articles/the-five-goals-of-a-project-manager.html</w:t>
        </w:r>
      </w:hyperlink>
      <w:r>
        <w:rPr>
          <w:rFonts w:ascii="Times New Roman" w:hAnsi="Times New Roman" w:cs="Times New Roman" w:eastAsia="Times New Roman"/>
          <w:color w:val="000000"/>
          <w:spacing w:val="0"/>
          <w:position w:val="0"/>
          <w:sz w:val="24"/>
          <w:shd w:fill="auto" w:val="clear"/>
        </w:rPr>
        <w:t xml:space="preserve">&gt; [Accessed 30 August 2020].</w:t>
      </w:r>
    </w:p>
    <w:p>
      <w:pPr>
        <w:spacing w:before="0" w:after="180" w:line="360"/>
        <w:ind w:right="0" w:left="450" w:hanging="45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Wootton, P., 2020. </w:t>
      </w:r>
      <w:r>
        <w:rPr>
          <w:rFonts w:ascii="Times New Roman" w:hAnsi="Times New Roman" w:cs="Times New Roman" w:eastAsia="Times New Roman"/>
          <w:i/>
          <w:color w:val="000000"/>
          <w:spacing w:val="0"/>
          <w:position w:val="0"/>
          <w:sz w:val="24"/>
          <w:shd w:fill="auto" w:val="clear"/>
        </w:rPr>
        <w:t xml:space="preserve">Projectmanagement.Com - Project Cash Flow</w:t>
      </w:r>
      <w:r>
        <w:rPr>
          <w:rFonts w:ascii="Times New Roman" w:hAnsi="Times New Roman" w:cs="Times New Roman" w:eastAsia="Times New Roman"/>
          <w:color w:val="000000"/>
          <w:spacing w:val="0"/>
          <w:position w:val="0"/>
          <w:sz w:val="24"/>
          <w:shd w:fill="auto" w:val="clear"/>
        </w:rPr>
        <w:t xml:space="preserve">. [online] Projectmanagement.com. Available at: &lt;</w:t>
      </w:r>
      <w:hyperlink xmlns:r="http://schemas.openxmlformats.org/officeDocument/2006/relationships" r:id="docRId14">
        <w:r>
          <w:rPr>
            <w:rFonts w:ascii="Times New Roman" w:hAnsi="Times New Roman" w:cs="Times New Roman" w:eastAsia="Times New Roman"/>
            <w:color w:val="000000"/>
            <w:spacing w:val="0"/>
            <w:position w:val="0"/>
            <w:sz w:val="24"/>
            <w:u w:val="single"/>
            <w:shd w:fill="auto" w:val="clear"/>
          </w:rPr>
          <w:t xml:space="preserve">https://www.projectmanagement.com/wikis/465221/Project-Cash-Flow-</w:t>
        </w:r>
      </w:hyperlink>
      <w:r>
        <w:rPr>
          <w:rFonts w:ascii="Times New Roman" w:hAnsi="Times New Roman" w:cs="Times New Roman" w:eastAsia="Times New Roman"/>
          <w:color w:val="000000"/>
          <w:spacing w:val="0"/>
          <w:position w:val="0"/>
          <w:sz w:val="24"/>
          <w:shd w:fill="auto" w:val="clear"/>
        </w:rPr>
        <w:t xml:space="preserve">&gt; [Accessed 30 August 2020].</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abstractNum w:abstractNumId="120">
    <w:lvl w:ilvl="0">
      <w:start w:val="1"/>
      <w:numFmt w:val="bullet"/>
      <w:lvlText w:val="•"/>
    </w:lvl>
  </w:abstractNum>
  <w:num w:numId="5">
    <w:abstractNumId w:val="120"/>
  </w:num>
  <w:num w:numId="10">
    <w:abstractNumId w:val="114"/>
  </w:num>
  <w:num w:numId="13">
    <w:abstractNumId w:val="108"/>
  </w:num>
  <w:num w:numId="15">
    <w:abstractNumId w:val="102"/>
  </w:num>
  <w:num w:numId="60">
    <w:abstractNumId w:val="96"/>
  </w:num>
  <w:num w:numId="63">
    <w:abstractNumId w:val="90"/>
  </w:num>
  <w:num w:numId="65">
    <w:abstractNumId w:val="84"/>
  </w:num>
  <w:num w:numId="67">
    <w:abstractNumId w:val="78"/>
  </w:num>
  <w:num w:numId="72">
    <w:abstractNumId w:val="72"/>
  </w:num>
  <w:num w:numId="74">
    <w:abstractNumId w:val="66"/>
  </w:num>
  <w:num w:numId="76">
    <w:abstractNumId w:val="60"/>
  </w:num>
  <w:num w:numId="142">
    <w:abstractNumId w:val="54"/>
  </w:num>
  <w:num w:numId="145">
    <w:abstractNumId w:val="48"/>
  </w:num>
  <w:num w:numId="197">
    <w:abstractNumId w:val="42"/>
  </w:num>
  <w:num w:numId="232">
    <w:abstractNumId w:val="36"/>
  </w:num>
  <w:num w:numId="258">
    <w:abstractNumId w:val="30"/>
  </w:num>
  <w:num w:numId="286">
    <w:abstractNumId w:val="24"/>
  </w:num>
  <w:num w:numId="288">
    <w:abstractNumId w:val="18"/>
  </w:num>
  <w:num w:numId="290">
    <w:abstractNumId w:val="12"/>
  </w:num>
  <w:num w:numId="292">
    <w:abstractNumId w:val="6"/>
  </w:num>
  <w:num w:numId="294">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projectmanager.com/blog/how-to-create-smart-goals" Id="docRId7" Type="http://schemas.openxmlformats.org/officeDocument/2006/relationships/hyperlink" /><Relationship TargetMode="External" Target="https://www.softwareadvice.com/resources/3-erp-benefits-in-manufacturing/" Id="docRId10" Type="http://schemas.openxmlformats.org/officeDocument/2006/relationships/hyperlink" /><Relationship TargetMode="External" Target="https://www.projectmanagement.com/wikis/465221/Project-Cash-Flow-" Id="docRId14" Type="http://schemas.openxmlformats.org/officeDocument/2006/relationships/hyperlink" /><Relationship TargetMode="External" Target="https://www.projectmanagement.com/wikis/368897/Stakeholder-Analysis--using-the-Power-Interest-Grid" Id="docRId2" Type="http://schemas.openxmlformats.org/officeDocument/2006/relationships/hyperlink" /><Relationship TargetMode="External" Target="https://thedigitalprojectmanager.com/project-objectives/" Id="docRId6" Type="http://schemas.openxmlformats.org/officeDocument/2006/relationships/hyperlink" /><Relationship Target="media/image0.wmf" Id="docRId1" Type="http://schemas.openxmlformats.org/officeDocument/2006/relationships/image" /><Relationship TargetMode="External" Target="https://technologyadvice.com/erp/" Id="docRId11" Type="http://schemas.openxmlformats.org/officeDocument/2006/relationships/hyperlink" /><Relationship Target="numbering.xml" Id="docRId15" Type="http://schemas.openxmlformats.org/officeDocument/2006/relationships/numbering" /><Relationship TargetMode="External" Target="https://www.projectmanager.com/blog/project-execution" Id="docRId5" Type="http://schemas.openxmlformats.org/officeDocument/2006/relationships/hyperlink" /><Relationship TargetMode="External" Target="https://www.mnp.ca/en/posts/5-benefits-of-erp-software-in-the-manufacturing-industry" Id="docRId9" Type="http://schemas.openxmlformats.org/officeDocument/2006/relationships/hyperlink" /><Relationship Target="embeddings/oleObject0.bin" Id="docRId0" Type="http://schemas.openxmlformats.org/officeDocument/2006/relationships/oleObject" /><Relationship TargetMode="External" Target="https://www.projecttimes.com/" Id="docRId12" Type="http://schemas.openxmlformats.org/officeDocument/2006/relationships/hyperlink" /><Relationship Target="styles.xml" Id="docRId16" Type="http://schemas.openxmlformats.org/officeDocument/2006/relationships/styles" /><Relationship TargetMode="External" Target="https://efinancemanagement.com/budgeting/budgeting-in-project-management" Id="docRId4" Type="http://schemas.openxmlformats.org/officeDocument/2006/relationships/hyperlink" /><Relationship TargetMode="External" Target="https://www.pmi.org/learning/library/risk-analysis-project-management-7070" Id="docRId8" Type="http://schemas.openxmlformats.org/officeDocument/2006/relationships/hyperlink" /><Relationship TargetMode="External" Target="https://www.projecttimes.com/articles/the-five-goals-of-a-project-manager.html" Id="docRId13" Type="http://schemas.openxmlformats.org/officeDocument/2006/relationships/hyperlink" /><Relationship TargetMode="External" Target="https://www.b.co.uk/company-profile/?the-furniture-practice-108431" Id="docRId3" Type="http://schemas.openxmlformats.org/officeDocument/2006/relationships/hyperlink" /></Relationships>
</file>