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727FA1" w:rsidRPr="00BF1AFB" w:rsidRDefault="00D01C1D" w:rsidP="000A68F5">
      <w:pPr>
        <w:jc w:val="center"/>
        <w:rPr>
          <w:rFonts w:asciiTheme="majorHAnsi" w:hAnsiTheme="majorHAnsi" w:cstheme="majorHAnsi"/>
          <w:b/>
          <w:i/>
          <w:sz w:val="24"/>
          <w:szCs w:val="24"/>
          <w:u w:val="single"/>
          <w:shd w:val="clear" w:color="auto" w:fill="FFFFFF"/>
        </w:rPr>
      </w:pPr>
      <w:r>
        <w:rPr>
          <w:rFonts w:asciiTheme="majorHAnsi" w:hAnsiTheme="majorHAnsi" w:cstheme="majorHAnsi"/>
          <w:b/>
          <w:i/>
          <w:sz w:val="24"/>
          <w:szCs w:val="24"/>
          <w:u w:val="single"/>
          <w:shd w:val="clear" w:color="auto" w:fill="FFFFFF"/>
        </w:rPr>
        <w:t xml:space="preserve">A Reply to </w:t>
      </w:r>
      <w:r w:rsidR="000A68F5" w:rsidRPr="00BF1AFB">
        <w:rPr>
          <w:rFonts w:asciiTheme="majorHAnsi" w:hAnsiTheme="majorHAnsi" w:cstheme="majorHAnsi"/>
          <w:b/>
          <w:i/>
          <w:sz w:val="24"/>
          <w:szCs w:val="24"/>
          <w:u w:val="single"/>
          <w:shd w:val="clear" w:color="auto" w:fill="FFFFFF"/>
        </w:rPr>
        <w:t>James A. Thorne. "Warfare and Agriculture: The Economic Impact of D</w:t>
      </w:r>
      <w:r w:rsidR="000A68F5" w:rsidRPr="00BF1AFB">
        <w:rPr>
          <w:rFonts w:asciiTheme="majorHAnsi" w:hAnsiTheme="majorHAnsi" w:cstheme="majorHAnsi"/>
          <w:b/>
          <w:i/>
          <w:sz w:val="24"/>
          <w:szCs w:val="24"/>
          <w:u w:val="single"/>
          <w:shd w:val="clear" w:color="auto" w:fill="FFFFFF"/>
        </w:rPr>
        <w:t>evastation in Classical Greece.”</w:t>
      </w:r>
    </w:p>
    <w:p w:rsidR="00A91624" w:rsidRDefault="00A91624" w:rsidP="008E2235">
      <w:pPr>
        <w:spacing w:line="480" w:lineRule="auto"/>
        <w:rPr>
          <w:rFonts w:cstheme="minorHAnsi"/>
        </w:rPr>
      </w:pPr>
      <w:bookmarkStart w:id="0" w:name="_GoBack"/>
      <w:r>
        <w:rPr>
          <w:rFonts w:cstheme="minorHAnsi"/>
        </w:rPr>
        <w:t xml:space="preserve">James A. Thorne’s article entitled “Warfare and Agriculture: The Economic impact of Devastation in classical Greece” is a piece that aims to investigate and understand all the elements to agriculture in connection with warfare in classical antiquity, and more specifically Greek classical antiquity, </w:t>
      </w:r>
      <w:r w:rsidR="00AA5A52">
        <w:rPr>
          <w:rFonts w:cstheme="minorHAnsi"/>
        </w:rPr>
        <w:t>furthermore</w:t>
      </w:r>
      <w:r>
        <w:rPr>
          <w:rFonts w:cstheme="minorHAnsi"/>
        </w:rPr>
        <w:t xml:space="preserve"> this article aims to challenge the modern and accepted conceptualisation of the affect that destroying or ravaging agricultural properties in association with a specific peoples has on </w:t>
      </w:r>
      <w:r w:rsidR="00954BCD">
        <w:rPr>
          <w:rFonts w:cstheme="minorHAnsi"/>
        </w:rPr>
        <w:t>said specific peoples. The overall argument put forward within James A. Thorne’s article is that “Sustained devastation could cause food shortage to such an extent that it could be used as a coercive instrument”</w:t>
      </w:r>
      <w:r w:rsidR="00954BCD">
        <w:rPr>
          <w:rStyle w:val="FootnoteReference"/>
          <w:rFonts w:cstheme="minorHAnsi"/>
        </w:rPr>
        <w:footnoteReference w:id="1"/>
      </w:r>
      <w:r w:rsidR="00954BCD">
        <w:rPr>
          <w:rFonts w:cstheme="minorHAnsi"/>
        </w:rPr>
        <w:t>.</w:t>
      </w:r>
    </w:p>
    <w:p w:rsidR="000A68F5" w:rsidRDefault="00AF23B4" w:rsidP="008E2235">
      <w:pPr>
        <w:spacing w:line="480" w:lineRule="auto"/>
        <w:rPr>
          <w:rFonts w:cstheme="minorHAnsi"/>
        </w:rPr>
      </w:pPr>
      <w:r>
        <w:rPr>
          <w:rFonts w:cstheme="minorHAnsi"/>
        </w:rPr>
        <w:t xml:space="preserve">The aim within </w:t>
      </w:r>
      <w:r w:rsidR="00A91624">
        <w:rPr>
          <w:rFonts w:cstheme="minorHAnsi"/>
        </w:rPr>
        <w:t xml:space="preserve">our own </w:t>
      </w:r>
      <w:r>
        <w:rPr>
          <w:rFonts w:cstheme="minorHAnsi"/>
        </w:rPr>
        <w:t xml:space="preserve">this piece of work is to reply to the given article in a relatively </w:t>
      </w:r>
      <w:r w:rsidR="009B0403">
        <w:rPr>
          <w:rFonts w:cstheme="minorHAnsi"/>
        </w:rPr>
        <w:t>positive manner.</w:t>
      </w:r>
      <w:r w:rsidR="006A7B9B">
        <w:rPr>
          <w:rFonts w:cstheme="minorHAnsi"/>
        </w:rPr>
        <w:t xml:space="preserve"> Now, to reply to an article one must essentially evaluate the article on several categories and then provide commentary or the highlights and key good points and arguments as well as the key negative points and arguments of the article.</w:t>
      </w:r>
      <w:r w:rsidR="009B0403">
        <w:rPr>
          <w:rFonts w:cstheme="minorHAnsi"/>
        </w:rPr>
        <w:t xml:space="preserve"> However </w:t>
      </w:r>
      <w:r w:rsidR="006A7B9B">
        <w:rPr>
          <w:rFonts w:cstheme="minorHAnsi"/>
        </w:rPr>
        <w:t xml:space="preserve">even though this rely is that of a positive nature that does not mean that </w:t>
      </w:r>
      <w:r w:rsidR="009B0403">
        <w:rPr>
          <w:rFonts w:cstheme="minorHAnsi"/>
        </w:rPr>
        <w:t>there will</w:t>
      </w:r>
      <w:r w:rsidR="006A7B9B">
        <w:rPr>
          <w:rFonts w:cstheme="minorHAnsi"/>
        </w:rPr>
        <w:t xml:space="preserve"> not</w:t>
      </w:r>
      <w:r w:rsidR="009B0403">
        <w:rPr>
          <w:rFonts w:cstheme="minorHAnsi"/>
        </w:rPr>
        <w:t xml:space="preserve"> be negative aspects to this </w:t>
      </w:r>
      <w:r w:rsidR="006A7B9B">
        <w:rPr>
          <w:rFonts w:cstheme="minorHAnsi"/>
        </w:rPr>
        <w:t>evaluation of the article as to make sure and show that there is no bia</w:t>
      </w:r>
      <w:r w:rsidR="00482C46">
        <w:rPr>
          <w:rFonts w:cstheme="minorHAnsi"/>
        </w:rPr>
        <w:t>s, and this will hopefully allow us to ascertain the important information from the article and allows us to understand the upbringings and downfalls of the piece as a whole.</w:t>
      </w:r>
      <w:r w:rsidR="00351428">
        <w:rPr>
          <w:rFonts w:cstheme="minorHAnsi"/>
        </w:rPr>
        <w:t xml:space="preserve"> </w:t>
      </w:r>
    </w:p>
    <w:p w:rsidR="00FD608A" w:rsidRDefault="00351428" w:rsidP="008E2235">
      <w:pPr>
        <w:spacing w:line="480" w:lineRule="auto"/>
        <w:rPr>
          <w:rFonts w:cstheme="minorHAnsi"/>
        </w:rPr>
      </w:pPr>
      <w:r>
        <w:rPr>
          <w:rFonts w:cstheme="minorHAnsi"/>
        </w:rPr>
        <w:t xml:space="preserve">“Warfare and Agriculture: The Economic Impact of Devastation in classical Greece” by James A. Thorne is relatively well thought out and planned, the simple organisation of the piece is brilliant as it allows a clear focus on key areas of his own argument and is accessible for the readers as each chapter is clearly shown as separate and </w:t>
      </w:r>
      <w:r w:rsidR="00AD17BC">
        <w:rPr>
          <w:rFonts w:cstheme="minorHAnsi"/>
        </w:rPr>
        <w:t>each sections points and argument as well as their evidence is clearly definable and presented to the reader.</w:t>
      </w:r>
      <w:r w:rsidR="001B73E5">
        <w:rPr>
          <w:rFonts w:cstheme="minorHAnsi"/>
        </w:rPr>
        <w:br/>
        <w:t xml:space="preserve">The fact that this article has been laid out into separate chapters or sections and that each of these </w:t>
      </w:r>
      <w:r w:rsidR="001B73E5">
        <w:rPr>
          <w:rFonts w:cstheme="minorHAnsi"/>
        </w:rPr>
        <w:lastRenderedPageBreak/>
        <w:t>chapters/sections have their own subsections makes the work of evaluating and replying to this article a lot easier as the main arguments can be cleanly picked out from the mass of the text and then used in whichever way benefits the p</w:t>
      </w:r>
      <w:r w:rsidR="000658BF">
        <w:rPr>
          <w:rFonts w:cstheme="minorHAnsi"/>
        </w:rPr>
        <w:t xml:space="preserve">urpose and intent of the reply. </w:t>
      </w:r>
      <w:r w:rsidR="000658BF">
        <w:rPr>
          <w:rFonts w:cstheme="minorHAnsi"/>
        </w:rPr>
        <w:br/>
        <w:t>The sections that this article have been split into go a long way to organise the arguments presented forth throughout the entire piece and in each individual sections. These sections are “The attack on agriculture”</w:t>
      </w:r>
      <w:r w:rsidR="000658BF">
        <w:rPr>
          <w:rStyle w:val="FootnoteReference"/>
          <w:rFonts w:cstheme="minorHAnsi"/>
        </w:rPr>
        <w:footnoteReference w:id="2"/>
      </w:r>
      <w:r w:rsidR="000658BF">
        <w:rPr>
          <w:rFonts w:cstheme="minorHAnsi"/>
        </w:rPr>
        <w:t>, “The defence of agriculture”</w:t>
      </w:r>
      <w:r w:rsidR="000658BF">
        <w:rPr>
          <w:rStyle w:val="FootnoteReference"/>
          <w:rFonts w:cstheme="minorHAnsi"/>
        </w:rPr>
        <w:footnoteReference w:id="3"/>
      </w:r>
      <w:r w:rsidR="000658BF">
        <w:rPr>
          <w:rFonts w:cstheme="minorHAnsi"/>
        </w:rPr>
        <w:t>, and “The devastation of Attica in the Peloponnesian war”</w:t>
      </w:r>
      <w:r w:rsidR="000658BF">
        <w:rPr>
          <w:rStyle w:val="FootnoteReference"/>
          <w:rFonts w:cstheme="minorHAnsi"/>
        </w:rPr>
        <w:footnoteReference w:id="4"/>
      </w:r>
      <w:r w:rsidR="000658BF">
        <w:rPr>
          <w:rFonts w:cstheme="minorHAnsi"/>
        </w:rPr>
        <w:t>. These sections each clearly articulate the arguments presented forth within each one. Now as to the challenge of writing a reply to this article the sectioned structure of the article does readily</w:t>
      </w:r>
      <w:r w:rsidR="00C75356">
        <w:rPr>
          <w:rFonts w:cstheme="minorHAnsi"/>
        </w:rPr>
        <w:t xml:space="preserve"> and sufficiently aid with the completion</w:t>
      </w:r>
      <w:r w:rsidR="00FD608A">
        <w:rPr>
          <w:rFonts w:cstheme="minorHAnsi"/>
        </w:rPr>
        <w:t xml:space="preserve"> of this task, and in order to do this we shall go through the article progressively focusing on one section at a time and looking at connections between the separate sections when needed.</w:t>
      </w:r>
    </w:p>
    <w:p w:rsidR="00954BCD" w:rsidRDefault="00954BCD" w:rsidP="008E2235">
      <w:pPr>
        <w:spacing w:line="480" w:lineRule="auto"/>
        <w:rPr>
          <w:rFonts w:cstheme="minorHAnsi"/>
        </w:rPr>
      </w:pPr>
      <w:r>
        <w:rPr>
          <w:rFonts w:cstheme="minorHAnsi"/>
        </w:rPr>
        <w:t xml:space="preserve">The introduction to James A. Thorne’s article states his main argument that </w:t>
      </w:r>
      <w:r>
        <w:rPr>
          <w:rFonts w:cstheme="minorHAnsi"/>
        </w:rPr>
        <w:t>“Sustained devastation could cause food shortage to such an extent that it could be used as a coercive instrument”</w:t>
      </w:r>
      <w:r>
        <w:rPr>
          <w:rStyle w:val="FootnoteReference"/>
          <w:rFonts w:cstheme="minorHAnsi"/>
        </w:rPr>
        <w:footnoteReference w:id="5"/>
      </w:r>
      <w:r w:rsidR="00CC507A">
        <w:rPr>
          <w:rFonts w:cstheme="minorHAnsi"/>
        </w:rPr>
        <w:t xml:space="preserve">, now this is a concept taken from a statement and moulded into an argument from an example within </w:t>
      </w:r>
      <w:proofErr w:type="spellStart"/>
      <w:r w:rsidR="00CC507A">
        <w:rPr>
          <w:rFonts w:cstheme="minorHAnsi"/>
        </w:rPr>
        <w:t>Xenaphon’s</w:t>
      </w:r>
      <w:proofErr w:type="spellEnd"/>
      <w:r w:rsidR="00CC507A">
        <w:rPr>
          <w:rFonts w:cstheme="minorHAnsi"/>
        </w:rPr>
        <w:t xml:space="preserve"> “Hellenica” which states that “</w:t>
      </w:r>
      <w:r w:rsidR="00CC507A">
        <w:t xml:space="preserve">in the early 360s Thebes’ allies were ravaging </w:t>
      </w:r>
      <w:proofErr w:type="spellStart"/>
      <w:r w:rsidR="00CC507A">
        <w:t>Phlius</w:t>
      </w:r>
      <w:proofErr w:type="spellEnd"/>
      <w:r w:rsidR="00CC507A">
        <w:t>”</w:t>
      </w:r>
      <w:r w:rsidR="00CC507A">
        <w:rPr>
          <w:rStyle w:val="FootnoteReference"/>
        </w:rPr>
        <w:footnoteReference w:id="6"/>
      </w:r>
      <w:r w:rsidR="00CC507A">
        <w:t xml:space="preserve"> and that t</w:t>
      </w:r>
      <w:r w:rsidR="00CC507A">
        <w:t>he city was “in great difficulties and suffering from a shortage of food</w:t>
      </w:r>
      <w:r w:rsidR="00CC507A">
        <w:t>”</w:t>
      </w:r>
      <w:r w:rsidR="00CC507A">
        <w:rPr>
          <w:rStyle w:val="FootnoteReference"/>
        </w:rPr>
        <w:footnoteReference w:id="7"/>
      </w:r>
      <w:r w:rsidR="001B073D">
        <w:t xml:space="preserve">. James A. Thorne then goes on to explain that his use of Hanson is justified due to his argument that the agricultural devastation was a </w:t>
      </w:r>
      <w:r w:rsidR="001B073D">
        <w:t>“catalyst for hoplite battle,”</w:t>
      </w:r>
      <w:r w:rsidR="001B073D">
        <w:rPr>
          <w:rStyle w:val="FootnoteReference"/>
        </w:rPr>
        <w:footnoteReference w:id="8"/>
      </w:r>
      <w:r w:rsidR="001B073D">
        <w:t xml:space="preserve"> which in the article is said to be “</w:t>
      </w:r>
      <w:r w:rsidR="001B073D">
        <w:t>essentially an intolerable affront to a city’s pride</w:t>
      </w:r>
      <w:r w:rsidR="001B073D">
        <w:t>”</w:t>
      </w:r>
      <w:r w:rsidR="001B073D">
        <w:rPr>
          <w:rStyle w:val="FootnoteReference"/>
        </w:rPr>
        <w:footnoteReference w:id="9"/>
      </w:r>
      <w:r w:rsidR="00B6559A">
        <w:t xml:space="preserve">. By using these references to other modern scholarship and to ancient sources Thorne manages to articulate his main point and argument clearly without making it feel like the statement is being forced upon you. The fact he has used multiple pieces of modern </w:t>
      </w:r>
      <w:r w:rsidR="00B6559A">
        <w:lastRenderedPageBreak/>
        <w:t xml:space="preserve">scholarship and ancient sources allows us to accurately gauge the widespread acceptance of this statement. However it can and will be argued within this piece that his lack of other ancient sources and direct quotations from both ancient sources and modern scholarship definitely do have an impact on </w:t>
      </w:r>
      <w:r w:rsidR="009845C6">
        <w:t>the effect that this argument is trying to have upon the reader, this impact is a negative one as it can be seen that there are several pieces of modern scholarship and ancient sources that do contest this argumentative point.</w:t>
      </w:r>
    </w:p>
    <w:p w:rsidR="000658BF" w:rsidRDefault="00FD608A" w:rsidP="008E2235">
      <w:pPr>
        <w:spacing w:line="480" w:lineRule="auto"/>
      </w:pPr>
      <w:r>
        <w:rPr>
          <w:rFonts w:cstheme="minorHAnsi"/>
        </w:rPr>
        <w:t>Firstly let’s start with section one. Well entitled “The attack on agriculture”</w:t>
      </w:r>
      <w:r>
        <w:rPr>
          <w:rStyle w:val="FootnoteReference"/>
          <w:rFonts w:cstheme="minorHAnsi"/>
        </w:rPr>
        <w:footnoteReference w:id="10"/>
      </w:r>
      <w:r>
        <w:rPr>
          <w:rFonts w:cstheme="minorHAnsi"/>
        </w:rPr>
        <w:t>, throughout this section the author of the article goes to great length to discuss the ways and means in which agriculture has been used within antiquity in an aggressive nature. The first subsection of this section is entitled “Techniques”</w:t>
      </w:r>
      <w:r>
        <w:rPr>
          <w:rStyle w:val="FootnoteReference"/>
          <w:rFonts w:cstheme="minorHAnsi"/>
        </w:rPr>
        <w:footnoteReference w:id="11"/>
      </w:r>
      <w:r w:rsidR="008E2235">
        <w:rPr>
          <w:rFonts w:cstheme="minorHAnsi"/>
        </w:rPr>
        <w:t xml:space="preserve"> this sub section goes onto explain all the different methods and variations of such methods that have been used in conjuncture with either agriculture or the destruction of agriculture within Greek conflict during antiquity, within this sub section </w:t>
      </w:r>
      <w:r w:rsidR="00805790">
        <w:rPr>
          <w:rFonts w:cstheme="minorHAnsi"/>
        </w:rPr>
        <w:t xml:space="preserve">James A. Thorne mainly uses modern scholarship to emphasise his point, the modern scholarship he uses is mainly that of L. </w:t>
      </w:r>
      <w:proofErr w:type="spellStart"/>
      <w:r w:rsidR="00805790">
        <w:rPr>
          <w:rFonts w:cstheme="minorHAnsi"/>
        </w:rPr>
        <w:t>Foxhall</w:t>
      </w:r>
      <w:proofErr w:type="spellEnd"/>
      <w:r w:rsidR="00805790">
        <w:rPr>
          <w:rFonts w:cstheme="minorHAnsi"/>
        </w:rPr>
        <w:t xml:space="preserve"> and H.A. Forbes in their piece entitled “The Role of Grain as a Staple Food in Classical Antiquity” , as well as that off L. </w:t>
      </w:r>
      <w:proofErr w:type="spellStart"/>
      <w:r w:rsidR="00805790">
        <w:rPr>
          <w:rFonts w:cstheme="minorHAnsi"/>
        </w:rPr>
        <w:t>Casson’s</w:t>
      </w:r>
      <w:proofErr w:type="spellEnd"/>
      <w:r w:rsidR="00805790">
        <w:rPr>
          <w:rFonts w:cstheme="minorHAnsi"/>
        </w:rPr>
        <w:t xml:space="preserve"> work called “Ships and Seamanship in the Ancient World”. Alongside these pieces of modern scholarship James A. Thorne also uses ancient sources to their full effect, these sources include yet are not limited to Plutarch’s “</w:t>
      </w:r>
      <w:proofErr w:type="spellStart"/>
      <w:r w:rsidR="00805790">
        <w:rPr>
          <w:rFonts w:cstheme="minorHAnsi"/>
        </w:rPr>
        <w:t>Cleomones</w:t>
      </w:r>
      <w:proofErr w:type="spellEnd"/>
      <w:r w:rsidR="00805790">
        <w:rPr>
          <w:rFonts w:cstheme="minorHAnsi"/>
        </w:rPr>
        <w:t xml:space="preserve">”, </w:t>
      </w:r>
      <w:proofErr w:type="spellStart"/>
      <w:r w:rsidR="00805790">
        <w:rPr>
          <w:rFonts w:cstheme="minorHAnsi"/>
        </w:rPr>
        <w:t>Arrian’s</w:t>
      </w:r>
      <w:proofErr w:type="spellEnd"/>
      <w:r w:rsidR="00805790">
        <w:rPr>
          <w:rFonts w:cstheme="minorHAnsi"/>
        </w:rPr>
        <w:t xml:space="preserve"> “</w:t>
      </w:r>
      <w:proofErr w:type="spellStart"/>
      <w:r w:rsidR="00805790">
        <w:rPr>
          <w:rFonts w:cstheme="minorHAnsi"/>
        </w:rPr>
        <w:t>Annabasis</w:t>
      </w:r>
      <w:proofErr w:type="spellEnd"/>
      <w:r w:rsidR="00805790">
        <w:rPr>
          <w:rFonts w:cstheme="minorHAnsi"/>
        </w:rPr>
        <w:t xml:space="preserve"> and</w:t>
      </w:r>
      <w:r w:rsidR="00A35EFA">
        <w:rPr>
          <w:rFonts w:cstheme="minorHAnsi"/>
        </w:rPr>
        <w:t xml:space="preserve"> as well as a few selected works from</w:t>
      </w:r>
      <w:r w:rsidR="00805790">
        <w:rPr>
          <w:rFonts w:cstheme="minorHAnsi"/>
        </w:rPr>
        <w:t xml:space="preserve"> Thucydides. </w:t>
      </w:r>
      <w:r w:rsidR="004B27FF">
        <w:rPr>
          <w:rFonts w:cstheme="minorHAnsi"/>
        </w:rPr>
        <w:t xml:space="preserve">The general premise of this sub section is an examination in to the efficiency of destroying the specific types of agriculture in ancient Greece, which is described as the </w:t>
      </w:r>
      <w:r w:rsidR="008E6F39">
        <w:t>“Mediterranean triad”</w:t>
      </w:r>
      <w:r w:rsidR="008E6F39">
        <w:rPr>
          <w:rStyle w:val="FootnoteReference"/>
        </w:rPr>
        <w:footnoteReference w:id="12"/>
      </w:r>
      <w:r w:rsidR="008E6F39">
        <w:t xml:space="preserve"> which seems to be a term used to encapsulate the three major agricultural crops grown in ancient Greece, which are of course, cereals, olives and vines. Thorne states within this sub section that in relation to Hanson’s case study of the same topic within the devastation of Attica is “misleading”</w:t>
      </w:r>
      <w:r w:rsidR="008E6F39">
        <w:rPr>
          <w:rStyle w:val="FootnoteReference"/>
        </w:rPr>
        <w:footnoteReference w:id="13"/>
      </w:r>
      <w:r w:rsidR="008E6F39">
        <w:t xml:space="preserve">.and that he disagrees with Hanson’s second chapter that is </w:t>
      </w:r>
      <w:r w:rsidR="008E6F39">
        <w:lastRenderedPageBreak/>
        <w:t>“full of the problems of doing so”</w:t>
      </w:r>
      <w:r w:rsidR="008E6F39">
        <w:rPr>
          <w:rStyle w:val="FootnoteReference"/>
        </w:rPr>
        <w:footnoteReference w:id="14"/>
      </w:r>
      <w:r w:rsidR="008E6F39">
        <w:t xml:space="preserve"> and that Hanson’s analysis of the given topic was only “partial, and turns out to be misleading”</w:t>
      </w:r>
      <w:r w:rsidR="008E6F39">
        <w:rPr>
          <w:rStyle w:val="FootnoteReference"/>
        </w:rPr>
        <w:footnoteReference w:id="15"/>
      </w:r>
    </w:p>
    <w:p w:rsidR="00152E82" w:rsidRDefault="00E73B27" w:rsidP="008E2235">
      <w:pPr>
        <w:spacing w:line="480" w:lineRule="auto"/>
      </w:pPr>
      <w:r>
        <w:t xml:space="preserve">The second sub section of </w:t>
      </w:r>
      <w:r w:rsidR="00B92972">
        <w:t>the first section</w:t>
      </w:r>
      <w:r>
        <w:t xml:space="preserve"> is entitled “Conduct of ravaging operations”. Within this sub section Thorne proceeds to put the techniques of ravaging that have only been discussed in abstract into an operational context, and then goes on to state that all ravaging operations can be categorised into three separate categories, general invasion, amphibious raiding and finally fortified occupation. Thorne continues on within this subsection to describe and evaluate the three different categories and types of ravaging that he has previously listed out within his article. To do this he uses multiple pieces of modern scholarship and numerous ancient sources to support the implemented reg</w:t>
      </w:r>
      <w:r w:rsidR="00DD0383">
        <w:t xml:space="preserve">imentation of his categories. </w:t>
      </w:r>
    </w:p>
    <w:p w:rsidR="00B92972" w:rsidRDefault="00B92972" w:rsidP="008E2235">
      <w:pPr>
        <w:spacing w:line="480" w:lineRule="auto"/>
      </w:pPr>
      <w:r>
        <w:t>Section two is entitled “The defence of agriculture”</w:t>
      </w:r>
      <w:r>
        <w:rPr>
          <w:rStyle w:val="FootnoteReference"/>
        </w:rPr>
        <w:footnoteReference w:id="16"/>
      </w:r>
      <w:r>
        <w:t xml:space="preserve"> and is used as a staging point for Thorne to evaluate, investigate and discuss the possibilities, pros and cons of how defending the agriculture in classical antiquity would be done and how it can be argued that there was no one hundred percent positive way in which to defend agricultural settlements and the general agriculture from ravaging, raiding and desolation. </w:t>
      </w:r>
      <w:r w:rsidR="009F4DFB">
        <w:t>Within this section Thorne goes on to list several methods which were used in order to hopefully better protect he agricultural settlements and land, for example “Farm towers”</w:t>
      </w:r>
      <w:r w:rsidR="009F4DFB">
        <w:rPr>
          <w:rStyle w:val="FootnoteReference"/>
        </w:rPr>
        <w:footnoteReference w:id="17"/>
      </w:r>
      <w:r w:rsidR="009F4DFB">
        <w:t>, the “Evacuation of moveable property”</w:t>
      </w:r>
      <w:r w:rsidR="009F4DFB">
        <w:rPr>
          <w:rStyle w:val="FootnoteReference"/>
        </w:rPr>
        <w:footnoteReference w:id="18"/>
      </w:r>
      <w:r w:rsidR="009F4DFB">
        <w:t>, “Evacuation of livestock”</w:t>
      </w:r>
      <w:r w:rsidR="009F4DFB">
        <w:rPr>
          <w:rStyle w:val="FootnoteReference"/>
        </w:rPr>
        <w:footnoteReference w:id="19"/>
      </w:r>
      <w:r w:rsidR="009F4DFB">
        <w:t>, and finally “Delay and harassment”</w:t>
      </w:r>
      <w:r w:rsidR="009F4DFB">
        <w:rPr>
          <w:rStyle w:val="FootnoteReference"/>
        </w:rPr>
        <w:footnoteReference w:id="20"/>
      </w:r>
      <w:r w:rsidR="009F4DFB">
        <w:t xml:space="preserve"> these four methods that are presented in this section of James A. Thorne’s article are </w:t>
      </w:r>
      <w:r w:rsidR="00725171">
        <w:t xml:space="preserve">commented upon in regards to their efficiency, strategic viability, and the ability it took to carry out such plans. </w:t>
      </w:r>
      <w:r w:rsidR="00AE725A">
        <w:t>The benefits and downfalls of these four plans are also brought into consider</w:t>
      </w:r>
      <w:r w:rsidR="00154208">
        <w:t>ation and with the</w:t>
      </w:r>
      <w:r w:rsidR="00AE725A">
        <w:t xml:space="preserve"> reference</w:t>
      </w:r>
      <w:r w:rsidR="00154208">
        <w:t>s to</w:t>
      </w:r>
      <w:r w:rsidR="00AE725A">
        <w:t xml:space="preserve"> and use of modern scholarship and ancient sources can be seen to be </w:t>
      </w:r>
      <w:r w:rsidR="00AE725A">
        <w:lastRenderedPageBreak/>
        <w:t>evaluated and the liability and viability of the sources used to create these four plans of action are also taken into consideration.</w:t>
      </w:r>
      <w:r w:rsidR="00B64C5A">
        <w:t xml:space="preserve"> Within section two Thorne states that “</w:t>
      </w:r>
      <w:r w:rsidR="00B64C5A">
        <w:t>During the invasions Attic grain was not only destroyed, but also eaten by enemy troops</w:t>
      </w:r>
      <w:r w:rsidR="00B64C5A">
        <w:t>”</w:t>
      </w:r>
      <w:r w:rsidR="00B64C5A">
        <w:rPr>
          <w:rStyle w:val="FootnoteReference"/>
        </w:rPr>
        <w:footnoteReference w:id="21"/>
      </w:r>
      <w:r w:rsidR="00B64C5A">
        <w:t xml:space="preserve"> this is accompanied by a chart showing the estimated consumption and cost of attic grain by an invading forces, this helps his point in the viability of agricultural devastation, however in a different way, no longer arguing for the pure destruction of the “Mediterranean triad” meaning vines, olives and cereals, but also implicating the opposing force eating the food sources as part of agricultural devastation. “</w:t>
      </w:r>
      <w:proofErr w:type="gramStart"/>
      <w:r w:rsidR="00B64C5A">
        <w:t>since</w:t>
      </w:r>
      <w:proofErr w:type="gramEnd"/>
      <w:r w:rsidR="00B64C5A">
        <w:t xml:space="preserve"> we know the size of the invasion forces and the duration of the invasions, we can calculate with some accuracy how much they must have eaten during their various stays</w:t>
      </w:r>
      <w:r w:rsidR="00B64C5A">
        <w:t>”</w:t>
      </w:r>
      <w:r w:rsidR="00B64C5A">
        <w:rPr>
          <w:rStyle w:val="FootnoteReference"/>
        </w:rPr>
        <w:footnoteReference w:id="22"/>
      </w:r>
    </w:p>
    <w:p w:rsidR="00705B46" w:rsidRDefault="00AE725A" w:rsidP="008E2235">
      <w:pPr>
        <w:spacing w:line="480" w:lineRule="auto"/>
      </w:pPr>
      <w:r>
        <w:t>Section three is relatively sufficiently entitled “The devastation of Attica in the Peloponnesian war”</w:t>
      </w:r>
      <w:r>
        <w:rPr>
          <w:rStyle w:val="FootnoteReference"/>
        </w:rPr>
        <w:footnoteReference w:id="23"/>
      </w:r>
      <w:r>
        <w:t>. This section title does well to introduce the reader to the idea of the theories and arguments that are going to be taking place within this current and recently referred</w:t>
      </w:r>
      <w:r w:rsidR="009D7698">
        <w:t xml:space="preserve"> to section. The first line of this section “</w:t>
      </w:r>
      <w:r w:rsidR="009D7698">
        <w:t>During the Peloponnesian War, Attica was devastated using both the land-based types of operation outlined</w:t>
      </w:r>
      <w:r w:rsidR="009D7698">
        <w:t>”</w:t>
      </w:r>
      <w:r w:rsidR="009D7698">
        <w:rPr>
          <w:rStyle w:val="FootnoteReference"/>
        </w:rPr>
        <w:footnoteReference w:id="24"/>
      </w:r>
      <w:r w:rsidR="009D7698">
        <w:t xml:space="preserve"> introduces the topic of the section well and then Thorne continues on to explain the agricultural issues and problems that took place during the Peloponnesian war and how they were either thought of or counteracted in ensuing ancient sources or of </w:t>
      </w:r>
      <w:r w:rsidR="004334AE">
        <w:t>course</w:t>
      </w:r>
      <w:r w:rsidR="009D7698">
        <w:t xml:space="preserve"> the more recent pieces of modern scholarship</w:t>
      </w:r>
      <w:r w:rsidR="004334AE">
        <w:t>. Within this section Thorne argues against a currently accepted argument within some modern scholarship that “</w:t>
      </w:r>
      <w:r w:rsidR="004334AE">
        <w:t>scholars who disparage the effectiveness of devastation have gone so far as to maintain that the early invasions hardly interfered with agriculture at all</w:t>
      </w:r>
      <w:r w:rsidR="004334AE">
        <w:t>”</w:t>
      </w:r>
      <w:r w:rsidR="004334AE">
        <w:rPr>
          <w:rStyle w:val="FootnoteReference"/>
        </w:rPr>
        <w:footnoteReference w:id="25"/>
      </w:r>
      <w:r w:rsidR="00154208">
        <w:t xml:space="preserve">. This point in essence is the key argument that Thorne is arguing against in the entirety of this section, even if in actuality the argument being argued against isn’t stated at this one, if it is within this section then there will be and always is some form of key link back to the main </w:t>
      </w:r>
      <w:r w:rsidR="00154208">
        <w:lastRenderedPageBreak/>
        <w:t>disputed argument given within the first paragraph of this section</w:t>
      </w:r>
      <w:proofErr w:type="gramStart"/>
      <w:r w:rsidR="00154208">
        <w:t>.</w:t>
      </w:r>
      <w:proofErr w:type="gramEnd"/>
      <w:r w:rsidR="00705B46">
        <w:br/>
        <w:t>“</w:t>
      </w:r>
      <w:r w:rsidR="00705B46">
        <w:t>Lysander’s victory at Aegospotami and seizure of the Bosporus meant an end to Pontic grain supplies, and famine for Athens</w:t>
      </w:r>
      <w:r w:rsidR="00705B46">
        <w:t xml:space="preserve">” Thornes mention of Lysander’s capture of the Bosporus and the subsequent cut in the Pontic grain supplies shows that the idea of agricultural devastation is not an un heard of situation and that the subsequent famine within Athens is vital proof that this operational tactic as Thorne calls it does indeed work. James A. Thorne’s </w:t>
      </w:r>
      <w:proofErr w:type="spellStart"/>
      <w:r w:rsidR="00705B46">
        <w:t>refences</w:t>
      </w:r>
      <w:proofErr w:type="spellEnd"/>
      <w:r w:rsidR="00705B46">
        <w:t xml:space="preserve"> to ancient sources with backing of multiple modern scholarships does well to allow the reader a better understanding of how the situation of agricultural devastation could have worked. However this does apply to this specific point as the little evidence used by Thorne to support his statement can be called unreliable at the best of times.</w:t>
      </w:r>
    </w:p>
    <w:p w:rsidR="00154208" w:rsidRDefault="00154208" w:rsidP="008E2235">
      <w:pPr>
        <w:spacing w:line="480" w:lineRule="auto"/>
      </w:pPr>
      <w:r>
        <w:t xml:space="preserve">Section four within James A. Thorne’s article entitled </w:t>
      </w:r>
      <w:r>
        <w:rPr>
          <w:rFonts w:cstheme="minorHAnsi"/>
        </w:rPr>
        <w:t>“Warfare and Agriculture: The Economic impact of Devastation in classical Greece”</w:t>
      </w:r>
      <w:r>
        <w:rPr>
          <w:rFonts w:cstheme="minorHAnsi"/>
        </w:rPr>
        <w:t xml:space="preserve"> is that of his conclusion to the entire article. His first line of the first paragraph of this conclusion do</w:t>
      </w:r>
      <w:r w:rsidR="0041606F">
        <w:rPr>
          <w:rFonts w:cstheme="minorHAnsi"/>
        </w:rPr>
        <w:t>es well to sum up his entire aim of this article,</w:t>
      </w:r>
      <w:r>
        <w:rPr>
          <w:rFonts w:cstheme="minorHAnsi"/>
        </w:rPr>
        <w:t xml:space="preserve"> “</w:t>
      </w:r>
      <w:r>
        <w:t>It is time to rehabilitate the view of devastation as a formidable threat to the survival of victim cities.</w:t>
      </w:r>
      <w:r>
        <w:t>”</w:t>
      </w:r>
      <w:r>
        <w:rPr>
          <w:rStyle w:val="FootnoteReference"/>
        </w:rPr>
        <w:footnoteReference w:id="26"/>
      </w:r>
      <w:r w:rsidR="003B1000">
        <w:t xml:space="preserve"> Thorne then goes on to state that he agrees with </w:t>
      </w:r>
      <w:proofErr w:type="spellStart"/>
      <w:r w:rsidR="003B1000">
        <w:t>Gomme</w:t>
      </w:r>
      <w:proofErr w:type="spellEnd"/>
      <w:r w:rsidR="003B1000">
        <w:t xml:space="preserve"> and that the “</w:t>
      </w:r>
      <w:r w:rsidR="003B1000">
        <w:t>grain harvest was worth fighting for</w:t>
      </w:r>
      <w:r w:rsidR="003B1000">
        <w:t>”</w:t>
      </w:r>
      <w:r w:rsidR="003B1000">
        <w:rPr>
          <w:rStyle w:val="FootnoteReference"/>
        </w:rPr>
        <w:footnoteReference w:id="27"/>
      </w:r>
      <w:r w:rsidR="00E43700">
        <w:t>.</w:t>
      </w:r>
      <w:r w:rsidR="007732F4">
        <w:t xml:space="preserve"> “</w:t>
      </w:r>
      <w:r w:rsidR="007732F4">
        <w:t>For several years the Spartans and their allies in Attica ate forty or fifty talents worth of grain</w:t>
      </w:r>
      <w:r w:rsidR="007732F4">
        <w:t>”</w:t>
      </w:r>
      <w:r w:rsidR="007732F4">
        <w:rPr>
          <w:rStyle w:val="FootnoteReference"/>
        </w:rPr>
        <w:footnoteReference w:id="28"/>
      </w:r>
      <w:r w:rsidR="007732F4">
        <w:t xml:space="preserve"> this statement within Thorne’s conclusion goes a long way to show and enhances the idea that even without particularly adhering to the idea of agricultural devastation, even just being the agriculture being animals or crops, just being eaten by an invading force goes a long way to disrupting the supplies and stockpiles that would be needed by the people of Attica or </w:t>
      </w:r>
      <w:r w:rsidR="00332E36">
        <w:t xml:space="preserve">of any people </w:t>
      </w:r>
      <w:r w:rsidR="007732F4">
        <w:t>anywhere within Greek classical antiquity</w:t>
      </w:r>
    </w:p>
    <w:p w:rsidR="00E43700" w:rsidRDefault="00E43700" w:rsidP="008E2235">
      <w:pPr>
        <w:spacing w:line="480" w:lineRule="auto"/>
        <w:rPr>
          <w:rFonts w:cstheme="minorHAnsi"/>
        </w:rPr>
      </w:pPr>
      <w:r>
        <w:t xml:space="preserve">In conclusion to this entire reply to the scholarly article of </w:t>
      </w:r>
      <w:r w:rsidR="00DC515A">
        <w:rPr>
          <w:rFonts w:cstheme="minorHAnsi"/>
        </w:rPr>
        <w:t>“Warfare and Agriculture: The Economic impact of Devastation in classical Greece”</w:t>
      </w:r>
      <w:r w:rsidR="00DC515A">
        <w:rPr>
          <w:rFonts w:cstheme="minorHAnsi"/>
        </w:rPr>
        <w:t xml:space="preserve"> by James A. Thorne the response is quite positive. Given </w:t>
      </w:r>
      <w:r w:rsidR="00DC515A">
        <w:rPr>
          <w:rFonts w:cstheme="minorHAnsi"/>
        </w:rPr>
        <w:lastRenderedPageBreak/>
        <w:t>the organisation and layout of his article and the constant references to both modern scholarship and ancient sources James A. Thorne does well to organise his arguments and to put into place his opinions of other authors of modern scholarship, he is also not entirely afraid to go against the common place and standardly accepted ideas and arguments about the legitimacy of agricultural devastation in a time of war specifically within Greek classical Antiquity. The use of other modern scholarship and ancient sources as well as their variety goes a long way to help any reader understand the positive and negative point about agricultural devastation as well as helping in the understanding of both commonly accepted and non-commonly accepted theories and arguments about the intricacies of agricultural devastation.</w:t>
      </w:r>
    </w:p>
    <w:bookmarkEnd w:id="0"/>
    <w:p w:rsidR="002E2146" w:rsidRDefault="002E2146" w:rsidP="008E2235">
      <w:pPr>
        <w:spacing w:line="480" w:lineRule="auto"/>
        <w:rPr>
          <w:rFonts w:cstheme="minorHAnsi"/>
        </w:rPr>
      </w:pPr>
    </w:p>
    <w:p w:rsidR="002E2146" w:rsidRDefault="002E2146" w:rsidP="002E2146">
      <w:pPr>
        <w:jc w:val="center"/>
        <w:rPr>
          <w:rFonts w:asciiTheme="majorHAnsi" w:hAnsiTheme="majorHAnsi" w:cstheme="majorHAnsi"/>
          <w:b/>
          <w:i/>
          <w:sz w:val="24"/>
          <w:szCs w:val="24"/>
          <w:u w:val="single"/>
        </w:rPr>
      </w:pPr>
    </w:p>
    <w:p w:rsidR="002E2146" w:rsidRDefault="002E2146" w:rsidP="002E2146">
      <w:pPr>
        <w:jc w:val="center"/>
        <w:rPr>
          <w:rFonts w:asciiTheme="majorHAnsi" w:hAnsiTheme="majorHAnsi" w:cstheme="majorHAnsi"/>
          <w:b/>
          <w:i/>
          <w:sz w:val="24"/>
          <w:szCs w:val="24"/>
          <w:u w:val="single"/>
        </w:rPr>
      </w:pPr>
    </w:p>
    <w:p w:rsidR="002E2146" w:rsidRDefault="002E2146" w:rsidP="002E2146">
      <w:pPr>
        <w:jc w:val="center"/>
        <w:rPr>
          <w:rFonts w:asciiTheme="majorHAnsi" w:hAnsiTheme="majorHAnsi" w:cstheme="majorHAnsi"/>
          <w:b/>
          <w:i/>
          <w:sz w:val="24"/>
          <w:szCs w:val="24"/>
          <w:u w:val="single"/>
        </w:rPr>
      </w:pPr>
    </w:p>
    <w:p w:rsidR="002E2146" w:rsidRDefault="002E2146" w:rsidP="002E2146">
      <w:pPr>
        <w:jc w:val="center"/>
        <w:rPr>
          <w:rFonts w:asciiTheme="majorHAnsi" w:hAnsiTheme="majorHAnsi" w:cstheme="majorHAnsi"/>
          <w:b/>
          <w:i/>
          <w:sz w:val="24"/>
          <w:szCs w:val="24"/>
          <w:u w:val="single"/>
        </w:rPr>
      </w:pPr>
      <w:r>
        <w:rPr>
          <w:rFonts w:asciiTheme="majorHAnsi" w:hAnsiTheme="majorHAnsi" w:cstheme="majorHAnsi"/>
          <w:b/>
          <w:i/>
          <w:sz w:val="24"/>
          <w:szCs w:val="24"/>
          <w:u w:val="single"/>
        </w:rPr>
        <w:t>Bibli</w:t>
      </w:r>
      <w:r w:rsidRPr="00421B22">
        <w:rPr>
          <w:rFonts w:asciiTheme="majorHAnsi" w:hAnsiTheme="majorHAnsi" w:cstheme="majorHAnsi"/>
          <w:b/>
          <w:i/>
          <w:sz w:val="24"/>
          <w:szCs w:val="24"/>
          <w:u w:val="single"/>
        </w:rPr>
        <w:t>ography</w:t>
      </w:r>
    </w:p>
    <w:p w:rsidR="002E2146" w:rsidRPr="00421B22" w:rsidRDefault="002E2146" w:rsidP="002E2146">
      <w:pPr>
        <w:jc w:val="center"/>
        <w:rPr>
          <w:rFonts w:asciiTheme="majorHAnsi" w:hAnsiTheme="majorHAnsi" w:cstheme="majorHAnsi"/>
          <w:b/>
          <w:i/>
          <w:sz w:val="24"/>
          <w:szCs w:val="24"/>
          <w:u w:val="single"/>
        </w:rPr>
      </w:pPr>
    </w:p>
    <w:p w:rsidR="002E2146" w:rsidRDefault="002E2146" w:rsidP="002E2146">
      <w:pPr>
        <w:jc w:val="center"/>
        <w:rPr>
          <w:rFonts w:asciiTheme="majorHAnsi" w:hAnsiTheme="majorHAnsi" w:cstheme="majorHAnsi"/>
          <w:b/>
          <w:i/>
          <w:sz w:val="24"/>
          <w:szCs w:val="24"/>
          <w:u w:val="single"/>
        </w:rPr>
      </w:pPr>
      <w:r w:rsidRPr="00421B22">
        <w:rPr>
          <w:rFonts w:asciiTheme="majorHAnsi" w:hAnsiTheme="majorHAnsi" w:cstheme="majorHAnsi"/>
          <w:b/>
          <w:i/>
          <w:sz w:val="24"/>
          <w:szCs w:val="24"/>
          <w:u w:val="single"/>
        </w:rPr>
        <w:t>Ancient Sources</w:t>
      </w:r>
    </w:p>
    <w:p w:rsidR="002E2146" w:rsidRPr="002E2146" w:rsidRDefault="002E2146" w:rsidP="002E2146">
      <w:pPr>
        <w:pStyle w:val="ListParagraph"/>
        <w:numPr>
          <w:ilvl w:val="0"/>
          <w:numId w:val="2"/>
        </w:numPr>
        <w:jc w:val="center"/>
        <w:rPr>
          <w:rFonts w:cstheme="minorHAnsi"/>
        </w:rPr>
      </w:pPr>
      <w:r>
        <w:rPr>
          <w:rFonts w:cstheme="minorHAnsi"/>
        </w:rPr>
        <w:t>Xenophon,</w:t>
      </w:r>
      <w:r>
        <w:rPr>
          <w:rFonts w:cstheme="minorHAnsi"/>
        </w:rPr>
        <w:t xml:space="preserve"> </w:t>
      </w:r>
      <w:r>
        <w:rPr>
          <w:rFonts w:cstheme="minorHAnsi"/>
        </w:rPr>
        <w:t>“</w:t>
      </w:r>
      <w:r w:rsidRPr="002E2146">
        <w:rPr>
          <w:rFonts w:cstheme="minorHAnsi"/>
          <w:i/>
        </w:rPr>
        <w:t>H</w:t>
      </w:r>
      <w:r w:rsidRPr="002E2146">
        <w:rPr>
          <w:rFonts w:cstheme="minorHAnsi"/>
          <w:i/>
        </w:rPr>
        <w:t>ell</w:t>
      </w:r>
      <w:r w:rsidRPr="002E2146">
        <w:rPr>
          <w:rFonts w:cstheme="minorHAnsi"/>
          <w:i/>
        </w:rPr>
        <w:t>enica</w:t>
      </w:r>
      <w:r>
        <w:rPr>
          <w:rFonts w:cstheme="minorHAnsi"/>
        </w:rPr>
        <w:t xml:space="preserve">”. D.F. Jackson (Trans). 2006. Edwin </w:t>
      </w:r>
      <w:proofErr w:type="spellStart"/>
      <w:r>
        <w:rPr>
          <w:rFonts w:cstheme="minorHAnsi"/>
        </w:rPr>
        <w:t>Mellen</w:t>
      </w:r>
      <w:proofErr w:type="spellEnd"/>
      <w:r>
        <w:rPr>
          <w:rFonts w:cstheme="minorHAnsi"/>
        </w:rPr>
        <w:t xml:space="preserve"> Press</w:t>
      </w:r>
    </w:p>
    <w:p w:rsidR="002E2146" w:rsidRDefault="002E2146" w:rsidP="002E2146">
      <w:pPr>
        <w:jc w:val="center"/>
        <w:rPr>
          <w:rFonts w:asciiTheme="majorHAnsi" w:hAnsiTheme="majorHAnsi" w:cstheme="majorHAnsi"/>
          <w:b/>
          <w:i/>
          <w:sz w:val="24"/>
          <w:szCs w:val="24"/>
          <w:u w:val="single"/>
        </w:rPr>
      </w:pPr>
      <w:r w:rsidRPr="00421B22">
        <w:rPr>
          <w:rFonts w:asciiTheme="majorHAnsi" w:hAnsiTheme="majorHAnsi" w:cstheme="majorHAnsi"/>
          <w:b/>
          <w:i/>
          <w:sz w:val="24"/>
          <w:szCs w:val="24"/>
          <w:u w:val="single"/>
        </w:rPr>
        <w:t>Modern Scholarship</w:t>
      </w:r>
    </w:p>
    <w:p w:rsidR="002E2146" w:rsidRPr="00D55FCC" w:rsidRDefault="002E2146" w:rsidP="002E2146">
      <w:pPr>
        <w:pStyle w:val="ListParagraph"/>
        <w:numPr>
          <w:ilvl w:val="0"/>
          <w:numId w:val="1"/>
        </w:numPr>
        <w:jc w:val="center"/>
        <w:rPr>
          <w:rFonts w:cstheme="minorHAnsi"/>
        </w:rPr>
      </w:pPr>
      <w:r>
        <w:t>V. D. Hanson. “Warfare and Agriculture in Classical Greece” (1998) Berkley. Web.</w:t>
      </w:r>
    </w:p>
    <w:p w:rsidR="002E2146" w:rsidRPr="00421B22" w:rsidRDefault="002E2146" w:rsidP="002E2146">
      <w:pPr>
        <w:pStyle w:val="ListParagraph"/>
        <w:numPr>
          <w:ilvl w:val="0"/>
          <w:numId w:val="1"/>
        </w:numPr>
        <w:jc w:val="center"/>
        <w:rPr>
          <w:rFonts w:cstheme="minorHAnsi"/>
        </w:rPr>
      </w:pPr>
      <w:r w:rsidRPr="00421B22">
        <w:rPr>
          <w:rFonts w:cstheme="minorHAnsi"/>
          <w:shd w:val="clear" w:color="auto" w:fill="FFFFFF"/>
        </w:rPr>
        <w:t>James A. Thorne. "Warfare and Agriculture: The Economic Impact of Devastation in Classical Greece." </w:t>
      </w:r>
      <w:r w:rsidRPr="00421B22">
        <w:rPr>
          <w:rFonts w:cstheme="minorHAnsi"/>
          <w:i/>
          <w:iCs/>
          <w:shd w:val="clear" w:color="auto" w:fill="FFFFFF"/>
        </w:rPr>
        <w:t>Greek</w:t>
      </w:r>
      <w:r w:rsidRPr="00421B22">
        <w:rPr>
          <w:rFonts w:cstheme="minorHAnsi"/>
          <w:shd w:val="clear" w:color="auto" w:fill="FFFFFF"/>
        </w:rPr>
        <w:t> 42.3 (2006): 225-53. Web.</w:t>
      </w:r>
    </w:p>
    <w:p w:rsidR="002E2146" w:rsidRPr="000A68F5" w:rsidRDefault="002E2146" w:rsidP="008E2235">
      <w:pPr>
        <w:spacing w:line="480" w:lineRule="auto"/>
        <w:rPr>
          <w:rFonts w:cstheme="minorHAnsi"/>
        </w:rPr>
      </w:pPr>
    </w:p>
    <w:sectPr w:rsidR="002E2146" w:rsidRPr="000A68F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083850" w:rsidRDefault="00083850" w:rsidP="000658BF">
      <w:pPr>
        <w:spacing w:after="0" w:line="240" w:lineRule="auto"/>
      </w:pPr>
      <w:r>
        <w:separator/>
      </w:r>
    </w:p>
  </w:endnote>
  <w:endnote w:type="continuationSeparator" w:id="0">
    <w:p w:rsidR="00083850" w:rsidRDefault="00083850" w:rsidP="000658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083850" w:rsidRDefault="00083850" w:rsidP="000658BF">
      <w:pPr>
        <w:spacing w:after="0" w:line="240" w:lineRule="auto"/>
      </w:pPr>
      <w:r>
        <w:separator/>
      </w:r>
    </w:p>
  </w:footnote>
  <w:footnote w:type="continuationSeparator" w:id="0">
    <w:p w:rsidR="00083850" w:rsidRDefault="00083850" w:rsidP="000658BF">
      <w:pPr>
        <w:spacing w:after="0" w:line="240" w:lineRule="auto"/>
      </w:pPr>
      <w:r>
        <w:continuationSeparator/>
      </w:r>
    </w:p>
  </w:footnote>
  <w:footnote w:id="1">
    <w:p w:rsidR="00954BCD" w:rsidRDefault="00954BCD">
      <w:pPr>
        <w:pStyle w:val="FootnoteText"/>
      </w:pPr>
      <w:r>
        <w:rPr>
          <w:rStyle w:val="FootnoteReference"/>
        </w:rPr>
        <w:footnoteRef/>
      </w:r>
      <w:r>
        <w:t xml:space="preserve"> Thorne 2006: 225-226</w:t>
      </w:r>
    </w:p>
  </w:footnote>
  <w:footnote w:id="2">
    <w:p w:rsidR="000658BF" w:rsidRDefault="000658BF">
      <w:pPr>
        <w:pStyle w:val="FootnoteText"/>
      </w:pPr>
      <w:r>
        <w:rPr>
          <w:rStyle w:val="FootnoteReference"/>
        </w:rPr>
        <w:footnoteRef/>
      </w:r>
      <w:r>
        <w:t xml:space="preserve"> Thorne 2006: 228</w:t>
      </w:r>
    </w:p>
  </w:footnote>
  <w:footnote w:id="3">
    <w:p w:rsidR="000658BF" w:rsidRDefault="000658BF">
      <w:pPr>
        <w:pStyle w:val="FootnoteText"/>
      </w:pPr>
      <w:r>
        <w:rPr>
          <w:rStyle w:val="FootnoteReference"/>
        </w:rPr>
        <w:footnoteRef/>
      </w:r>
      <w:r>
        <w:t xml:space="preserve"> Thorne 2006: 241</w:t>
      </w:r>
    </w:p>
  </w:footnote>
  <w:footnote w:id="4">
    <w:p w:rsidR="000658BF" w:rsidRDefault="000658BF">
      <w:pPr>
        <w:pStyle w:val="FootnoteText"/>
      </w:pPr>
      <w:r>
        <w:rPr>
          <w:rStyle w:val="FootnoteReference"/>
        </w:rPr>
        <w:footnoteRef/>
      </w:r>
      <w:r>
        <w:t xml:space="preserve"> Thorne 2006: 248</w:t>
      </w:r>
    </w:p>
  </w:footnote>
  <w:footnote w:id="5">
    <w:p w:rsidR="00954BCD" w:rsidRDefault="00954BCD">
      <w:pPr>
        <w:pStyle w:val="FootnoteText"/>
      </w:pPr>
      <w:r>
        <w:rPr>
          <w:rStyle w:val="FootnoteReference"/>
        </w:rPr>
        <w:footnoteRef/>
      </w:r>
      <w:r>
        <w:t xml:space="preserve"> Thorne 2006: 225-226</w:t>
      </w:r>
    </w:p>
  </w:footnote>
  <w:footnote w:id="6">
    <w:p w:rsidR="00CC507A" w:rsidRDefault="00CC507A">
      <w:pPr>
        <w:pStyle w:val="FootnoteText"/>
      </w:pPr>
      <w:r>
        <w:rPr>
          <w:rStyle w:val="FootnoteReference"/>
        </w:rPr>
        <w:footnoteRef/>
      </w:r>
      <w:r>
        <w:t xml:space="preserve"> </w:t>
      </w:r>
      <w:r>
        <w:t>Xen. Hell. 7.2.1</w:t>
      </w:r>
    </w:p>
  </w:footnote>
  <w:footnote w:id="7">
    <w:p w:rsidR="00CC507A" w:rsidRDefault="00CC507A">
      <w:pPr>
        <w:pStyle w:val="FootnoteText"/>
      </w:pPr>
      <w:r>
        <w:rPr>
          <w:rStyle w:val="FootnoteReference"/>
        </w:rPr>
        <w:footnoteRef/>
      </w:r>
      <w:r>
        <w:t xml:space="preserve"> Xen. Hell. 7.2.1</w:t>
      </w:r>
    </w:p>
  </w:footnote>
  <w:footnote w:id="8">
    <w:p w:rsidR="001B073D" w:rsidRDefault="001B073D">
      <w:pPr>
        <w:pStyle w:val="FootnoteText"/>
      </w:pPr>
      <w:r>
        <w:rPr>
          <w:rStyle w:val="FootnoteReference"/>
        </w:rPr>
        <w:footnoteRef/>
      </w:r>
      <w:r>
        <w:t xml:space="preserve"> Hanson 1998: 208-209</w:t>
      </w:r>
    </w:p>
  </w:footnote>
  <w:footnote w:id="9">
    <w:p w:rsidR="001B073D" w:rsidRDefault="001B073D">
      <w:pPr>
        <w:pStyle w:val="FootnoteText"/>
      </w:pPr>
      <w:r>
        <w:rPr>
          <w:rStyle w:val="FootnoteReference"/>
        </w:rPr>
        <w:footnoteRef/>
      </w:r>
      <w:r>
        <w:t xml:space="preserve"> Thorne 2006: 227</w:t>
      </w:r>
    </w:p>
  </w:footnote>
  <w:footnote w:id="10">
    <w:p w:rsidR="00FD608A" w:rsidRDefault="00FD608A">
      <w:pPr>
        <w:pStyle w:val="FootnoteText"/>
      </w:pPr>
      <w:r>
        <w:rPr>
          <w:rStyle w:val="FootnoteReference"/>
        </w:rPr>
        <w:footnoteRef/>
      </w:r>
      <w:r>
        <w:t xml:space="preserve"> Thorne 2006: 228</w:t>
      </w:r>
    </w:p>
  </w:footnote>
  <w:footnote w:id="11">
    <w:p w:rsidR="00FD608A" w:rsidRDefault="00FD608A">
      <w:pPr>
        <w:pStyle w:val="FootnoteText"/>
      </w:pPr>
      <w:r>
        <w:rPr>
          <w:rStyle w:val="FootnoteReference"/>
        </w:rPr>
        <w:footnoteRef/>
      </w:r>
      <w:r>
        <w:t xml:space="preserve"> Thorne 2006: 228</w:t>
      </w:r>
    </w:p>
  </w:footnote>
  <w:footnote w:id="12">
    <w:p w:rsidR="008E6F39" w:rsidRDefault="008E6F39">
      <w:pPr>
        <w:pStyle w:val="FootnoteText"/>
      </w:pPr>
      <w:r>
        <w:rPr>
          <w:rStyle w:val="FootnoteReference"/>
        </w:rPr>
        <w:footnoteRef/>
      </w:r>
      <w:r>
        <w:t xml:space="preserve"> Thorne 2006: 228</w:t>
      </w:r>
    </w:p>
  </w:footnote>
  <w:footnote w:id="13">
    <w:p w:rsidR="008E6F39" w:rsidRDefault="008E6F39">
      <w:pPr>
        <w:pStyle w:val="FootnoteText"/>
      </w:pPr>
      <w:r>
        <w:rPr>
          <w:rStyle w:val="FootnoteReference"/>
        </w:rPr>
        <w:footnoteRef/>
      </w:r>
      <w:r>
        <w:t xml:space="preserve"> Thorne 2006: 228</w:t>
      </w:r>
    </w:p>
  </w:footnote>
  <w:footnote w:id="14">
    <w:p w:rsidR="008E6F39" w:rsidRDefault="008E6F39">
      <w:pPr>
        <w:pStyle w:val="FootnoteText"/>
      </w:pPr>
      <w:r>
        <w:rPr>
          <w:rStyle w:val="FootnoteReference"/>
        </w:rPr>
        <w:footnoteRef/>
      </w:r>
      <w:r>
        <w:t xml:space="preserve"> Thorne 2006: 228</w:t>
      </w:r>
    </w:p>
  </w:footnote>
  <w:footnote w:id="15">
    <w:p w:rsidR="008E6F39" w:rsidRDefault="008E6F39">
      <w:pPr>
        <w:pStyle w:val="FootnoteText"/>
      </w:pPr>
      <w:r>
        <w:rPr>
          <w:rStyle w:val="FootnoteReference"/>
        </w:rPr>
        <w:footnoteRef/>
      </w:r>
      <w:r>
        <w:t xml:space="preserve"> Thorne 2006: 228</w:t>
      </w:r>
    </w:p>
  </w:footnote>
  <w:footnote w:id="16">
    <w:p w:rsidR="00B92972" w:rsidRDefault="00B92972">
      <w:pPr>
        <w:pStyle w:val="FootnoteText"/>
      </w:pPr>
      <w:r>
        <w:rPr>
          <w:rStyle w:val="FootnoteReference"/>
        </w:rPr>
        <w:footnoteRef/>
      </w:r>
      <w:r>
        <w:t xml:space="preserve"> Thorne 2006: 241</w:t>
      </w:r>
    </w:p>
  </w:footnote>
  <w:footnote w:id="17">
    <w:p w:rsidR="009F4DFB" w:rsidRDefault="009F4DFB">
      <w:pPr>
        <w:pStyle w:val="FootnoteText"/>
      </w:pPr>
      <w:r>
        <w:rPr>
          <w:rStyle w:val="FootnoteReference"/>
        </w:rPr>
        <w:footnoteRef/>
      </w:r>
      <w:r>
        <w:t xml:space="preserve"> Thorne 2006: 241</w:t>
      </w:r>
    </w:p>
  </w:footnote>
  <w:footnote w:id="18">
    <w:p w:rsidR="009F4DFB" w:rsidRDefault="009F4DFB">
      <w:pPr>
        <w:pStyle w:val="FootnoteText"/>
      </w:pPr>
      <w:r>
        <w:rPr>
          <w:rStyle w:val="FootnoteReference"/>
        </w:rPr>
        <w:footnoteRef/>
      </w:r>
      <w:r>
        <w:t xml:space="preserve"> Thorne 2006: 242</w:t>
      </w:r>
    </w:p>
  </w:footnote>
  <w:footnote w:id="19">
    <w:p w:rsidR="009F4DFB" w:rsidRDefault="009F4DFB">
      <w:pPr>
        <w:pStyle w:val="FootnoteText"/>
      </w:pPr>
      <w:r>
        <w:rPr>
          <w:rStyle w:val="FootnoteReference"/>
        </w:rPr>
        <w:footnoteRef/>
      </w:r>
      <w:r>
        <w:t xml:space="preserve"> Thorne 2006: 245</w:t>
      </w:r>
    </w:p>
  </w:footnote>
  <w:footnote w:id="20">
    <w:p w:rsidR="009F4DFB" w:rsidRDefault="009F4DFB">
      <w:pPr>
        <w:pStyle w:val="FootnoteText"/>
      </w:pPr>
      <w:r>
        <w:rPr>
          <w:rStyle w:val="FootnoteReference"/>
        </w:rPr>
        <w:footnoteRef/>
      </w:r>
      <w:r>
        <w:t xml:space="preserve"> Thorne 2006: 24</w:t>
      </w:r>
    </w:p>
  </w:footnote>
  <w:footnote w:id="21">
    <w:p w:rsidR="00B64C5A" w:rsidRDefault="00B64C5A">
      <w:pPr>
        <w:pStyle w:val="FootnoteText"/>
      </w:pPr>
      <w:r>
        <w:rPr>
          <w:rStyle w:val="FootnoteReference"/>
        </w:rPr>
        <w:footnoteRef/>
      </w:r>
      <w:r>
        <w:t xml:space="preserve"> Thorne 2006: 249</w:t>
      </w:r>
    </w:p>
  </w:footnote>
  <w:footnote w:id="22">
    <w:p w:rsidR="00B64C5A" w:rsidRDefault="00B64C5A">
      <w:pPr>
        <w:pStyle w:val="FootnoteText"/>
      </w:pPr>
      <w:r>
        <w:rPr>
          <w:rStyle w:val="FootnoteReference"/>
        </w:rPr>
        <w:footnoteRef/>
      </w:r>
      <w:r>
        <w:t xml:space="preserve"> Thorne 2006: 249</w:t>
      </w:r>
    </w:p>
  </w:footnote>
  <w:footnote w:id="23">
    <w:p w:rsidR="00AE725A" w:rsidRDefault="00AE725A">
      <w:pPr>
        <w:pStyle w:val="FootnoteText"/>
      </w:pPr>
      <w:r>
        <w:rPr>
          <w:rStyle w:val="FootnoteReference"/>
        </w:rPr>
        <w:footnoteRef/>
      </w:r>
      <w:r>
        <w:t xml:space="preserve"> Thorne 2006: 248</w:t>
      </w:r>
    </w:p>
  </w:footnote>
  <w:footnote w:id="24">
    <w:p w:rsidR="009D7698" w:rsidRDefault="009D7698">
      <w:pPr>
        <w:pStyle w:val="FootnoteText"/>
      </w:pPr>
      <w:r>
        <w:rPr>
          <w:rStyle w:val="FootnoteReference"/>
        </w:rPr>
        <w:footnoteRef/>
      </w:r>
      <w:r>
        <w:t xml:space="preserve"> Thorne 2006: 248</w:t>
      </w:r>
    </w:p>
  </w:footnote>
  <w:footnote w:id="25">
    <w:p w:rsidR="004334AE" w:rsidRDefault="004334AE">
      <w:pPr>
        <w:pStyle w:val="FootnoteText"/>
      </w:pPr>
      <w:r>
        <w:rPr>
          <w:rStyle w:val="FootnoteReference"/>
        </w:rPr>
        <w:footnoteRef/>
      </w:r>
      <w:r>
        <w:t xml:space="preserve"> Thorne 2006: 248</w:t>
      </w:r>
    </w:p>
  </w:footnote>
  <w:footnote w:id="26">
    <w:p w:rsidR="00154208" w:rsidRDefault="00154208">
      <w:pPr>
        <w:pStyle w:val="FootnoteText"/>
      </w:pPr>
      <w:r>
        <w:rPr>
          <w:rStyle w:val="FootnoteReference"/>
        </w:rPr>
        <w:footnoteRef/>
      </w:r>
      <w:r>
        <w:t xml:space="preserve"> Thorne 2006: 252</w:t>
      </w:r>
    </w:p>
  </w:footnote>
  <w:footnote w:id="27">
    <w:p w:rsidR="003B1000" w:rsidRDefault="003B1000">
      <w:pPr>
        <w:pStyle w:val="FootnoteText"/>
      </w:pPr>
      <w:r>
        <w:rPr>
          <w:rStyle w:val="FootnoteReference"/>
        </w:rPr>
        <w:footnoteRef/>
      </w:r>
      <w:r>
        <w:t xml:space="preserve"> Thorne 2006: 252</w:t>
      </w:r>
    </w:p>
  </w:footnote>
  <w:footnote w:id="28">
    <w:p w:rsidR="007732F4" w:rsidRDefault="007732F4">
      <w:pPr>
        <w:pStyle w:val="FootnoteText"/>
      </w:pPr>
      <w:r>
        <w:rPr>
          <w:rStyle w:val="FootnoteReference"/>
        </w:rPr>
        <w:footnoteRef/>
      </w:r>
      <w:r>
        <w:t xml:space="preserve"> Thorne 2006: 253</w:t>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77B108F0"/>
    <w:multiLevelType w:val="hybridMultilevel"/>
    <w:tmpl w:val="164CD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025326"/>
    <w:multiLevelType w:val="hybridMultilevel"/>
    <w:tmpl w:val="49E43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A68F5"/>
    <w:rsid w:val="000658BF"/>
    <w:rsid w:val="00083850"/>
    <w:rsid w:val="000A68F5"/>
    <w:rsid w:val="00152E82"/>
    <w:rsid w:val="00154208"/>
    <w:rsid w:val="001B073D"/>
    <w:rsid w:val="001B73E5"/>
    <w:rsid w:val="002D06D5"/>
    <w:rsid w:val="002E2146"/>
    <w:rsid w:val="00332E36"/>
    <w:rsid w:val="003375EB"/>
    <w:rsid w:val="00351428"/>
    <w:rsid w:val="003B1000"/>
    <w:rsid w:val="0041606F"/>
    <w:rsid w:val="004334AE"/>
    <w:rsid w:val="00482C46"/>
    <w:rsid w:val="004B27FF"/>
    <w:rsid w:val="005D2E2F"/>
    <w:rsid w:val="006A7B9B"/>
    <w:rsid w:val="00705B46"/>
    <w:rsid w:val="00725171"/>
    <w:rsid w:val="007732F4"/>
    <w:rsid w:val="00805790"/>
    <w:rsid w:val="008E2235"/>
    <w:rsid w:val="008E6F39"/>
    <w:rsid w:val="00954BCD"/>
    <w:rsid w:val="009845C6"/>
    <w:rsid w:val="009B0403"/>
    <w:rsid w:val="009D7698"/>
    <w:rsid w:val="009F4DFB"/>
    <w:rsid w:val="00A35EFA"/>
    <w:rsid w:val="00A91624"/>
    <w:rsid w:val="00AA5A52"/>
    <w:rsid w:val="00AD17BC"/>
    <w:rsid w:val="00AE725A"/>
    <w:rsid w:val="00AF23B4"/>
    <w:rsid w:val="00B64C5A"/>
    <w:rsid w:val="00B6559A"/>
    <w:rsid w:val="00B92972"/>
    <w:rsid w:val="00BF1AFB"/>
    <w:rsid w:val="00C75356"/>
    <w:rsid w:val="00C82176"/>
    <w:rsid w:val="00CC507A"/>
    <w:rsid w:val="00D01C1D"/>
    <w:rsid w:val="00D128E9"/>
    <w:rsid w:val="00DC515A"/>
    <w:rsid w:val="00DD0383"/>
    <w:rsid w:val="00E36B7B"/>
    <w:rsid w:val="00E43700"/>
    <w:rsid w:val="00E73B27"/>
    <w:rsid w:val="00FC7842"/>
    <w:rsid w:val="00FD608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D6596C69-EFB1-413F-9ED6-DB91DA02FC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0658B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658BF"/>
    <w:rPr>
      <w:sz w:val="20"/>
      <w:szCs w:val="20"/>
    </w:rPr>
  </w:style>
  <w:style w:type="character" w:styleId="FootnoteReference">
    <w:name w:val="footnote reference"/>
    <w:basedOn w:val="DefaultParagraphFont"/>
    <w:uiPriority w:val="99"/>
    <w:semiHidden/>
    <w:unhideWhenUsed/>
    <w:rsid w:val="000658BF"/>
    <w:rPr>
      <w:vertAlign w:val="superscript"/>
    </w:rPr>
  </w:style>
  <w:style w:type="paragraph" w:styleId="ListParagraph">
    <w:name w:val="List Paragraph"/>
    <w:basedOn w:val="Normal"/>
    <w:uiPriority w:val="34"/>
    <w:qFormat/>
    <w:rsid w:val="002E2146"/>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EE5848-C830-4950-B25A-43EABD784F1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394</TotalTime>
  <Pages>7</Pages>
  <Words>2272</Words>
  <Characters>11408</Characters>
  <Application>Microsoft Office Word</Application>
  <DocSecurity>0</DocSecurity>
  <Lines>152</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Simon</dc:creator>
  <cp:keywords/>
  <dc:description/>
  <cp:lastModifiedBy>Oliver Simon</cp:lastModifiedBy>
  <cp:revision>37</cp:revision>
  <dcterms:created xsi:type="dcterms:W3CDTF">2018-03-15T17:07:00Z</dcterms:created>
  <dcterms:modified xsi:type="dcterms:W3CDTF">2018-03-15T23:47:00Z</dcterms:modified>
</cp:coreProperties>
</file>