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Default Extension="odttf" ContentType="application/vnd.openxmlformats-officedocument.obfuscatedFont"/>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11C3C36F" w14:textId="77777777" w:rsidR="003A6D5B" w:rsidRPr="000154B8" w:rsidRDefault="003A6D5B" w:rsidP="003A6D5B">
      <w:pPr>
        <w:rPr>
          <w:rFonts w:cs="Arial"/>
          <w:i/>
          <w:iCs/>
          <w:sz w:val="18"/>
          <w:szCs w:val="18"/>
        </w:rPr>
      </w:pPr>
      <w:r>
        <w:rPr>
          <w:noProof/>
          <w:lang w:val="en-IN" w:eastAsia="en-IN" w:bidi="gu-IN"/>
        </w:rPr>
        <w:drawing>
          <wp:anchor distT="0" distB="0" distL="114300" distR="114300" simplePos="0" relativeHeight="251659264" behindDoc="0" locked="0" layoutInCell="1" hidden="0" allowOverlap="1" wp14:anchorId="29FC69C5" wp14:editId="4B3E6950">
            <wp:simplePos x="0" y="0"/>
            <wp:positionH relativeFrom="column">
              <wp:posOffset>1656715</wp:posOffset>
            </wp:positionH>
            <wp:positionV relativeFrom="paragraph">
              <wp:posOffset>-47625</wp:posOffset>
            </wp:positionV>
            <wp:extent cx="2867025" cy="1085850"/>
            <wp:effectExtent l="0" t="0" r="9525" b="0"/>
            <wp:wrapNone/>
            <wp:docPr id="58" name="image1.png"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0" name="image1.png" descr="Discover University of Wales Trinity Saint David"/>
                    <pic:cNvPicPr preferRelativeResize="0"/>
                  </pic:nvPicPr>
                  <pic:blipFill>
                    <a:blip r:embed="rId8"/>
                    <a:srcRect/>
                    <a:stretch>
                      <a:fillRect/>
                    </a:stretch>
                  </pic:blipFill>
                  <pic:spPr>
                    <a:xfrm>
                      <a:off x="0" y="0"/>
                      <a:ext cx="2867025" cy="1085850"/>
                    </a:xfrm>
                    <a:prstGeom prst="rect">
                      <a:avLst/>
                    </a:prstGeom>
                    <a:ln/>
                  </pic:spPr>
                </pic:pic>
              </a:graphicData>
            </a:graphic>
            <wp14:sizeRelH relativeFrom="margin">
              <wp14:pctWidth>0</wp14:pctWidth>
            </wp14:sizeRelH>
            <wp14:sizeRelV relativeFrom="margin">
              <wp14:pctHeight>0</wp14:pctHeight>
            </wp14:sizeRelV>
          </wp:anchor>
        </w:drawing>
      </w:r>
    </w:p>
    <w:p w14:paraId="1E2D3B6A" w14:textId="77777777" w:rsidR="003A6D5B" w:rsidRPr="000154B8" w:rsidRDefault="003A6D5B" w:rsidP="003A6D5B">
      <w:pPr>
        <w:jc w:val="center"/>
        <w:rPr>
          <w:rFonts w:cs="Arial"/>
          <w:b/>
          <w:bCs/>
          <w:sz w:val="28"/>
          <w:szCs w:val="28"/>
        </w:rPr>
      </w:pPr>
    </w:p>
    <w:p w14:paraId="34E06A04" w14:textId="1188FDAA" w:rsidR="003A6D5B" w:rsidRDefault="003A6D5B" w:rsidP="003A6D5B"/>
    <w:p w14:paraId="204FF18C" w14:textId="77777777" w:rsidR="003A6D5B" w:rsidRDefault="003A6D5B" w:rsidP="003A6D5B">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600" w:lineRule="auto"/>
        <w:jc w:val="center"/>
        <w:rPr>
          <w:rFonts w:cs="Arial"/>
          <w:sz w:val="40"/>
          <w:szCs w:val="40"/>
          <w14:ligatures w14:val="standardContextual"/>
        </w:rPr>
      </w:pPr>
      <w:r>
        <w:tab/>
      </w:r>
      <w:r w:rsidRPr="00AB07E8">
        <w:rPr>
          <w:rFonts w:cs="Arial"/>
          <w:sz w:val="40"/>
          <w:szCs w:val="40"/>
          <w14:ligatures w14:val="standardContextual"/>
        </w:rPr>
        <w:t>MSc Data and Artificial Intelligence</w:t>
      </w:r>
    </w:p>
    <w:p w14:paraId="35F25663" w14:textId="1C24EB0D" w:rsidR="003A6D5B" w:rsidRPr="003F7155" w:rsidRDefault="003A6D5B" w:rsidP="003A6D5B">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600" w:lineRule="auto"/>
        <w:jc w:val="center"/>
        <w:rPr>
          <w:b/>
          <w:bCs/>
          <w:sz w:val="40"/>
          <w:szCs w:val="40"/>
        </w:rPr>
      </w:pPr>
      <w:r>
        <w:rPr>
          <w:rFonts w:cs="Arial"/>
          <w:sz w:val="40"/>
          <w:szCs w:val="40"/>
          <w14:ligatures w14:val="standardContextual"/>
        </w:rPr>
        <w:tab/>
      </w:r>
      <w:r>
        <w:rPr>
          <w:sz w:val="40"/>
          <w:szCs w:val="40"/>
        </w:rPr>
        <w:t>Data Security, Governance and Compliance</w:t>
      </w:r>
    </w:p>
    <w:p w14:paraId="2CE8D53B" w14:textId="60C855B7" w:rsidR="003A6D5B" w:rsidRDefault="003A6D5B" w:rsidP="003A6D5B">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600" w:lineRule="auto"/>
        <w:jc w:val="center"/>
        <w:rPr>
          <w:sz w:val="40"/>
          <w:szCs w:val="40"/>
        </w:rPr>
      </w:pPr>
      <w:r>
        <w:rPr>
          <w:sz w:val="40"/>
          <w:szCs w:val="40"/>
        </w:rPr>
        <w:t>ACCA7028</w:t>
      </w:r>
    </w:p>
    <w:p w14:paraId="7B48F3EC" w14:textId="77777777" w:rsidR="003A6D5B" w:rsidRDefault="003A6D5B" w:rsidP="003A6D5B">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600" w:lineRule="auto"/>
        <w:jc w:val="center"/>
        <w:rPr>
          <w:sz w:val="40"/>
          <w:szCs w:val="40"/>
        </w:rPr>
      </w:pPr>
      <w:r>
        <w:rPr>
          <w:sz w:val="40"/>
          <w:szCs w:val="40"/>
        </w:rPr>
        <w:t>Report On</w:t>
      </w:r>
    </w:p>
    <w:p w14:paraId="38C2AD7B" w14:textId="446A9877" w:rsidR="003A6D5B" w:rsidRPr="003F7155" w:rsidRDefault="003A6D5B" w:rsidP="003A6D5B">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600" w:lineRule="auto"/>
        <w:jc w:val="center"/>
        <w:rPr>
          <w:sz w:val="40"/>
          <w:szCs w:val="40"/>
        </w:rPr>
      </w:pPr>
      <w:r w:rsidRPr="00156466">
        <w:rPr>
          <w:rFonts w:ascii="Arial" w:hAnsi="Arial" w:cs="Arial"/>
          <w:b/>
          <w:bCs/>
          <w:color w:val="000000"/>
          <w:sz w:val="32"/>
          <w:szCs w:val="32"/>
        </w:rPr>
        <w:t>Apply the principles and practices of Data security, Governance and Compliance based on a given scenario</w:t>
      </w:r>
    </w:p>
    <w:p w14:paraId="1F860E32" w14:textId="77777777" w:rsidR="003A6D5B" w:rsidRPr="00AB07E8" w:rsidRDefault="003A6D5B" w:rsidP="003A6D5B">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600" w:lineRule="auto"/>
        <w:rPr>
          <w:rFonts w:cs="Arial"/>
          <w:sz w:val="40"/>
          <w:szCs w:val="40"/>
          <w14:ligatures w14:val="standardContextual"/>
        </w:rPr>
      </w:pPr>
      <w:r>
        <w:tab/>
      </w:r>
      <w:r>
        <w:tab/>
      </w:r>
      <w:r>
        <w:tab/>
      </w:r>
      <w:r w:rsidRPr="00AB07E8">
        <w:rPr>
          <w:rFonts w:cs="Arial"/>
          <w:sz w:val="40"/>
          <w:szCs w:val="40"/>
          <w14:ligatures w14:val="standardContextual"/>
        </w:rPr>
        <w:t xml:space="preserve">Student Name: </w:t>
      </w:r>
      <w:proofErr w:type="spellStart"/>
      <w:r>
        <w:rPr>
          <w:rFonts w:cs="Arial"/>
          <w:sz w:val="40"/>
          <w:szCs w:val="40"/>
          <w14:ligatures w14:val="standardContextual"/>
        </w:rPr>
        <w:t>Divyesh</w:t>
      </w:r>
      <w:proofErr w:type="spellEnd"/>
      <w:r>
        <w:rPr>
          <w:rFonts w:cs="Arial"/>
          <w:sz w:val="40"/>
          <w:szCs w:val="40"/>
          <w14:ligatures w14:val="standardContextual"/>
        </w:rPr>
        <w:t xml:space="preserve"> </w:t>
      </w:r>
      <w:proofErr w:type="spellStart"/>
      <w:r>
        <w:rPr>
          <w:rFonts w:cs="Arial"/>
          <w:sz w:val="40"/>
          <w:szCs w:val="40"/>
          <w14:ligatures w14:val="standardContextual"/>
        </w:rPr>
        <w:t>Dudhat</w:t>
      </w:r>
      <w:proofErr w:type="spellEnd"/>
    </w:p>
    <w:p w14:paraId="74DB44B7" w14:textId="77777777" w:rsidR="003A6D5B" w:rsidRDefault="003A6D5B" w:rsidP="003A6D5B">
      <w:pPr>
        <w:spacing w:line="600" w:lineRule="auto"/>
        <w:jc w:val="center"/>
        <w:rPr>
          <w:rFonts w:cs="Arial"/>
          <w:sz w:val="40"/>
          <w:szCs w:val="40"/>
          <w14:ligatures w14:val="standardContextual"/>
        </w:rPr>
      </w:pPr>
      <w:r w:rsidRPr="00AB07E8">
        <w:rPr>
          <w:rFonts w:cs="Arial"/>
          <w:sz w:val="40"/>
          <w:szCs w:val="40"/>
          <w14:ligatures w14:val="standardContextual"/>
        </w:rPr>
        <w:t>Student ID: 25</w:t>
      </w:r>
      <w:r>
        <w:rPr>
          <w:rFonts w:cs="Arial"/>
          <w:sz w:val="40"/>
          <w:szCs w:val="40"/>
          <w14:ligatures w14:val="standardContextual"/>
        </w:rPr>
        <w:t>29493</w:t>
      </w:r>
    </w:p>
    <w:p w14:paraId="7690E4DF" w14:textId="4360B073" w:rsidR="00B07A0C" w:rsidRPr="003A6D5B" w:rsidRDefault="003A6D5B" w:rsidP="003A6D5B">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600" w:lineRule="auto"/>
        <w:jc w:val="center"/>
        <w:rPr>
          <w:rFonts w:cs="Arial"/>
          <w:sz w:val="40"/>
          <w:szCs w:val="40"/>
          <w14:ligatures w14:val="standardContextual"/>
        </w:rPr>
      </w:pPr>
      <w:r>
        <w:rPr>
          <w:rFonts w:cs="Arial"/>
          <w:sz w:val="40"/>
          <w:szCs w:val="40"/>
          <w14:ligatures w14:val="standardContextual"/>
        </w:rPr>
        <w:t>Professor Name</w:t>
      </w:r>
      <w:r w:rsidRPr="00AB07E8">
        <w:rPr>
          <w:rFonts w:cs="Arial"/>
          <w:sz w:val="40"/>
          <w:szCs w:val="40"/>
          <w14:ligatures w14:val="standardContextual"/>
        </w:rPr>
        <w:t xml:space="preserve">: </w:t>
      </w:r>
      <w:proofErr w:type="spellStart"/>
      <w:r>
        <w:rPr>
          <w:rFonts w:cs="Arial"/>
          <w:sz w:val="40"/>
          <w:szCs w:val="40"/>
          <w14:ligatures w14:val="standardContextual"/>
        </w:rPr>
        <w:t>Dr.</w:t>
      </w:r>
      <w:proofErr w:type="spellEnd"/>
      <w:r>
        <w:rPr>
          <w:rFonts w:cs="Arial"/>
          <w:sz w:val="40"/>
          <w:szCs w:val="40"/>
          <w14:ligatures w14:val="standardContextual"/>
        </w:rPr>
        <w:t xml:space="preserve"> </w:t>
      </w:r>
      <w:proofErr w:type="spellStart"/>
      <w:r>
        <w:rPr>
          <w:rFonts w:cs="Arial"/>
          <w:bCs/>
          <w:sz w:val="40"/>
          <w:szCs w:val="40"/>
        </w:rPr>
        <w:t>Vijeyananthan</w:t>
      </w:r>
      <w:proofErr w:type="spellEnd"/>
      <w:r>
        <w:rPr>
          <w:rFonts w:cs="Arial"/>
          <w:bCs/>
          <w:sz w:val="40"/>
          <w:szCs w:val="40"/>
        </w:rPr>
        <w:t xml:space="preserve"> </w:t>
      </w:r>
      <w:proofErr w:type="spellStart"/>
      <w:r>
        <w:rPr>
          <w:rFonts w:cs="Arial"/>
          <w:bCs/>
          <w:sz w:val="40"/>
          <w:szCs w:val="40"/>
        </w:rPr>
        <w:t>Thayananthan</w:t>
      </w:r>
      <w:proofErr w:type="spellEnd"/>
    </w:p>
    <w:p w14:paraId="56DA676D" w14:textId="77AFF269" w:rsidR="001D3B51" w:rsidRPr="00701AF4" w:rsidRDefault="009E0492" w:rsidP="003A6D5B">
      <w:pPr>
        <w:ind w:left="3600" w:firstLine="720"/>
        <w:rPr>
          <w:rFonts w:ascii="Arial" w:hAnsi="Arial" w:cs="Arial"/>
          <w:b/>
          <w:bCs/>
          <w:sz w:val="32"/>
          <w:szCs w:val="32"/>
        </w:rPr>
      </w:pPr>
      <w:r w:rsidRPr="00156466">
        <w:rPr>
          <w:rFonts w:ascii="Arial" w:hAnsi="Arial" w:cs="Arial"/>
          <w:b/>
          <w:bCs/>
          <w:color w:val="000000"/>
          <w:sz w:val="32"/>
          <w:szCs w:val="32"/>
          <w:highlight w:val="yellow"/>
        </w:rPr>
        <w:br w:type="page"/>
      </w:r>
      <w:r w:rsidRPr="00701AF4">
        <w:rPr>
          <w:rFonts w:ascii="Arial" w:hAnsi="Arial" w:cs="Arial"/>
          <w:b/>
          <w:bCs/>
          <w:sz w:val="32"/>
          <w:szCs w:val="32"/>
        </w:rPr>
        <w:lastRenderedPageBreak/>
        <w:t xml:space="preserve">Abstract </w:t>
      </w:r>
    </w:p>
    <w:p w14:paraId="190B448E" w14:textId="099DC40C" w:rsidR="009E0492" w:rsidRPr="00156466" w:rsidRDefault="009E0492" w:rsidP="009E0492">
      <w:pPr>
        <w:rPr>
          <w:rFonts w:ascii="Arial" w:hAnsi="Arial" w:cs="Arial"/>
        </w:rPr>
      </w:pPr>
      <w:r w:rsidRPr="00701AF4">
        <w:rPr>
          <w:rFonts w:ascii="Arial" w:hAnsi="Arial" w:cs="Arial"/>
        </w:rPr>
        <w:t xml:space="preserve">The case study is </w:t>
      </w:r>
      <w:r w:rsidR="007E402F" w:rsidRPr="00701AF4">
        <w:rPr>
          <w:rFonts w:ascii="Arial" w:hAnsi="Arial" w:cs="Arial"/>
        </w:rPr>
        <w:t>about</w:t>
      </w:r>
      <w:r w:rsidRPr="00701AF4">
        <w:rPr>
          <w:rFonts w:ascii="Arial" w:hAnsi="Arial" w:cs="Arial"/>
        </w:rPr>
        <w:t xml:space="preserve"> </w:t>
      </w:r>
      <w:proofErr w:type="spellStart"/>
      <w:r w:rsidR="007E402F" w:rsidRPr="00701AF4">
        <w:rPr>
          <w:rFonts w:ascii="Arial" w:hAnsi="Arial" w:cs="Arial"/>
        </w:rPr>
        <w:t>AeroLink</w:t>
      </w:r>
      <w:proofErr w:type="spellEnd"/>
      <w:r w:rsidRPr="00701AF4">
        <w:rPr>
          <w:rFonts w:ascii="Arial" w:hAnsi="Arial" w:cs="Arial"/>
        </w:rPr>
        <w:t xml:space="preserve"> Logistics (ALL) and currently the organisation </w:t>
      </w:r>
      <w:proofErr w:type="gramStart"/>
      <w:r w:rsidRPr="00701AF4">
        <w:rPr>
          <w:rFonts w:ascii="Arial" w:hAnsi="Arial" w:cs="Arial"/>
        </w:rPr>
        <w:t>face</w:t>
      </w:r>
      <w:proofErr w:type="gramEnd"/>
      <w:r w:rsidRPr="00701AF4">
        <w:rPr>
          <w:rFonts w:ascii="Arial" w:hAnsi="Arial" w:cs="Arial"/>
        </w:rPr>
        <w:t xml:space="preserve"> cybersecurity breaches, which is one of the </w:t>
      </w:r>
      <w:r w:rsidR="007E402F" w:rsidRPr="00701AF4">
        <w:rPr>
          <w:rFonts w:ascii="Arial" w:hAnsi="Arial" w:cs="Arial"/>
        </w:rPr>
        <w:t>major</w:t>
      </w:r>
      <w:r w:rsidRPr="00701AF4">
        <w:rPr>
          <w:rFonts w:ascii="Arial" w:hAnsi="Arial" w:cs="Arial"/>
        </w:rPr>
        <w:t xml:space="preserve"> </w:t>
      </w:r>
      <w:r w:rsidR="007E402F" w:rsidRPr="00701AF4">
        <w:rPr>
          <w:rFonts w:ascii="Arial" w:hAnsi="Arial" w:cs="Arial"/>
        </w:rPr>
        <w:t>issues</w:t>
      </w:r>
      <w:r w:rsidRPr="00701AF4">
        <w:rPr>
          <w:rFonts w:ascii="Arial" w:hAnsi="Arial" w:cs="Arial"/>
        </w:rPr>
        <w:t xml:space="preserve"> of modern business. For </w:t>
      </w:r>
      <w:r w:rsidR="007E402F" w:rsidRPr="00701AF4">
        <w:rPr>
          <w:rFonts w:ascii="Arial" w:hAnsi="Arial" w:cs="Arial"/>
        </w:rPr>
        <w:t>identifying</w:t>
      </w:r>
      <w:r w:rsidRPr="00701AF4">
        <w:rPr>
          <w:rFonts w:ascii="Arial" w:hAnsi="Arial" w:cs="Arial"/>
        </w:rPr>
        <w:t xml:space="preserve"> a </w:t>
      </w:r>
      <w:r w:rsidR="007E402F" w:rsidRPr="00701AF4">
        <w:rPr>
          <w:rFonts w:ascii="Arial" w:hAnsi="Arial" w:cs="Arial"/>
        </w:rPr>
        <w:t>suitable</w:t>
      </w:r>
      <w:r w:rsidRPr="00701AF4">
        <w:rPr>
          <w:rFonts w:ascii="Arial" w:hAnsi="Arial" w:cs="Arial"/>
        </w:rPr>
        <w:t xml:space="preserve"> </w:t>
      </w:r>
      <w:r w:rsidR="007E402F" w:rsidRPr="00701AF4">
        <w:rPr>
          <w:rFonts w:ascii="Arial" w:hAnsi="Arial" w:cs="Arial"/>
        </w:rPr>
        <w:t>framework</w:t>
      </w:r>
      <w:r w:rsidRPr="00701AF4">
        <w:rPr>
          <w:rFonts w:ascii="Arial" w:hAnsi="Arial" w:cs="Arial"/>
        </w:rPr>
        <w:t xml:space="preserve"> to prevent the issues, four </w:t>
      </w:r>
      <w:r w:rsidR="007E402F" w:rsidRPr="00701AF4">
        <w:rPr>
          <w:rFonts w:ascii="Arial" w:hAnsi="Arial" w:cs="Arial"/>
        </w:rPr>
        <w:t>major</w:t>
      </w:r>
      <w:r w:rsidRPr="00701AF4">
        <w:rPr>
          <w:rFonts w:ascii="Arial" w:hAnsi="Arial" w:cs="Arial"/>
        </w:rPr>
        <w:t xml:space="preserve"> cybersecurity </w:t>
      </w:r>
      <w:r w:rsidR="007E402F" w:rsidRPr="00701AF4">
        <w:rPr>
          <w:rFonts w:ascii="Arial" w:hAnsi="Arial" w:cs="Arial"/>
        </w:rPr>
        <w:t>frameworks</w:t>
      </w:r>
      <w:r w:rsidRPr="00701AF4">
        <w:rPr>
          <w:rFonts w:ascii="Arial" w:hAnsi="Arial" w:cs="Arial"/>
        </w:rPr>
        <w:t xml:space="preserve"> like NIST </w:t>
      </w:r>
      <w:r w:rsidR="007E402F" w:rsidRPr="00701AF4">
        <w:rPr>
          <w:rFonts w:ascii="Arial" w:hAnsi="Arial" w:cs="Arial"/>
        </w:rPr>
        <w:t>Cybersecurity</w:t>
      </w:r>
      <w:r w:rsidRPr="00701AF4">
        <w:rPr>
          <w:rFonts w:ascii="Arial" w:hAnsi="Arial" w:cs="Arial"/>
        </w:rPr>
        <w:t xml:space="preserve"> </w:t>
      </w:r>
      <w:r w:rsidR="007E402F" w:rsidRPr="00701AF4">
        <w:rPr>
          <w:rFonts w:ascii="Arial" w:hAnsi="Arial" w:cs="Arial"/>
        </w:rPr>
        <w:t>Framework</w:t>
      </w:r>
      <w:r w:rsidRPr="00701AF4">
        <w:rPr>
          <w:rFonts w:ascii="Arial" w:hAnsi="Arial" w:cs="Arial"/>
        </w:rPr>
        <w:t xml:space="preserve"> 2.0, ISO/IEC 27001, COBIT 2019 and ITIL 4 </w:t>
      </w:r>
      <w:r w:rsidR="007E402F" w:rsidRPr="00701AF4">
        <w:rPr>
          <w:rFonts w:ascii="Arial" w:hAnsi="Arial" w:cs="Arial"/>
        </w:rPr>
        <w:t>security</w:t>
      </w:r>
      <w:r w:rsidRPr="00701AF4">
        <w:rPr>
          <w:rFonts w:ascii="Arial" w:hAnsi="Arial" w:cs="Arial"/>
        </w:rPr>
        <w:t xml:space="preserve"> </w:t>
      </w:r>
      <w:r w:rsidR="007E402F" w:rsidRPr="00701AF4">
        <w:rPr>
          <w:rFonts w:ascii="Arial" w:hAnsi="Arial" w:cs="Arial"/>
        </w:rPr>
        <w:t>frameworks</w:t>
      </w:r>
      <w:r w:rsidRPr="00701AF4">
        <w:rPr>
          <w:rFonts w:ascii="Arial" w:hAnsi="Arial" w:cs="Arial"/>
        </w:rPr>
        <w:t xml:space="preserve"> are discussed critically. From the analysis and based on the case organisation’s situation, COBIT 2019 </w:t>
      </w:r>
      <w:r w:rsidR="007E402F" w:rsidRPr="00701AF4">
        <w:rPr>
          <w:rFonts w:ascii="Arial" w:hAnsi="Arial" w:cs="Arial"/>
        </w:rPr>
        <w:t xml:space="preserve">is chosen and finally its implementations </w:t>
      </w:r>
      <w:r w:rsidR="005B6476" w:rsidRPr="00701AF4">
        <w:rPr>
          <w:rFonts w:ascii="Arial" w:hAnsi="Arial" w:cs="Arial"/>
        </w:rPr>
        <w:t>are</w:t>
      </w:r>
      <w:r w:rsidR="00156466" w:rsidRPr="00701AF4">
        <w:rPr>
          <w:rFonts w:ascii="Arial" w:hAnsi="Arial" w:cs="Arial"/>
        </w:rPr>
        <w:t xml:space="preserve"> shown through flowchart.</w:t>
      </w:r>
      <w:r w:rsidR="005B6476" w:rsidRPr="00701AF4">
        <w:rPr>
          <w:rFonts w:ascii="Arial" w:hAnsi="Arial" w:cs="Arial"/>
        </w:rPr>
        <w:t xml:space="preserve"> The solution is integrated with AI-based cloud technology of the organisation, which helps to improve the data protection of the firm. The governance structure and the management structure with compliance roadmap have been developed. Then its contingency and business continuity planning has been done with vendor management and SLA governance. Continuous regulation and standard updates for the new solution and its importance are discussed.</w:t>
      </w:r>
      <w:r w:rsidR="005B6476">
        <w:rPr>
          <w:rFonts w:ascii="Arial" w:hAnsi="Arial" w:cs="Arial"/>
        </w:rPr>
        <w:t xml:space="preserve"> </w:t>
      </w:r>
    </w:p>
    <w:p w14:paraId="3A20C0F9" w14:textId="77777777" w:rsidR="001D3B51" w:rsidRPr="00156466" w:rsidRDefault="001D3B51" w:rsidP="001D3B51">
      <w:pPr>
        <w:rPr>
          <w:rFonts w:ascii="Arial" w:hAnsi="Arial" w:cs="Arial"/>
          <w:b/>
          <w:bCs/>
          <w:sz w:val="28"/>
          <w:szCs w:val="28"/>
        </w:rPr>
      </w:pPr>
      <w:r w:rsidRPr="00156466">
        <w:rPr>
          <w:rFonts w:ascii="Arial" w:hAnsi="Arial" w:cs="Arial"/>
        </w:rPr>
        <w:br w:type="page"/>
      </w:r>
    </w:p>
    <w:sdt>
      <w:sdtPr>
        <w:rPr>
          <w:rFonts w:ascii="Arial" w:eastAsia="Times New Roman" w:hAnsi="Arial" w:cs="Arial"/>
          <w:color w:val="auto"/>
          <w:sz w:val="24"/>
          <w:szCs w:val="24"/>
          <w:lang w:val="en-GB"/>
        </w:rPr>
        <w:id w:val="-1279488130"/>
        <w:docPartObj>
          <w:docPartGallery w:val="Table of Contents"/>
          <w:docPartUnique/>
        </w:docPartObj>
      </w:sdtPr>
      <w:sdtEndPr>
        <w:rPr>
          <w:b/>
          <w:bCs/>
          <w:noProof/>
        </w:rPr>
      </w:sdtEndPr>
      <w:sdtContent>
        <w:p w14:paraId="1597EE45" w14:textId="5725A2AC" w:rsidR="001D3B51" w:rsidRPr="00156466" w:rsidRDefault="001D3B51" w:rsidP="00C07E6A">
          <w:pPr>
            <w:pStyle w:val="TOCHeading"/>
            <w:spacing w:before="120" w:after="120" w:line="240" w:lineRule="auto"/>
            <w:jc w:val="center"/>
            <w:rPr>
              <w:rFonts w:ascii="Arial" w:hAnsi="Arial" w:cs="Arial"/>
              <w:b/>
              <w:bCs/>
              <w:color w:val="auto"/>
            </w:rPr>
          </w:pPr>
          <w:r w:rsidRPr="00156466">
            <w:rPr>
              <w:rFonts w:ascii="Arial" w:hAnsi="Arial" w:cs="Arial"/>
              <w:b/>
              <w:bCs/>
              <w:color w:val="auto"/>
            </w:rPr>
            <w:t>Table of Contents</w:t>
          </w:r>
        </w:p>
        <w:p w14:paraId="0AB1CCBB" w14:textId="1094D435" w:rsidR="00156466" w:rsidRPr="00156466" w:rsidRDefault="001D3B51">
          <w:pPr>
            <w:pStyle w:val="TOC1"/>
            <w:rPr>
              <w:rFonts w:ascii="Arial" w:eastAsiaTheme="minorEastAsia" w:hAnsi="Arial" w:cs="Arial"/>
              <w:noProof/>
              <w:kern w:val="2"/>
              <w:lang w:val="en-US"/>
              <w14:ligatures w14:val="standardContextual"/>
            </w:rPr>
          </w:pPr>
          <w:r w:rsidRPr="00156466">
            <w:rPr>
              <w:rFonts w:ascii="Arial" w:hAnsi="Arial" w:cs="Arial"/>
            </w:rPr>
            <w:fldChar w:fldCharType="begin"/>
          </w:r>
          <w:r w:rsidRPr="00156466">
            <w:rPr>
              <w:rFonts w:ascii="Arial" w:hAnsi="Arial" w:cs="Arial"/>
            </w:rPr>
            <w:instrText xml:space="preserve"> TOC \o "1-3" \h \z \u </w:instrText>
          </w:r>
          <w:r w:rsidRPr="00156466">
            <w:rPr>
              <w:rFonts w:ascii="Arial" w:hAnsi="Arial" w:cs="Arial"/>
            </w:rPr>
            <w:fldChar w:fldCharType="separate"/>
          </w:r>
          <w:hyperlink w:anchor="_Toc234840297" w:history="1">
            <w:r w:rsidR="00156466" w:rsidRPr="00156466">
              <w:rPr>
                <w:rStyle w:val="Hyperlink"/>
                <w:rFonts w:ascii="Arial" w:hAnsi="Arial" w:cs="Arial"/>
                <w:noProof/>
              </w:rPr>
              <w:t>1.0 Introduction</w:t>
            </w:r>
            <w:r w:rsidR="00156466" w:rsidRPr="00156466">
              <w:rPr>
                <w:rFonts w:ascii="Arial" w:hAnsi="Arial" w:cs="Arial"/>
                <w:noProof/>
                <w:webHidden/>
              </w:rPr>
              <w:tab/>
            </w:r>
            <w:r w:rsidR="00156466" w:rsidRPr="00156466">
              <w:rPr>
                <w:rFonts w:ascii="Arial" w:hAnsi="Arial" w:cs="Arial"/>
                <w:noProof/>
                <w:webHidden/>
              </w:rPr>
              <w:fldChar w:fldCharType="begin"/>
            </w:r>
            <w:r w:rsidR="00156466" w:rsidRPr="00156466">
              <w:rPr>
                <w:rFonts w:ascii="Arial" w:hAnsi="Arial" w:cs="Arial"/>
                <w:noProof/>
                <w:webHidden/>
              </w:rPr>
              <w:instrText xml:space="preserve"> PAGEREF _Toc234840297 \h </w:instrText>
            </w:r>
            <w:r w:rsidR="00156466" w:rsidRPr="00156466">
              <w:rPr>
                <w:rFonts w:ascii="Arial" w:hAnsi="Arial" w:cs="Arial"/>
                <w:noProof/>
                <w:webHidden/>
              </w:rPr>
            </w:r>
            <w:r w:rsidR="00156466" w:rsidRPr="00156466">
              <w:rPr>
                <w:rFonts w:ascii="Arial" w:hAnsi="Arial" w:cs="Arial"/>
                <w:noProof/>
                <w:webHidden/>
              </w:rPr>
              <w:fldChar w:fldCharType="separate"/>
            </w:r>
            <w:r w:rsidR="00156466" w:rsidRPr="00156466">
              <w:rPr>
                <w:rFonts w:ascii="Arial" w:hAnsi="Arial" w:cs="Arial"/>
                <w:noProof/>
                <w:webHidden/>
              </w:rPr>
              <w:t>5</w:t>
            </w:r>
            <w:r w:rsidR="00156466" w:rsidRPr="00156466">
              <w:rPr>
                <w:rFonts w:ascii="Arial" w:hAnsi="Arial" w:cs="Arial"/>
                <w:noProof/>
                <w:webHidden/>
              </w:rPr>
              <w:fldChar w:fldCharType="end"/>
            </w:r>
          </w:hyperlink>
        </w:p>
        <w:p w14:paraId="6207CAEB" w14:textId="14EE6DA2" w:rsidR="00156466" w:rsidRPr="00156466" w:rsidRDefault="00C76060">
          <w:pPr>
            <w:pStyle w:val="TOC1"/>
            <w:rPr>
              <w:rFonts w:ascii="Arial" w:eastAsiaTheme="minorEastAsia" w:hAnsi="Arial" w:cs="Arial"/>
              <w:noProof/>
              <w:kern w:val="2"/>
              <w:lang w:val="en-US"/>
              <w14:ligatures w14:val="standardContextual"/>
            </w:rPr>
          </w:pPr>
          <w:hyperlink w:anchor="_Toc234840298" w:history="1">
            <w:r w:rsidR="00156466" w:rsidRPr="00156466">
              <w:rPr>
                <w:rStyle w:val="Hyperlink"/>
                <w:rFonts w:ascii="Arial" w:hAnsi="Arial" w:cs="Arial"/>
                <w:noProof/>
              </w:rPr>
              <w:t>2.0 Assumption</w:t>
            </w:r>
            <w:r w:rsidR="00156466" w:rsidRPr="00156466">
              <w:rPr>
                <w:rFonts w:ascii="Arial" w:hAnsi="Arial" w:cs="Arial"/>
                <w:noProof/>
                <w:webHidden/>
              </w:rPr>
              <w:tab/>
            </w:r>
            <w:r w:rsidR="00156466" w:rsidRPr="00156466">
              <w:rPr>
                <w:rFonts w:ascii="Arial" w:hAnsi="Arial" w:cs="Arial"/>
                <w:noProof/>
                <w:webHidden/>
              </w:rPr>
              <w:fldChar w:fldCharType="begin"/>
            </w:r>
            <w:r w:rsidR="00156466" w:rsidRPr="00156466">
              <w:rPr>
                <w:rFonts w:ascii="Arial" w:hAnsi="Arial" w:cs="Arial"/>
                <w:noProof/>
                <w:webHidden/>
              </w:rPr>
              <w:instrText xml:space="preserve"> PAGEREF _Toc234840298 \h </w:instrText>
            </w:r>
            <w:r w:rsidR="00156466" w:rsidRPr="00156466">
              <w:rPr>
                <w:rFonts w:ascii="Arial" w:hAnsi="Arial" w:cs="Arial"/>
                <w:noProof/>
                <w:webHidden/>
              </w:rPr>
            </w:r>
            <w:r w:rsidR="00156466" w:rsidRPr="00156466">
              <w:rPr>
                <w:rFonts w:ascii="Arial" w:hAnsi="Arial" w:cs="Arial"/>
                <w:noProof/>
                <w:webHidden/>
              </w:rPr>
              <w:fldChar w:fldCharType="separate"/>
            </w:r>
            <w:r w:rsidR="00156466" w:rsidRPr="00156466">
              <w:rPr>
                <w:rFonts w:ascii="Arial" w:hAnsi="Arial" w:cs="Arial"/>
                <w:noProof/>
                <w:webHidden/>
              </w:rPr>
              <w:t>5</w:t>
            </w:r>
            <w:r w:rsidR="00156466" w:rsidRPr="00156466">
              <w:rPr>
                <w:rFonts w:ascii="Arial" w:hAnsi="Arial" w:cs="Arial"/>
                <w:noProof/>
                <w:webHidden/>
              </w:rPr>
              <w:fldChar w:fldCharType="end"/>
            </w:r>
          </w:hyperlink>
        </w:p>
        <w:p w14:paraId="600080EC" w14:textId="3DA42B70" w:rsidR="00156466" w:rsidRPr="00156466" w:rsidRDefault="00C76060">
          <w:pPr>
            <w:pStyle w:val="TOC1"/>
            <w:rPr>
              <w:rFonts w:ascii="Arial" w:eastAsiaTheme="minorEastAsia" w:hAnsi="Arial" w:cs="Arial"/>
              <w:noProof/>
              <w:kern w:val="2"/>
              <w:lang w:val="en-US"/>
              <w14:ligatures w14:val="standardContextual"/>
            </w:rPr>
          </w:pPr>
          <w:hyperlink w:anchor="_Toc234840299" w:history="1">
            <w:r w:rsidR="00156466" w:rsidRPr="00156466">
              <w:rPr>
                <w:rStyle w:val="Hyperlink"/>
                <w:rFonts w:ascii="Arial" w:hAnsi="Arial" w:cs="Arial"/>
                <w:noProof/>
              </w:rPr>
              <w:t>3.0 Review and critical evaluation of security frameworks</w:t>
            </w:r>
            <w:r w:rsidR="00156466" w:rsidRPr="00156466">
              <w:rPr>
                <w:rFonts w:ascii="Arial" w:hAnsi="Arial" w:cs="Arial"/>
                <w:noProof/>
                <w:webHidden/>
              </w:rPr>
              <w:tab/>
            </w:r>
            <w:r w:rsidR="00156466" w:rsidRPr="00156466">
              <w:rPr>
                <w:rFonts w:ascii="Arial" w:hAnsi="Arial" w:cs="Arial"/>
                <w:noProof/>
                <w:webHidden/>
              </w:rPr>
              <w:fldChar w:fldCharType="begin"/>
            </w:r>
            <w:r w:rsidR="00156466" w:rsidRPr="00156466">
              <w:rPr>
                <w:rFonts w:ascii="Arial" w:hAnsi="Arial" w:cs="Arial"/>
                <w:noProof/>
                <w:webHidden/>
              </w:rPr>
              <w:instrText xml:space="preserve"> PAGEREF _Toc234840299 \h </w:instrText>
            </w:r>
            <w:r w:rsidR="00156466" w:rsidRPr="00156466">
              <w:rPr>
                <w:rFonts w:ascii="Arial" w:hAnsi="Arial" w:cs="Arial"/>
                <w:noProof/>
                <w:webHidden/>
              </w:rPr>
            </w:r>
            <w:r w:rsidR="00156466" w:rsidRPr="00156466">
              <w:rPr>
                <w:rFonts w:ascii="Arial" w:hAnsi="Arial" w:cs="Arial"/>
                <w:noProof/>
                <w:webHidden/>
              </w:rPr>
              <w:fldChar w:fldCharType="separate"/>
            </w:r>
            <w:r w:rsidR="00156466" w:rsidRPr="00156466">
              <w:rPr>
                <w:rFonts w:ascii="Arial" w:hAnsi="Arial" w:cs="Arial"/>
                <w:noProof/>
                <w:webHidden/>
              </w:rPr>
              <w:t>6</w:t>
            </w:r>
            <w:r w:rsidR="00156466" w:rsidRPr="00156466">
              <w:rPr>
                <w:rFonts w:ascii="Arial" w:hAnsi="Arial" w:cs="Arial"/>
                <w:noProof/>
                <w:webHidden/>
              </w:rPr>
              <w:fldChar w:fldCharType="end"/>
            </w:r>
          </w:hyperlink>
        </w:p>
        <w:p w14:paraId="0E5EB8A0" w14:textId="08DAD220" w:rsidR="00156466" w:rsidRPr="00156466" w:rsidRDefault="00C76060">
          <w:pPr>
            <w:pStyle w:val="TOC2"/>
            <w:tabs>
              <w:tab w:val="right" w:leader="dot" w:pos="9350"/>
            </w:tabs>
            <w:rPr>
              <w:rFonts w:ascii="Arial" w:eastAsiaTheme="minorEastAsia" w:hAnsi="Arial" w:cs="Arial"/>
              <w:noProof/>
              <w:kern w:val="2"/>
              <w:lang w:val="en-US"/>
              <w14:ligatures w14:val="standardContextual"/>
            </w:rPr>
          </w:pPr>
          <w:hyperlink w:anchor="_Toc234840300" w:history="1">
            <w:r w:rsidR="00156466" w:rsidRPr="00156466">
              <w:rPr>
                <w:rStyle w:val="Hyperlink"/>
                <w:rFonts w:ascii="Arial" w:hAnsi="Arial" w:cs="Arial"/>
                <w:bCs/>
                <w:noProof/>
              </w:rPr>
              <w:t>3.1 NIST Cybersecurity Framework 2.0</w:t>
            </w:r>
            <w:r w:rsidR="00156466" w:rsidRPr="00156466">
              <w:rPr>
                <w:rFonts w:ascii="Arial" w:hAnsi="Arial" w:cs="Arial"/>
                <w:noProof/>
                <w:webHidden/>
              </w:rPr>
              <w:tab/>
            </w:r>
            <w:r w:rsidR="00156466" w:rsidRPr="00156466">
              <w:rPr>
                <w:rFonts w:ascii="Arial" w:hAnsi="Arial" w:cs="Arial"/>
                <w:noProof/>
                <w:webHidden/>
              </w:rPr>
              <w:fldChar w:fldCharType="begin"/>
            </w:r>
            <w:r w:rsidR="00156466" w:rsidRPr="00156466">
              <w:rPr>
                <w:rFonts w:ascii="Arial" w:hAnsi="Arial" w:cs="Arial"/>
                <w:noProof/>
                <w:webHidden/>
              </w:rPr>
              <w:instrText xml:space="preserve"> PAGEREF _Toc234840300 \h </w:instrText>
            </w:r>
            <w:r w:rsidR="00156466" w:rsidRPr="00156466">
              <w:rPr>
                <w:rFonts w:ascii="Arial" w:hAnsi="Arial" w:cs="Arial"/>
                <w:noProof/>
                <w:webHidden/>
              </w:rPr>
            </w:r>
            <w:r w:rsidR="00156466" w:rsidRPr="00156466">
              <w:rPr>
                <w:rFonts w:ascii="Arial" w:hAnsi="Arial" w:cs="Arial"/>
                <w:noProof/>
                <w:webHidden/>
              </w:rPr>
              <w:fldChar w:fldCharType="separate"/>
            </w:r>
            <w:r w:rsidR="00156466" w:rsidRPr="00156466">
              <w:rPr>
                <w:rFonts w:ascii="Arial" w:hAnsi="Arial" w:cs="Arial"/>
                <w:noProof/>
                <w:webHidden/>
              </w:rPr>
              <w:t>6</w:t>
            </w:r>
            <w:r w:rsidR="00156466" w:rsidRPr="00156466">
              <w:rPr>
                <w:rFonts w:ascii="Arial" w:hAnsi="Arial" w:cs="Arial"/>
                <w:noProof/>
                <w:webHidden/>
              </w:rPr>
              <w:fldChar w:fldCharType="end"/>
            </w:r>
          </w:hyperlink>
        </w:p>
        <w:p w14:paraId="62DD9243" w14:textId="37F39E0F" w:rsidR="00156466" w:rsidRPr="00156466" w:rsidRDefault="00C76060">
          <w:pPr>
            <w:pStyle w:val="TOC2"/>
            <w:tabs>
              <w:tab w:val="right" w:leader="dot" w:pos="9350"/>
            </w:tabs>
            <w:rPr>
              <w:rFonts w:ascii="Arial" w:eastAsiaTheme="minorEastAsia" w:hAnsi="Arial" w:cs="Arial"/>
              <w:noProof/>
              <w:kern w:val="2"/>
              <w:lang w:val="en-US"/>
              <w14:ligatures w14:val="standardContextual"/>
            </w:rPr>
          </w:pPr>
          <w:hyperlink w:anchor="_Toc234840301" w:history="1">
            <w:r w:rsidR="00156466" w:rsidRPr="00156466">
              <w:rPr>
                <w:rStyle w:val="Hyperlink"/>
                <w:rFonts w:ascii="Arial" w:hAnsi="Arial" w:cs="Arial"/>
                <w:bCs/>
                <w:noProof/>
              </w:rPr>
              <w:t>3.2 ISO/IEC 27001</w:t>
            </w:r>
            <w:r w:rsidR="00156466" w:rsidRPr="00156466">
              <w:rPr>
                <w:rFonts w:ascii="Arial" w:hAnsi="Arial" w:cs="Arial"/>
                <w:noProof/>
                <w:webHidden/>
              </w:rPr>
              <w:tab/>
            </w:r>
            <w:r w:rsidR="00156466" w:rsidRPr="00156466">
              <w:rPr>
                <w:rFonts w:ascii="Arial" w:hAnsi="Arial" w:cs="Arial"/>
                <w:noProof/>
                <w:webHidden/>
              </w:rPr>
              <w:fldChar w:fldCharType="begin"/>
            </w:r>
            <w:r w:rsidR="00156466" w:rsidRPr="00156466">
              <w:rPr>
                <w:rFonts w:ascii="Arial" w:hAnsi="Arial" w:cs="Arial"/>
                <w:noProof/>
                <w:webHidden/>
              </w:rPr>
              <w:instrText xml:space="preserve"> PAGEREF _Toc234840301 \h </w:instrText>
            </w:r>
            <w:r w:rsidR="00156466" w:rsidRPr="00156466">
              <w:rPr>
                <w:rFonts w:ascii="Arial" w:hAnsi="Arial" w:cs="Arial"/>
                <w:noProof/>
                <w:webHidden/>
              </w:rPr>
            </w:r>
            <w:r w:rsidR="00156466" w:rsidRPr="00156466">
              <w:rPr>
                <w:rFonts w:ascii="Arial" w:hAnsi="Arial" w:cs="Arial"/>
                <w:noProof/>
                <w:webHidden/>
              </w:rPr>
              <w:fldChar w:fldCharType="separate"/>
            </w:r>
            <w:r w:rsidR="00156466" w:rsidRPr="00156466">
              <w:rPr>
                <w:rFonts w:ascii="Arial" w:hAnsi="Arial" w:cs="Arial"/>
                <w:noProof/>
                <w:webHidden/>
              </w:rPr>
              <w:t>7</w:t>
            </w:r>
            <w:r w:rsidR="00156466" w:rsidRPr="00156466">
              <w:rPr>
                <w:rFonts w:ascii="Arial" w:hAnsi="Arial" w:cs="Arial"/>
                <w:noProof/>
                <w:webHidden/>
              </w:rPr>
              <w:fldChar w:fldCharType="end"/>
            </w:r>
          </w:hyperlink>
        </w:p>
        <w:p w14:paraId="694100C2" w14:textId="56E9C611" w:rsidR="00156466" w:rsidRPr="00156466" w:rsidRDefault="00C76060">
          <w:pPr>
            <w:pStyle w:val="TOC2"/>
            <w:tabs>
              <w:tab w:val="right" w:leader="dot" w:pos="9350"/>
            </w:tabs>
            <w:rPr>
              <w:rFonts w:ascii="Arial" w:eastAsiaTheme="minorEastAsia" w:hAnsi="Arial" w:cs="Arial"/>
              <w:noProof/>
              <w:kern w:val="2"/>
              <w:lang w:val="en-US"/>
              <w14:ligatures w14:val="standardContextual"/>
            </w:rPr>
          </w:pPr>
          <w:hyperlink w:anchor="_Toc234840302" w:history="1">
            <w:r w:rsidR="00156466" w:rsidRPr="00156466">
              <w:rPr>
                <w:rStyle w:val="Hyperlink"/>
                <w:rFonts w:ascii="Arial" w:hAnsi="Arial" w:cs="Arial"/>
                <w:bCs/>
                <w:noProof/>
              </w:rPr>
              <w:t>3.3 COBIT 2019</w:t>
            </w:r>
            <w:r w:rsidR="00156466" w:rsidRPr="00156466">
              <w:rPr>
                <w:rFonts w:ascii="Arial" w:hAnsi="Arial" w:cs="Arial"/>
                <w:noProof/>
                <w:webHidden/>
              </w:rPr>
              <w:tab/>
            </w:r>
            <w:r w:rsidR="00156466" w:rsidRPr="00156466">
              <w:rPr>
                <w:rFonts w:ascii="Arial" w:hAnsi="Arial" w:cs="Arial"/>
                <w:noProof/>
                <w:webHidden/>
              </w:rPr>
              <w:fldChar w:fldCharType="begin"/>
            </w:r>
            <w:r w:rsidR="00156466" w:rsidRPr="00156466">
              <w:rPr>
                <w:rFonts w:ascii="Arial" w:hAnsi="Arial" w:cs="Arial"/>
                <w:noProof/>
                <w:webHidden/>
              </w:rPr>
              <w:instrText xml:space="preserve"> PAGEREF _Toc234840302 \h </w:instrText>
            </w:r>
            <w:r w:rsidR="00156466" w:rsidRPr="00156466">
              <w:rPr>
                <w:rFonts w:ascii="Arial" w:hAnsi="Arial" w:cs="Arial"/>
                <w:noProof/>
                <w:webHidden/>
              </w:rPr>
            </w:r>
            <w:r w:rsidR="00156466" w:rsidRPr="00156466">
              <w:rPr>
                <w:rFonts w:ascii="Arial" w:hAnsi="Arial" w:cs="Arial"/>
                <w:noProof/>
                <w:webHidden/>
              </w:rPr>
              <w:fldChar w:fldCharType="separate"/>
            </w:r>
            <w:r w:rsidR="00156466" w:rsidRPr="00156466">
              <w:rPr>
                <w:rFonts w:ascii="Arial" w:hAnsi="Arial" w:cs="Arial"/>
                <w:noProof/>
                <w:webHidden/>
              </w:rPr>
              <w:t>9</w:t>
            </w:r>
            <w:r w:rsidR="00156466" w:rsidRPr="00156466">
              <w:rPr>
                <w:rFonts w:ascii="Arial" w:hAnsi="Arial" w:cs="Arial"/>
                <w:noProof/>
                <w:webHidden/>
              </w:rPr>
              <w:fldChar w:fldCharType="end"/>
            </w:r>
          </w:hyperlink>
        </w:p>
        <w:p w14:paraId="7DC70C4E" w14:textId="47924E7A" w:rsidR="00156466" w:rsidRPr="00156466" w:rsidRDefault="00C76060">
          <w:pPr>
            <w:pStyle w:val="TOC2"/>
            <w:tabs>
              <w:tab w:val="right" w:leader="dot" w:pos="9350"/>
            </w:tabs>
            <w:rPr>
              <w:rFonts w:ascii="Arial" w:eastAsiaTheme="minorEastAsia" w:hAnsi="Arial" w:cs="Arial"/>
              <w:noProof/>
              <w:kern w:val="2"/>
              <w:lang w:val="en-US"/>
              <w14:ligatures w14:val="standardContextual"/>
            </w:rPr>
          </w:pPr>
          <w:hyperlink w:anchor="_Toc234840303" w:history="1">
            <w:r w:rsidR="00156466" w:rsidRPr="00156466">
              <w:rPr>
                <w:rStyle w:val="Hyperlink"/>
                <w:rFonts w:ascii="Arial" w:hAnsi="Arial" w:cs="Arial"/>
                <w:bCs/>
                <w:noProof/>
              </w:rPr>
              <w:t>3.4 ITIL 4 Security Management</w:t>
            </w:r>
            <w:r w:rsidR="00156466" w:rsidRPr="00156466">
              <w:rPr>
                <w:rFonts w:ascii="Arial" w:hAnsi="Arial" w:cs="Arial"/>
                <w:noProof/>
                <w:webHidden/>
              </w:rPr>
              <w:tab/>
            </w:r>
            <w:r w:rsidR="00156466" w:rsidRPr="00156466">
              <w:rPr>
                <w:rFonts w:ascii="Arial" w:hAnsi="Arial" w:cs="Arial"/>
                <w:noProof/>
                <w:webHidden/>
              </w:rPr>
              <w:fldChar w:fldCharType="begin"/>
            </w:r>
            <w:r w:rsidR="00156466" w:rsidRPr="00156466">
              <w:rPr>
                <w:rFonts w:ascii="Arial" w:hAnsi="Arial" w:cs="Arial"/>
                <w:noProof/>
                <w:webHidden/>
              </w:rPr>
              <w:instrText xml:space="preserve"> PAGEREF _Toc234840303 \h </w:instrText>
            </w:r>
            <w:r w:rsidR="00156466" w:rsidRPr="00156466">
              <w:rPr>
                <w:rFonts w:ascii="Arial" w:hAnsi="Arial" w:cs="Arial"/>
                <w:noProof/>
                <w:webHidden/>
              </w:rPr>
            </w:r>
            <w:r w:rsidR="00156466" w:rsidRPr="00156466">
              <w:rPr>
                <w:rFonts w:ascii="Arial" w:hAnsi="Arial" w:cs="Arial"/>
                <w:noProof/>
                <w:webHidden/>
              </w:rPr>
              <w:fldChar w:fldCharType="separate"/>
            </w:r>
            <w:r w:rsidR="00156466" w:rsidRPr="00156466">
              <w:rPr>
                <w:rFonts w:ascii="Arial" w:hAnsi="Arial" w:cs="Arial"/>
                <w:noProof/>
                <w:webHidden/>
              </w:rPr>
              <w:t>10</w:t>
            </w:r>
            <w:r w:rsidR="00156466" w:rsidRPr="00156466">
              <w:rPr>
                <w:rFonts w:ascii="Arial" w:hAnsi="Arial" w:cs="Arial"/>
                <w:noProof/>
                <w:webHidden/>
              </w:rPr>
              <w:fldChar w:fldCharType="end"/>
            </w:r>
          </w:hyperlink>
        </w:p>
        <w:p w14:paraId="583019E0" w14:textId="7E7B90B0" w:rsidR="00156466" w:rsidRPr="00156466" w:rsidRDefault="00C76060">
          <w:pPr>
            <w:pStyle w:val="TOC2"/>
            <w:tabs>
              <w:tab w:val="right" w:leader="dot" w:pos="9350"/>
            </w:tabs>
            <w:rPr>
              <w:rFonts w:ascii="Arial" w:eastAsiaTheme="minorEastAsia" w:hAnsi="Arial" w:cs="Arial"/>
              <w:noProof/>
              <w:kern w:val="2"/>
              <w:lang w:val="en-US"/>
              <w14:ligatures w14:val="standardContextual"/>
            </w:rPr>
          </w:pPr>
          <w:hyperlink w:anchor="_Toc234840304" w:history="1">
            <w:r w:rsidR="00156466" w:rsidRPr="00156466">
              <w:rPr>
                <w:rStyle w:val="Hyperlink"/>
                <w:rFonts w:ascii="Arial" w:hAnsi="Arial" w:cs="Arial"/>
                <w:bCs/>
                <w:noProof/>
              </w:rPr>
              <w:t>3.5 Critical comparison</w:t>
            </w:r>
            <w:r w:rsidR="00156466" w:rsidRPr="00156466">
              <w:rPr>
                <w:rFonts w:ascii="Arial" w:hAnsi="Arial" w:cs="Arial"/>
                <w:noProof/>
                <w:webHidden/>
              </w:rPr>
              <w:tab/>
            </w:r>
            <w:r w:rsidR="00156466" w:rsidRPr="00156466">
              <w:rPr>
                <w:rFonts w:ascii="Arial" w:hAnsi="Arial" w:cs="Arial"/>
                <w:noProof/>
                <w:webHidden/>
              </w:rPr>
              <w:fldChar w:fldCharType="begin"/>
            </w:r>
            <w:r w:rsidR="00156466" w:rsidRPr="00156466">
              <w:rPr>
                <w:rFonts w:ascii="Arial" w:hAnsi="Arial" w:cs="Arial"/>
                <w:noProof/>
                <w:webHidden/>
              </w:rPr>
              <w:instrText xml:space="preserve"> PAGEREF _Toc234840304 \h </w:instrText>
            </w:r>
            <w:r w:rsidR="00156466" w:rsidRPr="00156466">
              <w:rPr>
                <w:rFonts w:ascii="Arial" w:hAnsi="Arial" w:cs="Arial"/>
                <w:noProof/>
                <w:webHidden/>
              </w:rPr>
            </w:r>
            <w:r w:rsidR="00156466" w:rsidRPr="00156466">
              <w:rPr>
                <w:rFonts w:ascii="Arial" w:hAnsi="Arial" w:cs="Arial"/>
                <w:noProof/>
                <w:webHidden/>
              </w:rPr>
              <w:fldChar w:fldCharType="separate"/>
            </w:r>
            <w:r w:rsidR="00156466" w:rsidRPr="00156466">
              <w:rPr>
                <w:rFonts w:ascii="Arial" w:hAnsi="Arial" w:cs="Arial"/>
                <w:noProof/>
                <w:webHidden/>
              </w:rPr>
              <w:t>11</w:t>
            </w:r>
            <w:r w:rsidR="00156466" w:rsidRPr="00156466">
              <w:rPr>
                <w:rFonts w:ascii="Arial" w:hAnsi="Arial" w:cs="Arial"/>
                <w:noProof/>
                <w:webHidden/>
              </w:rPr>
              <w:fldChar w:fldCharType="end"/>
            </w:r>
          </w:hyperlink>
        </w:p>
        <w:p w14:paraId="485D84DC" w14:textId="49F3FB3D" w:rsidR="00156466" w:rsidRPr="00156466" w:rsidRDefault="00C76060">
          <w:pPr>
            <w:pStyle w:val="TOC1"/>
            <w:rPr>
              <w:rFonts w:ascii="Arial" w:eastAsiaTheme="minorEastAsia" w:hAnsi="Arial" w:cs="Arial"/>
              <w:noProof/>
              <w:kern w:val="2"/>
              <w:lang w:val="en-US"/>
              <w14:ligatures w14:val="standardContextual"/>
            </w:rPr>
          </w:pPr>
          <w:hyperlink w:anchor="_Toc234840305" w:history="1">
            <w:r w:rsidR="00156466" w:rsidRPr="00156466">
              <w:rPr>
                <w:rStyle w:val="Hyperlink"/>
                <w:rFonts w:ascii="Arial" w:hAnsi="Arial" w:cs="Arial"/>
                <w:noProof/>
              </w:rPr>
              <w:t>4.0 Proposed security, governance and compliance framework for Aero Link Logistics</w:t>
            </w:r>
            <w:r w:rsidR="00156466" w:rsidRPr="00156466">
              <w:rPr>
                <w:rFonts w:ascii="Arial" w:hAnsi="Arial" w:cs="Arial"/>
                <w:noProof/>
                <w:webHidden/>
              </w:rPr>
              <w:tab/>
            </w:r>
            <w:r w:rsidR="00156466" w:rsidRPr="00156466">
              <w:rPr>
                <w:rFonts w:ascii="Arial" w:hAnsi="Arial" w:cs="Arial"/>
                <w:noProof/>
                <w:webHidden/>
              </w:rPr>
              <w:fldChar w:fldCharType="begin"/>
            </w:r>
            <w:r w:rsidR="00156466" w:rsidRPr="00156466">
              <w:rPr>
                <w:rFonts w:ascii="Arial" w:hAnsi="Arial" w:cs="Arial"/>
                <w:noProof/>
                <w:webHidden/>
              </w:rPr>
              <w:instrText xml:space="preserve"> PAGEREF _Toc234840305 \h </w:instrText>
            </w:r>
            <w:r w:rsidR="00156466" w:rsidRPr="00156466">
              <w:rPr>
                <w:rFonts w:ascii="Arial" w:hAnsi="Arial" w:cs="Arial"/>
                <w:noProof/>
                <w:webHidden/>
              </w:rPr>
            </w:r>
            <w:r w:rsidR="00156466" w:rsidRPr="00156466">
              <w:rPr>
                <w:rFonts w:ascii="Arial" w:hAnsi="Arial" w:cs="Arial"/>
                <w:noProof/>
                <w:webHidden/>
              </w:rPr>
              <w:fldChar w:fldCharType="separate"/>
            </w:r>
            <w:r w:rsidR="00156466" w:rsidRPr="00156466">
              <w:rPr>
                <w:rFonts w:ascii="Arial" w:hAnsi="Arial" w:cs="Arial"/>
                <w:noProof/>
                <w:webHidden/>
              </w:rPr>
              <w:t>11</w:t>
            </w:r>
            <w:r w:rsidR="00156466" w:rsidRPr="00156466">
              <w:rPr>
                <w:rFonts w:ascii="Arial" w:hAnsi="Arial" w:cs="Arial"/>
                <w:noProof/>
                <w:webHidden/>
              </w:rPr>
              <w:fldChar w:fldCharType="end"/>
            </w:r>
          </w:hyperlink>
        </w:p>
        <w:p w14:paraId="46BEC7A2" w14:textId="2E12AE5A" w:rsidR="00156466" w:rsidRPr="00156466" w:rsidRDefault="00C76060">
          <w:pPr>
            <w:pStyle w:val="TOC2"/>
            <w:tabs>
              <w:tab w:val="right" w:leader="dot" w:pos="9350"/>
            </w:tabs>
            <w:rPr>
              <w:rFonts w:ascii="Arial" w:eastAsiaTheme="minorEastAsia" w:hAnsi="Arial" w:cs="Arial"/>
              <w:noProof/>
              <w:kern w:val="2"/>
              <w:lang w:val="en-US"/>
              <w14:ligatures w14:val="standardContextual"/>
            </w:rPr>
          </w:pPr>
          <w:hyperlink w:anchor="_Toc234840306" w:history="1">
            <w:r w:rsidR="00156466" w:rsidRPr="00156466">
              <w:rPr>
                <w:rStyle w:val="Hyperlink"/>
                <w:rFonts w:ascii="Arial" w:hAnsi="Arial" w:cs="Arial"/>
                <w:noProof/>
              </w:rPr>
              <w:t>4.1 Proposed integrated governance model</w:t>
            </w:r>
            <w:r w:rsidR="00156466" w:rsidRPr="00156466">
              <w:rPr>
                <w:rFonts w:ascii="Arial" w:hAnsi="Arial" w:cs="Arial"/>
                <w:noProof/>
                <w:webHidden/>
              </w:rPr>
              <w:tab/>
            </w:r>
            <w:r w:rsidR="00156466" w:rsidRPr="00156466">
              <w:rPr>
                <w:rFonts w:ascii="Arial" w:hAnsi="Arial" w:cs="Arial"/>
                <w:noProof/>
                <w:webHidden/>
              </w:rPr>
              <w:fldChar w:fldCharType="begin"/>
            </w:r>
            <w:r w:rsidR="00156466" w:rsidRPr="00156466">
              <w:rPr>
                <w:rFonts w:ascii="Arial" w:hAnsi="Arial" w:cs="Arial"/>
                <w:noProof/>
                <w:webHidden/>
              </w:rPr>
              <w:instrText xml:space="preserve"> PAGEREF _Toc234840306 \h </w:instrText>
            </w:r>
            <w:r w:rsidR="00156466" w:rsidRPr="00156466">
              <w:rPr>
                <w:rFonts w:ascii="Arial" w:hAnsi="Arial" w:cs="Arial"/>
                <w:noProof/>
                <w:webHidden/>
              </w:rPr>
            </w:r>
            <w:r w:rsidR="00156466" w:rsidRPr="00156466">
              <w:rPr>
                <w:rFonts w:ascii="Arial" w:hAnsi="Arial" w:cs="Arial"/>
                <w:noProof/>
                <w:webHidden/>
              </w:rPr>
              <w:fldChar w:fldCharType="separate"/>
            </w:r>
            <w:r w:rsidR="00156466" w:rsidRPr="00156466">
              <w:rPr>
                <w:rFonts w:ascii="Arial" w:hAnsi="Arial" w:cs="Arial"/>
                <w:noProof/>
                <w:webHidden/>
              </w:rPr>
              <w:t>11</w:t>
            </w:r>
            <w:r w:rsidR="00156466" w:rsidRPr="00156466">
              <w:rPr>
                <w:rFonts w:ascii="Arial" w:hAnsi="Arial" w:cs="Arial"/>
                <w:noProof/>
                <w:webHidden/>
              </w:rPr>
              <w:fldChar w:fldCharType="end"/>
            </w:r>
          </w:hyperlink>
        </w:p>
        <w:p w14:paraId="1FFD7848" w14:textId="2280B902" w:rsidR="00156466" w:rsidRPr="00156466" w:rsidRDefault="00C76060">
          <w:pPr>
            <w:pStyle w:val="TOC2"/>
            <w:tabs>
              <w:tab w:val="right" w:leader="dot" w:pos="9350"/>
            </w:tabs>
            <w:rPr>
              <w:rFonts w:ascii="Arial" w:eastAsiaTheme="minorEastAsia" w:hAnsi="Arial" w:cs="Arial"/>
              <w:noProof/>
              <w:kern w:val="2"/>
              <w:lang w:val="en-US"/>
              <w14:ligatures w14:val="standardContextual"/>
            </w:rPr>
          </w:pPr>
          <w:hyperlink w:anchor="_Toc234840307" w:history="1">
            <w:r w:rsidR="00156466" w:rsidRPr="00156466">
              <w:rPr>
                <w:rStyle w:val="Hyperlink"/>
                <w:rFonts w:ascii="Arial" w:hAnsi="Arial" w:cs="Arial"/>
                <w:noProof/>
              </w:rPr>
              <w:t>4.2 Governance structure and security responsibilities</w:t>
            </w:r>
            <w:r w:rsidR="00156466" w:rsidRPr="00156466">
              <w:rPr>
                <w:rFonts w:ascii="Arial" w:hAnsi="Arial" w:cs="Arial"/>
                <w:noProof/>
                <w:webHidden/>
              </w:rPr>
              <w:tab/>
            </w:r>
            <w:r w:rsidR="00156466" w:rsidRPr="00156466">
              <w:rPr>
                <w:rFonts w:ascii="Arial" w:hAnsi="Arial" w:cs="Arial"/>
                <w:noProof/>
                <w:webHidden/>
              </w:rPr>
              <w:fldChar w:fldCharType="begin"/>
            </w:r>
            <w:r w:rsidR="00156466" w:rsidRPr="00156466">
              <w:rPr>
                <w:rFonts w:ascii="Arial" w:hAnsi="Arial" w:cs="Arial"/>
                <w:noProof/>
                <w:webHidden/>
              </w:rPr>
              <w:instrText xml:space="preserve"> PAGEREF _Toc234840307 \h </w:instrText>
            </w:r>
            <w:r w:rsidR="00156466" w:rsidRPr="00156466">
              <w:rPr>
                <w:rFonts w:ascii="Arial" w:hAnsi="Arial" w:cs="Arial"/>
                <w:noProof/>
                <w:webHidden/>
              </w:rPr>
            </w:r>
            <w:r w:rsidR="00156466" w:rsidRPr="00156466">
              <w:rPr>
                <w:rFonts w:ascii="Arial" w:hAnsi="Arial" w:cs="Arial"/>
                <w:noProof/>
                <w:webHidden/>
              </w:rPr>
              <w:fldChar w:fldCharType="separate"/>
            </w:r>
            <w:r w:rsidR="00156466" w:rsidRPr="00156466">
              <w:rPr>
                <w:rFonts w:ascii="Arial" w:hAnsi="Arial" w:cs="Arial"/>
                <w:noProof/>
                <w:webHidden/>
              </w:rPr>
              <w:t>13</w:t>
            </w:r>
            <w:r w:rsidR="00156466" w:rsidRPr="00156466">
              <w:rPr>
                <w:rFonts w:ascii="Arial" w:hAnsi="Arial" w:cs="Arial"/>
                <w:noProof/>
                <w:webHidden/>
              </w:rPr>
              <w:fldChar w:fldCharType="end"/>
            </w:r>
          </w:hyperlink>
        </w:p>
        <w:p w14:paraId="59FC213F" w14:textId="067EDA85" w:rsidR="00156466" w:rsidRPr="00156466" w:rsidRDefault="00C76060">
          <w:pPr>
            <w:pStyle w:val="TOC2"/>
            <w:tabs>
              <w:tab w:val="right" w:leader="dot" w:pos="9350"/>
            </w:tabs>
            <w:rPr>
              <w:rFonts w:ascii="Arial" w:eastAsiaTheme="minorEastAsia" w:hAnsi="Arial" w:cs="Arial"/>
              <w:noProof/>
              <w:kern w:val="2"/>
              <w:lang w:val="en-US"/>
              <w14:ligatures w14:val="standardContextual"/>
            </w:rPr>
          </w:pPr>
          <w:hyperlink w:anchor="_Toc234840308" w:history="1">
            <w:r w:rsidR="00156466" w:rsidRPr="00156466">
              <w:rPr>
                <w:rStyle w:val="Hyperlink"/>
                <w:rFonts w:ascii="Arial" w:hAnsi="Arial" w:cs="Arial"/>
                <w:noProof/>
              </w:rPr>
              <w:t>4.3 Compliance roadmap</w:t>
            </w:r>
            <w:r w:rsidR="00156466" w:rsidRPr="00156466">
              <w:rPr>
                <w:rFonts w:ascii="Arial" w:hAnsi="Arial" w:cs="Arial"/>
                <w:noProof/>
                <w:webHidden/>
              </w:rPr>
              <w:tab/>
            </w:r>
            <w:r w:rsidR="00156466" w:rsidRPr="00156466">
              <w:rPr>
                <w:rFonts w:ascii="Arial" w:hAnsi="Arial" w:cs="Arial"/>
                <w:noProof/>
                <w:webHidden/>
              </w:rPr>
              <w:fldChar w:fldCharType="begin"/>
            </w:r>
            <w:r w:rsidR="00156466" w:rsidRPr="00156466">
              <w:rPr>
                <w:rFonts w:ascii="Arial" w:hAnsi="Arial" w:cs="Arial"/>
                <w:noProof/>
                <w:webHidden/>
              </w:rPr>
              <w:instrText xml:space="preserve"> PAGEREF _Toc234840308 \h </w:instrText>
            </w:r>
            <w:r w:rsidR="00156466" w:rsidRPr="00156466">
              <w:rPr>
                <w:rFonts w:ascii="Arial" w:hAnsi="Arial" w:cs="Arial"/>
                <w:noProof/>
                <w:webHidden/>
              </w:rPr>
            </w:r>
            <w:r w:rsidR="00156466" w:rsidRPr="00156466">
              <w:rPr>
                <w:rFonts w:ascii="Arial" w:hAnsi="Arial" w:cs="Arial"/>
                <w:noProof/>
                <w:webHidden/>
              </w:rPr>
              <w:fldChar w:fldCharType="separate"/>
            </w:r>
            <w:r w:rsidR="00156466" w:rsidRPr="00156466">
              <w:rPr>
                <w:rFonts w:ascii="Arial" w:hAnsi="Arial" w:cs="Arial"/>
                <w:noProof/>
                <w:webHidden/>
              </w:rPr>
              <w:t>15</w:t>
            </w:r>
            <w:r w:rsidR="00156466" w:rsidRPr="00156466">
              <w:rPr>
                <w:rFonts w:ascii="Arial" w:hAnsi="Arial" w:cs="Arial"/>
                <w:noProof/>
                <w:webHidden/>
              </w:rPr>
              <w:fldChar w:fldCharType="end"/>
            </w:r>
          </w:hyperlink>
        </w:p>
        <w:p w14:paraId="3894457B" w14:textId="33C1CC91" w:rsidR="00156466" w:rsidRPr="00156466" w:rsidRDefault="00C76060">
          <w:pPr>
            <w:pStyle w:val="TOC2"/>
            <w:tabs>
              <w:tab w:val="right" w:leader="dot" w:pos="9350"/>
            </w:tabs>
            <w:rPr>
              <w:rFonts w:ascii="Arial" w:eastAsiaTheme="minorEastAsia" w:hAnsi="Arial" w:cs="Arial"/>
              <w:noProof/>
              <w:kern w:val="2"/>
              <w:lang w:val="en-US"/>
              <w14:ligatures w14:val="standardContextual"/>
            </w:rPr>
          </w:pPr>
          <w:hyperlink w:anchor="_Toc234840309" w:history="1">
            <w:r w:rsidR="00156466" w:rsidRPr="00156466">
              <w:rPr>
                <w:rStyle w:val="Hyperlink"/>
                <w:rFonts w:ascii="Arial" w:hAnsi="Arial" w:cs="Arial"/>
                <w:noProof/>
              </w:rPr>
              <w:t>4.4 Security policies and procedures</w:t>
            </w:r>
            <w:r w:rsidR="00156466" w:rsidRPr="00156466">
              <w:rPr>
                <w:rFonts w:ascii="Arial" w:hAnsi="Arial" w:cs="Arial"/>
                <w:noProof/>
                <w:webHidden/>
              </w:rPr>
              <w:tab/>
            </w:r>
            <w:r w:rsidR="00156466" w:rsidRPr="00156466">
              <w:rPr>
                <w:rFonts w:ascii="Arial" w:hAnsi="Arial" w:cs="Arial"/>
                <w:noProof/>
                <w:webHidden/>
              </w:rPr>
              <w:fldChar w:fldCharType="begin"/>
            </w:r>
            <w:r w:rsidR="00156466" w:rsidRPr="00156466">
              <w:rPr>
                <w:rFonts w:ascii="Arial" w:hAnsi="Arial" w:cs="Arial"/>
                <w:noProof/>
                <w:webHidden/>
              </w:rPr>
              <w:instrText xml:space="preserve"> PAGEREF _Toc234840309 \h </w:instrText>
            </w:r>
            <w:r w:rsidR="00156466" w:rsidRPr="00156466">
              <w:rPr>
                <w:rFonts w:ascii="Arial" w:hAnsi="Arial" w:cs="Arial"/>
                <w:noProof/>
                <w:webHidden/>
              </w:rPr>
            </w:r>
            <w:r w:rsidR="00156466" w:rsidRPr="00156466">
              <w:rPr>
                <w:rFonts w:ascii="Arial" w:hAnsi="Arial" w:cs="Arial"/>
                <w:noProof/>
                <w:webHidden/>
              </w:rPr>
              <w:fldChar w:fldCharType="separate"/>
            </w:r>
            <w:r w:rsidR="00156466" w:rsidRPr="00156466">
              <w:rPr>
                <w:rFonts w:ascii="Arial" w:hAnsi="Arial" w:cs="Arial"/>
                <w:noProof/>
                <w:webHidden/>
              </w:rPr>
              <w:t>16</w:t>
            </w:r>
            <w:r w:rsidR="00156466" w:rsidRPr="00156466">
              <w:rPr>
                <w:rFonts w:ascii="Arial" w:hAnsi="Arial" w:cs="Arial"/>
                <w:noProof/>
                <w:webHidden/>
              </w:rPr>
              <w:fldChar w:fldCharType="end"/>
            </w:r>
          </w:hyperlink>
        </w:p>
        <w:p w14:paraId="2B3A4020" w14:textId="020639CB" w:rsidR="00156466" w:rsidRPr="00156466" w:rsidRDefault="00C76060">
          <w:pPr>
            <w:pStyle w:val="TOC2"/>
            <w:tabs>
              <w:tab w:val="right" w:leader="dot" w:pos="9350"/>
            </w:tabs>
            <w:rPr>
              <w:rFonts w:ascii="Arial" w:eastAsiaTheme="minorEastAsia" w:hAnsi="Arial" w:cs="Arial"/>
              <w:noProof/>
              <w:kern w:val="2"/>
              <w:lang w:val="en-US"/>
              <w14:ligatures w14:val="standardContextual"/>
            </w:rPr>
          </w:pPr>
          <w:hyperlink w:anchor="_Toc234840310" w:history="1">
            <w:r w:rsidR="00156466" w:rsidRPr="00156466">
              <w:rPr>
                <w:rStyle w:val="Hyperlink"/>
                <w:rFonts w:ascii="Arial" w:hAnsi="Arial" w:cs="Arial"/>
                <w:noProof/>
              </w:rPr>
              <w:t>4.5 Risk management process</w:t>
            </w:r>
            <w:r w:rsidR="00156466" w:rsidRPr="00156466">
              <w:rPr>
                <w:rFonts w:ascii="Arial" w:hAnsi="Arial" w:cs="Arial"/>
                <w:noProof/>
                <w:webHidden/>
              </w:rPr>
              <w:tab/>
            </w:r>
            <w:r w:rsidR="00156466" w:rsidRPr="00156466">
              <w:rPr>
                <w:rFonts w:ascii="Arial" w:hAnsi="Arial" w:cs="Arial"/>
                <w:noProof/>
                <w:webHidden/>
              </w:rPr>
              <w:fldChar w:fldCharType="begin"/>
            </w:r>
            <w:r w:rsidR="00156466" w:rsidRPr="00156466">
              <w:rPr>
                <w:rFonts w:ascii="Arial" w:hAnsi="Arial" w:cs="Arial"/>
                <w:noProof/>
                <w:webHidden/>
              </w:rPr>
              <w:instrText xml:space="preserve"> PAGEREF _Toc234840310 \h </w:instrText>
            </w:r>
            <w:r w:rsidR="00156466" w:rsidRPr="00156466">
              <w:rPr>
                <w:rFonts w:ascii="Arial" w:hAnsi="Arial" w:cs="Arial"/>
                <w:noProof/>
                <w:webHidden/>
              </w:rPr>
            </w:r>
            <w:r w:rsidR="00156466" w:rsidRPr="00156466">
              <w:rPr>
                <w:rFonts w:ascii="Arial" w:hAnsi="Arial" w:cs="Arial"/>
                <w:noProof/>
                <w:webHidden/>
              </w:rPr>
              <w:fldChar w:fldCharType="separate"/>
            </w:r>
            <w:r w:rsidR="00156466" w:rsidRPr="00156466">
              <w:rPr>
                <w:rFonts w:ascii="Arial" w:hAnsi="Arial" w:cs="Arial"/>
                <w:noProof/>
                <w:webHidden/>
              </w:rPr>
              <w:t>17</w:t>
            </w:r>
            <w:r w:rsidR="00156466" w:rsidRPr="00156466">
              <w:rPr>
                <w:rFonts w:ascii="Arial" w:hAnsi="Arial" w:cs="Arial"/>
                <w:noProof/>
                <w:webHidden/>
              </w:rPr>
              <w:fldChar w:fldCharType="end"/>
            </w:r>
          </w:hyperlink>
        </w:p>
        <w:p w14:paraId="74BAC731" w14:textId="18B5A4D6" w:rsidR="00156466" w:rsidRPr="00156466" w:rsidRDefault="00C76060">
          <w:pPr>
            <w:pStyle w:val="TOC2"/>
            <w:tabs>
              <w:tab w:val="right" w:leader="dot" w:pos="9350"/>
            </w:tabs>
            <w:rPr>
              <w:rFonts w:ascii="Arial" w:eastAsiaTheme="minorEastAsia" w:hAnsi="Arial" w:cs="Arial"/>
              <w:noProof/>
              <w:kern w:val="2"/>
              <w:lang w:val="en-US"/>
              <w14:ligatures w14:val="standardContextual"/>
            </w:rPr>
          </w:pPr>
          <w:hyperlink w:anchor="_Toc234840311" w:history="1">
            <w:r w:rsidR="00156466" w:rsidRPr="00156466">
              <w:rPr>
                <w:rStyle w:val="Hyperlink"/>
                <w:rFonts w:ascii="Arial" w:hAnsi="Arial" w:cs="Arial"/>
                <w:noProof/>
              </w:rPr>
              <w:t xml:space="preserve">4.6 </w:t>
            </w:r>
            <w:r w:rsidR="00156466" w:rsidRPr="00701AF4">
              <w:rPr>
                <w:rStyle w:val="Hyperlink"/>
                <w:rFonts w:ascii="Arial" w:hAnsi="Arial" w:cs="Arial"/>
                <w:noProof/>
              </w:rPr>
              <w:t>Contingency and Business Continuity Plan</w:t>
            </w:r>
            <w:r w:rsidR="00156466" w:rsidRPr="00156466">
              <w:rPr>
                <w:rStyle w:val="Hyperlink"/>
                <w:rFonts w:ascii="Arial" w:hAnsi="Arial" w:cs="Arial"/>
                <w:noProof/>
                <w:highlight w:val="green"/>
              </w:rPr>
              <w:t>ning</w:t>
            </w:r>
            <w:r w:rsidR="00156466" w:rsidRPr="00156466">
              <w:rPr>
                <w:rFonts w:ascii="Arial" w:hAnsi="Arial" w:cs="Arial"/>
                <w:noProof/>
                <w:webHidden/>
              </w:rPr>
              <w:tab/>
            </w:r>
            <w:r w:rsidR="00156466" w:rsidRPr="00156466">
              <w:rPr>
                <w:rFonts w:ascii="Arial" w:hAnsi="Arial" w:cs="Arial"/>
                <w:noProof/>
                <w:webHidden/>
              </w:rPr>
              <w:fldChar w:fldCharType="begin"/>
            </w:r>
            <w:r w:rsidR="00156466" w:rsidRPr="00156466">
              <w:rPr>
                <w:rFonts w:ascii="Arial" w:hAnsi="Arial" w:cs="Arial"/>
                <w:noProof/>
                <w:webHidden/>
              </w:rPr>
              <w:instrText xml:space="preserve"> PAGEREF _Toc234840311 \h </w:instrText>
            </w:r>
            <w:r w:rsidR="00156466" w:rsidRPr="00156466">
              <w:rPr>
                <w:rFonts w:ascii="Arial" w:hAnsi="Arial" w:cs="Arial"/>
                <w:noProof/>
                <w:webHidden/>
              </w:rPr>
            </w:r>
            <w:r w:rsidR="00156466" w:rsidRPr="00156466">
              <w:rPr>
                <w:rFonts w:ascii="Arial" w:hAnsi="Arial" w:cs="Arial"/>
                <w:noProof/>
                <w:webHidden/>
              </w:rPr>
              <w:fldChar w:fldCharType="separate"/>
            </w:r>
            <w:r w:rsidR="00156466" w:rsidRPr="00156466">
              <w:rPr>
                <w:rFonts w:ascii="Arial" w:hAnsi="Arial" w:cs="Arial"/>
                <w:noProof/>
                <w:webHidden/>
              </w:rPr>
              <w:t>18</w:t>
            </w:r>
            <w:r w:rsidR="00156466" w:rsidRPr="00156466">
              <w:rPr>
                <w:rFonts w:ascii="Arial" w:hAnsi="Arial" w:cs="Arial"/>
                <w:noProof/>
                <w:webHidden/>
              </w:rPr>
              <w:fldChar w:fldCharType="end"/>
            </w:r>
          </w:hyperlink>
        </w:p>
        <w:p w14:paraId="3C788C27" w14:textId="00591C34" w:rsidR="00156466" w:rsidRPr="00156466" w:rsidRDefault="00C76060">
          <w:pPr>
            <w:pStyle w:val="TOC2"/>
            <w:tabs>
              <w:tab w:val="right" w:leader="dot" w:pos="9350"/>
            </w:tabs>
            <w:rPr>
              <w:rFonts w:ascii="Arial" w:eastAsiaTheme="minorEastAsia" w:hAnsi="Arial" w:cs="Arial"/>
              <w:noProof/>
              <w:kern w:val="2"/>
              <w:lang w:val="en-US"/>
              <w14:ligatures w14:val="standardContextual"/>
            </w:rPr>
          </w:pPr>
          <w:hyperlink w:anchor="_Toc234840312" w:history="1">
            <w:r w:rsidR="00156466" w:rsidRPr="00156466">
              <w:rPr>
                <w:rStyle w:val="Hyperlink"/>
                <w:rFonts w:ascii="Arial" w:hAnsi="Arial" w:cs="Arial"/>
                <w:noProof/>
              </w:rPr>
              <w:t>4.7 Protection Mechanisms and Access Controls</w:t>
            </w:r>
            <w:r w:rsidR="00156466" w:rsidRPr="00156466">
              <w:rPr>
                <w:rFonts w:ascii="Arial" w:hAnsi="Arial" w:cs="Arial"/>
                <w:noProof/>
                <w:webHidden/>
              </w:rPr>
              <w:tab/>
            </w:r>
            <w:r w:rsidR="00156466" w:rsidRPr="00156466">
              <w:rPr>
                <w:rFonts w:ascii="Arial" w:hAnsi="Arial" w:cs="Arial"/>
                <w:noProof/>
                <w:webHidden/>
              </w:rPr>
              <w:fldChar w:fldCharType="begin"/>
            </w:r>
            <w:r w:rsidR="00156466" w:rsidRPr="00156466">
              <w:rPr>
                <w:rFonts w:ascii="Arial" w:hAnsi="Arial" w:cs="Arial"/>
                <w:noProof/>
                <w:webHidden/>
              </w:rPr>
              <w:instrText xml:space="preserve"> PAGEREF _Toc234840312 \h </w:instrText>
            </w:r>
            <w:r w:rsidR="00156466" w:rsidRPr="00156466">
              <w:rPr>
                <w:rFonts w:ascii="Arial" w:hAnsi="Arial" w:cs="Arial"/>
                <w:noProof/>
                <w:webHidden/>
              </w:rPr>
            </w:r>
            <w:r w:rsidR="00156466" w:rsidRPr="00156466">
              <w:rPr>
                <w:rFonts w:ascii="Arial" w:hAnsi="Arial" w:cs="Arial"/>
                <w:noProof/>
                <w:webHidden/>
              </w:rPr>
              <w:fldChar w:fldCharType="separate"/>
            </w:r>
            <w:r w:rsidR="00156466" w:rsidRPr="00156466">
              <w:rPr>
                <w:rFonts w:ascii="Arial" w:hAnsi="Arial" w:cs="Arial"/>
                <w:noProof/>
                <w:webHidden/>
              </w:rPr>
              <w:t>19</w:t>
            </w:r>
            <w:r w:rsidR="00156466" w:rsidRPr="00156466">
              <w:rPr>
                <w:rFonts w:ascii="Arial" w:hAnsi="Arial" w:cs="Arial"/>
                <w:noProof/>
                <w:webHidden/>
              </w:rPr>
              <w:fldChar w:fldCharType="end"/>
            </w:r>
          </w:hyperlink>
        </w:p>
        <w:p w14:paraId="77A576A0" w14:textId="70792318" w:rsidR="00156466" w:rsidRPr="00156466" w:rsidRDefault="00C76060">
          <w:pPr>
            <w:pStyle w:val="TOC2"/>
            <w:tabs>
              <w:tab w:val="right" w:leader="dot" w:pos="9350"/>
            </w:tabs>
            <w:rPr>
              <w:rFonts w:ascii="Arial" w:eastAsiaTheme="minorEastAsia" w:hAnsi="Arial" w:cs="Arial"/>
              <w:noProof/>
              <w:kern w:val="2"/>
              <w:lang w:val="en-US"/>
              <w14:ligatures w14:val="standardContextual"/>
            </w:rPr>
          </w:pPr>
          <w:hyperlink w:anchor="_Toc234840313" w:history="1">
            <w:r w:rsidR="00156466" w:rsidRPr="00156466">
              <w:rPr>
                <w:rStyle w:val="Hyperlink"/>
                <w:rFonts w:ascii="Arial" w:hAnsi="Arial" w:cs="Arial"/>
                <w:noProof/>
              </w:rPr>
              <w:t>4.8 Vendor management and SLA governance</w:t>
            </w:r>
            <w:r w:rsidR="00156466" w:rsidRPr="00156466">
              <w:rPr>
                <w:rFonts w:ascii="Arial" w:hAnsi="Arial" w:cs="Arial"/>
                <w:noProof/>
                <w:webHidden/>
              </w:rPr>
              <w:tab/>
            </w:r>
            <w:r w:rsidR="00156466" w:rsidRPr="00156466">
              <w:rPr>
                <w:rFonts w:ascii="Arial" w:hAnsi="Arial" w:cs="Arial"/>
                <w:noProof/>
                <w:webHidden/>
              </w:rPr>
              <w:fldChar w:fldCharType="begin"/>
            </w:r>
            <w:r w:rsidR="00156466" w:rsidRPr="00156466">
              <w:rPr>
                <w:rFonts w:ascii="Arial" w:hAnsi="Arial" w:cs="Arial"/>
                <w:noProof/>
                <w:webHidden/>
              </w:rPr>
              <w:instrText xml:space="preserve"> PAGEREF _Toc234840313 \h </w:instrText>
            </w:r>
            <w:r w:rsidR="00156466" w:rsidRPr="00156466">
              <w:rPr>
                <w:rFonts w:ascii="Arial" w:hAnsi="Arial" w:cs="Arial"/>
                <w:noProof/>
                <w:webHidden/>
              </w:rPr>
            </w:r>
            <w:r w:rsidR="00156466" w:rsidRPr="00156466">
              <w:rPr>
                <w:rFonts w:ascii="Arial" w:hAnsi="Arial" w:cs="Arial"/>
                <w:noProof/>
                <w:webHidden/>
              </w:rPr>
              <w:fldChar w:fldCharType="separate"/>
            </w:r>
            <w:r w:rsidR="00156466" w:rsidRPr="00156466">
              <w:rPr>
                <w:rFonts w:ascii="Arial" w:hAnsi="Arial" w:cs="Arial"/>
                <w:noProof/>
                <w:webHidden/>
              </w:rPr>
              <w:t>19</w:t>
            </w:r>
            <w:r w:rsidR="00156466" w:rsidRPr="00156466">
              <w:rPr>
                <w:rFonts w:ascii="Arial" w:hAnsi="Arial" w:cs="Arial"/>
                <w:noProof/>
                <w:webHidden/>
              </w:rPr>
              <w:fldChar w:fldCharType="end"/>
            </w:r>
          </w:hyperlink>
        </w:p>
        <w:p w14:paraId="21C4DCC0" w14:textId="40733139" w:rsidR="00156466" w:rsidRPr="00156466" w:rsidRDefault="00C76060">
          <w:pPr>
            <w:pStyle w:val="TOC1"/>
            <w:rPr>
              <w:rFonts w:ascii="Arial" w:eastAsiaTheme="minorEastAsia" w:hAnsi="Arial" w:cs="Arial"/>
              <w:noProof/>
              <w:kern w:val="2"/>
              <w:lang w:val="en-US"/>
              <w14:ligatures w14:val="standardContextual"/>
            </w:rPr>
          </w:pPr>
          <w:hyperlink w:anchor="_Toc234840314" w:history="1">
            <w:r w:rsidR="00156466" w:rsidRPr="00156466">
              <w:rPr>
                <w:rStyle w:val="Hyperlink"/>
                <w:rFonts w:ascii="Arial" w:hAnsi="Arial" w:cs="Arial"/>
                <w:noProof/>
              </w:rPr>
              <w:t>5.0 Importance of continuous regulatory and standards updates</w:t>
            </w:r>
            <w:r w:rsidR="00156466" w:rsidRPr="00156466">
              <w:rPr>
                <w:rFonts w:ascii="Arial" w:hAnsi="Arial" w:cs="Arial"/>
                <w:noProof/>
                <w:webHidden/>
              </w:rPr>
              <w:tab/>
            </w:r>
            <w:r w:rsidR="00156466" w:rsidRPr="00156466">
              <w:rPr>
                <w:rFonts w:ascii="Arial" w:hAnsi="Arial" w:cs="Arial"/>
                <w:noProof/>
                <w:webHidden/>
              </w:rPr>
              <w:fldChar w:fldCharType="begin"/>
            </w:r>
            <w:r w:rsidR="00156466" w:rsidRPr="00156466">
              <w:rPr>
                <w:rFonts w:ascii="Arial" w:hAnsi="Arial" w:cs="Arial"/>
                <w:noProof/>
                <w:webHidden/>
              </w:rPr>
              <w:instrText xml:space="preserve"> PAGEREF _Toc234840314 \h </w:instrText>
            </w:r>
            <w:r w:rsidR="00156466" w:rsidRPr="00156466">
              <w:rPr>
                <w:rFonts w:ascii="Arial" w:hAnsi="Arial" w:cs="Arial"/>
                <w:noProof/>
                <w:webHidden/>
              </w:rPr>
            </w:r>
            <w:r w:rsidR="00156466" w:rsidRPr="00156466">
              <w:rPr>
                <w:rFonts w:ascii="Arial" w:hAnsi="Arial" w:cs="Arial"/>
                <w:noProof/>
                <w:webHidden/>
              </w:rPr>
              <w:fldChar w:fldCharType="separate"/>
            </w:r>
            <w:r w:rsidR="00156466" w:rsidRPr="00156466">
              <w:rPr>
                <w:rFonts w:ascii="Arial" w:hAnsi="Arial" w:cs="Arial"/>
                <w:noProof/>
                <w:webHidden/>
              </w:rPr>
              <w:t>20</w:t>
            </w:r>
            <w:r w:rsidR="00156466" w:rsidRPr="00156466">
              <w:rPr>
                <w:rFonts w:ascii="Arial" w:hAnsi="Arial" w:cs="Arial"/>
                <w:noProof/>
                <w:webHidden/>
              </w:rPr>
              <w:fldChar w:fldCharType="end"/>
            </w:r>
          </w:hyperlink>
        </w:p>
        <w:p w14:paraId="185578B6" w14:textId="55C4BDDB" w:rsidR="00156466" w:rsidRPr="00156466" w:rsidRDefault="00C76060">
          <w:pPr>
            <w:pStyle w:val="TOC1"/>
            <w:rPr>
              <w:rFonts w:ascii="Arial" w:eastAsiaTheme="minorEastAsia" w:hAnsi="Arial" w:cs="Arial"/>
              <w:noProof/>
              <w:kern w:val="2"/>
              <w:lang w:val="en-US"/>
              <w14:ligatures w14:val="standardContextual"/>
            </w:rPr>
          </w:pPr>
          <w:hyperlink w:anchor="_Toc234840315" w:history="1">
            <w:r w:rsidR="00156466" w:rsidRPr="00156466">
              <w:rPr>
                <w:rStyle w:val="Hyperlink"/>
                <w:rFonts w:ascii="Arial" w:hAnsi="Arial" w:cs="Arial"/>
                <w:noProof/>
              </w:rPr>
              <w:t>6.0 Conclusion</w:t>
            </w:r>
            <w:r w:rsidR="00156466" w:rsidRPr="00156466">
              <w:rPr>
                <w:rFonts w:ascii="Arial" w:hAnsi="Arial" w:cs="Arial"/>
                <w:noProof/>
                <w:webHidden/>
              </w:rPr>
              <w:tab/>
            </w:r>
            <w:r w:rsidR="00156466" w:rsidRPr="00156466">
              <w:rPr>
                <w:rFonts w:ascii="Arial" w:hAnsi="Arial" w:cs="Arial"/>
                <w:noProof/>
                <w:webHidden/>
              </w:rPr>
              <w:fldChar w:fldCharType="begin"/>
            </w:r>
            <w:r w:rsidR="00156466" w:rsidRPr="00156466">
              <w:rPr>
                <w:rFonts w:ascii="Arial" w:hAnsi="Arial" w:cs="Arial"/>
                <w:noProof/>
                <w:webHidden/>
              </w:rPr>
              <w:instrText xml:space="preserve"> PAGEREF _Toc234840315 \h </w:instrText>
            </w:r>
            <w:r w:rsidR="00156466" w:rsidRPr="00156466">
              <w:rPr>
                <w:rFonts w:ascii="Arial" w:hAnsi="Arial" w:cs="Arial"/>
                <w:noProof/>
                <w:webHidden/>
              </w:rPr>
            </w:r>
            <w:r w:rsidR="00156466" w:rsidRPr="00156466">
              <w:rPr>
                <w:rFonts w:ascii="Arial" w:hAnsi="Arial" w:cs="Arial"/>
                <w:noProof/>
                <w:webHidden/>
              </w:rPr>
              <w:fldChar w:fldCharType="separate"/>
            </w:r>
            <w:r w:rsidR="00156466" w:rsidRPr="00156466">
              <w:rPr>
                <w:rFonts w:ascii="Arial" w:hAnsi="Arial" w:cs="Arial"/>
                <w:noProof/>
                <w:webHidden/>
              </w:rPr>
              <w:t>20</w:t>
            </w:r>
            <w:r w:rsidR="00156466" w:rsidRPr="00156466">
              <w:rPr>
                <w:rFonts w:ascii="Arial" w:hAnsi="Arial" w:cs="Arial"/>
                <w:noProof/>
                <w:webHidden/>
              </w:rPr>
              <w:fldChar w:fldCharType="end"/>
            </w:r>
          </w:hyperlink>
        </w:p>
        <w:p w14:paraId="2204921F" w14:textId="5C169EBA" w:rsidR="00156466" w:rsidRPr="00156466" w:rsidRDefault="00C76060">
          <w:pPr>
            <w:pStyle w:val="TOC1"/>
            <w:rPr>
              <w:rFonts w:ascii="Arial" w:eastAsiaTheme="minorEastAsia" w:hAnsi="Arial" w:cs="Arial"/>
              <w:noProof/>
              <w:kern w:val="2"/>
              <w:lang w:val="en-US"/>
              <w14:ligatures w14:val="standardContextual"/>
            </w:rPr>
          </w:pPr>
          <w:hyperlink w:anchor="_Toc234840316" w:history="1">
            <w:r w:rsidR="00156466" w:rsidRPr="00156466">
              <w:rPr>
                <w:rStyle w:val="Hyperlink"/>
                <w:rFonts w:ascii="Arial" w:hAnsi="Arial" w:cs="Arial"/>
                <w:noProof/>
              </w:rPr>
              <w:t>Reference List</w:t>
            </w:r>
            <w:r w:rsidR="00156466" w:rsidRPr="00156466">
              <w:rPr>
                <w:rFonts w:ascii="Arial" w:hAnsi="Arial" w:cs="Arial"/>
                <w:noProof/>
                <w:webHidden/>
              </w:rPr>
              <w:tab/>
            </w:r>
            <w:r w:rsidR="00156466" w:rsidRPr="00156466">
              <w:rPr>
                <w:rFonts w:ascii="Arial" w:hAnsi="Arial" w:cs="Arial"/>
                <w:noProof/>
                <w:webHidden/>
              </w:rPr>
              <w:fldChar w:fldCharType="begin"/>
            </w:r>
            <w:r w:rsidR="00156466" w:rsidRPr="00156466">
              <w:rPr>
                <w:rFonts w:ascii="Arial" w:hAnsi="Arial" w:cs="Arial"/>
                <w:noProof/>
                <w:webHidden/>
              </w:rPr>
              <w:instrText xml:space="preserve"> PAGEREF _Toc234840316 \h </w:instrText>
            </w:r>
            <w:r w:rsidR="00156466" w:rsidRPr="00156466">
              <w:rPr>
                <w:rFonts w:ascii="Arial" w:hAnsi="Arial" w:cs="Arial"/>
                <w:noProof/>
                <w:webHidden/>
              </w:rPr>
            </w:r>
            <w:r w:rsidR="00156466" w:rsidRPr="00156466">
              <w:rPr>
                <w:rFonts w:ascii="Arial" w:hAnsi="Arial" w:cs="Arial"/>
                <w:noProof/>
                <w:webHidden/>
              </w:rPr>
              <w:fldChar w:fldCharType="separate"/>
            </w:r>
            <w:r w:rsidR="00156466" w:rsidRPr="00156466">
              <w:rPr>
                <w:rFonts w:ascii="Arial" w:hAnsi="Arial" w:cs="Arial"/>
                <w:noProof/>
                <w:webHidden/>
              </w:rPr>
              <w:t>22</w:t>
            </w:r>
            <w:r w:rsidR="00156466" w:rsidRPr="00156466">
              <w:rPr>
                <w:rFonts w:ascii="Arial" w:hAnsi="Arial" w:cs="Arial"/>
                <w:noProof/>
                <w:webHidden/>
              </w:rPr>
              <w:fldChar w:fldCharType="end"/>
            </w:r>
          </w:hyperlink>
        </w:p>
        <w:p w14:paraId="246664FD" w14:textId="66BA5155" w:rsidR="00156466" w:rsidRPr="00156466" w:rsidRDefault="00C76060">
          <w:pPr>
            <w:pStyle w:val="TOC1"/>
            <w:rPr>
              <w:rFonts w:ascii="Arial" w:eastAsiaTheme="minorEastAsia" w:hAnsi="Arial" w:cs="Arial"/>
              <w:noProof/>
              <w:kern w:val="2"/>
              <w:lang w:val="en-US"/>
              <w14:ligatures w14:val="standardContextual"/>
            </w:rPr>
          </w:pPr>
          <w:hyperlink w:anchor="_Toc234840317" w:history="1">
            <w:r w:rsidR="00156466" w:rsidRPr="00156466">
              <w:rPr>
                <w:rStyle w:val="Hyperlink"/>
                <w:rFonts w:ascii="Arial" w:hAnsi="Arial" w:cs="Arial"/>
                <w:noProof/>
              </w:rPr>
              <w:t>Appendices</w:t>
            </w:r>
            <w:r w:rsidR="00156466" w:rsidRPr="00156466">
              <w:rPr>
                <w:rFonts w:ascii="Arial" w:hAnsi="Arial" w:cs="Arial"/>
                <w:noProof/>
                <w:webHidden/>
              </w:rPr>
              <w:tab/>
            </w:r>
            <w:r w:rsidR="00156466" w:rsidRPr="00156466">
              <w:rPr>
                <w:rFonts w:ascii="Arial" w:hAnsi="Arial" w:cs="Arial"/>
                <w:noProof/>
                <w:webHidden/>
              </w:rPr>
              <w:fldChar w:fldCharType="begin"/>
            </w:r>
            <w:r w:rsidR="00156466" w:rsidRPr="00156466">
              <w:rPr>
                <w:rFonts w:ascii="Arial" w:hAnsi="Arial" w:cs="Arial"/>
                <w:noProof/>
                <w:webHidden/>
              </w:rPr>
              <w:instrText xml:space="preserve"> PAGEREF _Toc234840317 \h </w:instrText>
            </w:r>
            <w:r w:rsidR="00156466" w:rsidRPr="00156466">
              <w:rPr>
                <w:rFonts w:ascii="Arial" w:hAnsi="Arial" w:cs="Arial"/>
                <w:noProof/>
                <w:webHidden/>
              </w:rPr>
            </w:r>
            <w:r w:rsidR="00156466" w:rsidRPr="00156466">
              <w:rPr>
                <w:rFonts w:ascii="Arial" w:hAnsi="Arial" w:cs="Arial"/>
                <w:noProof/>
                <w:webHidden/>
              </w:rPr>
              <w:fldChar w:fldCharType="separate"/>
            </w:r>
            <w:r w:rsidR="00156466" w:rsidRPr="00156466">
              <w:rPr>
                <w:rFonts w:ascii="Arial" w:hAnsi="Arial" w:cs="Arial"/>
                <w:noProof/>
                <w:webHidden/>
              </w:rPr>
              <w:t>27</w:t>
            </w:r>
            <w:r w:rsidR="00156466" w:rsidRPr="00156466">
              <w:rPr>
                <w:rFonts w:ascii="Arial" w:hAnsi="Arial" w:cs="Arial"/>
                <w:noProof/>
                <w:webHidden/>
              </w:rPr>
              <w:fldChar w:fldCharType="end"/>
            </w:r>
          </w:hyperlink>
        </w:p>
        <w:p w14:paraId="073CFA75" w14:textId="673B5F94" w:rsidR="00156466" w:rsidRPr="00156466" w:rsidRDefault="00C76060">
          <w:pPr>
            <w:pStyle w:val="TOC2"/>
            <w:tabs>
              <w:tab w:val="right" w:leader="dot" w:pos="9350"/>
            </w:tabs>
            <w:rPr>
              <w:rFonts w:ascii="Arial" w:eastAsiaTheme="minorEastAsia" w:hAnsi="Arial" w:cs="Arial"/>
              <w:noProof/>
              <w:kern w:val="2"/>
              <w:lang w:val="en-US"/>
              <w14:ligatures w14:val="standardContextual"/>
            </w:rPr>
          </w:pPr>
          <w:hyperlink w:anchor="_Toc234840318" w:history="1">
            <w:r w:rsidR="00156466" w:rsidRPr="00156466">
              <w:rPr>
                <w:rStyle w:val="Hyperlink"/>
                <w:rFonts w:ascii="Arial" w:hAnsi="Arial" w:cs="Arial"/>
                <w:noProof/>
              </w:rPr>
              <w:t>Appendix 1: Compliance roadmap</w:t>
            </w:r>
            <w:r w:rsidR="00156466" w:rsidRPr="00156466">
              <w:rPr>
                <w:rFonts w:ascii="Arial" w:hAnsi="Arial" w:cs="Arial"/>
                <w:noProof/>
                <w:webHidden/>
              </w:rPr>
              <w:tab/>
            </w:r>
            <w:r w:rsidR="00156466" w:rsidRPr="00156466">
              <w:rPr>
                <w:rFonts w:ascii="Arial" w:hAnsi="Arial" w:cs="Arial"/>
                <w:noProof/>
                <w:webHidden/>
              </w:rPr>
              <w:fldChar w:fldCharType="begin"/>
            </w:r>
            <w:r w:rsidR="00156466" w:rsidRPr="00156466">
              <w:rPr>
                <w:rFonts w:ascii="Arial" w:hAnsi="Arial" w:cs="Arial"/>
                <w:noProof/>
                <w:webHidden/>
              </w:rPr>
              <w:instrText xml:space="preserve"> PAGEREF _Toc234840318 \h </w:instrText>
            </w:r>
            <w:r w:rsidR="00156466" w:rsidRPr="00156466">
              <w:rPr>
                <w:rFonts w:ascii="Arial" w:hAnsi="Arial" w:cs="Arial"/>
                <w:noProof/>
                <w:webHidden/>
              </w:rPr>
            </w:r>
            <w:r w:rsidR="00156466" w:rsidRPr="00156466">
              <w:rPr>
                <w:rFonts w:ascii="Arial" w:hAnsi="Arial" w:cs="Arial"/>
                <w:noProof/>
                <w:webHidden/>
              </w:rPr>
              <w:fldChar w:fldCharType="separate"/>
            </w:r>
            <w:r w:rsidR="00156466" w:rsidRPr="00156466">
              <w:rPr>
                <w:rFonts w:ascii="Arial" w:hAnsi="Arial" w:cs="Arial"/>
                <w:noProof/>
                <w:webHidden/>
              </w:rPr>
              <w:t>27</w:t>
            </w:r>
            <w:r w:rsidR="00156466" w:rsidRPr="00156466">
              <w:rPr>
                <w:rFonts w:ascii="Arial" w:hAnsi="Arial" w:cs="Arial"/>
                <w:noProof/>
                <w:webHidden/>
              </w:rPr>
              <w:fldChar w:fldCharType="end"/>
            </w:r>
          </w:hyperlink>
        </w:p>
        <w:p w14:paraId="496104FD" w14:textId="722BB9FD" w:rsidR="00156466" w:rsidRPr="00156466" w:rsidRDefault="00C76060">
          <w:pPr>
            <w:pStyle w:val="TOC2"/>
            <w:tabs>
              <w:tab w:val="right" w:leader="dot" w:pos="9350"/>
            </w:tabs>
            <w:rPr>
              <w:rFonts w:ascii="Arial" w:eastAsiaTheme="minorEastAsia" w:hAnsi="Arial" w:cs="Arial"/>
              <w:noProof/>
              <w:kern w:val="2"/>
              <w:lang w:val="en-US"/>
              <w14:ligatures w14:val="standardContextual"/>
            </w:rPr>
          </w:pPr>
          <w:hyperlink w:anchor="_Toc234840319" w:history="1">
            <w:r w:rsidR="00156466" w:rsidRPr="00156466">
              <w:rPr>
                <w:rStyle w:val="Hyperlink"/>
                <w:rFonts w:ascii="Arial" w:hAnsi="Arial" w:cs="Arial"/>
                <w:noProof/>
              </w:rPr>
              <w:t>Appendix 2: Zero Trust Architecture</w:t>
            </w:r>
            <w:r w:rsidR="00156466" w:rsidRPr="00156466">
              <w:rPr>
                <w:rFonts w:ascii="Arial" w:hAnsi="Arial" w:cs="Arial"/>
                <w:noProof/>
                <w:webHidden/>
              </w:rPr>
              <w:tab/>
            </w:r>
            <w:r w:rsidR="00156466" w:rsidRPr="00156466">
              <w:rPr>
                <w:rFonts w:ascii="Arial" w:hAnsi="Arial" w:cs="Arial"/>
                <w:noProof/>
                <w:webHidden/>
              </w:rPr>
              <w:fldChar w:fldCharType="begin"/>
            </w:r>
            <w:r w:rsidR="00156466" w:rsidRPr="00156466">
              <w:rPr>
                <w:rFonts w:ascii="Arial" w:hAnsi="Arial" w:cs="Arial"/>
                <w:noProof/>
                <w:webHidden/>
              </w:rPr>
              <w:instrText xml:space="preserve"> PAGEREF _Toc234840319 \h </w:instrText>
            </w:r>
            <w:r w:rsidR="00156466" w:rsidRPr="00156466">
              <w:rPr>
                <w:rFonts w:ascii="Arial" w:hAnsi="Arial" w:cs="Arial"/>
                <w:noProof/>
                <w:webHidden/>
              </w:rPr>
            </w:r>
            <w:r w:rsidR="00156466" w:rsidRPr="00156466">
              <w:rPr>
                <w:rFonts w:ascii="Arial" w:hAnsi="Arial" w:cs="Arial"/>
                <w:noProof/>
                <w:webHidden/>
              </w:rPr>
              <w:fldChar w:fldCharType="separate"/>
            </w:r>
            <w:r w:rsidR="00156466" w:rsidRPr="00156466">
              <w:rPr>
                <w:rFonts w:ascii="Arial" w:hAnsi="Arial" w:cs="Arial"/>
                <w:noProof/>
                <w:webHidden/>
              </w:rPr>
              <w:t>28</w:t>
            </w:r>
            <w:r w:rsidR="00156466" w:rsidRPr="00156466">
              <w:rPr>
                <w:rFonts w:ascii="Arial" w:hAnsi="Arial" w:cs="Arial"/>
                <w:noProof/>
                <w:webHidden/>
              </w:rPr>
              <w:fldChar w:fldCharType="end"/>
            </w:r>
          </w:hyperlink>
        </w:p>
        <w:p w14:paraId="009C906E" w14:textId="2A093760" w:rsidR="001D3B51" w:rsidRPr="00156466" w:rsidRDefault="001D3B51" w:rsidP="00C07E6A">
          <w:pPr>
            <w:spacing w:before="120" w:after="120" w:line="240" w:lineRule="auto"/>
            <w:rPr>
              <w:rFonts w:ascii="Arial" w:hAnsi="Arial" w:cs="Arial"/>
            </w:rPr>
          </w:pPr>
          <w:r w:rsidRPr="00156466">
            <w:rPr>
              <w:rFonts w:ascii="Arial" w:hAnsi="Arial" w:cs="Arial"/>
              <w:b/>
              <w:bCs/>
              <w:noProof/>
            </w:rPr>
            <w:fldChar w:fldCharType="end"/>
          </w:r>
        </w:p>
      </w:sdtContent>
    </w:sdt>
    <w:p w14:paraId="32439F5E" w14:textId="580104C4" w:rsidR="001D3B51" w:rsidRPr="00156466" w:rsidRDefault="001D3B51" w:rsidP="001D3B51">
      <w:pPr>
        <w:rPr>
          <w:rFonts w:ascii="Arial" w:hAnsi="Arial" w:cs="Arial"/>
          <w:b/>
          <w:bCs/>
          <w:sz w:val="28"/>
          <w:szCs w:val="28"/>
        </w:rPr>
      </w:pPr>
    </w:p>
    <w:p w14:paraId="70938432" w14:textId="77777777" w:rsidR="001D3B51" w:rsidRPr="00156466" w:rsidRDefault="001D3B51">
      <w:pPr>
        <w:rPr>
          <w:rFonts w:ascii="Arial" w:hAnsi="Arial" w:cs="Arial"/>
          <w:b/>
          <w:bCs/>
          <w:sz w:val="28"/>
          <w:szCs w:val="28"/>
        </w:rPr>
      </w:pPr>
      <w:r w:rsidRPr="00156466">
        <w:rPr>
          <w:rFonts w:ascii="Arial" w:hAnsi="Arial" w:cs="Arial"/>
        </w:rPr>
        <w:br w:type="page"/>
      </w:r>
    </w:p>
    <w:p w14:paraId="7C3BE264" w14:textId="1A59580C" w:rsidR="00B24FA7" w:rsidRPr="00156466" w:rsidRDefault="00550A01">
      <w:pPr>
        <w:pStyle w:val="Heading1"/>
        <w:rPr>
          <w:rFonts w:cs="Arial"/>
        </w:rPr>
      </w:pPr>
      <w:bookmarkStart w:id="0" w:name="_Toc234840297"/>
      <w:r w:rsidRPr="00156466">
        <w:rPr>
          <w:rFonts w:cs="Arial"/>
        </w:rPr>
        <w:lastRenderedPageBreak/>
        <w:t>1.0 Introduction</w:t>
      </w:r>
      <w:bookmarkEnd w:id="0"/>
      <w:r w:rsidRPr="00156466">
        <w:rPr>
          <w:rFonts w:cs="Arial"/>
        </w:rPr>
        <w:t xml:space="preserve"> </w:t>
      </w:r>
    </w:p>
    <w:p w14:paraId="4F35EF8C" w14:textId="171AC47D" w:rsidR="001D3B51" w:rsidRPr="00156466" w:rsidRDefault="00550A01">
      <w:pPr>
        <w:rPr>
          <w:rFonts w:ascii="Arial" w:hAnsi="Arial" w:cs="Arial"/>
        </w:rPr>
      </w:pPr>
      <w:r w:rsidRPr="00156466">
        <w:rPr>
          <w:rFonts w:ascii="Arial" w:hAnsi="Arial" w:cs="Arial"/>
        </w:rPr>
        <w:t xml:space="preserve">The way of management and operating businesses has been transformed by businesses adopting digital technologies and enabling efficiency, automation and data-driven decision-making. Different types of technologies, such as AI, machine learning, cloud computing, and </w:t>
      </w:r>
      <w:proofErr w:type="spellStart"/>
      <w:r w:rsidRPr="00156466">
        <w:rPr>
          <w:rFonts w:ascii="Arial" w:hAnsi="Arial" w:cs="Arial"/>
        </w:rPr>
        <w:t>IoT</w:t>
      </w:r>
      <w:proofErr w:type="spellEnd"/>
      <w:r w:rsidRPr="00156466">
        <w:rPr>
          <w:rFonts w:ascii="Arial" w:hAnsi="Arial" w:cs="Arial"/>
        </w:rPr>
        <w:t xml:space="preserve">, are used in modern business operations and logistic systems. </w:t>
      </w:r>
      <w:r w:rsidR="001D3B51" w:rsidRPr="00156466">
        <w:rPr>
          <w:rFonts w:ascii="Arial" w:hAnsi="Arial" w:cs="Arial"/>
        </w:rPr>
        <w:t xml:space="preserve">However, the integration also comes with some threats and data breach, ransomware and other cyber threats are the most vulnerable threats that the organisations face. </w:t>
      </w:r>
      <w:r w:rsidR="00394554" w:rsidRPr="00156466">
        <w:rPr>
          <w:rFonts w:ascii="Arial" w:hAnsi="Arial" w:cs="Arial"/>
        </w:rPr>
        <w:t>Technology</w:t>
      </w:r>
      <w:r w:rsidRPr="00156466">
        <w:rPr>
          <w:rFonts w:ascii="Arial" w:hAnsi="Arial" w:cs="Arial"/>
        </w:rPr>
        <w:t xml:space="preserve"> has changed and improved the overall business scenario rapidly</w:t>
      </w:r>
      <w:r w:rsidR="00935432" w:rsidRPr="00156466">
        <w:rPr>
          <w:rFonts w:ascii="Arial" w:hAnsi="Arial" w:cs="Arial"/>
        </w:rPr>
        <w:t xml:space="preserve"> </w:t>
      </w:r>
      <w:r w:rsidR="00D63AC6" w:rsidRPr="00156466">
        <w:rPr>
          <w:rFonts w:ascii="Arial" w:hAnsi="Arial" w:cs="Arial"/>
          <w:highlight w:val="yellow"/>
        </w:rPr>
        <w:t>[1]</w:t>
      </w:r>
      <w:r w:rsidR="00935432" w:rsidRPr="00156466">
        <w:rPr>
          <w:rFonts w:ascii="Arial" w:hAnsi="Arial" w:cs="Arial"/>
        </w:rPr>
        <w:t xml:space="preserve">. </w:t>
      </w:r>
    </w:p>
    <w:p w14:paraId="79B7BAFB" w14:textId="78F0A8A7" w:rsidR="00B24FA7" w:rsidRPr="00156466" w:rsidRDefault="00550A01">
      <w:pPr>
        <w:rPr>
          <w:rFonts w:ascii="Arial" w:hAnsi="Arial" w:cs="Arial"/>
        </w:rPr>
      </w:pPr>
      <w:proofErr w:type="spellStart"/>
      <w:r w:rsidRPr="00156466">
        <w:rPr>
          <w:rFonts w:ascii="Arial" w:hAnsi="Arial" w:cs="Arial"/>
        </w:rPr>
        <w:t>AeroLink</w:t>
      </w:r>
      <w:proofErr w:type="spellEnd"/>
      <w:r w:rsidRPr="00156466">
        <w:rPr>
          <w:rFonts w:ascii="Arial" w:hAnsi="Arial" w:cs="Arial"/>
        </w:rPr>
        <w:t xml:space="preserve"> Logistics (ALL) is a multinational logistics organisation that uses cloud and </w:t>
      </w:r>
      <w:proofErr w:type="spellStart"/>
      <w:r w:rsidRPr="00156466">
        <w:rPr>
          <w:rFonts w:ascii="Arial" w:hAnsi="Arial" w:cs="Arial"/>
        </w:rPr>
        <w:t>IoT</w:t>
      </w:r>
      <w:proofErr w:type="spellEnd"/>
      <w:r w:rsidRPr="00156466">
        <w:rPr>
          <w:rFonts w:ascii="Arial" w:hAnsi="Arial" w:cs="Arial"/>
        </w:rPr>
        <w:t xml:space="preserve"> technologies in its operations. They also depend on AI technologies and </w:t>
      </w:r>
      <w:proofErr w:type="spellStart"/>
      <w:r w:rsidRPr="00156466">
        <w:rPr>
          <w:rFonts w:ascii="Arial" w:hAnsi="Arial" w:cs="Arial"/>
        </w:rPr>
        <w:t>blockchain</w:t>
      </w:r>
      <w:proofErr w:type="spellEnd"/>
      <w:r w:rsidRPr="00156466">
        <w:rPr>
          <w:rFonts w:ascii="Arial" w:hAnsi="Arial" w:cs="Arial"/>
        </w:rPr>
        <w:t xml:space="preserve"> and outsource their IT services for their operations. The overall operation has been improved and enhanced visibly by adopting the technologies; however, the cybersecurity threat is also increasing (Case study). As per the case, ALL expected data breaches of PII and shipment data breaching due to a lack of proper governance. The cybersecurity system </w:t>
      </w:r>
      <w:r w:rsidR="00394554" w:rsidRPr="00156466">
        <w:rPr>
          <w:rFonts w:ascii="Arial" w:hAnsi="Arial" w:cs="Arial"/>
        </w:rPr>
        <w:t xml:space="preserve">has a </w:t>
      </w:r>
      <w:r w:rsidRPr="00156466">
        <w:rPr>
          <w:rFonts w:ascii="Arial" w:hAnsi="Arial" w:cs="Arial"/>
        </w:rPr>
        <w:t xml:space="preserve">lack of a unified framework </w:t>
      </w:r>
      <w:r w:rsidR="00394554" w:rsidRPr="00156466">
        <w:rPr>
          <w:rFonts w:ascii="Arial" w:hAnsi="Arial" w:cs="Arial"/>
        </w:rPr>
        <w:t xml:space="preserve">is </w:t>
      </w:r>
      <w:r w:rsidRPr="00156466">
        <w:rPr>
          <w:rFonts w:ascii="Arial" w:hAnsi="Arial" w:cs="Arial"/>
        </w:rPr>
        <w:t xml:space="preserve">also responsible for the incidents. </w:t>
      </w:r>
    </w:p>
    <w:p w14:paraId="188D15D7" w14:textId="77777777" w:rsidR="00B24FA7" w:rsidRPr="00156466" w:rsidRDefault="00550A01">
      <w:pPr>
        <w:rPr>
          <w:rFonts w:ascii="Arial" w:hAnsi="Arial" w:cs="Arial"/>
        </w:rPr>
      </w:pPr>
      <w:r w:rsidRPr="00156466">
        <w:rPr>
          <w:rFonts w:ascii="Arial" w:hAnsi="Arial" w:cs="Arial"/>
        </w:rPr>
        <w:t xml:space="preserve">The report proposes evaluating all the cybersecurity global frameworks like NIST CSF, ISO 27001, COBIT 2019 and ITIL4 and then among them, the most suitable framework for ALL has been identified. </w:t>
      </w:r>
    </w:p>
    <w:p w14:paraId="778B86E2" w14:textId="1AAFD3EE" w:rsidR="00B24FA7" w:rsidRPr="00156466" w:rsidRDefault="00550A01">
      <w:pPr>
        <w:pStyle w:val="Heading1"/>
        <w:rPr>
          <w:rFonts w:cs="Arial"/>
        </w:rPr>
      </w:pPr>
      <w:bookmarkStart w:id="1" w:name="_46w9u7muhyij" w:colFirst="0" w:colLast="0"/>
      <w:bookmarkStart w:id="2" w:name="_Toc234840298"/>
      <w:bookmarkEnd w:id="1"/>
      <w:r w:rsidRPr="00156466">
        <w:rPr>
          <w:rFonts w:cs="Arial"/>
        </w:rPr>
        <w:t>2.0 Assumption</w:t>
      </w:r>
      <w:bookmarkEnd w:id="2"/>
      <w:r w:rsidRPr="00156466">
        <w:rPr>
          <w:rFonts w:cs="Arial"/>
        </w:rPr>
        <w:t xml:space="preserve"> </w:t>
      </w:r>
    </w:p>
    <w:p w14:paraId="3EC28BA1" w14:textId="063F2345" w:rsidR="00B24FA7" w:rsidRPr="00156466" w:rsidRDefault="00550A01">
      <w:pPr>
        <w:rPr>
          <w:rFonts w:ascii="Arial" w:hAnsi="Arial" w:cs="Arial"/>
        </w:rPr>
      </w:pPr>
      <w:r w:rsidRPr="00156466">
        <w:rPr>
          <w:rFonts w:ascii="Arial" w:hAnsi="Arial" w:cs="Arial"/>
        </w:rPr>
        <w:t>The organisational details in the case are limited, so some assumptions are needed to conduct the research. ALL is assumed to be a large multinational organisation with sufficient financial resources to invest in cybersecurity. They primarily used infrastructure-as-a-service (IaaS) and Software-as-</w:t>
      </w:r>
      <w:r w:rsidR="00394554" w:rsidRPr="00156466">
        <w:rPr>
          <w:rFonts w:ascii="Arial" w:hAnsi="Arial" w:cs="Arial"/>
        </w:rPr>
        <w:t>a-</w:t>
      </w:r>
      <w:r w:rsidRPr="00156466">
        <w:rPr>
          <w:rFonts w:ascii="Arial" w:hAnsi="Arial" w:cs="Arial"/>
        </w:rPr>
        <w:t xml:space="preserve">Service (SaaS) platforms for their operations. The company is assumed to have low-level security due to overreliance on the IT vendor. Cloud maturity level is also very low, and due to the outsourcing of IT, the organisation faces cybersecurity issues. </w:t>
      </w:r>
    </w:p>
    <w:p w14:paraId="48737F52" w14:textId="02EBF480" w:rsidR="00B24FA7" w:rsidRPr="00156466" w:rsidRDefault="00550A01">
      <w:pPr>
        <w:pStyle w:val="Heading1"/>
        <w:rPr>
          <w:rFonts w:cs="Arial"/>
        </w:rPr>
      </w:pPr>
      <w:bookmarkStart w:id="3" w:name="_2c9f1pfv6st1" w:colFirst="0" w:colLast="0"/>
      <w:bookmarkStart w:id="4" w:name="_Toc234840299"/>
      <w:bookmarkEnd w:id="3"/>
      <w:r w:rsidRPr="00156466">
        <w:rPr>
          <w:rFonts w:cs="Arial"/>
        </w:rPr>
        <w:lastRenderedPageBreak/>
        <w:t>3.0 Review and critical evaluation of security frameworks</w:t>
      </w:r>
      <w:bookmarkEnd w:id="4"/>
      <w:r w:rsidRPr="00156466">
        <w:rPr>
          <w:rFonts w:cs="Arial"/>
        </w:rPr>
        <w:t xml:space="preserve"> </w:t>
      </w:r>
    </w:p>
    <w:p w14:paraId="11E852D8" w14:textId="77777777" w:rsidR="00B24FA7" w:rsidRPr="00156466" w:rsidRDefault="00550A01">
      <w:pPr>
        <w:pStyle w:val="Heading2"/>
        <w:rPr>
          <w:rFonts w:ascii="Arial" w:hAnsi="Arial" w:cs="Arial"/>
          <w:b w:val="0"/>
          <w:bCs/>
          <w:sz w:val="26"/>
          <w:szCs w:val="26"/>
        </w:rPr>
      </w:pPr>
      <w:bookmarkStart w:id="5" w:name="_kbra2tbbmkuk" w:colFirst="0" w:colLast="0"/>
      <w:bookmarkStart w:id="6" w:name="_Toc234840300"/>
      <w:bookmarkEnd w:id="5"/>
      <w:r w:rsidRPr="00156466">
        <w:rPr>
          <w:rFonts w:ascii="Arial" w:hAnsi="Arial" w:cs="Arial"/>
          <w:bCs/>
          <w:sz w:val="26"/>
          <w:szCs w:val="26"/>
        </w:rPr>
        <w:t>3.1 NIST Cybersecurity Framework 2.0</w:t>
      </w:r>
      <w:bookmarkEnd w:id="6"/>
    </w:p>
    <w:p w14:paraId="18BEEB15" w14:textId="238DD603" w:rsidR="00B24FA7" w:rsidRPr="00156466" w:rsidRDefault="00550A01">
      <w:pPr>
        <w:rPr>
          <w:rFonts w:ascii="Arial" w:hAnsi="Arial" w:cs="Arial"/>
        </w:rPr>
      </w:pPr>
      <w:r w:rsidRPr="00156466">
        <w:rPr>
          <w:rFonts w:ascii="Arial" w:hAnsi="Arial" w:cs="Arial"/>
        </w:rPr>
        <w:t xml:space="preserve">The NIST Cybersecurity Framework (CSF) 2.0 is one of the risk-based frameworks that are used for the cybersecurity risk management of organisations. The framework </w:t>
      </w:r>
      <w:r w:rsidR="00394554" w:rsidRPr="00156466">
        <w:rPr>
          <w:rFonts w:ascii="Arial" w:hAnsi="Arial" w:cs="Arial"/>
        </w:rPr>
        <w:t xml:space="preserve">consists of </w:t>
      </w:r>
      <w:r w:rsidRPr="00156466">
        <w:rPr>
          <w:rFonts w:ascii="Arial" w:hAnsi="Arial" w:cs="Arial"/>
        </w:rPr>
        <w:t xml:space="preserve">six functions: governing, identification, protection, detection, responding and recovering </w:t>
      </w:r>
      <w:r w:rsidR="00D63AC6" w:rsidRPr="00156466">
        <w:rPr>
          <w:rFonts w:ascii="Arial" w:hAnsi="Arial" w:cs="Arial"/>
          <w:highlight w:val="yellow"/>
        </w:rPr>
        <w:t>[</w:t>
      </w:r>
      <w:r w:rsidR="00993638" w:rsidRPr="00156466">
        <w:rPr>
          <w:rFonts w:ascii="Arial" w:hAnsi="Arial" w:cs="Arial"/>
          <w:highlight w:val="yellow"/>
        </w:rPr>
        <w:t>2</w:t>
      </w:r>
      <w:r w:rsidR="00D63AC6" w:rsidRPr="00156466">
        <w:rPr>
          <w:rFonts w:ascii="Arial" w:hAnsi="Arial" w:cs="Arial"/>
          <w:highlight w:val="yellow"/>
        </w:rPr>
        <w:t>]</w:t>
      </w:r>
      <w:r w:rsidR="00907F9D" w:rsidRPr="00156466">
        <w:rPr>
          <w:rFonts w:ascii="Arial" w:hAnsi="Arial" w:cs="Arial"/>
        </w:rPr>
        <w:t xml:space="preserve">. </w:t>
      </w:r>
      <w:r w:rsidRPr="00156466">
        <w:rPr>
          <w:rFonts w:ascii="Arial" w:hAnsi="Arial" w:cs="Arial"/>
        </w:rPr>
        <w:t xml:space="preserve">The different functions are very flexible to enhance the cybersecurity governance in digital technology adoption and related threats. </w:t>
      </w:r>
    </w:p>
    <w:p w14:paraId="6F4D4A76" w14:textId="77777777" w:rsidR="00B24FA7" w:rsidRPr="00156466" w:rsidRDefault="00550A01">
      <w:pPr>
        <w:jc w:val="center"/>
        <w:rPr>
          <w:rFonts w:ascii="Arial" w:hAnsi="Arial" w:cs="Arial"/>
        </w:rPr>
      </w:pPr>
      <w:r w:rsidRPr="00156466">
        <w:rPr>
          <w:rFonts w:ascii="Arial" w:hAnsi="Arial" w:cs="Arial"/>
          <w:noProof/>
          <w:lang w:val="en-IN" w:eastAsia="en-IN" w:bidi="gu-IN"/>
        </w:rPr>
        <w:drawing>
          <wp:inline distT="114300" distB="114300" distL="114300" distR="114300" wp14:anchorId="4F247639" wp14:editId="44D850A2">
            <wp:extent cx="5943600" cy="2705100"/>
            <wp:effectExtent l="0" t="0" r="0" b="0"/>
            <wp:docPr id="1" name="image1.png"/>
            <wp:cNvGraphicFramePr/>
            <a:graphic xmlns:a="http://schemas.openxmlformats.org/drawingml/2006/main">
              <a:graphicData uri="http://schemas.openxmlformats.org/drawingml/2006/picture">
                <pic:pic xmlns:pic="http://schemas.openxmlformats.org/drawingml/2006/picture">
                  <pic:nvPicPr>
                    <pic:cNvPr id="1" name="image1.png"/>
                    <pic:cNvPicPr/>
                  </pic:nvPicPr>
                  <pic:blipFill>
                    <a:blip r:embed="rId9"/>
                    <a:stretch>
                      <a:fillRect/>
                    </a:stretch>
                  </pic:blipFill>
                  <pic:spPr>
                    <a:xfrm>
                      <a:off x="0" y="0"/>
                      <a:ext cx="5943600" cy="2705100"/>
                    </a:xfrm>
                    <a:prstGeom prst="rect">
                      <a:avLst/>
                    </a:prstGeom>
                  </pic:spPr>
                </pic:pic>
              </a:graphicData>
            </a:graphic>
          </wp:inline>
        </w:drawing>
      </w:r>
    </w:p>
    <w:p w14:paraId="032E75CD" w14:textId="77777777" w:rsidR="00B24FA7" w:rsidRPr="00156466" w:rsidRDefault="00550A01">
      <w:pPr>
        <w:jc w:val="center"/>
        <w:rPr>
          <w:rFonts w:ascii="Arial" w:hAnsi="Arial" w:cs="Arial"/>
          <w:b/>
          <w:bCs/>
        </w:rPr>
      </w:pPr>
      <w:r w:rsidRPr="00156466">
        <w:rPr>
          <w:rFonts w:ascii="Arial" w:hAnsi="Arial" w:cs="Arial"/>
          <w:b/>
          <w:bCs/>
        </w:rPr>
        <w:t>Figure 1: NIST 2.0 Framework</w:t>
      </w:r>
    </w:p>
    <w:p w14:paraId="2869E05D" w14:textId="60490C4A" w:rsidR="00B24FA7" w:rsidRPr="00156466" w:rsidRDefault="00935432">
      <w:pPr>
        <w:jc w:val="center"/>
        <w:rPr>
          <w:rFonts w:ascii="Arial" w:hAnsi="Arial" w:cs="Arial"/>
        </w:rPr>
      </w:pPr>
      <w:r w:rsidRPr="00156466">
        <w:rPr>
          <w:rFonts w:ascii="Arial" w:hAnsi="Arial" w:cs="Arial"/>
          <w:highlight w:val="yellow"/>
        </w:rPr>
        <w:t xml:space="preserve">Source: </w:t>
      </w:r>
      <w:r w:rsidR="001E49AB" w:rsidRPr="00156466">
        <w:rPr>
          <w:rFonts w:ascii="Arial" w:hAnsi="Arial" w:cs="Arial"/>
          <w:highlight w:val="yellow"/>
        </w:rPr>
        <w:t xml:space="preserve">[3] </w:t>
      </w:r>
    </w:p>
    <w:p w14:paraId="00D10DAF" w14:textId="77777777" w:rsidR="00B24FA7" w:rsidRPr="00156466" w:rsidRDefault="00550A01">
      <w:pPr>
        <w:rPr>
          <w:rFonts w:ascii="Arial" w:hAnsi="Arial" w:cs="Arial"/>
        </w:rPr>
      </w:pPr>
      <w:r w:rsidRPr="00156466">
        <w:rPr>
          <w:rFonts w:ascii="Arial" w:hAnsi="Arial" w:cs="Arial"/>
        </w:rPr>
        <w:t xml:space="preserve">The framework has different </w:t>
      </w:r>
      <w:r w:rsidRPr="00156466">
        <w:rPr>
          <w:rFonts w:ascii="Arial" w:hAnsi="Arial" w:cs="Arial"/>
          <w:b/>
          <w:bCs/>
        </w:rPr>
        <w:t xml:space="preserve">benefits, </w:t>
      </w:r>
      <w:r w:rsidRPr="00156466">
        <w:rPr>
          <w:rFonts w:ascii="Arial" w:hAnsi="Arial" w:cs="Arial"/>
        </w:rPr>
        <w:t>like:</w:t>
      </w:r>
    </w:p>
    <w:p w14:paraId="6F069809" w14:textId="47D2AAB0" w:rsidR="00B24FA7" w:rsidRPr="00156466" w:rsidRDefault="00550A01">
      <w:pPr>
        <w:rPr>
          <w:rFonts w:ascii="Arial" w:hAnsi="Arial" w:cs="Arial"/>
        </w:rPr>
      </w:pPr>
      <w:r w:rsidRPr="00156466">
        <w:rPr>
          <w:rFonts w:ascii="Arial" w:hAnsi="Arial" w:cs="Arial"/>
        </w:rPr>
        <w:t xml:space="preserve">NIST CSF 2.0 is one of the flexible frameworks with a higher scalability, and it can be applied in any-sized organisation. According to </w:t>
      </w:r>
      <w:r w:rsidR="001E49AB" w:rsidRPr="00156466">
        <w:rPr>
          <w:rFonts w:ascii="Arial" w:hAnsi="Arial" w:cs="Arial"/>
          <w:highlight w:val="yellow"/>
        </w:rPr>
        <w:t>[</w:t>
      </w:r>
      <w:r w:rsidR="00907F9D" w:rsidRPr="00156466">
        <w:rPr>
          <w:rFonts w:ascii="Arial" w:hAnsi="Arial" w:cs="Arial"/>
          <w:highlight w:val="yellow"/>
        </w:rPr>
        <w:t>4</w:t>
      </w:r>
      <w:r w:rsidR="001E49AB" w:rsidRPr="00156466">
        <w:rPr>
          <w:rFonts w:ascii="Arial" w:hAnsi="Arial" w:cs="Arial"/>
          <w:highlight w:val="yellow"/>
        </w:rPr>
        <w:t>]</w:t>
      </w:r>
      <w:r w:rsidR="00907F9D" w:rsidRPr="00156466">
        <w:rPr>
          <w:rFonts w:ascii="Arial" w:hAnsi="Arial" w:cs="Arial"/>
        </w:rPr>
        <w:t xml:space="preserve">. </w:t>
      </w:r>
      <w:r w:rsidRPr="00156466">
        <w:rPr>
          <w:rFonts w:ascii="Arial" w:hAnsi="Arial" w:cs="Arial"/>
        </w:rPr>
        <w:t xml:space="preserve">in this framework, a governance function introduced recently, and it helps to enhance accountability as it integrates risk management and strategy with cybersecurity. The different international standards are also integrated with the frameworks, such as ISO/IEC 27001, and the GDPR requirements for enhanced governance and compliance. </w:t>
      </w:r>
    </w:p>
    <w:p w14:paraId="6B038A94" w14:textId="77777777" w:rsidR="00B24FA7" w:rsidRPr="00156466" w:rsidRDefault="00550A01">
      <w:pPr>
        <w:rPr>
          <w:rFonts w:ascii="Arial" w:hAnsi="Arial" w:cs="Arial"/>
        </w:rPr>
      </w:pPr>
      <w:r w:rsidRPr="00156466">
        <w:rPr>
          <w:rFonts w:ascii="Arial" w:hAnsi="Arial" w:cs="Arial"/>
        </w:rPr>
        <w:lastRenderedPageBreak/>
        <w:t xml:space="preserve">However, it also has some </w:t>
      </w:r>
      <w:r w:rsidRPr="00156466">
        <w:rPr>
          <w:rFonts w:ascii="Arial" w:hAnsi="Arial" w:cs="Arial"/>
          <w:b/>
          <w:bCs/>
        </w:rPr>
        <w:t>drawbacks</w:t>
      </w:r>
      <w:r w:rsidRPr="00156466">
        <w:rPr>
          <w:rFonts w:ascii="Arial" w:hAnsi="Arial" w:cs="Arial"/>
        </w:rPr>
        <w:t>:</w:t>
      </w:r>
    </w:p>
    <w:p w14:paraId="01E83825" w14:textId="5C9BE219" w:rsidR="00B24FA7" w:rsidRPr="00156466" w:rsidRDefault="001E49AB">
      <w:pPr>
        <w:rPr>
          <w:rFonts w:ascii="Arial" w:hAnsi="Arial" w:cs="Arial"/>
        </w:rPr>
      </w:pPr>
      <w:r w:rsidRPr="00156466">
        <w:rPr>
          <w:rFonts w:ascii="Arial" w:hAnsi="Arial" w:cs="Arial"/>
          <w:highlight w:val="yellow"/>
        </w:rPr>
        <w:t>[</w:t>
      </w:r>
      <w:r w:rsidR="00907F9D" w:rsidRPr="00156466">
        <w:rPr>
          <w:rFonts w:ascii="Arial" w:hAnsi="Arial" w:cs="Arial"/>
          <w:highlight w:val="yellow"/>
        </w:rPr>
        <w:t>5</w:t>
      </w:r>
      <w:r w:rsidRPr="00156466">
        <w:rPr>
          <w:rFonts w:ascii="Arial" w:hAnsi="Arial" w:cs="Arial"/>
          <w:highlight w:val="yellow"/>
        </w:rPr>
        <w:t>]</w:t>
      </w:r>
      <w:r w:rsidR="00907F9D" w:rsidRPr="00156466">
        <w:rPr>
          <w:rFonts w:ascii="Arial" w:hAnsi="Arial" w:cs="Arial"/>
        </w:rPr>
        <w:t xml:space="preserve"> </w:t>
      </w:r>
      <w:r w:rsidRPr="00156466">
        <w:rPr>
          <w:rFonts w:ascii="Arial" w:hAnsi="Arial" w:cs="Arial"/>
        </w:rPr>
        <w:t>said N</w:t>
      </w:r>
      <w:r w:rsidR="00085C82" w:rsidRPr="00156466">
        <w:rPr>
          <w:rFonts w:ascii="Arial" w:hAnsi="Arial" w:cs="Arial"/>
        </w:rPr>
        <w:t>I</w:t>
      </w:r>
      <w:r w:rsidRPr="00156466">
        <w:rPr>
          <w:rFonts w:ascii="Arial" w:hAnsi="Arial" w:cs="Arial"/>
        </w:rPr>
        <w:t xml:space="preserve">ST CSF 2.0 has no certification for standardisation, and it doesn't </w:t>
      </w:r>
      <w:r w:rsidR="00394554" w:rsidRPr="00156466">
        <w:rPr>
          <w:rFonts w:ascii="Arial" w:hAnsi="Arial" w:cs="Arial"/>
        </w:rPr>
        <w:t xml:space="preserve">prescribe </w:t>
      </w:r>
      <w:r w:rsidRPr="00156466">
        <w:rPr>
          <w:rFonts w:ascii="Arial" w:hAnsi="Arial" w:cs="Arial"/>
        </w:rPr>
        <w:t>about the technical control; hence, after integrating t</w:t>
      </w:r>
      <w:r w:rsidR="00085C82" w:rsidRPr="00156466">
        <w:rPr>
          <w:rFonts w:ascii="Arial" w:hAnsi="Arial" w:cs="Arial"/>
        </w:rPr>
        <w:t>his</w:t>
      </w:r>
      <w:r w:rsidRPr="00156466">
        <w:rPr>
          <w:rFonts w:ascii="Arial" w:hAnsi="Arial" w:cs="Arial"/>
        </w:rPr>
        <w:t xml:space="preserve">, additional resources are required to </w:t>
      </w:r>
      <w:r w:rsidR="00085C82" w:rsidRPr="00156466">
        <w:rPr>
          <w:rFonts w:ascii="Arial" w:hAnsi="Arial" w:cs="Arial"/>
        </w:rPr>
        <w:t xml:space="preserve">implement </w:t>
      </w:r>
      <w:r w:rsidRPr="00156466">
        <w:rPr>
          <w:rFonts w:ascii="Arial" w:hAnsi="Arial" w:cs="Arial"/>
        </w:rPr>
        <w:t>for a standardised control</w:t>
      </w:r>
      <w:r w:rsidR="00085C82" w:rsidRPr="00156466">
        <w:rPr>
          <w:rFonts w:ascii="Arial" w:hAnsi="Arial" w:cs="Arial"/>
        </w:rPr>
        <w:t xml:space="preserve"> of security</w:t>
      </w:r>
      <w:r w:rsidRPr="00156466">
        <w:rPr>
          <w:rFonts w:ascii="Arial" w:hAnsi="Arial" w:cs="Arial"/>
        </w:rPr>
        <w:t xml:space="preserve">. The implementation of the framework is quite complex, as in organisations with low cybersecurity maturity. </w:t>
      </w:r>
    </w:p>
    <w:p w14:paraId="44BE97F7" w14:textId="77777777" w:rsidR="00B24FA7" w:rsidRPr="00156466" w:rsidRDefault="00550A01">
      <w:pPr>
        <w:pStyle w:val="Heading2"/>
        <w:rPr>
          <w:rFonts w:ascii="Arial" w:hAnsi="Arial" w:cs="Arial"/>
          <w:b w:val="0"/>
          <w:bCs/>
          <w:sz w:val="26"/>
          <w:szCs w:val="26"/>
        </w:rPr>
      </w:pPr>
      <w:bookmarkStart w:id="7" w:name="_b504znctunq7" w:colFirst="0" w:colLast="0"/>
      <w:bookmarkStart w:id="8" w:name="_Toc234840301"/>
      <w:bookmarkEnd w:id="7"/>
      <w:r w:rsidRPr="00156466">
        <w:rPr>
          <w:rFonts w:ascii="Arial" w:hAnsi="Arial" w:cs="Arial"/>
          <w:bCs/>
          <w:sz w:val="26"/>
          <w:szCs w:val="26"/>
        </w:rPr>
        <w:t>3.2 ISO/IEC 27001</w:t>
      </w:r>
      <w:bookmarkEnd w:id="8"/>
    </w:p>
    <w:p w14:paraId="5ED8C53C" w14:textId="3C3E4BAD" w:rsidR="00B24FA7" w:rsidRPr="00156466" w:rsidRDefault="00550A01">
      <w:pPr>
        <w:rPr>
          <w:rFonts w:ascii="Arial" w:hAnsi="Arial" w:cs="Arial"/>
        </w:rPr>
      </w:pPr>
      <w:r w:rsidRPr="00156466">
        <w:rPr>
          <w:rFonts w:ascii="Arial" w:hAnsi="Arial" w:cs="Arial"/>
        </w:rPr>
        <w:t>ISO/IEC 27001:2022 is one of the international standardisation frameworks used for developing, implementing, and maintaining the ISMS, and it is quite different from other aspects as it takes a systematic risk-based approach, which helps to protect data and confidentiality. The standard mandates that organisations identify security risks and apply the required controls, regularly review security risks through a process called a risk assessment, and continually monitor and enhance their security performance using a continuous Plan-Do-Check-Act (PDCA)</w:t>
      </w:r>
      <w:r w:rsidR="001E49AB" w:rsidRPr="00156466">
        <w:rPr>
          <w:rFonts w:ascii="Arial" w:hAnsi="Arial" w:cs="Arial"/>
        </w:rPr>
        <w:t xml:space="preserve"> </w:t>
      </w:r>
      <w:r w:rsidR="001E49AB" w:rsidRPr="00156466">
        <w:rPr>
          <w:rFonts w:ascii="Arial" w:hAnsi="Arial" w:cs="Arial"/>
          <w:highlight w:val="yellow"/>
        </w:rPr>
        <w:t>[</w:t>
      </w:r>
      <w:r w:rsidR="00907F9D" w:rsidRPr="00156466">
        <w:rPr>
          <w:rFonts w:ascii="Arial" w:hAnsi="Arial" w:cs="Arial"/>
          <w:highlight w:val="yellow"/>
        </w:rPr>
        <w:t>6</w:t>
      </w:r>
      <w:r w:rsidR="001E49AB" w:rsidRPr="00156466">
        <w:rPr>
          <w:rFonts w:ascii="Arial" w:hAnsi="Arial" w:cs="Arial"/>
          <w:highlight w:val="yellow"/>
        </w:rPr>
        <w:t>]</w:t>
      </w:r>
      <w:r w:rsidR="00907F9D" w:rsidRPr="00156466">
        <w:rPr>
          <w:rFonts w:ascii="Arial" w:hAnsi="Arial" w:cs="Arial"/>
        </w:rPr>
        <w:t xml:space="preserve">. </w:t>
      </w:r>
      <w:r w:rsidRPr="00156466">
        <w:rPr>
          <w:rFonts w:ascii="Arial" w:hAnsi="Arial" w:cs="Arial"/>
        </w:rPr>
        <w:t>It is a certifiable standard which offers external confidence in how an organisation's information security management is conducted in line with internationally accepted information security management practices.</w:t>
      </w:r>
    </w:p>
    <w:p w14:paraId="3D136BDC" w14:textId="2AD5B119" w:rsidR="00B24FA7" w:rsidRPr="00156466" w:rsidRDefault="00550A01">
      <w:pPr>
        <w:rPr>
          <w:rFonts w:ascii="Arial" w:hAnsi="Arial" w:cs="Arial"/>
        </w:rPr>
      </w:pPr>
      <w:r w:rsidRPr="00156466">
        <w:rPr>
          <w:rFonts w:ascii="Arial" w:hAnsi="Arial" w:cs="Arial"/>
        </w:rPr>
        <w:t xml:space="preserve">The </w:t>
      </w:r>
      <w:r w:rsidRPr="00156466">
        <w:rPr>
          <w:rFonts w:ascii="Arial" w:hAnsi="Arial" w:cs="Arial"/>
          <w:b/>
          <w:bCs/>
        </w:rPr>
        <w:t xml:space="preserve">benefits </w:t>
      </w:r>
      <w:r w:rsidRPr="00156466">
        <w:rPr>
          <w:rFonts w:ascii="Arial" w:hAnsi="Arial" w:cs="Arial"/>
        </w:rPr>
        <w:t>of this framework are</w:t>
      </w:r>
      <w:r w:rsidR="00B07A0C" w:rsidRPr="00156466">
        <w:rPr>
          <w:rFonts w:ascii="Arial" w:hAnsi="Arial" w:cs="Arial"/>
        </w:rPr>
        <w:t xml:space="preserve"> as follows</w:t>
      </w:r>
      <w:r w:rsidRPr="00156466">
        <w:rPr>
          <w:rFonts w:ascii="Arial" w:hAnsi="Arial" w:cs="Arial"/>
        </w:rPr>
        <w:t>:</w:t>
      </w:r>
    </w:p>
    <w:p w14:paraId="2D1DA154" w14:textId="77777777" w:rsidR="00B24FA7" w:rsidRPr="00156466" w:rsidRDefault="00550A01">
      <w:pPr>
        <w:jc w:val="center"/>
        <w:rPr>
          <w:rFonts w:ascii="Arial" w:hAnsi="Arial" w:cs="Arial"/>
        </w:rPr>
      </w:pPr>
      <w:r w:rsidRPr="00156466">
        <w:rPr>
          <w:rFonts w:ascii="Arial" w:hAnsi="Arial" w:cs="Arial"/>
          <w:noProof/>
          <w:lang w:val="en-IN" w:eastAsia="en-IN" w:bidi="gu-IN"/>
        </w:rPr>
        <w:drawing>
          <wp:inline distT="114300" distB="114300" distL="114300" distR="114300" wp14:anchorId="399A2E38" wp14:editId="5A9696E3">
            <wp:extent cx="5474540" cy="2906486"/>
            <wp:effectExtent l="0" t="0" r="0" b="8255"/>
            <wp:docPr id="3" name="image3.png"/>
            <wp:cNvGraphicFramePr/>
            <a:graphic xmlns:a="http://schemas.openxmlformats.org/drawingml/2006/main">
              <a:graphicData uri="http://schemas.openxmlformats.org/drawingml/2006/picture">
                <pic:pic xmlns:pic="http://schemas.openxmlformats.org/drawingml/2006/picture">
                  <pic:nvPicPr>
                    <pic:cNvPr id="3" name="image3.png"/>
                    <pic:cNvPicPr/>
                  </pic:nvPicPr>
                  <pic:blipFill>
                    <a:blip r:embed="rId10"/>
                    <a:stretch>
                      <a:fillRect/>
                    </a:stretch>
                  </pic:blipFill>
                  <pic:spPr>
                    <a:xfrm>
                      <a:off x="0" y="0"/>
                      <a:ext cx="5482275" cy="2910593"/>
                    </a:xfrm>
                    <a:prstGeom prst="rect">
                      <a:avLst/>
                    </a:prstGeom>
                  </pic:spPr>
                </pic:pic>
              </a:graphicData>
            </a:graphic>
          </wp:inline>
        </w:drawing>
      </w:r>
    </w:p>
    <w:p w14:paraId="64C2D527" w14:textId="77777777" w:rsidR="00B24FA7" w:rsidRPr="00156466" w:rsidRDefault="00550A01">
      <w:pPr>
        <w:jc w:val="center"/>
        <w:rPr>
          <w:rFonts w:ascii="Arial" w:hAnsi="Arial" w:cs="Arial"/>
          <w:b/>
          <w:bCs/>
        </w:rPr>
      </w:pPr>
      <w:r w:rsidRPr="00156466">
        <w:rPr>
          <w:rFonts w:ascii="Arial" w:hAnsi="Arial" w:cs="Arial"/>
          <w:b/>
          <w:bCs/>
        </w:rPr>
        <w:lastRenderedPageBreak/>
        <w:t>Figure 2: ISO-IEC 27001: 2022</w:t>
      </w:r>
    </w:p>
    <w:p w14:paraId="21781781" w14:textId="513B3CCA" w:rsidR="00B24FA7" w:rsidRPr="00156466" w:rsidRDefault="00935432">
      <w:pPr>
        <w:jc w:val="center"/>
        <w:rPr>
          <w:rFonts w:ascii="Arial" w:hAnsi="Arial" w:cs="Arial"/>
        </w:rPr>
      </w:pPr>
      <w:r w:rsidRPr="00156466">
        <w:rPr>
          <w:rFonts w:ascii="Arial" w:hAnsi="Arial" w:cs="Arial"/>
          <w:highlight w:val="yellow"/>
        </w:rPr>
        <w:t xml:space="preserve">Source: </w:t>
      </w:r>
      <w:r w:rsidR="00D63AC6" w:rsidRPr="00156466">
        <w:rPr>
          <w:rFonts w:ascii="Arial" w:hAnsi="Arial" w:cs="Arial"/>
          <w:highlight w:val="yellow"/>
        </w:rPr>
        <w:t>[2</w:t>
      </w:r>
      <w:r w:rsidR="008B3870" w:rsidRPr="00156466">
        <w:rPr>
          <w:rFonts w:ascii="Arial" w:hAnsi="Arial" w:cs="Arial"/>
          <w:highlight w:val="yellow"/>
        </w:rPr>
        <w:t>3</w:t>
      </w:r>
      <w:r w:rsidR="00D63AC6" w:rsidRPr="00156466">
        <w:rPr>
          <w:rFonts w:ascii="Arial" w:hAnsi="Arial" w:cs="Arial"/>
          <w:highlight w:val="yellow"/>
        </w:rPr>
        <w:t xml:space="preserve">] </w:t>
      </w:r>
    </w:p>
    <w:p w14:paraId="172A7DA4" w14:textId="5E6A50F4" w:rsidR="00B24FA7" w:rsidRPr="00156466" w:rsidRDefault="00550A01">
      <w:pPr>
        <w:rPr>
          <w:rFonts w:ascii="Arial" w:hAnsi="Arial" w:cs="Arial"/>
        </w:rPr>
      </w:pPr>
      <w:r w:rsidRPr="00156466">
        <w:rPr>
          <w:rFonts w:ascii="Arial" w:hAnsi="Arial" w:cs="Arial"/>
        </w:rPr>
        <w:t xml:space="preserve">As per </w:t>
      </w:r>
      <w:r w:rsidR="00E46F5E" w:rsidRPr="00156466">
        <w:rPr>
          <w:rFonts w:ascii="Arial" w:hAnsi="Arial" w:cs="Arial"/>
          <w:highlight w:val="yellow"/>
        </w:rPr>
        <w:t>[</w:t>
      </w:r>
      <w:r w:rsidR="00907F9D" w:rsidRPr="00156466">
        <w:rPr>
          <w:rFonts w:ascii="Arial" w:hAnsi="Arial" w:cs="Arial"/>
          <w:highlight w:val="yellow"/>
        </w:rPr>
        <w:t>7</w:t>
      </w:r>
      <w:r w:rsidR="00E46F5E" w:rsidRPr="00156466">
        <w:rPr>
          <w:rFonts w:ascii="Arial" w:hAnsi="Arial" w:cs="Arial"/>
          <w:highlight w:val="yellow"/>
        </w:rPr>
        <w:t xml:space="preserve">] </w:t>
      </w:r>
      <w:r w:rsidRPr="00156466">
        <w:rPr>
          <w:rFonts w:ascii="Arial" w:hAnsi="Arial" w:cs="Arial"/>
        </w:rPr>
        <w:t xml:space="preserve">the governance framework of ISO/IEC 27001 is one of the main advantages of the standard: it </w:t>
      </w:r>
      <w:r w:rsidR="00085C82" w:rsidRPr="00156466">
        <w:rPr>
          <w:rFonts w:ascii="Arial" w:hAnsi="Arial" w:cs="Arial"/>
        </w:rPr>
        <w:t xml:space="preserve">integrates </w:t>
      </w:r>
      <w:r w:rsidRPr="00156466">
        <w:rPr>
          <w:rFonts w:ascii="Arial" w:hAnsi="Arial" w:cs="Arial"/>
        </w:rPr>
        <w:t>information security into organisational processes and a part of decision making. The standard encourages continuous improvement, builds trust in the stakeholders, supports regulatory compliance with GDPR, etc., and encourages better risk management of the process, people and technology. Certification also benefits in boosting the organisation's reputation and its commitment to safeguarding sensitive information.</w:t>
      </w:r>
    </w:p>
    <w:p w14:paraId="5422C4E2" w14:textId="77777777" w:rsidR="00B24FA7" w:rsidRPr="00156466" w:rsidRDefault="00550A01">
      <w:pPr>
        <w:rPr>
          <w:rFonts w:ascii="Arial" w:hAnsi="Arial" w:cs="Arial"/>
        </w:rPr>
      </w:pPr>
      <w:r w:rsidRPr="00156466">
        <w:rPr>
          <w:rFonts w:ascii="Arial" w:hAnsi="Arial" w:cs="Arial"/>
        </w:rPr>
        <w:t xml:space="preserve">The potential </w:t>
      </w:r>
      <w:r w:rsidRPr="00156466">
        <w:rPr>
          <w:rFonts w:ascii="Arial" w:hAnsi="Arial" w:cs="Arial"/>
          <w:b/>
          <w:bCs/>
        </w:rPr>
        <w:t xml:space="preserve">limitations </w:t>
      </w:r>
      <w:r w:rsidRPr="00156466">
        <w:rPr>
          <w:rFonts w:ascii="Arial" w:hAnsi="Arial" w:cs="Arial"/>
        </w:rPr>
        <w:t>are discussed below:</w:t>
      </w:r>
    </w:p>
    <w:p w14:paraId="54E7F6CE" w14:textId="000C0334" w:rsidR="00B24FA7" w:rsidRPr="00156466" w:rsidRDefault="00550A01">
      <w:pPr>
        <w:rPr>
          <w:rFonts w:ascii="Arial" w:hAnsi="Arial" w:cs="Arial"/>
        </w:rPr>
      </w:pPr>
      <w:r w:rsidRPr="00156466">
        <w:rPr>
          <w:rFonts w:ascii="Arial" w:hAnsi="Arial" w:cs="Arial"/>
        </w:rPr>
        <w:t xml:space="preserve">The benefits of implementing ISO/IEC 27001 might be great, but the process isn't without its drawbacks and can be expensive, time-consuming, </w:t>
      </w:r>
      <w:r w:rsidR="00085C82" w:rsidRPr="00156466">
        <w:rPr>
          <w:rFonts w:ascii="Arial" w:hAnsi="Arial" w:cs="Arial"/>
        </w:rPr>
        <w:t>and needs more resources</w:t>
      </w:r>
      <w:r w:rsidRPr="00156466">
        <w:rPr>
          <w:rFonts w:ascii="Arial" w:hAnsi="Arial" w:cs="Arial"/>
        </w:rPr>
        <w:t xml:space="preserve">. Extensive documentation, frequent internal audits, monitoring and management commitment are required for certification </w:t>
      </w:r>
      <w:r w:rsidR="001E49AB" w:rsidRPr="00156466">
        <w:rPr>
          <w:rFonts w:ascii="Arial" w:hAnsi="Arial" w:cs="Arial"/>
          <w:highlight w:val="yellow"/>
        </w:rPr>
        <w:t>[</w:t>
      </w:r>
      <w:r w:rsidR="00907F9D" w:rsidRPr="00156466">
        <w:rPr>
          <w:rFonts w:ascii="Arial" w:hAnsi="Arial" w:cs="Arial"/>
          <w:highlight w:val="yellow"/>
        </w:rPr>
        <w:t>6</w:t>
      </w:r>
      <w:r w:rsidR="001E49AB" w:rsidRPr="00156466">
        <w:rPr>
          <w:rFonts w:ascii="Arial" w:hAnsi="Arial" w:cs="Arial"/>
          <w:highlight w:val="yellow"/>
        </w:rPr>
        <w:t>]</w:t>
      </w:r>
      <w:r w:rsidR="00907F9D" w:rsidRPr="00156466">
        <w:rPr>
          <w:rFonts w:ascii="Arial" w:hAnsi="Arial" w:cs="Arial"/>
        </w:rPr>
        <w:t xml:space="preserve">. </w:t>
      </w:r>
      <w:r w:rsidRPr="00156466">
        <w:rPr>
          <w:rFonts w:ascii="Arial" w:hAnsi="Arial" w:cs="Arial"/>
        </w:rPr>
        <w:t>Also, the standard provides only a statement of what needs to be done, and not the means by which these technical security controls should be implemented, leaving organisations with the flexibility to add additional operational practices like NIST CSF 2.0.</w:t>
      </w:r>
    </w:p>
    <w:p w14:paraId="61F41B78" w14:textId="77777777" w:rsidR="00B24FA7" w:rsidRPr="00156466" w:rsidRDefault="00550A01">
      <w:pPr>
        <w:pStyle w:val="Heading2"/>
        <w:rPr>
          <w:rFonts w:ascii="Arial" w:hAnsi="Arial" w:cs="Arial"/>
        </w:rPr>
      </w:pPr>
      <w:bookmarkStart w:id="9" w:name="_qxdb0a4neves" w:colFirst="0" w:colLast="0"/>
      <w:bookmarkStart w:id="10" w:name="_Toc234840302"/>
      <w:bookmarkEnd w:id="9"/>
      <w:r w:rsidRPr="00156466">
        <w:rPr>
          <w:rFonts w:ascii="Arial" w:hAnsi="Arial" w:cs="Arial"/>
          <w:bCs/>
          <w:sz w:val="26"/>
          <w:szCs w:val="26"/>
        </w:rPr>
        <w:t>3.3 COBIT 2019</w:t>
      </w:r>
      <w:bookmarkEnd w:id="10"/>
    </w:p>
    <w:p w14:paraId="6CCEB43D" w14:textId="353E0A61" w:rsidR="00B24FA7" w:rsidRPr="00156466" w:rsidRDefault="00550A01">
      <w:pPr>
        <w:rPr>
          <w:rFonts w:ascii="Arial" w:hAnsi="Arial" w:cs="Arial"/>
        </w:rPr>
      </w:pPr>
      <w:r w:rsidRPr="00156466">
        <w:rPr>
          <w:rFonts w:ascii="Arial" w:hAnsi="Arial" w:cs="Arial"/>
        </w:rPr>
        <w:t xml:space="preserve">COBIT 2019 is an enterprise governance framework created by ISACA to ease the integration of information technology (IT) with enterprise goals and supply effective enterprise governance, risk management, and compliance </w:t>
      </w:r>
      <w:r w:rsidR="00D63AC6" w:rsidRPr="00156466">
        <w:rPr>
          <w:rFonts w:ascii="Arial" w:hAnsi="Arial" w:cs="Arial"/>
          <w:highlight w:val="yellow"/>
        </w:rPr>
        <w:t>[</w:t>
      </w:r>
      <w:r w:rsidR="00907F9D" w:rsidRPr="00156466">
        <w:rPr>
          <w:rFonts w:ascii="Arial" w:hAnsi="Arial" w:cs="Arial"/>
          <w:highlight w:val="yellow"/>
        </w:rPr>
        <w:t>8</w:t>
      </w:r>
      <w:r w:rsidR="00D63AC6" w:rsidRPr="00156466">
        <w:rPr>
          <w:rFonts w:ascii="Arial" w:hAnsi="Arial" w:cs="Arial"/>
          <w:highlight w:val="yellow"/>
        </w:rPr>
        <w:t>]</w:t>
      </w:r>
      <w:r w:rsidR="00907F9D" w:rsidRPr="00156466">
        <w:rPr>
          <w:rFonts w:ascii="Arial" w:hAnsi="Arial" w:cs="Arial"/>
        </w:rPr>
        <w:t xml:space="preserve">. </w:t>
      </w:r>
    </w:p>
    <w:p w14:paraId="50E58CB5" w14:textId="77777777" w:rsidR="00B24FA7" w:rsidRPr="00156466" w:rsidRDefault="00550A01">
      <w:pPr>
        <w:jc w:val="center"/>
        <w:rPr>
          <w:rFonts w:ascii="Arial" w:hAnsi="Arial" w:cs="Arial"/>
        </w:rPr>
      </w:pPr>
      <w:r w:rsidRPr="00156466">
        <w:rPr>
          <w:rFonts w:ascii="Arial" w:hAnsi="Arial" w:cs="Arial"/>
          <w:noProof/>
          <w:lang w:val="en-IN" w:eastAsia="en-IN" w:bidi="gu-IN"/>
        </w:rPr>
        <w:lastRenderedPageBreak/>
        <w:drawing>
          <wp:inline distT="114300" distB="114300" distL="114300" distR="114300" wp14:anchorId="77D2CE74" wp14:editId="6D47205D">
            <wp:extent cx="5943600" cy="3200400"/>
            <wp:effectExtent l="0" t="0" r="0" b="0"/>
            <wp:docPr id="2" name="image2.png"/>
            <wp:cNvGraphicFramePr/>
            <a:graphic xmlns:a="http://schemas.openxmlformats.org/drawingml/2006/main">
              <a:graphicData uri="http://schemas.openxmlformats.org/drawingml/2006/picture">
                <pic:pic xmlns:pic="http://schemas.openxmlformats.org/drawingml/2006/picture">
                  <pic:nvPicPr>
                    <pic:cNvPr id="2" name="image2.png"/>
                    <pic:cNvPicPr/>
                  </pic:nvPicPr>
                  <pic:blipFill>
                    <a:blip r:embed="rId11"/>
                    <a:stretch>
                      <a:fillRect/>
                    </a:stretch>
                  </pic:blipFill>
                  <pic:spPr>
                    <a:xfrm>
                      <a:off x="0" y="0"/>
                      <a:ext cx="5943600" cy="3200400"/>
                    </a:xfrm>
                    <a:prstGeom prst="rect">
                      <a:avLst/>
                    </a:prstGeom>
                  </pic:spPr>
                </pic:pic>
              </a:graphicData>
            </a:graphic>
          </wp:inline>
        </w:drawing>
      </w:r>
    </w:p>
    <w:p w14:paraId="1153E209" w14:textId="77777777" w:rsidR="00B24FA7" w:rsidRPr="00156466" w:rsidRDefault="00550A01">
      <w:pPr>
        <w:jc w:val="center"/>
        <w:rPr>
          <w:rFonts w:ascii="Arial" w:hAnsi="Arial" w:cs="Arial"/>
          <w:b/>
          <w:bCs/>
        </w:rPr>
      </w:pPr>
      <w:r w:rsidRPr="00156466">
        <w:rPr>
          <w:rFonts w:ascii="Arial" w:hAnsi="Arial" w:cs="Arial"/>
          <w:b/>
          <w:bCs/>
        </w:rPr>
        <w:t>Figure 3: COBIT 19 framework</w:t>
      </w:r>
    </w:p>
    <w:p w14:paraId="5A13246C" w14:textId="35503DEB" w:rsidR="00B24FA7" w:rsidRPr="00156466" w:rsidRDefault="00550A01">
      <w:pPr>
        <w:jc w:val="center"/>
        <w:rPr>
          <w:rFonts w:ascii="Arial" w:hAnsi="Arial" w:cs="Arial"/>
        </w:rPr>
      </w:pPr>
      <w:r w:rsidRPr="00156466">
        <w:rPr>
          <w:rFonts w:ascii="Arial" w:hAnsi="Arial" w:cs="Arial"/>
          <w:highlight w:val="yellow"/>
        </w:rPr>
        <w:t xml:space="preserve">Source: </w:t>
      </w:r>
      <w:r w:rsidR="001E49AB" w:rsidRPr="00156466">
        <w:rPr>
          <w:rFonts w:ascii="Arial" w:hAnsi="Arial" w:cs="Arial"/>
          <w:highlight w:val="yellow"/>
        </w:rPr>
        <w:t>[</w:t>
      </w:r>
      <w:r w:rsidR="00907F9D" w:rsidRPr="00156466">
        <w:rPr>
          <w:rFonts w:ascii="Arial" w:hAnsi="Arial" w:cs="Arial"/>
          <w:highlight w:val="yellow"/>
        </w:rPr>
        <w:t>9</w:t>
      </w:r>
      <w:r w:rsidR="001E49AB" w:rsidRPr="00156466">
        <w:rPr>
          <w:rFonts w:ascii="Arial" w:hAnsi="Arial" w:cs="Arial"/>
          <w:highlight w:val="yellow"/>
        </w:rPr>
        <w:t xml:space="preserve">] </w:t>
      </w:r>
    </w:p>
    <w:p w14:paraId="2B692312" w14:textId="77777777" w:rsidR="00B24FA7" w:rsidRPr="00156466" w:rsidRDefault="00550A01">
      <w:pPr>
        <w:rPr>
          <w:rFonts w:ascii="Arial" w:hAnsi="Arial" w:cs="Arial"/>
        </w:rPr>
      </w:pPr>
      <w:r w:rsidRPr="00156466">
        <w:rPr>
          <w:rFonts w:ascii="Arial" w:hAnsi="Arial" w:cs="Arial"/>
        </w:rPr>
        <w:t xml:space="preserve">The </w:t>
      </w:r>
      <w:r w:rsidRPr="00156466">
        <w:rPr>
          <w:rFonts w:ascii="Arial" w:hAnsi="Arial" w:cs="Arial"/>
          <w:b/>
          <w:bCs/>
        </w:rPr>
        <w:t xml:space="preserve">benefits </w:t>
      </w:r>
      <w:r w:rsidRPr="00156466">
        <w:rPr>
          <w:rFonts w:ascii="Arial" w:hAnsi="Arial" w:cs="Arial"/>
        </w:rPr>
        <w:t xml:space="preserve">of the framework are: </w:t>
      </w:r>
    </w:p>
    <w:p w14:paraId="7B73293A" w14:textId="7E1AB730" w:rsidR="00B24FA7" w:rsidRPr="00156466" w:rsidRDefault="00550A01">
      <w:pPr>
        <w:rPr>
          <w:rFonts w:ascii="Arial" w:hAnsi="Arial" w:cs="Arial"/>
        </w:rPr>
      </w:pPr>
      <w:r w:rsidRPr="00156466">
        <w:rPr>
          <w:rFonts w:ascii="Arial" w:hAnsi="Arial" w:cs="Arial"/>
        </w:rPr>
        <w:t xml:space="preserve">COBIT 2019 was one of the most interesting aspects because of its focus on making IT governance coherent with business strategy and the organisation's goals and making security initiatives coherent with those goals </w:t>
      </w:r>
      <w:r w:rsidR="001E49AB" w:rsidRPr="00156466">
        <w:rPr>
          <w:rFonts w:ascii="Arial" w:hAnsi="Arial" w:cs="Arial"/>
          <w:highlight w:val="yellow"/>
        </w:rPr>
        <w:t>[</w:t>
      </w:r>
      <w:r w:rsidR="000C12AF" w:rsidRPr="00156466">
        <w:rPr>
          <w:rFonts w:ascii="Arial" w:hAnsi="Arial" w:cs="Arial"/>
          <w:highlight w:val="yellow"/>
        </w:rPr>
        <w:t>10]</w:t>
      </w:r>
      <w:r w:rsidR="000C12AF" w:rsidRPr="00156466">
        <w:rPr>
          <w:rFonts w:ascii="Arial" w:hAnsi="Arial" w:cs="Arial"/>
        </w:rPr>
        <w:t xml:space="preserve">. </w:t>
      </w:r>
      <w:r w:rsidRPr="00156466">
        <w:rPr>
          <w:rFonts w:ascii="Arial" w:hAnsi="Arial" w:cs="Arial"/>
        </w:rPr>
        <w:t xml:space="preserve">The framework is very important for decision-making and helps in risk management, and also </w:t>
      </w:r>
      <w:r w:rsidR="00085C82" w:rsidRPr="00156466">
        <w:rPr>
          <w:rFonts w:ascii="Arial" w:hAnsi="Arial" w:cs="Arial"/>
        </w:rPr>
        <w:t xml:space="preserve">manage </w:t>
      </w:r>
      <w:r w:rsidRPr="00156466">
        <w:rPr>
          <w:rFonts w:ascii="Arial" w:hAnsi="Arial" w:cs="Arial"/>
        </w:rPr>
        <w:t xml:space="preserve">third-party suppliers, and it can easily integrate with other frameworks like NIST. </w:t>
      </w:r>
    </w:p>
    <w:p w14:paraId="0C017F0C" w14:textId="77777777" w:rsidR="00B24FA7" w:rsidRPr="00156466" w:rsidRDefault="00550A01">
      <w:pPr>
        <w:rPr>
          <w:rFonts w:ascii="Arial" w:hAnsi="Arial" w:cs="Arial"/>
        </w:rPr>
      </w:pPr>
      <w:r w:rsidRPr="00156466">
        <w:rPr>
          <w:rFonts w:ascii="Arial" w:hAnsi="Arial" w:cs="Arial"/>
        </w:rPr>
        <w:t xml:space="preserve">The </w:t>
      </w:r>
      <w:r w:rsidRPr="00156466">
        <w:rPr>
          <w:rFonts w:ascii="Arial" w:hAnsi="Arial" w:cs="Arial"/>
          <w:b/>
          <w:bCs/>
        </w:rPr>
        <w:t xml:space="preserve">drawbacks </w:t>
      </w:r>
      <w:r w:rsidRPr="00156466">
        <w:rPr>
          <w:rFonts w:ascii="Arial" w:hAnsi="Arial" w:cs="Arial"/>
        </w:rPr>
        <w:t xml:space="preserve">of the framework are: </w:t>
      </w:r>
    </w:p>
    <w:p w14:paraId="3073B545" w14:textId="26F529CC" w:rsidR="00B24FA7" w:rsidRPr="00156466" w:rsidRDefault="00D63AC6">
      <w:pPr>
        <w:rPr>
          <w:rFonts w:ascii="Arial" w:hAnsi="Arial" w:cs="Arial"/>
        </w:rPr>
      </w:pPr>
      <w:r w:rsidRPr="00156466">
        <w:rPr>
          <w:rFonts w:ascii="Arial" w:hAnsi="Arial" w:cs="Arial"/>
          <w:highlight w:val="yellow"/>
        </w:rPr>
        <w:t>[</w:t>
      </w:r>
      <w:r w:rsidR="000C12AF" w:rsidRPr="00156466">
        <w:rPr>
          <w:rFonts w:ascii="Arial" w:hAnsi="Arial" w:cs="Arial"/>
          <w:highlight w:val="yellow"/>
        </w:rPr>
        <w:t>10</w:t>
      </w:r>
      <w:r w:rsidRPr="00156466">
        <w:rPr>
          <w:rFonts w:ascii="Arial" w:hAnsi="Arial" w:cs="Arial"/>
          <w:highlight w:val="yellow"/>
        </w:rPr>
        <w:t>]</w:t>
      </w:r>
      <w:r w:rsidRPr="00156466">
        <w:rPr>
          <w:rFonts w:ascii="Arial" w:hAnsi="Arial" w:cs="Arial"/>
        </w:rPr>
        <w:t xml:space="preserve"> also said that it needs huge financial resources and timing for implementation and is quite complex. The framework concentrates on governance, not on cybersecurity implementation, and has very little guidance on technical security controls. Thus, organisations must integrate COBIT 2019 into technical frameworks like the NIST CSF 2.0 or ISO/IEC 27001 in order to adequately manage information security.</w:t>
      </w:r>
    </w:p>
    <w:p w14:paraId="61FDDD99" w14:textId="77777777" w:rsidR="00B24FA7" w:rsidRPr="00156466" w:rsidRDefault="00550A01">
      <w:pPr>
        <w:pStyle w:val="Heading2"/>
        <w:rPr>
          <w:rFonts w:ascii="Arial" w:hAnsi="Arial" w:cs="Arial"/>
          <w:b w:val="0"/>
          <w:bCs/>
          <w:sz w:val="26"/>
          <w:szCs w:val="26"/>
        </w:rPr>
      </w:pPr>
      <w:bookmarkStart w:id="11" w:name="_kr06lln9q29z" w:colFirst="0" w:colLast="0"/>
      <w:bookmarkStart w:id="12" w:name="_Toc234840303"/>
      <w:bookmarkEnd w:id="11"/>
      <w:r w:rsidRPr="00156466">
        <w:rPr>
          <w:rFonts w:ascii="Arial" w:hAnsi="Arial" w:cs="Arial"/>
          <w:bCs/>
          <w:sz w:val="26"/>
          <w:szCs w:val="26"/>
        </w:rPr>
        <w:lastRenderedPageBreak/>
        <w:t>3.4 ITIL 4 Security Management</w:t>
      </w:r>
      <w:bookmarkEnd w:id="12"/>
    </w:p>
    <w:p w14:paraId="632B2600" w14:textId="5507A57B" w:rsidR="00B24FA7" w:rsidRPr="00156466" w:rsidRDefault="00550A01">
      <w:pPr>
        <w:rPr>
          <w:rFonts w:ascii="Arial" w:hAnsi="Arial" w:cs="Arial"/>
        </w:rPr>
      </w:pPr>
      <w:r w:rsidRPr="00156466">
        <w:rPr>
          <w:rFonts w:ascii="Arial" w:hAnsi="Arial" w:cs="Arial"/>
        </w:rPr>
        <w:t xml:space="preserve">ITIL 4 Service Management is a part of the IT Infrastructure Library (ITIL) framework, which gives best practices for rendering, managing and continuously enhancing IT services. ITIL 4 does not offer a new IT security </w:t>
      </w:r>
      <w:r w:rsidR="00394554" w:rsidRPr="00156466">
        <w:rPr>
          <w:rFonts w:ascii="Arial" w:hAnsi="Arial" w:cs="Arial"/>
        </w:rPr>
        <w:t>framework but</w:t>
      </w:r>
      <w:r w:rsidRPr="00156466">
        <w:rPr>
          <w:rFonts w:ascii="Arial" w:hAnsi="Arial" w:cs="Arial"/>
        </w:rPr>
        <w:t xml:space="preserve"> rather incorporates information security into the overall IT Service Management (ITSM) process </w:t>
      </w:r>
      <w:r w:rsidR="001E49AB" w:rsidRPr="00156466">
        <w:rPr>
          <w:rFonts w:ascii="Arial" w:hAnsi="Arial" w:cs="Arial"/>
        </w:rPr>
        <w:t>[</w:t>
      </w:r>
      <w:r w:rsidR="000C12AF" w:rsidRPr="00156466">
        <w:rPr>
          <w:rFonts w:ascii="Arial" w:hAnsi="Arial" w:cs="Arial"/>
          <w:highlight w:val="yellow"/>
        </w:rPr>
        <w:t>11</w:t>
      </w:r>
      <w:r w:rsidR="001E49AB" w:rsidRPr="00156466">
        <w:rPr>
          <w:rFonts w:ascii="Arial" w:hAnsi="Arial" w:cs="Arial"/>
          <w:highlight w:val="yellow"/>
        </w:rPr>
        <w:t>]</w:t>
      </w:r>
      <w:r w:rsidR="000C12AF" w:rsidRPr="00156466">
        <w:rPr>
          <w:rFonts w:ascii="Arial" w:hAnsi="Arial" w:cs="Arial"/>
        </w:rPr>
        <w:t xml:space="preserve">. </w:t>
      </w:r>
      <w:r w:rsidRPr="00156466">
        <w:rPr>
          <w:rFonts w:ascii="Arial" w:hAnsi="Arial" w:cs="Arial"/>
        </w:rPr>
        <w:t xml:space="preserve">It focuses on shaping, providing and continuously improving secure IT services, with security factors taken into account in the following activities: service design, transition, operation, and continual improvement. </w:t>
      </w:r>
    </w:p>
    <w:p w14:paraId="095DABAA" w14:textId="77777777" w:rsidR="00B24FA7" w:rsidRPr="00156466" w:rsidRDefault="00550A01">
      <w:pPr>
        <w:rPr>
          <w:rFonts w:ascii="Arial" w:hAnsi="Arial" w:cs="Arial"/>
        </w:rPr>
      </w:pPr>
      <w:r w:rsidRPr="00156466">
        <w:rPr>
          <w:rFonts w:ascii="Arial" w:hAnsi="Arial" w:cs="Arial"/>
        </w:rPr>
        <w:t xml:space="preserve">The </w:t>
      </w:r>
      <w:r w:rsidRPr="00156466">
        <w:rPr>
          <w:rFonts w:ascii="Arial" w:hAnsi="Arial" w:cs="Arial"/>
          <w:b/>
          <w:bCs/>
        </w:rPr>
        <w:t xml:space="preserve">benefits </w:t>
      </w:r>
      <w:r w:rsidRPr="00156466">
        <w:rPr>
          <w:rFonts w:ascii="Arial" w:hAnsi="Arial" w:cs="Arial"/>
        </w:rPr>
        <w:t xml:space="preserve">of the framework are discussed below: </w:t>
      </w:r>
    </w:p>
    <w:p w14:paraId="698F4E2E" w14:textId="3998491D" w:rsidR="00B24FA7" w:rsidRPr="00156466" w:rsidRDefault="00550A01">
      <w:pPr>
        <w:rPr>
          <w:rFonts w:ascii="Arial" w:hAnsi="Arial" w:cs="Arial"/>
        </w:rPr>
      </w:pPr>
      <w:r w:rsidRPr="00156466">
        <w:rPr>
          <w:rFonts w:ascii="Arial" w:hAnsi="Arial" w:cs="Arial"/>
        </w:rPr>
        <w:t>One of the most significant aspects of ITIL 4 Security Management is its emphasis on security as an integral part of everyday IT services, making cybersecurity a</w:t>
      </w:r>
      <w:r w:rsidR="00085C82" w:rsidRPr="00156466">
        <w:rPr>
          <w:rFonts w:ascii="Arial" w:hAnsi="Arial" w:cs="Arial"/>
        </w:rPr>
        <w:t xml:space="preserve">n </w:t>
      </w:r>
      <w:r w:rsidRPr="00156466">
        <w:rPr>
          <w:rFonts w:ascii="Arial" w:hAnsi="Arial" w:cs="Arial"/>
        </w:rPr>
        <w:t xml:space="preserve">ongoing business process, not merely a technical concern. The framework improves incident and </w:t>
      </w:r>
      <w:r w:rsidR="00B07A0C" w:rsidRPr="00156466">
        <w:rPr>
          <w:rFonts w:ascii="Arial" w:hAnsi="Arial" w:cs="Arial"/>
        </w:rPr>
        <w:t>changes</w:t>
      </w:r>
      <w:r w:rsidRPr="00156466">
        <w:rPr>
          <w:rFonts w:ascii="Arial" w:hAnsi="Arial" w:cs="Arial"/>
        </w:rPr>
        <w:t xml:space="preserve"> management, service continuity and service availability and fosters ongoing improvement </w:t>
      </w:r>
      <w:r w:rsidR="00D63AC6" w:rsidRPr="00156466">
        <w:rPr>
          <w:rFonts w:ascii="Arial" w:hAnsi="Arial" w:cs="Arial"/>
          <w:highlight w:val="yellow"/>
        </w:rPr>
        <w:t>[1</w:t>
      </w:r>
      <w:r w:rsidR="000C12AF" w:rsidRPr="00156466">
        <w:rPr>
          <w:rFonts w:ascii="Arial" w:hAnsi="Arial" w:cs="Arial"/>
          <w:highlight w:val="yellow"/>
        </w:rPr>
        <w:t>2</w:t>
      </w:r>
      <w:r w:rsidR="00D63AC6" w:rsidRPr="00156466">
        <w:rPr>
          <w:rFonts w:ascii="Arial" w:hAnsi="Arial" w:cs="Arial"/>
          <w:highlight w:val="yellow"/>
        </w:rPr>
        <w:t>]</w:t>
      </w:r>
      <w:r w:rsidR="000C12AF" w:rsidRPr="00156466">
        <w:rPr>
          <w:rFonts w:ascii="Arial" w:hAnsi="Arial" w:cs="Arial"/>
        </w:rPr>
        <w:t xml:space="preserve">. </w:t>
      </w:r>
      <w:r w:rsidRPr="00156466">
        <w:rPr>
          <w:rFonts w:ascii="Arial" w:hAnsi="Arial" w:cs="Arial"/>
        </w:rPr>
        <w:t>It complements governance and management models like COBIT 2019 and cybersecurity models like NIST CSF 2.0, helping organisations to provide secure, reliable and resilient IT services.</w:t>
      </w:r>
    </w:p>
    <w:p w14:paraId="39B7281B" w14:textId="77777777" w:rsidR="00B24FA7" w:rsidRPr="00156466" w:rsidRDefault="00550A01">
      <w:pPr>
        <w:rPr>
          <w:rFonts w:ascii="Arial" w:hAnsi="Arial" w:cs="Arial"/>
        </w:rPr>
      </w:pPr>
      <w:r w:rsidRPr="00156466">
        <w:rPr>
          <w:rFonts w:ascii="Arial" w:hAnsi="Arial" w:cs="Arial"/>
        </w:rPr>
        <w:t xml:space="preserve">The </w:t>
      </w:r>
      <w:r w:rsidRPr="00156466">
        <w:rPr>
          <w:rFonts w:ascii="Arial" w:hAnsi="Arial" w:cs="Arial"/>
          <w:b/>
          <w:bCs/>
        </w:rPr>
        <w:t xml:space="preserve">drawbacks </w:t>
      </w:r>
      <w:r w:rsidRPr="00156466">
        <w:rPr>
          <w:rFonts w:ascii="Arial" w:hAnsi="Arial" w:cs="Arial"/>
        </w:rPr>
        <w:t xml:space="preserve">are discussed below: </w:t>
      </w:r>
    </w:p>
    <w:p w14:paraId="428A7524" w14:textId="6F202CC0" w:rsidR="00B24FA7" w:rsidRPr="00156466" w:rsidRDefault="00550A01">
      <w:pPr>
        <w:rPr>
          <w:rFonts w:ascii="Arial" w:hAnsi="Arial" w:cs="Arial"/>
        </w:rPr>
      </w:pPr>
      <w:r w:rsidRPr="00156466">
        <w:rPr>
          <w:rFonts w:ascii="Arial" w:hAnsi="Arial" w:cs="Arial"/>
        </w:rPr>
        <w:t xml:space="preserve">Even though it has its benefits, ITIL 4 doesn't give much information about the technical aspects of implementing controls and mitigating cyber risks. As </w:t>
      </w:r>
      <w:r w:rsidRPr="00156466">
        <w:rPr>
          <w:rFonts w:ascii="Arial" w:hAnsi="Arial" w:cs="Arial"/>
          <w:highlight w:val="yellow"/>
        </w:rPr>
        <w:t xml:space="preserve">per </w:t>
      </w:r>
      <w:r w:rsidR="001E49AB" w:rsidRPr="00156466">
        <w:rPr>
          <w:rFonts w:ascii="Arial" w:hAnsi="Arial" w:cs="Arial"/>
          <w:highlight w:val="yellow"/>
        </w:rPr>
        <w:t>[</w:t>
      </w:r>
      <w:r w:rsidR="000C12AF" w:rsidRPr="00156466">
        <w:rPr>
          <w:rFonts w:ascii="Arial" w:hAnsi="Arial" w:cs="Arial"/>
          <w:highlight w:val="yellow"/>
        </w:rPr>
        <w:t>11</w:t>
      </w:r>
      <w:r w:rsidR="001E49AB" w:rsidRPr="00156466">
        <w:rPr>
          <w:rFonts w:ascii="Arial" w:hAnsi="Arial" w:cs="Arial"/>
          <w:highlight w:val="yellow"/>
        </w:rPr>
        <w:t>]</w:t>
      </w:r>
      <w:r w:rsidR="000C12AF" w:rsidRPr="00156466">
        <w:rPr>
          <w:rFonts w:ascii="Arial" w:hAnsi="Arial" w:cs="Arial"/>
        </w:rPr>
        <w:t xml:space="preserve">, </w:t>
      </w:r>
      <w:r w:rsidRPr="00156466">
        <w:rPr>
          <w:rFonts w:ascii="Arial" w:hAnsi="Arial" w:cs="Arial"/>
        </w:rPr>
        <w:t>it is mostly oriented toward service management instead of information security governance, which makes it inadequate as an information security framework. Thus, along with other frameworks, like NIST CSF 2.0 and ISO/IEC 27001, organisations need to adopt ITIL 4 to ensure full cybersecurity and compliance.</w:t>
      </w:r>
    </w:p>
    <w:p w14:paraId="54BCBE0B" w14:textId="77777777" w:rsidR="00B24FA7" w:rsidRPr="00156466" w:rsidRDefault="00550A01">
      <w:pPr>
        <w:pStyle w:val="Heading2"/>
        <w:rPr>
          <w:rFonts w:ascii="Arial" w:hAnsi="Arial" w:cs="Arial"/>
        </w:rPr>
      </w:pPr>
      <w:bookmarkStart w:id="13" w:name="_ehcx64k2bno" w:colFirst="0" w:colLast="0"/>
      <w:bookmarkStart w:id="14" w:name="_Toc234840304"/>
      <w:bookmarkEnd w:id="13"/>
      <w:r w:rsidRPr="00156466">
        <w:rPr>
          <w:rFonts w:ascii="Arial" w:hAnsi="Arial" w:cs="Arial"/>
          <w:bCs/>
          <w:sz w:val="26"/>
          <w:szCs w:val="26"/>
        </w:rPr>
        <w:t>3.5 Critical comparison</w:t>
      </w:r>
      <w:bookmarkEnd w:id="14"/>
      <w:r w:rsidRPr="00156466">
        <w:rPr>
          <w:rFonts w:ascii="Arial" w:hAnsi="Arial" w:cs="Arial"/>
          <w:bCs/>
          <w:sz w:val="26"/>
          <w:szCs w:val="26"/>
        </w:rPr>
        <w:t xml:space="preserve"> </w:t>
      </w:r>
    </w:p>
    <w:tbl>
      <w:tblPr>
        <w:tblStyle w:val="Table1"/>
        <w:tblW w:w="9771" w:type="dxa"/>
        <w:tblInd w:w="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440"/>
        <w:gridCol w:w="1965"/>
        <w:gridCol w:w="2175"/>
        <w:gridCol w:w="1860"/>
        <w:gridCol w:w="2331"/>
      </w:tblGrid>
      <w:tr w:rsidR="00B24FA7" w:rsidRPr="00156466" w14:paraId="4240F255" w14:textId="77777777" w:rsidTr="00B07A0C">
        <w:tc>
          <w:tcPr>
            <w:tcW w:w="1440" w:type="dxa"/>
            <w:tcMar>
              <w:top w:w="100" w:type="dxa"/>
              <w:left w:w="100" w:type="dxa"/>
              <w:bottom w:w="100" w:type="dxa"/>
              <w:right w:w="100" w:type="dxa"/>
            </w:tcMar>
          </w:tcPr>
          <w:p w14:paraId="67D38F46" w14:textId="77777777" w:rsidR="00B24FA7" w:rsidRPr="00156466" w:rsidRDefault="00550A01">
            <w:pPr>
              <w:widowControl w:val="0"/>
              <w:pBdr>
                <w:top w:val="nil"/>
                <w:left w:val="nil"/>
                <w:bottom w:val="nil"/>
                <w:right w:val="nil"/>
                <w:between w:val="nil"/>
              </w:pBdr>
              <w:spacing w:before="0" w:line="240" w:lineRule="auto"/>
              <w:jc w:val="center"/>
              <w:rPr>
                <w:rFonts w:ascii="Arial" w:hAnsi="Arial" w:cs="Arial"/>
                <w:b/>
                <w:bCs/>
              </w:rPr>
            </w:pPr>
            <w:r w:rsidRPr="00156466">
              <w:rPr>
                <w:rFonts w:ascii="Arial" w:hAnsi="Arial" w:cs="Arial"/>
                <w:b/>
                <w:bCs/>
              </w:rPr>
              <w:t xml:space="preserve">Criteria </w:t>
            </w:r>
          </w:p>
        </w:tc>
        <w:tc>
          <w:tcPr>
            <w:tcW w:w="1965" w:type="dxa"/>
            <w:tcMar>
              <w:top w:w="100" w:type="dxa"/>
              <w:left w:w="100" w:type="dxa"/>
              <w:bottom w:w="100" w:type="dxa"/>
              <w:right w:w="100" w:type="dxa"/>
            </w:tcMar>
          </w:tcPr>
          <w:p w14:paraId="3A2C641F" w14:textId="77777777" w:rsidR="00B24FA7" w:rsidRPr="00156466" w:rsidRDefault="00550A01">
            <w:pPr>
              <w:widowControl w:val="0"/>
              <w:pBdr>
                <w:top w:val="nil"/>
                <w:left w:val="nil"/>
                <w:bottom w:val="nil"/>
                <w:right w:val="nil"/>
                <w:between w:val="nil"/>
              </w:pBdr>
              <w:spacing w:before="0" w:line="240" w:lineRule="auto"/>
              <w:jc w:val="center"/>
              <w:rPr>
                <w:rFonts w:ascii="Arial" w:hAnsi="Arial" w:cs="Arial"/>
                <w:b/>
                <w:bCs/>
              </w:rPr>
            </w:pPr>
            <w:r w:rsidRPr="00156466">
              <w:rPr>
                <w:rFonts w:ascii="Arial" w:hAnsi="Arial" w:cs="Arial"/>
                <w:b/>
                <w:bCs/>
              </w:rPr>
              <w:t xml:space="preserve">NIST </w:t>
            </w:r>
          </w:p>
        </w:tc>
        <w:tc>
          <w:tcPr>
            <w:tcW w:w="2175" w:type="dxa"/>
            <w:tcMar>
              <w:top w:w="100" w:type="dxa"/>
              <w:left w:w="100" w:type="dxa"/>
              <w:bottom w:w="100" w:type="dxa"/>
              <w:right w:w="100" w:type="dxa"/>
            </w:tcMar>
          </w:tcPr>
          <w:p w14:paraId="5409BE1F" w14:textId="77777777" w:rsidR="00B24FA7" w:rsidRPr="00156466" w:rsidRDefault="00550A01">
            <w:pPr>
              <w:widowControl w:val="0"/>
              <w:pBdr>
                <w:top w:val="nil"/>
                <w:left w:val="nil"/>
                <w:bottom w:val="nil"/>
                <w:right w:val="nil"/>
                <w:between w:val="nil"/>
              </w:pBdr>
              <w:spacing w:before="0" w:line="240" w:lineRule="auto"/>
              <w:jc w:val="center"/>
              <w:rPr>
                <w:rFonts w:ascii="Arial" w:hAnsi="Arial" w:cs="Arial"/>
                <w:b/>
                <w:bCs/>
              </w:rPr>
            </w:pPr>
            <w:r w:rsidRPr="00156466">
              <w:rPr>
                <w:rFonts w:ascii="Arial" w:hAnsi="Arial" w:cs="Arial"/>
                <w:b/>
                <w:bCs/>
              </w:rPr>
              <w:t>ISO/IEC 27001:2022</w:t>
            </w:r>
          </w:p>
        </w:tc>
        <w:tc>
          <w:tcPr>
            <w:tcW w:w="1860" w:type="dxa"/>
            <w:tcMar>
              <w:top w:w="100" w:type="dxa"/>
              <w:left w:w="100" w:type="dxa"/>
              <w:bottom w:w="100" w:type="dxa"/>
              <w:right w:w="100" w:type="dxa"/>
            </w:tcMar>
          </w:tcPr>
          <w:p w14:paraId="14CF8255" w14:textId="77777777" w:rsidR="00B24FA7" w:rsidRPr="00156466" w:rsidRDefault="00550A01">
            <w:pPr>
              <w:widowControl w:val="0"/>
              <w:pBdr>
                <w:top w:val="nil"/>
                <w:left w:val="nil"/>
                <w:bottom w:val="nil"/>
                <w:right w:val="nil"/>
                <w:between w:val="nil"/>
              </w:pBdr>
              <w:spacing w:before="0" w:line="240" w:lineRule="auto"/>
              <w:jc w:val="center"/>
              <w:rPr>
                <w:rFonts w:ascii="Arial" w:hAnsi="Arial" w:cs="Arial"/>
                <w:b/>
                <w:bCs/>
              </w:rPr>
            </w:pPr>
            <w:r w:rsidRPr="00156466">
              <w:rPr>
                <w:rFonts w:ascii="Arial" w:hAnsi="Arial" w:cs="Arial"/>
                <w:b/>
                <w:bCs/>
              </w:rPr>
              <w:t xml:space="preserve">COBIT 2019 </w:t>
            </w:r>
          </w:p>
        </w:tc>
        <w:tc>
          <w:tcPr>
            <w:tcW w:w="2331" w:type="dxa"/>
            <w:tcMar>
              <w:top w:w="100" w:type="dxa"/>
              <w:left w:w="100" w:type="dxa"/>
              <w:bottom w:w="100" w:type="dxa"/>
              <w:right w:w="100" w:type="dxa"/>
            </w:tcMar>
          </w:tcPr>
          <w:p w14:paraId="77C7ACE6" w14:textId="77777777" w:rsidR="00B24FA7" w:rsidRPr="00156466" w:rsidRDefault="00550A01">
            <w:pPr>
              <w:widowControl w:val="0"/>
              <w:pBdr>
                <w:top w:val="nil"/>
                <w:left w:val="nil"/>
                <w:bottom w:val="nil"/>
                <w:right w:val="nil"/>
                <w:between w:val="nil"/>
              </w:pBdr>
              <w:spacing w:before="0" w:line="240" w:lineRule="auto"/>
              <w:jc w:val="center"/>
              <w:rPr>
                <w:rFonts w:ascii="Arial" w:hAnsi="Arial" w:cs="Arial"/>
                <w:b/>
                <w:bCs/>
              </w:rPr>
            </w:pPr>
            <w:r w:rsidRPr="00156466">
              <w:rPr>
                <w:rFonts w:ascii="Arial" w:hAnsi="Arial" w:cs="Arial"/>
                <w:b/>
                <w:bCs/>
              </w:rPr>
              <w:t xml:space="preserve">ITIL 4 Security Management </w:t>
            </w:r>
          </w:p>
        </w:tc>
      </w:tr>
      <w:tr w:rsidR="00B24FA7" w:rsidRPr="00156466" w14:paraId="03783343" w14:textId="77777777" w:rsidTr="00B07A0C">
        <w:tc>
          <w:tcPr>
            <w:tcW w:w="1440" w:type="dxa"/>
            <w:tcMar>
              <w:top w:w="100" w:type="dxa"/>
              <w:left w:w="100" w:type="dxa"/>
              <w:bottom w:w="100" w:type="dxa"/>
              <w:right w:w="100" w:type="dxa"/>
            </w:tcMar>
          </w:tcPr>
          <w:p w14:paraId="509D8D9B" w14:textId="77777777" w:rsidR="00B24FA7" w:rsidRPr="00156466" w:rsidRDefault="00550A01">
            <w:pPr>
              <w:widowControl w:val="0"/>
              <w:pBdr>
                <w:top w:val="nil"/>
                <w:left w:val="nil"/>
                <w:bottom w:val="nil"/>
                <w:right w:val="nil"/>
                <w:between w:val="nil"/>
              </w:pBdr>
              <w:spacing w:before="0" w:line="240" w:lineRule="auto"/>
              <w:jc w:val="left"/>
              <w:rPr>
                <w:rFonts w:ascii="Arial" w:hAnsi="Arial" w:cs="Arial"/>
              </w:rPr>
            </w:pPr>
            <w:r w:rsidRPr="00156466">
              <w:rPr>
                <w:rFonts w:ascii="Arial" w:hAnsi="Arial" w:cs="Arial"/>
              </w:rPr>
              <w:t xml:space="preserve">Main focus </w:t>
            </w:r>
          </w:p>
        </w:tc>
        <w:tc>
          <w:tcPr>
            <w:tcW w:w="1965" w:type="dxa"/>
            <w:tcMar>
              <w:top w:w="100" w:type="dxa"/>
              <w:left w:w="100" w:type="dxa"/>
              <w:bottom w:w="100" w:type="dxa"/>
              <w:right w:w="100" w:type="dxa"/>
            </w:tcMar>
          </w:tcPr>
          <w:p w14:paraId="474E4E45" w14:textId="77777777" w:rsidR="00B24FA7" w:rsidRPr="00156466" w:rsidRDefault="00550A01">
            <w:pPr>
              <w:widowControl w:val="0"/>
              <w:pBdr>
                <w:top w:val="nil"/>
                <w:left w:val="nil"/>
                <w:bottom w:val="nil"/>
                <w:right w:val="nil"/>
                <w:between w:val="nil"/>
              </w:pBdr>
              <w:spacing w:before="0" w:line="240" w:lineRule="auto"/>
              <w:jc w:val="left"/>
              <w:rPr>
                <w:rFonts w:ascii="Arial" w:hAnsi="Arial" w:cs="Arial"/>
              </w:rPr>
            </w:pPr>
            <w:r w:rsidRPr="00156466">
              <w:rPr>
                <w:rFonts w:ascii="Arial" w:hAnsi="Arial" w:cs="Arial"/>
              </w:rPr>
              <w:t xml:space="preserve">Risk </w:t>
            </w:r>
            <w:r w:rsidRPr="00156466">
              <w:rPr>
                <w:rFonts w:ascii="Arial" w:hAnsi="Arial" w:cs="Arial"/>
              </w:rPr>
              <w:lastRenderedPageBreak/>
              <w:t xml:space="preserve">management of cybersecurity. </w:t>
            </w:r>
          </w:p>
        </w:tc>
        <w:tc>
          <w:tcPr>
            <w:tcW w:w="2175" w:type="dxa"/>
            <w:tcMar>
              <w:top w:w="100" w:type="dxa"/>
              <w:left w:w="100" w:type="dxa"/>
              <w:bottom w:w="100" w:type="dxa"/>
              <w:right w:w="100" w:type="dxa"/>
            </w:tcMar>
          </w:tcPr>
          <w:p w14:paraId="221D9A8A" w14:textId="77777777" w:rsidR="00B24FA7" w:rsidRPr="00156466" w:rsidRDefault="00550A01">
            <w:pPr>
              <w:widowControl w:val="0"/>
              <w:pBdr>
                <w:top w:val="nil"/>
                <w:left w:val="nil"/>
                <w:bottom w:val="nil"/>
                <w:right w:val="nil"/>
                <w:between w:val="nil"/>
              </w:pBdr>
              <w:spacing w:before="0" w:line="240" w:lineRule="auto"/>
              <w:jc w:val="left"/>
              <w:rPr>
                <w:rFonts w:ascii="Arial" w:hAnsi="Arial" w:cs="Arial"/>
              </w:rPr>
            </w:pPr>
            <w:r w:rsidRPr="00156466">
              <w:rPr>
                <w:rFonts w:ascii="Arial" w:hAnsi="Arial" w:cs="Arial"/>
              </w:rPr>
              <w:lastRenderedPageBreak/>
              <w:t xml:space="preserve">Information </w:t>
            </w:r>
            <w:r w:rsidRPr="00156466">
              <w:rPr>
                <w:rFonts w:ascii="Arial" w:hAnsi="Arial" w:cs="Arial"/>
              </w:rPr>
              <w:lastRenderedPageBreak/>
              <w:t xml:space="preserve">security management system </w:t>
            </w:r>
          </w:p>
        </w:tc>
        <w:tc>
          <w:tcPr>
            <w:tcW w:w="1860" w:type="dxa"/>
            <w:tcMar>
              <w:top w:w="100" w:type="dxa"/>
              <w:left w:w="100" w:type="dxa"/>
              <w:bottom w:w="100" w:type="dxa"/>
              <w:right w:w="100" w:type="dxa"/>
            </w:tcMar>
          </w:tcPr>
          <w:p w14:paraId="64BE6211" w14:textId="77777777" w:rsidR="00B24FA7" w:rsidRPr="00156466" w:rsidRDefault="00550A01">
            <w:pPr>
              <w:widowControl w:val="0"/>
              <w:pBdr>
                <w:top w:val="nil"/>
                <w:left w:val="nil"/>
                <w:bottom w:val="nil"/>
                <w:right w:val="nil"/>
                <w:between w:val="nil"/>
              </w:pBdr>
              <w:spacing w:before="0" w:line="240" w:lineRule="auto"/>
              <w:jc w:val="left"/>
              <w:rPr>
                <w:rFonts w:ascii="Arial" w:hAnsi="Arial" w:cs="Arial"/>
              </w:rPr>
            </w:pPr>
            <w:r w:rsidRPr="00156466">
              <w:rPr>
                <w:rFonts w:ascii="Arial" w:hAnsi="Arial" w:cs="Arial"/>
              </w:rPr>
              <w:lastRenderedPageBreak/>
              <w:t xml:space="preserve">Governance of </w:t>
            </w:r>
            <w:r w:rsidRPr="00156466">
              <w:rPr>
                <w:rFonts w:ascii="Arial" w:hAnsi="Arial" w:cs="Arial"/>
              </w:rPr>
              <w:lastRenderedPageBreak/>
              <w:t xml:space="preserve">IT and value creation. </w:t>
            </w:r>
          </w:p>
        </w:tc>
        <w:tc>
          <w:tcPr>
            <w:tcW w:w="2331" w:type="dxa"/>
            <w:tcMar>
              <w:top w:w="100" w:type="dxa"/>
              <w:left w:w="100" w:type="dxa"/>
              <w:bottom w:w="100" w:type="dxa"/>
              <w:right w:w="100" w:type="dxa"/>
            </w:tcMar>
          </w:tcPr>
          <w:p w14:paraId="76C52061" w14:textId="77777777" w:rsidR="00B24FA7" w:rsidRPr="00156466" w:rsidRDefault="00550A01">
            <w:pPr>
              <w:widowControl w:val="0"/>
              <w:pBdr>
                <w:top w:val="nil"/>
                <w:left w:val="nil"/>
                <w:bottom w:val="nil"/>
                <w:right w:val="nil"/>
                <w:between w:val="nil"/>
              </w:pBdr>
              <w:spacing w:before="0" w:line="240" w:lineRule="auto"/>
              <w:jc w:val="left"/>
              <w:rPr>
                <w:rFonts w:ascii="Arial" w:hAnsi="Arial" w:cs="Arial"/>
              </w:rPr>
            </w:pPr>
            <w:r w:rsidRPr="00156466">
              <w:rPr>
                <w:rFonts w:ascii="Arial" w:hAnsi="Arial" w:cs="Arial"/>
              </w:rPr>
              <w:lastRenderedPageBreak/>
              <w:t xml:space="preserve">Securing IT service. </w:t>
            </w:r>
          </w:p>
        </w:tc>
      </w:tr>
      <w:tr w:rsidR="00B24FA7" w:rsidRPr="00156466" w14:paraId="445ABE54" w14:textId="77777777" w:rsidTr="00B07A0C">
        <w:tc>
          <w:tcPr>
            <w:tcW w:w="1440" w:type="dxa"/>
            <w:tcMar>
              <w:top w:w="100" w:type="dxa"/>
              <w:left w:w="100" w:type="dxa"/>
              <w:bottom w:w="100" w:type="dxa"/>
              <w:right w:w="100" w:type="dxa"/>
            </w:tcMar>
          </w:tcPr>
          <w:p w14:paraId="355334EF" w14:textId="77777777" w:rsidR="00B24FA7" w:rsidRPr="00156466" w:rsidRDefault="00550A01">
            <w:pPr>
              <w:widowControl w:val="0"/>
              <w:pBdr>
                <w:top w:val="nil"/>
                <w:left w:val="nil"/>
                <w:bottom w:val="nil"/>
                <w:right w:val="nil"/>
                <w:between w:val="nil"/>
              </w:pBdr>
              <w:spacing w:before="0" w:line="240" w:lineRule="auto"/>
              <w:jc w:val="left"/>
              <w:rPr>
                <w:rFonts w:ascii="Arial" w:hAnsi="Arial" w:cs="Arial"/>
              </w:rPr>
            </w:pPr>
            <w:r w:rsidRPr="00156466">
              <w:rPr>
                <w:rFonts w:ascii="Arial" w:hAnsi="Arial" w:cs="Arial"/>
              </w:rPr>
              <w:lastRenderedPageBreak/>
              <w:t xml:space="preserve">Strengths </w:t>
            </w:r>
          </w:p>
        </w:tc>
        <w:tc>
          <w:tcPr>
            <w:tcW w:w="1965" w:type="dxa"/>
            <w:tcMar>
              <w:top w:w="100" w:type="dxa"/>
              <w:left w:w="100" w:type="dxa"/>
              <w:bottom w:w="100" w:type="dxa"/>
              <w:right w:w="100" w:type="dxa"/>
            </w:tcMar>
          </w:tcPr>
          <w:p w14:paraId="54227304" w14:textId="77777777" w:rsidR="00B24FA7" w:rsidRPr="00156466" w:rsidRDefault="00550A01">
            <w:pPr>
              <w:widowControl w:val="0"/>
              <w:pBdr>
                <w:top w:val="nil"/>
                <w:left w:val="nil"/>
                <w:bottom w:val="nil"/>
                <w:right w:val="nil"/>
                <w:between w:val="nil"/>
              </w:pBdr>
              <w:spacing w:before="0" w:line="240" w:lineRule="auto"/>
              <w:jc w:val="left"/>
              <w:rPr>
                <w:rFonts w:ascii="Arial" w:hAnsi="Arial" w:cs="Arial"/>
              </w:rPr>
            </w:pPr>
            <w:r w:rsidRPr="00156466">
              <w:rPr>
                <w:rFonts w:ascii="Arial" w:hAnsi="Arial" w:cs="Arial"/>
              </w:rPr>
              <w:t xml:space="preserve">Flexible and six core functions. </w:t>
            </w:r>
          </w:p>
        </w:tc>
        <w:tc>
          <w:tcPr>
            <w:tcW w:w="2175" w:type="dxa"/>
            <w:tcMar>
              <w:top w:w="100" w:type="dxa"/>
              <w:left w:w="100" w:type="dxa"/>
              <w:bottom w:w="100" w:type="dxa"/>
              <w:right w:w="100" w:type="dxa"/>
            </w:tcMar>
          </w:tcPr>
          <w:p w14:paraId="48A33127" w14:textId="53C7C411" w:rsidR="00B24FA7" w:rsidRPr="00156466" w:rsidRDefault="00550A01">
            <w:pPr>
              <w:widowControl w:val="0"/>
              <w:pBdr>
                <w:top w:val="nil"/>
                <w:left w:val="nil"/>
                <w:bottom w:val="nil"/>
                <w:right w:val="nil"/>
                <w:between w:val="nil"/>
              </w:pBdr>
              <w:spacing w:before="0" w:line="240" w:lineRule="auto"/>
              <w:jc w:val="left"/>
              <w:rPr>
                <w:rFonts w:ascii="Arial" w:hAnsi="Arial" w:cs="Arial"/>
              </w:rPr>
            </w:pPr>
            <w:r w:rsidRPr="00156466">
              <w:rPr>
                <w:rFonts w:ascii="Arial" w:hAnsi="Arial" w:cs="Arial"/>
              </w:rPr>
              <w:t xml:space="preserve">Global recognition and standardisation and supporting compliance </w:t>
            </w:r>
            <w:r w:rsidR="001E49AB" w:rsidRPr="00156466">
              <w:rPr>
                <w:rFonts w:ascii="Arial" w:hAnsi="Arial" w:cs="Arial"/>
                <w:highlight w:val="yellow"/>
              </w:rPr>
              <w:t>[</w:t>
            </w:r>
            <w:r w:rsidR="000C12AF" w:rsidRPr="00156466">
              <w:rPr>
                <w:rFonts w:ascii="Arial" w:hAnsi="Arial" w:cs="Arial"/>
                <w:highlight w:val="yellow"/>
              </w:rPr>
              <w:t>13</w:t>
            </w:r>
            <w:r w:rsidR="001E49AB" w:rsidRPr="00156466">
              <w:rPr>
                <w:rFonts w:ascii="Arial" w:hAnsi="Arial" w:cs="Arial"/>
                <w:highlight w:val="yellow"/>
              </w:rPr>
              <w:t>]</w:t>
            </w:r>
            <w:r w:rsidR="000C12AF" w:rsidRPr="00156466">
              <w:rPr>
                <w:rFonts w:ascii="Arial" w:hAnsi="Arial" w:cs="Arial"/>
              </w:rPr>
              <w:t xml:space="preserve">. </w:t>
            </w:r>
          </w:p>
        </w:tc>
        <w:tc>
          <w:tcPr>
            <w:tcW w:w="1860" w:type="dxa"/>
            <w:tcMar>
              <w:top w:w="100" w:type="dxa"/>
              <w:left w:w="100" w:type="dxa"/>
              <w:bottom w:w="100" w:type="dxa"/>
              <w:right w:w="100" w:type="dxa"/>
            </w:tcMar>
          </w:tcPr>
          <w:p w14:paraId="37A170B2" w14:textId="77777777" w:rsidR="00B24FA7" w:rsidRPr="00156466" w:rsidRDefault="00550A01">
            <w:pPr>
              <w:widowControl w:val="0"/>
              <w:pBdr>
                <w:top w:val="nil"/>
                <w:left w:val="nil"/>
                <w:bottom w:val="nil"/>
                <w:right w:val="nil"/>
                <w:between w:val="nil"/>
              </w:pBdr>
              <w:spacing w:before="0" w:line="240" w:lineRule="auto"/>
              <w:jc w:val="left"/>
              <w:rPr>
                <w:rFonts w:ascii="Arial" w:hAnsi="Arial" w:cs="Arial"/>
              </w:rPr>
            </w:pPr>
            <w:r w:rsidRPr="00156466">
              <w:rPr>
                <w:rFonts w:ascii="Arial" w:hAnsi="Arial" w:cs="Arial"/>
              </w:rPr>
              <w:t xml:space="preserve">Business strategy alignment. </w:t>
            </w:r>
          </w:p>
        </w:tc>
        <w:tc>
          <w:tcPr>
            <w:tcW w:w="2331" w:type="dxa"/>
            <w:tcMar>
              <w:top w:w="100" w:type="dxa"/>
              <w:left w:w="100" w:type="dxa"/>
              <w:bottom w:w="100" w:type="dxa"/>
              <w:right w:w="100" w:type="dxa"/>
            </w:tcMar>
          </w:tcPr>
          <w:p w14:paraId="476D3A19" w14:textId="77777777" w:rsidR="00B24FA7" w:rsidRPr="00156466" w:rsidRDefault="00550A01">
            <w:pPr>
              <w:widowControl w:val="0"/>
              <w:pBdr>
                <w:top w:val="nil"/>
                <w:left w:val="nil"/>
                <w:bottom w:val="nil"/>
                <w:right w:val="nil"/>
                <w:between w:val="nil"/>
              </w:pBdr>
              <w:spacing w:before="0" w:line="240" w:lineRule="auto"/>
              <w:jc w:val="left"/>
              <w:rPr>
                <w:rFonts w:ascii="Arial" w:hAnsi="Arial" w:cs="Arial"/>
              </w:rPr>
            </w:pPr>
            <w:r w:rsidRPr="00156466">
              <w:rPr>
                <w:rFonts w:ascii="Arial" w:hAnsi="Arial" w:cs="Arial"/>
              </w:rPr>
              <w:t xml:space="preserve">Integrating the IT service lifecycle and service continuity management. </w:t>
            </w:r>
          </w:p>
        </w:tc>
      </w:tr>
      <w:tr w:rsidR="00B24FA7" w:rsidRPr="00156466" w14:paraId="6627E14B" w14:textId="77777777" w:rsidTr="00B07A0C">
        <w:tc>
          <w:tcPr>
            <w:tcW w:w="1440" w:type="dxa"/>
            <w:tcMar>
              <w:top w:w="100" w:type="dxa"/>
              <w:left w:w="100" w:type="dxa"/>
              <w:bottom w:w="100" w:type="dxa"/>
              <w:right w:w="100" w:type="dxa"/>
            </w:tcMar>
          </w:tcPr>
          <w:p w14:paraId="68446FE9" w14:textId="77777777" w:rsidR="00B24FA7" w:rsidRPr="00156466" w:rsidRDefault="00550A01">
            <w:pPr>
              <w:widowControl w:val="0"/>
              <w:pBdr>
                <w:top w:val="nil"/>
                <w:left w:val="nil"/>
                <w:bottom w:val="nil"/>
                <w:right w:val="nil"/>
                <w:between w:val="nil"/>
              </w:pBdr>
              <w:spacing w:before="0" w:line="240" w:lineRule="auto"/>
              <w:jc w:val="left"/>
              <w:rPr>
                <w:rFonts w:ascii="Arial" w:hAnsi="Arial" w:cs="Arial"/>
              </w:rPr>
            </w:pPr>
            <w:r w:rsidRPr="00156466">
              <w:rPr>
                <w:rFonts w:ascii="Arial" w:hAnsi="Arial" w:cs="Arial"/>
              </w:rPr>
              <w:t xml:space="preserve">Limitations </w:t>
            </w:r>
          </w:p>
        </w:tc>
        <w:tc>
          <w:tcPr>
            <w:tcW w:w="1965" w:type="dxa"/>
            <w:tcMar>
              <w:top w:w="100" w:type="dxa"/>
              <w:left w:w="100" w:type="dxa"/>
              <w:bottom w:w="100" w:type="dxa"/>
              <w:right w:w="100" w:type="dxa"/>
            </w:tcMar>
          </w:tcPr>
          <w:p w14:paraId="24861DDB" w14:textId="77777777" w:rsidR="00B24FA7" w:rsidRPr="00156466" w:rsidRDefault="00550A01">
            <w:pPr>
              <w:widowControl w:val="0"/>
              <w:pBdr>
                <w:top w:val="nil"/>
                <w:left w:val="nil"/>
                <w:bottom w:val="nil"/>
                <w:right w:val="nil"/>
                <w:between w:val="nil"/>
              </w:pBdr>
              <w:spacing w:before="0" w:line="240" w:lineRule="auto"/>
              <w:jc w:val="left"/>
              <w:rPr>
                <w:rFonts w:ascii="Arial" w:hAnsi="Arial" w:cs="Arial"/>
              </w:rPr>
            </w:pPr>
            <w:r w:rsidRPr="00156466">
              <w:rPr>
                <w:rFonts w:ascii="Arial" w:hAnsi="Arial" w:cs="Arial"/>
              </w:rPr>
              <w:t xml:space="preserve">Non-certifiable, not suitable for low-maturity security organisations. </w:t>
            </w:r>
          </w:p>
        </w:tc>
        <w:tc>
          <w:tcPr>
            <w:tcW w:w="2175" w:type="dxa"/>
            <w:tcMar>
              <w:top w:w="100" w:type="dxa"/>
              <w:left w:w="100" w:type="dxa"/>
              <w:bottom w:w="100" w:type="dxa"/>
              <w:right w:w="100" w:type="dxa"/>
            </w:tcMar>
          </w:tcPr>
          <w:p w14:paraId="483416BA" w14:textId="5865E387" w:rsidR="00B24FA7" w:rsidRPr="00156466" w:rsidRDefault="00550A01">
            <w:pPr>
              <w:widowControl w:val="0"/>
              <w:pBdr>
                <w:top w:val="nil"/>
                <w:left w:val="nil"/>
                <w:bottom w:val="nil"/>
                <w:right w:val="nil"/>
                <w:between w:val="nil"/>
              </w:pBdr>
              <w:spacing w:before="0" w:line="240" w:lineRule="auto"/>
              <w:jc w:val="left"/>
              <w:rPr>
                <w:rFonts w:ascii="Arial" w:hAnsi="Arial" w:cs="Arial"/>
              </w:rPr>
            </w:pPr>
            <w:r w:rsidRPr="00156466">
              <w:rPr>
                <w:rFonts w:ascii="Arial" w:hAnsi="Arial" w:cs="Arial"/>
              </w:rPr>
              <w:t xml:space="preserve">Costly and </w:t>
            </w:r>
            <w:r w:rsidR="00394554" w:rsidRPr="00156466">
              <w:rPr>
                <w:rFonts w:ascii="Arial" w:hAnsi="Arial" w:cs="Arial"/>
              </w:rPr>
              <w:t>resource intensive</w:t>
            </w:r>
            <w:r w:rsidRPr="00156466">
              <w:rPr>
                <w:rFonts w:ascii="Arial" w:hAnsi="Arial" w:cs="Arial"/>
              </w:rPr>
              <w:t xml:space="preserve">. </w:t>
            </w:r>
          </w:p>
        </w:tc>
        <w:tc>
          <w:tcPr>
            <w:tcW w:w="1860" w:type="dxa"/>
            <w:tcMar>
              <w:top w:w="100" w:type="dxa"/>
              <w:left w:w="100" w:type="dxa"/>
              <w:bottom w:w="100" w:type="dxa"/>
              <w:right w:w="100" w:type="dxa"/>
            </w:tcMar>
          </w:tcPr>
          <w:p w14:paraId="1158B1F1" w14:textId="77777777" w:rsidR="00B24FA7" w:rsidRPr="00156466" w:rsidRDefault="00550A01">
            <w:pPr>
              <w:widowControl w:val="0"/>
              <w:pBdr>
                <w:top w:val="nil"/>
                <w:left w:val="nil"/>
                <w:bottom w:val="nil"/>
                <w:right w:val="nil"/>
                <w:between w:val="nil"/>
              </w:pBdr>
              <w:spacing w:before="0" w:line="240" w:lineRule="auto"/>
              <w:jc w:val="left"/>
              <w:rPr>
                <w:rFonts w:ascii="Arial" w:hAnsi="Arial" w:cs="Arial"/>
              </w:rPr>
            </w:pPr>
            <w:r w:rsidRPr="00156466">
              <w:rPr>
                <w:rFonts w:ascii="Arial" w:hAnsi="Arial" w:cs="Arial"/>
              </w:rPr>
              <w:t xml:space="preserve">Limited operational guidance with low governance maturity. </w:t>
            </w:r>
          </w:p>
        </w:tc>
        <w:tc>
          <w:tcPr>
            <w:tcW w:w="2331" w:type="dxa"/>
            <w:tcMar>
              <w:top w:w="100" w:type="dxa"/>
              <w:left w:w="100" w:type="dxa"/>
              <w:bottom w:w="100" w:type="dxa"/>
              <w:right w:w="100" w:type="dxa"/>
            </w:tcMar>
          </w:tcPr>
          <w:p w14:paraId="12AF3243" w14:textId="77777777" w:rsidR="00B24FA7" w:rsidRPr="00156466" w:rsidRDefault="00550A01">
            <w:pPr>
              <w:widowControl w:val="0"/>
              <w:pBdr>
                <w:top w:val="nil"/>
                <w:left w:val="nil"/>
                <w:bottom w:val="nil"/>
                <w:right w:val="nil"/>
                <w:between w:val="nil"/>
              </w:pBdr>
              <w:spacing w:before="0" w:line="240" w:lineRule="auto"/>
              <w:jc w:val="left"/>
              <w:rPr>
                <w:rFonts w:ascii="Arial" w:hAnsi="Arial" w:cs="Arial"/>
              </w:rPr>
            </w:pPr>
            <w:r w:rsidRPr="00156466">
              <w:rPr>
                <w:rFonts w:ascii="Arial" w:hAnsi="Arial" w:cs="Arial"/>
              </w:rPr>
              <w:t xml:space="preserve">It has less governance control over cybersecurity management. </w:t>
            </w:r>
          </w:p>
        </w:tc>
      </w:tr>
    </w:tbl>
    <w:p w14:paraId="22FAF9DA" w14:textId="57D692C6" w:rsidR="00B24FA7" w:rsidRPr="00156466" w:rsidRDefault="00550A01" w:rsidP="00394554">
      <w:pPr>
        <w:jc w:val="center"/>
        <w:rPr>
          <w:rFonts w:ascii="Arial" w:hAnsi="Arial" w:cs="Arial"/>
          <w:b/>
          <w:bCs/>
        </w:rPr>
      </w:pPr>
      <w:r w:rsidRPr="00156466">
        <w:rPr>
          <w:rFonts w:ascii="Arial" w:hAnsi="Arial" w:cs="Arial"/>
          <w:b/>
          <w:bCs/>
        </w:rPr>
        <w:t>Table 1: Critical comparison</w:t>
      </w:r>
    </w:p>
    <w:p w14:paraId="28BF4ECA" w14:textId="77777777" w:rsidR="00C07E6A" w:rsidRPr="00156466" w:rsidRDefault="00C07E6A" w:rsidP="00C07E6A">
      <w:pPr>
        <w:pStyle w:val="Heading1"/>
        <w:rPr>
          <w:rFonts w:cs="Arial"/>
        </w:rPr>
      </w:pPr>
      <w:bookmarkStart w:id="15" w:name="_Toc234840305"/>
      <w:r w:rsidRPr="00156466">
        <w:rPr>
          <w:rFonts w:cs="Arial"/>
        </w:rPr>
        <w:t>4.0 Proposed security, governance and compliance framework for Aero Link Logistics</w:t>
      </w:r>
      <w:bookmarkEnd w:id="15"/>
    </w:p>
    <w:p w14:paraId="4E3E63C3" w14:textId="77777777" w:rsidR="00C07E6A" w:rsidRPr="00156466" w:rsidRDefault="00C07E6A" w:rsidP="00C07E6A">
      <w:pPr>
        <w:pStyle w:val="Heading2"/>
        <w:rPr>
          <w:rFonts w:ascii="Arial" w:hAnsi="Arial" w:cs="Arial"/>
        </w:rPr>
      </w:pPr>
      <w:bookmarkStart w:id="16" w:name="_Toc234840306"/>
      <w:r w:rsidRPr="00156466">
        <w:rPr>
          <w:rFonts w:ascii="Arial" w:hAnsi="Arial" w:cs="Arial"/>
        </w:rPr>
        <w:t>4.1 Proposed integrated governance model</w:t>
      </w:r>
      <w:bookmarkEnd w:id="16"/>
    </w:p>
    <w:p w14:paraId="4A861B83" w14:textId="6B636F6B" w:rsidR="00C07E6A" w:rsidRPr="00156466" w:rsidRDefault="00C07E6A" w:rsidP="00C07E6A">
      <w:pPr>
        <w:rPr>
          <w:rFonts w:ascii="Arial" w:hAnsi="Arial" w:cs="Arial"/>
        </w:rPr>
      </w:pPr>
      <w:r w:rsidRPr="00156466">
        <w:rPr>
          <w:rFonts w:ascii="Arial" w:hAnsi="Arial" w:cs="Arial"/>
        </w:rPr>
        <w:t xml:space="preserve">Based on the above evaluation COBIT 2019 security framework is suggested to Aero Link Logistics company to improve the performance over time against cyber-attacks. Integrating advanced frameworks is highly essential to the organisation to address the current vulnerabilities. COBIT 2019 developed a clear broad level system in the organisation to distribute the responsibility among the board members to tackle the IT security issue </w:t>
      </w:r>
      <w:r w:rsidR="00D63AC6" w:rsidRPr="00156466">
        <w:rPr>
          <w:rFonts w:ascii="Arial" w:hAnsi="Arial" w:cs="Arial"/>
          <w:highlight w:val="yellow"/>
        </w:rPr>
        <w:t>[</w:t>
      </w:r>
      <w:r w:rsidR="00907F9D" w:rsidRPr="00156466">
        <w:rPr>
          <w:rFonts w:ascii="Arial" w:hAnsi="Arial" w:cs="Arial"/>
          <w:highlight w:val="yellow"/>
        </w:rPr>
        <w:t>8</w:t>
      </w:r>
      <w:r w:rsidR="00D63AC6" w:rsidRPr="00156466">
        <w:rPr>
          <w:rFonts w:ascii="Arial" w:hAnsi="Arial" w:cs="Arial"/>
          <w:highlight w:val="yellow"/>
        </w:rPr>
        <w:t>]</w:t>
      </w:r>
      <w:r w:rsidR="00907F9D" w:rsidRPr="00156466">
        <w:rPr>
          <w:rFonts w:ascii="Arial" w:hAnsi="Arial" w:cs="Arial"/>
        </w:rPr>
        <w:t xml:space="preserve">. </w:t>
      </w:r>
      <w:r w:rsidRPr="00156466">
        <w:rPr>
          <w:rFonts w:ascii="Arial" w:hAnsi="Arial" w:cs="Arial"/>
        </w:rPr>
        <w:t xml:space="preserve">As per, </w:t>
      </w:r>
      <w:r w:rsidR="00D63AC6" w:rsidRPr="00156466">
        <w:rPr>
          <w:rFonts w:ascii="Arial" w:hAnsi="Arial" w:cs="Arial"/>
          <w:highlight w:val="yellow"/>
        </w:rPr>
        <w:t>[1</w:t>
      </w:r>
      <w:r w:rsidR="000C12AF" w:rsidRPr="00156466">
        <w:rPr>
          <w:rFonts w:ascii="Arial" w:hAnsi="Arial" w:cs="Arial"/>
          <w:highlight w:val="yellow"/>
        </w:rPr>
        <w:t>4</w:t>
      </w:r>
      <w:r w:rsidR="00D63AC6" w:rsidRPr="00156466">
        <w:rPr>
          <w:rFonts w:ascii="Arial" w:hAnsi="Arial" w:cs="Arial"/>
          <w:highlight w:val="yellow"/>
        </w:rPr>
        <w:t>]</w:t>
      </w:r>
      <w:r w:rsidR="000C12AF" w:rsidRPr="00156466">
        <w:rPr>
          <w:rFonts w:ascii="Arial" w:hAnsi="Arial" w:cs="Arial"/>
        </w:rPr>
        <w:t xml:space="preserve">, </w:t>
      </w:r>
      <w:r w:rsidRPr="00156466">
        <w:rPr>
          <w:rFonts w:ascii="Arial" w:hAnsi="Arial" w:cs="Arial"/>
        </w:rPr>
        <w:t>COBIT 2019 is a well-suited model in the case study organisation because it focuses on enterprise governance of IT systems. It ensures accountability, structured risk management practice and alignment with business goals, which currently lacks in Aero Link Logistics.</w:t>
      </w:r>
    </w:p>
    <w:p w14:paraId="5675A66F" w14:textId="2D9A99F0" w:rsidR="00E45CF2" w:rsidRPr="00156466" w:rsidRDefault="009501D0" w:rsidP="00C07E6A">
      <w:pPr>
        <w:rPr>
          <w:rFonts w:ascii="Arial" w:hAnsi="Arial" w:cs="Arial"/>
        </w:rPr>
      </w:pPr>
      <w:r w:rsidRPr="00701AF4">
        <w:rPr>
          <w:rFonts w:ascii="Arial" w:hAnsi="Arial" w:cs="Arial"/>
        </w:rPr>
        <w:t xml:space="preserve">The latest issue of using COBIT 2019 is </w:t>
      </w:r>
      <w:r w:rsidR="00E45CF2" w:rsidRPr="00701AF4">
        <w:rPr>
          <w:rFonts w:ascii="Arial" w:hAnsi="Arial" w:cs="Arial"/>
        </w:rPr>
        <w:t xml:space="preserve">APO012 objective </w:t>
      </w:r>
      <w:r w:rsidRPr="00701AF4">
        <w:rPr>
          <w:rFonts w:ascii="Arial" w:hAnsi="Arial" w:cs="Arial"/>
        </w:rPr>
        <w:t xml:space="preserve">consider as a </w:t>
      </w:r>
      <w:r w:rsidR="00E45CF2" w:rsidRPr="00701AF4">
        <w:rPr>
          <w:rFonts w:ascii="Arial" w:hAnsi="Arial" w:cs="Arial"/>
        </w:rPr>
        <w:t>critical option which create an integration issue to Aero link logistics. Risk may include AI based algorithm bias in data privacy of stakeholder, route optimisation, shipment tracking and trend prediction.</w:t>
      </w:r>
      <w:r w:rsidR="00E45CF2" w:rsidRPr="00156466">
        <w:rPr>
          <w:rFonts w:ascii="Arial" w:hAnsi="Arial" w:cs="Arial"/>
        </w:rPr>
        <w:t xml:space="preserve"> </w:t>
      </w:r>
    </w:p>
    <w:tbl>
      <w:tblPr>
        <w:tblStyle w:val="GridTable4-Accent2"/>
        <w:tblW w:w="9571" w:type="dxa"/>
        <w:tblLook w:val="04A0" w:firstRow="1" w:lastRow="0" w:firstColumn="1" w:lastColumn="0" w:noHBand="0" w:noVBand="1"/>
      </w:tblPr>
      <w:tblGrid>
        <w:gridCol w:w="2340"/>
        <w:gridCol w:w="2786"/>
        <w:gridCol w:w="4445"/>
      </w:tblGrid>
      <w:tr w:rsidR="00C07E6A" w:rsidRPr="00156466" w14:paraId="6BEF71B9" w14:textId="77777777" w:rsidTr="00B07A0C">
        <w:trPr>
          <w:cnfStyle w:val="100000000000" w:firstRow="1" w:lastRow="0" w:firstColumn="0" w:lastColumn="0" w:oddVBand="0" w:evenVBand="0" w:oddHBand="0" w:evenHBand="0" w:firstRowFirstColumn="0" w:firstRowLastColumn="0" w:lastRowFirstColumn="0" w:lastRowLastColumn="0"/>
          <w:trHeight w:val="348"/>
        </w:trPr>
        <w:tc>
          <w:tcPr>
            <w:cnfStyle w:val="001000000000" w:firstRow="0" w:lastRow="0" w:firstColumn="1" w:lastColumn="0" w:oddVBand="0" w:evenVBand="0" w:oddHBand="0" w:evenHBand="0" w:firstRowFirstColumn="0" w:firstRowLastColumn="0" w:lastRowFirstColumn="0" w:lastRowLastColumn="0"/>
            <w:tcW w:w="0" w:type="auto"/>
            <w:hideMark/>
          </w:tcPr>
          <w:p w14:paraId="15DA4B1B" w14:textId="77777777" w:rsidR="00C07E6A" w:rsidRPr="00156466" w:rsidRDefault="00C07E6A" w:rsidP="00D21267">
            <w:pPr>
              <w:jc w:val="center"/>
              <w:rPr>
                <w:rFonts w:ascii="Arial" w:hAnsi="Arial" w:cs="Arial"/>
              </w:rPr>
            </w:pPr>
            <w:r w:rsidRPr="00156466">
              <w:rPr>
                <w:rFonts w:ascii="Arial" w:hAnsi="Arial" w:cs="Arial"/>
              </w:rPr>
              <w:lastRenderedPageBreak/>
              <w:t>Domain</w:t>
            </w:r>
          </w:p>
        </w:tc>
        <w:tc>
          <w:tcPr>
            <w:tcW w:w="0" w:type="auto"/>
            <w:hideMark/>
          </w:tcPr>
          <w:p w14:paraId="72800E77" w14:textId="77777777" w:rsidR="00C07E6A" w:rsidRPr="00156466" w:rsidRDefault="00C07E6A" w:rsidP="00D21267">
            <w:pPr>
              <w:jc w:val="center"/>
              <w:cnfStyle w:val="100000000000" w:firstRow="1" w:lastRow="0" w:firstColumn="0" w:lastColumn="0" w:oddVBand="0" w:evenVBand="0" w:oddHBand="0" w:evenHBand="0" w:firstRowFirstColumn="0" w:firstRowLastColumn="0" w:lastRowFirstColumn="0" w:lastRowLastColumn="0"/>
              <w:rPr>
                <w:rFonts w:ascii="Arial" w:hAnsi="Arial" w:cs="Arial"/>
              </w:rPr>
            </w:pPr>
            <w:r w:rsidRPr="00156466">
              <w:rPr>
                <w:rFonts w:ascii="Arial" w:hAnsi="Arial" w:cs="Arial"/>
              </w:rPr>
              <w:t>Objective</w:t>
            </w:r>
          </w:p>
        </w:tc>
        <w:tc>
          <w:tcPr>
            <w:tcW w:w="0" w:type="auto"/>
            <w:hideMark/>
          </w:tcPr>
          <w:p w14:paraId="35B7EC42" w14:textId="77777777" w:rsidR="00C07E6A" w:rsidRPr="00156466" w:rsidRDefault="00C07E6A" w:rsidP="00D21267">
            <w:pPr>
              <w:jc w:val="center"/>
              <w:cnfStyle w:val="100000000000" w:firstRow="1" w:lastRow="0" w:firstColumn="0" w:lastColumn="0" w:oddVBand="0" w:evenVBand="0" w:oddHBand="0" w:evenHBand="0" w:firstRowFirstColumn="0" w:firstRowLastColumn="0" w:lastRowFirstColumn="0" w:lastRowLastColumn="0"/>
              <w:rPr>
                <w:rFonts w:ascii="Arial" w:hAnsi="Arial" w:cs="Arial"/>
              </w:rPr>
            </w:pPr>
            <w:r w:rsidRPr="00156466">
              <w:rPr>
                <w:rFonts w:ascii="Arial" w:hAnsi="Arial" w:cs="Arial"/>
              </w:rPr>
              <w:t xml:space="preserve">Application </w:t>
            </w:r>
          </w:p>
        </w:tc>
      </w:tr>
      <w:tr w:rsidR="00C07E6A" w:rsidRPr="00156466" w14:paraId="642BD141" w14:textId="77777777" w:rsidTr="00B07A0C">
        <w:trPr>
          <w:cnfStyle w:val="000000100000" w:firstRow="0" w:lastRow="0" w:firstColumn="0" w:lastColumn="0" w:oddVBand="0" w:evenVBand="0" w:oddHBand="1" w:evenHBand="0" w:firstRowFirstColumn="0" w:firstRowLastColumn="0" w:lastRowFirstColumn="0" w:lastRowLastColumn="0"/>
          <w:trHeight w:val="678"/>
        </w:trPr>
        <w:tc>
          <w:tcPr>
            <w:cnfStyle w:val="001000000000" w:firstRow="0" w:lastRow="0" w:firstColumn="1" w:lastColumn="0" w:oddVBand="0" w:evenVBand="0" w:oddHBand="0" w:evenHBand="0" w:firstRowFirstColumn="0" w:firstRowLastColumn="0" w:lastRowFirstColumn="0" w:lastRowLastColumn="0"/>
            <w:tcW w:w="0" w:type="auto"/>
            <w:hideMark/>
          </w:tcPr>
          <w:p w14:paraId="5BEAA690" w14:textId="77777777" w:rsidR="00C07E6A" w:rsidRPr="00156466" w:rsidRDefault="00C07E6A" w:rsidP="00D21267">
            <w:pPr>
              <w:jc w:val="center"/>
              <w:rPr>
                <w:rFonts w:ascii="Arial" w:hAnsi="Arial" w:cs="Arial"/>
              </w:rPr>
            </w:pPr>
            <w:r w:rsidRPr="00156466">
              <w:rPr>
                <w:rFonts w:ascii="Arial" w:hAnsi="Arial" w:cs="Arial"/>
              </w:rPr>
              <w:t>EDM (Evaluate, Direct, Monitor)</w:t>
            </w:r>
          </w:p>
        </w:tc>
        <w:tc>
          <w:tcPr>
            <w:tcW w:w="0" w:type="auto"/>
            <w:hideMark/>
          </w:tcPr>
          <w:p w14:paraId="5404D2EE" w14:textId="77777777" w:rsidR="00C07E6A" w:rsidRPr="00156466" w:rsidRDefault="00C07E6A" w:rsidP="00D21267">
            <w:pPr>
              <w:jc w:val="center"/>
              <w:cnfStyle w:val="000000100000" w:firstRow="0" w:lastRow="0" w:firstColumn="0" w:lastColumn="0" w:oddVBand="0" w:evenVBand="0" w:oddHBand="1" w:evenHBand="0" w:firstRowFirstColumn="0" w:firstRowLastColumn="0" w:lastRowFirstColumn="0" w:lastRowLastColumn="0"/>
              <w:rPr>
                <w:rFonts w:ascii="Arial" w:hAnsi="Arial" w:cs="Arial"/>
              </w:rPr>
            </w:pPr>
            <w:r w:rsidRPr="00156466">
              <w:rPr>
                <w:rFonts w:ascii="Arial" w:hAnsi="Arial" w:cs="Arial"/>
              </w:rPr>
              <w:t>Governance oversight</w:t>
            </w:r>
          </w:p>
        </w:tc>
        <w:tc>
          <w:tcPr>
            <w:tcW w:w="0" w:type="auto"/>
            <w:hideMark/>
          </w:tcPr>
          <w:p w14:paraId="581CCE86" w14:textId="77777777" w:rsidR="00C07E6A" w:rsidRPr="00156466" w:rsidRDefault="00C07E6A" w:rsidP="00D21267">
            <w:pPr>
              <w:jc w:val="center"/>
              <w:cnfStyle w:val="000000100000" w:firstRow="0" w:lastRow="0" w:firstColumn="0" w:lastColumn="0" w:oddVBand="0" w:evenVBand="0" w:oddHBand="1" w:evenHBand="0" w:firstRowFirstColumn="0" w:firstRowLastColumn="0" w:lastRowFirstColumn="0" w:lastRowLastColumn="0"/>
              <w:rPr>
                <w:rFonts w:ascii="Arial" w:hAnsi="Arial" w:cs="Arial"/>
              </w:rPr>
            </w:pPr>
            <w:r w:rsidRPr="00156466">
              <w:rPr>
                <w:rFonts w:ascii="Arial" w:hAnsi="Arial" w:cs="Arial"/>
              </w:rPr>
              <w:t>Board/CISO ensures compliance with vendor SLAs, GDPR and ISO 27001</w:t>
            </w:r>
          </w:p>
        </w:tc>
      </w:tr>
      <w:tr w:rsidR="00C07E6A" w:rsidRPr="00156466" w14:paraId="361054A6" w14:textId="77777777" w:rsidTr="00B07A0C">
        <w:trPr>
          <w:trHeight w:val="678"/>
        </w:trPr>
        <w:tc>
          <w:tcPr>
            <w:cnfStyle w:val="001000000000" w:firstRow="0" w:lastRow="0" w:firstColumn="1" w:lastColumn="0" w:oddVBand="0" w:evenVBand="0" w:oddHBand="0" w:evenHBand="0" w:firstRowFirstColumn="0" w:firstRowLastColumn="0" w:lastRowFirstColumn="0" w:lastRowLastColumn="0"/>
            <w:tcW w:w="0" w:type="auto"/>
            <w:hideMark/>
          </w:tcPr>
          <w:p w14:paraId="00079E02" w14:textId="77777777" w:rsidR="00C07E6A" w:rsidRPr="00156466" w:rsidRDefault="00C07E6A" w:rsidP="00D21267">
            <w:pPr>
              <w:jc w:val="center"/>
              <w:rPr>
                <w:rFonts w:ascii="Arial" w:hAnsi="Arial" w:cs="Arial"/>
              </w:rPr>
            </w:pPr>
            <w:r w:rsidRPr="00156466">
              <w:rPr>
                <w:rFonts w:ascii="Arial" w:hAnsi="Arial" w:cs="Arial"/>
              </w:rPr>
              <w:t>APO (Align, Plan, Organise)</w:t>
            </w:r>
          </w:p>
        </w:tc>
        <w:tc>
          <w:tcPr>
            <w:tcW w:w="0" w:type="auto"/>
            <w:hideMark/>
          </w:tcPr>
          <w:p w14:paraId="3F455BB6" w14:textId="77777777" w:rsidR="00C07E6A" w:rsidRPr="00156466" w:rsidRDefault="00C07E6A" w:rsidP="00D21267">
            <w:pPr>
              <w:jc w:val="center"/>
              <w:cnfStyle w:val="000000000000" w:firstRow="0" w:lastRow="0" w:firstColumn="0" w:lastColumn="0" w:oddVBand="0" w:evenVBand="0" w:oddHBand="0" w:evenHBand="0" w:firstRowFirstColumn="0" w:firstRowLastColumn="0" w:lastRowFirstColumn="0" w:lastRowLastColumn="0"/>
              <w:rPr>
                <w:rFonts w:ascii="Arial" w:hAnsi="Arial" w:cs="Arial"/>
              </w:rPr>
            </w:pPr>
            <w:r w:rsidRPr="00156466">
              <w:rPr>
                <w:rFonts w:ascii="Arial" w:hAnsi="Arial" w:cs="Arial"/>
              </w:rPr>
              <w:t>Strategy and resource planning</w:t>
            </w:r>
          </w:p>
        </w:tc>
        <w:tc>
          <w:tcPr>
            <w:tcW w:w="0" w:type="auto"/>
            <w:hideMark/>
          </w:tcPr>
          <w:p w14:paraId="62DC3CAB" w14:textId="77777777" w:rsidR="00C07E6A" w:rsidRPr="00156466" w:rsidRDefault="00C07E6A" w:rsidP="00D21267">
            <w:pPr>
              <w:jc w:val="center"/>
              <w:cnfStyle w:val="000000000000" w:firstRow="0" w:lastRow="0" w:firstColumn="0" w:lastColumn="0" w:oddVBand="0" w:evenVBand="0" w:oddHBand="0" w:evenHBand="0" w:firstRowFirstColumn="0" w:firstRowLastColumn="0" w:lastRowFirstColumn="0" w:lastRowLastColumn="0"/>
              <w:rPr>
                <w:rFonts w:ascii="Arial" w:hAnsi="Arial" w:cs="Arial"/>
              </w:rPr>
            </w:pPr>
            <w:r w:rsidRPr="00156466">
              <w:rPr>
                <w:rFonts w:ascii="Arial" w:hAnsi="Arial" w:cs="Arial"/>
              </w:rPr>
              <w:t>Define a unified security strategy and establish risk management.</w:t>
            </w:r>
          </w:p>
        </w:tc>
      </w:tr>
      <w:tr w:rsidR="00C07E6A" w:rsidRPr="00156466" w14:paraId="2CA84ADC" w14:textId="77777777" w:rsidTr="00B07A0C">
        <w:trPr>
          <w:cnfStyle w:val="000000100000" w:firstRow="0" w:lastRow="0" w:firstColumn="0" w:lastColumn="0" w:oddVBand="0" w:evenVBand="0" w:oddHBand="1" w:evenHBand="0" w:firstRowFirstColumn="0" w:firstRowLastColumn="0" w:lastRowFirstColumn="0" w:lastRowLastColumn="0"/>
          <w:trHeight w:val="1008"/>
        </w:trPr>
        <w:tc>
          <w:tcPr>
            <w:cnfStyle w:val="001000000000" w:firstRow="0" w:lastRow="0" w:firstColumn="1" w:lastColumn="0" w:oddVBand="0" w:evenVBand="0" w:oddHBand="0" w:evenHBand="0" w:firstRowFirstColumn="0" w:firstRowLastColumn="0" w:lastRowFirstColumn="0" w:lastRowLastColumn="0"/>
            <w:tcW w:w="0" w:type="auto"/>
            <w:hideMark/>
          </w:tcPr>
          <w:p w14:paraId="2B8C26B1" w14:textId="77777777" w:rsidR="00C07E6A" w:rsidRPr="00156466" w:rsidRDefault="00C07E6A" w:rsidP="00D21267">
            <w:pPr>
              <w:jc w:val="center"/>
              <w:rPr>
                <w:rFonts w:ascii="Arial" w:hAnsi="Arial" w:cs="Arial"/>
              </w:rPr>
            </w:pPr>
            <w:r w:rsidRPr="00156466">
              <w:rPr>
                <w:rFonts w:ascii="Arial" w:hAnsi="Arial" w:cs="Arial"/>
              </w:rPr>
              <w:t>BAI (Build, Acquire, Implement)</w:t>
            </w:r>
          </w:p>
        </w:tc>
        <w:tc>
          <w:tcPr>
            <w:tcW w:w="0" w:type="auto"/>
            <w:hideMark/>
          </w:tcPr>
          <w:p w14:paraId="3AB52B98" w14:textId="77777777" w:rsidR="00C07E6A" w:rsidRPr="00156466" w:rsidRDefault="00C07E6A" w:rsidP="00D21267">
            <w:pPr>
              <w:jc w:val="center"/>
              <w:cnfStyle w:val="000000100000" w:firstRow="0" w:lastRow="0" w:firstColumn="0" w:lastColumn="0" w:oddVBand="0" w:evenVBand="0" w:oddHBand="1" w:evenHBand="0" w:firstRowFirstColumn="0" w:firstRowLastColumn="0" w:lastRowFirstColumn="0" w:lastRowLastColumn="0"/>
              <w:rPr>
                <w:rFonts w:ascii="Arial" w:hAnsi="Arial" w:cs="Arial"/>
              </w:rPr>
            </w:pPr>
            <w:r w:rsidRPr="00156466">
              <w:rPr>
                <w:rFonts w:ascii="Arial" w:hAnsi="Arial" w:cs="Arial"/>
              </w:rPr>
              <w:t>Secure system implementation</w:t>
            </w:r>
          </w:p>
        </w:tc>
        <w:tc>
          <w:tcPr>
            <w:tcW w:w="0" w:type="auto"/>
            <w:hideMark/>
          </w:tcPr>
          <w:p w14:paraId="53563125" w14:textId="1A2EC0B4" w:rsidR="00C07E6A" w:rsidRPr="00156466" w:rsidRDefault="00C07E6A" w:rsidP="00D21267">
            <w:pPr>
              <w:jc w:val="center"/>
              <w:cnfStyle w:val="000000100000" w:firstRow="0" w:lastRow="0" w:firstColumn="0" w:lastColumn="0" w:oddVBand="0" w:evenVBand="0" w:oddHBand="1" w:evenHBand="0" w:firstRowFirstColumn="0" w:firstRowLastColumn="0" w:lastRowFirstColumn="0" w:lastRowLastColumn="0"/>
              <w:rPr>
                <w:rFonts w:ascii="Arial" w:hAnsi="Arial" w:cs="Arial"/>
              </w:rPr>
            </w:pPr>
            <w:proofErr w:type="spellStart"/>
            <w:r w:rsidRPr="00156466">
              <w:rPr>
                <w:rFonts w:ascii="Arial" w:hAnsi="Arial" w:cs="Arial"/>
              </w:rPr>
              <w:t>Saas</w:t>
            </w:r>
            <w:proofErr w:type="spellEnd"/>
            <w:r w:rsidRPr="00156466">
              <w:rPr>
                <w:rFonts w:ascii="Arial" w:hAnsi="Arial" w:cs="Arial"/>
              </w:rPr>
              <w:t xml:space="preserve">/IAAS integrations meet encryption, Ensure </w:t>
            </w:r>
            <w:proofErr w:type="spellStart"/>
            <w:r w:rsidRPr="00156466">
              <w:rPr>
                <w:rFonts w:ascii="Arial" w:hAnsi="Arial" w:cs="Arial"/>
              </w:rPr>
              <w:t>IoT</w:t>
            </w:r>
            <w:proofErr w:type="spellEnd"/>
            <w:r w:rsidRPr="00156466">
              <w:rPr>
                <w:rFonts w:ascii="Arial" w:hAnsi="Arial" w:cs="Arial"/>
              </w:rPr>
              <w:t xml:space="preserve"> sensors and security standards </w:t>
            </w:r>
            <w:r w:rsidR="00D63AC6" w:rsidRPr="00156466">
              <w:rPr>
                <w:rFonts w:ascii="Arial" w:hAnsi="Arial" w:cs="Arial"/>
                <w:highlight w:val="yellow"/>
              </w:rPr>
              <w:t>[1</w:t>
            </w:r>
            <w:r w:rsidR="000C12AF" w:rsidRPr="00156466">
              <w:rPr>
                <w:rFonts w:ascii="Arial" w:hAnsi="Arial" w:cs="Arial"/>
                <w:highlight w:val="yellow"/>
              </w:rPr>
              <w:t>5</w:t>
            </w:r>
            <w:r w:rsidR="00D63AC6" w:rsidRPr="00156466">
              <w:rPr>
                <w:rFonts w:ascii="Arial" w:hAnsi="Arial" w:cs="Arial"/>
                <w:highlight w:val="yellow"/>
              </w:rPr>
              <w:t>]</w:t>
            </w:r>
          </w:p>
        </w:tc>
      </w:tr>
      <w:tr w:rsidR="00C07E6A" w:rsidRPr="00156466" w14:paraId="6CF44482" w14:textId="77777777" w:rsidTr="00B07A0C">
        <w:trPr>
          <w:trHeight w:val="678"/>
        </w:trPr>
        <w:tc>
          <w:tcPr>
            <w:cnfStyle w:val="001000000000" w:firstRow="0" w:lastRow="0" w:firstColumn="1" w:lastColumn="0" w:oddVBand="0" w:evenVBand="0" w:oddHBand="0" w:evenHBand="0" w:firstRowFirstColumn="0" w:firstRowLastColumn="0" w:lastRowFirstColumn="0" w:lastRowLastColumn="0"/>
            <w:tcW w:w="0" w:type="auto"/>
            <w:hideMark/>
          </w:tcPr>
          <w:p w14:paraId="4F4C9B69" w14:textId="77777777" w:rsidR="00C07E6A" w:rsidRPr="00156466" w:rsidRDefault="00C07E6A" w:rsidP="00D21267">
            <w:pPr>
              <w:jc w:val="center"/>
              <w:rPr>
                <w:rFonts w:ascii="Arial" w:hAnsi="Arial" w:cs="Arial"/>
              </w:rPr>
            </w:pPr>
            <w:r w:rsidRPr="00156466">
              <w:rPr>
                <w:rFonts w:ascii="Arial" w:hAnsi="Arial" w:cs="Arial"/>
              </w:rPr>
              <w:t>DSS (Deliver, Service, Support)</w:t>
            </w:r>
          </w:p>
        </w:tc>
        <w:tc>
          <w:tcPr>
            <w:tcW w:w="0" w:type="auto"/>
            <w:hideMark/>
          </w:tcPr>
          <w:p w14:paraId="48F2DB8B" w14:textId="77777777" w:rsidR="00C07E6A" w:rsidRPr="00156466" w:rsidRDefault="00C07E6A" w:rsidP="00D21267">
            <w:pPr>
              <w:jc w:val="center"/>
              <w:cnfStyle w:val="000000000000" w:firstRow="0" w:lastRow="0" w:firstColumn="0" w:lastColumn="0" w:oddVBand="0" w:evenVBand="0" w:oddHBand="0" w:evenHBand="0" w:firstRowFirstColumn="0" w:firstRowLastColumn="0" w:lastRowFirstColumn="0" w:lastRowLastColumn="0"/>
              <w:rPr>
                <w:rFonts w:ascii="Arial" w:hAnsi="Arial" w:cs="Arial"/>
              </w:rPr>
            </w:pPr>
            <w:r w:rsidRPr="00156466">
              <w:rPr>
                <w:rFonts w:ascii="Arial" w:hAnsi="Arial" w:cs="Arial"/>
              </w:rPr>
              <w:t>Incident and continuity management</w:t>
            </w:r>
          </w:p>
        </w:tc>
        <w:tc>
          <w:tcPr>
            <w:tcW w:w="0" w:type="auto"/>
            <w:hideMark/>
          </w:tcPr>
          <w:p w14:paraId="27DD3984" w14:textId="24965832" w:rsidR="00C07E6A" w:rsidRPr="00156466" w:rsidRDefault="00C07E6A" w:rsidP="00D21267">
            <w:pPr>
              <w:jc w:val="center"/>
              <w:cnfStyle w:val="000000000000" w:firstRow="0" w:lastRow="0" w:firstColumn="0" w:lastColumn="0" w:oddVBand="0" w:evenVBand="0" w:oddHBand="0" w:evenHBand="0" w:firstRowFirstColumn="0" w:firstRowLastColumn="0" w:lastRowFirstColumn="0" w:lastRowLastColumn="0"/>
              <w:rPr>
                <w:rFonts w:ascii="Arial" w:hAnsi="Arial" w:cs="Arial"/>
              </w:rPr>
            </w:pPr>
            <w:r w:rsidRPr="00156466">
              <w:rPr>
                <w:rFonts w:ascii="Arial" w:hAnsi="Arial" w:cs="Arial"/>
              </w:rPr>
              <w:t xml:space="preserve">Formalise incident response and disaster recovery </w:t>
            </w:r>
            <w:r w:rsidR="001E49AB" w:rsidRPr="00156466">
              <w:rPr>
                <w:rFonts w:ascii="Arial" w:hAnsi="Arial" w:cs="Arial"/>
                <w:highlight w:val="yellow"/>
              </w:rPr>
              <w:t>[</w:t>
            </w:r>
            <w:r w:rsidR="007115ED" w:rsidRPr="00156466">
              <w:rPr>
                <w:rFonts w:ascii="Arial" w:hAnsi="Arial" w:cs="Arial"/>
                <w:highlight w:val="yellow"/>
              </w:rPr>
              <w:t>16</w:t>
            </w:r>
            <w:r w:rsidR="001E49AB" w:rsidRPr="00156466">
              <w:rPr>
                <w:rFonts w:ascii="Arial" w:hAnsi="Arial" w:cs="Arial"/>
                <w:highlight w:val="yellow"/>
              </w:rPr>
              <w:t xml:space="preserve">] </w:t>
            </w:r>
          </w:p>
        </w:tc>
      </w:tr>
      <w:tr w:rsidR="00C07E6A" w:rsidRPr="00156466" w14:paraId="34DD450C" w14:textId="77777777" w:rsidTr="00B07A0C">
        <w:trPr>
          <w:cnfStyle w:val="000000100000" w:firstRow="0" w:lastRow="0" w:firstColumn="0" w:lastColumn="0" w:oddVBand="0" w:evenVBand="0" w:oddHBand="1" w:evenHBand="0" w:firstRowFirstColumn="0" w:firstRowLastColumn="0" w:lastRowFirstColumn="0" w:lastRowLastColumn="0"/>
          <w:trHeight w:val="1008"/>
        </w:trPr>
        <w:tc>
          <w:tcPr>
            <w:cnfStyle w:val="001000000000" w:firstRow="0" w:lastRow="0" w:firstColumn="1" w:lastColumn="0" w:oddVBand="0" w:evenVBand="0" w:oddHBand="0" w:evenHBand="0" w:firstRowFirstColumn="0" w:firstRowLastColumn="0" w:lastRowFirstColumn="0" w:lastRowLastColumn="0"/>
            <w:tcW w:w="0" w:type="auto"/>
            <w:hideMark/>
          </w:tcPr>
          <w:p w14:paraId="71F51AF9" w14:textId="77777777" w:rsidR="00C07E6A" w:rsidRPr="00156466" w:rsidRDefault="00C07E6A" w:rsidP="00D21267">
            <w:pPr>
              <w:jc w:val="center"/>
              <w:rPr>
                <w:rFonts w:ascii="Arial" w:hAnsi="Arial" w:cs="Arial"/>
              </w:rPr>
            </w:pPr>
            <w:r w:rsidRPr="00156466">
              <w:rPr>
                <w:rFonts w:ascii="Arial" w:hAnsi="Arial" w:cs="Arial"/>
              </w:rPr>
              <w:t>MEA (Monitor, Evaluate, Assess)</w:t>
            </w:r>
          </w:p>
        </w:tc>
        <w:tc>
          <w:tcPr>
            <w:tcW w:w="0" w:type="auto"/>
            <w:hideMark/>
          </w:tcPr>
          <w:p w14:paraId="6318A416" w14:textId="77777777" w:rsidR="00C07E6A" w:rsidRPr="00156466" w:rsidRDefault="00C07E6A" w:rsidP="00D21267">
            <w:pPr>
              <w:jc w:val="center"/>
              <w:cnfStyle w:val="000000100000" w:firstRow="0" w:lastRow="0" w:firstColumn="0" w:lastColumn="0" w:oddVBand="0" w:evenVBand="0" w:oddHBand="1" w:evenHBand="0" w:firstRowFirstColumn="0" w:firstRowLastColumn="0" w:lastRowFirstColumn="0" w:lastRowLastColumn="0"/>
              <w:rPr>
                <w:rFonts w:ascii="Arial" w:hAnsi="Arial" w:cs="Arial"/>
              </w:rPr>
            </w:pPr>
            <w:r w:rsidRPr="00156466">
              <w:rPr>
                <w:rFonts w:ascii="Arial" w:hAnsi="Arial" w:cs="Arial"/>
              </w:rPr>
              <w:t>Compliance and performance monitoring</w:t>
            </w:r>
          </w:p>
        </w:tc>
        <w:tc>
          <w:tcPr>
            <w:tcW w:w="0" w:type="auto"/>
            <w:hideMark/>
          </w:tcPr>
          <w:p w14:paraId="435BD3E8" w14:textId="4CA0DAD5" w:rsidR="00C07E6A" w:rsidRPr="00156466" w:rsidRDefault="00C07E6A" w:rsidP="00D21267">
            <w:pPr>
              <w:jc w:val="center"/>
              <w:cnfStyle w:val="000000100000" w:firstRow="0" w:lastRow="0" w:firstColumn="0" w:lastColumn="0" w:oddVBand="0" w:evenVBand="0" w:oddHBand="1" w:evenHBand="0" w:firstRowFirstColumn="0" w:firstRowLastColumn="0" w:lastRowFirstColumn="0" w:lastRowLastColumn="0"/>
              <w:rPr>
                <w:rFonts w:ascii="Arial" w:hAnsi="Arial" w:cs="Arial"/>
              </w:rPr>
            </w:pPr>
            <w:r w:rsidRPr="00156466">
              <w:rPr>
                <w:rFonts w:ascii="Arial" w:hAnsi="Arial" w:cs="Arial"/>
              </w:rPr>
              <w:t xml:space="preserve">Continuous audits against vendor performance metrics, ISO 27001 and GDPR </w:t>
            </w:r>
            <w:r w:rsidR="001E49AB" w:rsidRPr="00156466">
              <w:rPr>
                <w:rFonts w:ascii="Arial" w:hAnsi="Arial" w:cs="Arial"/>
              </w:rPr>
              <w:t>[</w:t>
            </w:r>
            <w:r w:rsidR="001E49AB" w:rsidRPr="00156466">
              <w:rPr>
                <w:rFonts w:ascii="Arial" w:hAnsi="Arial" w:cs="Arial"/>
                <w:highlight w:val="yellow"/>
              </w:rPr>
              <w:t>1</w:t>
            </w:r>
            <w:r w:rsidR="007115ED" w:rsidRPr="00156466">
              <w:rPr>
                <w:rFonts w:ascii="Arial" w:hAnsi="Arial" w:cs="Arial"/>
                <w:highlight w:val="yellow"/>
              </w:rPr>
              <w:t>7</w:t>
            </w:r>
            <w:r w:rsidR="001E49AB" w:rsidRPr="00156466">
              <w:rPr>
                <w:rFonts w:ascii="Arial" w:hAnsi="Arial" w:cs="Arial"/>
                <w:highlight w:val="yellow"/>
              </w:rPr>
              <w:t xml:space="preserve">] </w:t>
            </w:r>
          </w:p>
        </w:tc>
      </w:tr>
    </w:tbl>
    <w:p w14:paraId="27AEA811" w14:textId="461DA4C5" w:rsidR="00C07E6A" w:rsidRPr="00156466" w:rsidRDefault="00C07E6A" w:rsidP="00C07E6A">
      <w:pPr>
        <w:jc w:val="center"/>
        <w:rPr>
          <w:rFonts w:ascii="Arial" w:hAnsi="Arial" w:cs="Arial"/>
        </w:rPr>
      </w:pPr>
      <w:r w:rsidRPr="00156466">
        <w:rPr>
          <w:rFonts w:ascii="Arial" w:hAnsi="Arial" w:cs="Arial"/>
          <w:b/>
          <w:bCs/>
        </w:rPr>
        <w:t>Table 2: Key Governance Practices and Management Objectives</w:t>
      </w:r>
    </w:p>
    <w:p w14:paraId="72724B52" w14:textId="3E63A059" w:rsidR="00C07E6A" w:rsidRPr="00156466" w:rsidRDefault="00C07E6A" w:rsidP="00C07E6A">
      <w:pPr>
        <w:rPr>
          <w:rFonts w:ascii="Arial" w:hAnsi="Arial" w:cs="Arial"/>
        </w:rPr>
      </w:pPr>
      <w:r w:rsidRPr="00156466">
        <w:rPr>
          <w:rFonts w:ascii="Arial" w:hAnsi="Arial" w:cs="Arial"/>
        </w:rPr>
        <w:t xml:space="preserve">The main benefit of integrating this framework is that it eliminates fragmented departmental approaches. It is considered a unified security framework that helps to design the business in a systematic way where access is controlled as per roles and responsibilities </w:t>
      </w:r>
      <w:r w:rsidR="00D63AC6" w:rsidRPr="00156466">
        <w:rPr>
          <w:rFonts w:ascii="Arial" w:hAnsi="Arial" w:cs="Arial"/>
          <w:highlight w:val="yellow"/>
        </w:rPr>
        <w:t>[</w:t>
      </w:r>
      <w:r w:rsidR="007115ED" w:rsidRPr="00156466">
        <w:rPr>
          <w:rFonts w:ascii="Arial" w:hAnsi="Arial" w:cs="Arial"/>
          <w:highlight w:val="yellow"/>
        </w:rPr>
        <w:t>18</w:t>
      </w:r>
      <w:r w:rsidR="00D63AC6" w:rsidRPr="00156466">
        <w:rPr>
          <w:rFonts w:ascii="Arial" w:hAnsi="Arial" w:cs="Arial"/>
          <w:highlight w:val="yellow"/>
        </w:rPr>
        <w:t>]</w:t>
      </w:r>
      <w:r w:rsidR="007115ED" w:rsidRPr="00156466">
        <w:rPr>
          <w:rFonts w:ascii="Arial" w:hAnsi="Arial" w:cs="Arial"/>
        </w:rPr>
        <w:t xml:space="preserve">. </w:t>
      </w:r>
    </w:p>
    <w:p w14:paraId="5BA788C8" w14:textId="2589B11B" w:rsidR="00E27DD7" w:rsidRPr="00156466" w:rsidRDefault="00E51C2D" w:rsidP="00E51C2D">
      <w:pPr>
        <w:jc w:val="center"/>
        <w:rPr>
          <w:rFonts w:ascii="Arial" w:hAnsi="Arial" w:cs="Arial"/>
        </w:rPr>
      </w:pPr>
      <w:r w:rsidRPr="00156466">
        <w:rPr>
          <w:rFonts w:ascii="Arial" w:hAnsi="Arial" w:cs="Arial"/>
          <w:noProof/>
          <w:lang w:val="en-IN" w:eastAsia="en-IN" w:bidi="gu-IN"/>
        </w:rPr>
        <w:lastRenderedPageBreak/>
        <w:drawing>
          <wp:inline distT="0" distB="0" distL="0" distR="0" wp14:anchorId="2E5C27C9" wp14:editId="42D19623">
            <wp:extent cx="3901440" cy="4221480"/>
            <wp:effectExtent l="0" t="0" r="3810" b="7620"/>
            <wp:docPr id="46780702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67807021" name="Picture 467807021"/>
                    <pic:cNvPicPr/>
                  </pic:nvPicPr>
                  <pic:blipFill rotWithShape="1">
                    <a:blip r:embed="rId12">
                      <a:extLst>
                        <a:ext uri="{28A0092B-C50C-407E-A947-70E740481C1C}">
                          <a14:useLocalDpi xmlns:a14="http://schemas.microsoft.com/office/drawing/2010/main" val="0"/>
                        </a:ext>
                      </a:extLst>
                    </a:blip>
                    <a:srcRect l="14306" t="10000" r="14583" b="23981"/>
                    <a:stretch>
                      <a:fillRect/>
                    </a:stretch>
                  </pic:blipFill>
                  <pic:spPr bwMode="auto">
                    <a:xfrm>
                      <a:off x="0" y="0"/>
                      <a:ext cx="3901440" cy="4221480"/>
                    </a:xfrm>
                    <a:prstGeom prst="rect">
                      <a:avLst/>
                    </a:prstGeom>
                    <a:ln>
                      <a:noFill/>
                    </a:ln>
                    <a:extLst>
                      <a:ext uri="{53640926-AAD7-44D8-BBD7-CCE9431645EC}">
                        <a14:shadowObscured xmlns:a14="http://schemas.microsoft.com/office/drawing/2010/main"/>
                      </a:ext>
                    </a:extLst>
                  </pic:spPr>
                </pic:pic>
              </a:graphicData>
            </a:graphic>
          </wp:inline>
        </w:drawing>
      </w:r>
    </w:p>
    <w:p w14:paraId="3AD6EB2D" w14:textId="37A69BAE" w:rsidR="00E51C2D" w:rsidRPr="00D660B9" w:rsidRDefault="00E51C2D" w:rsidP="00E51C2D">
      <w:pPr>
        <w:jc w:val="center"/>
        <w:rPr>
          <w:rFonts w:ascii="Arial" w:hAnsi="Arial" w:cs="Arial"/>
          <w:b/>
          <w:bCs/>
        </w:rPr>
      </w:pPr>
      <w:r w:rsidRPr="00D660B9">
        <w:rPr>
          <w:rFonts w:ascii="Arial" w:hAnsi="Arial" w:cs="Arial"/>
          <w:b/>
          <w:bCs/>
        </w:rPr>
        <w:t xml:space="preserve">Figure: Flowchart of COBIT 2019 integration </w:t>
      </w:r>
    </w:p>
    <w:p w14:paraId="0EB1E1F3" w14:textId="02860ABF" w:rsidR="00E51C2D" w:rsidRPr="00D660B9" w:rsidRDefault="00E51C2D" w:rsidP="00E51C2D">
      <w:pPr>
        <w:jc w:val="center"/>
        <w:rPr>
          <w:rFonts w:ascii="Arial" w:hAnsi="Arial" w:cs="Arial"/>
        </w:rPr>
      </w:pPr>
      <w:r w:rsidRPr="00D660B9">
        <w:rPr>
          <w:rFonts w:ascii="Arial" w:hAnsi="Arial" w:cs="Arial"/>
        </w:rPr>
        <w:t>(Source: Self-developed)</w:t>
      </w:r>
    </w:p>
    <w:p w14:paraId="00D48149" w14:textId="60C8F9F4" w:rsidR="00E51C2D" w:rsidRPr="00156466" w:rsidRDefault="00E51C2D" w:rsidP="00E51C2D">
      <w:pPr>
        <w:rPr>
          <w:rFonts w:ascii="Arial" w:hAnsi="Arial" w:cs="Arial"/>
        </w:rPr>
      </w:pPr>
      <w:r w:rsidRPr="00D660B9">
        <w:rPr>
          <w:rFonts w:ascii="Arial" w:hAnsi="Arial" w:cs="Arial"/>
        </w:rPr>
        <w:t xml:space="preserve">The above figure shows the implementation by considering the present challenges. Successful integration of this method aligns with AI, IT and business goals under on structure. It ensures digital initiative of the organisation to support logistics </w:t>
      </w:r>
      <w:proofErr w:type="spellStart"/>
      <w:r w:rsidRPr="00D660B9">
        <w:rPr>
          <w:rFonts w:ascii="Arial" w:hAnsi="Arial" w:cs="Arial"/>
        </w:rPr>
        <w:t>perfuramnce</w:t>
      </w:r>
      <w:proofErr w:type="spellEnd"/>
      <w:r w:rsidRPr="00D660B9">
        <w:rPr>
          <w:rFonts w:ascii="Arial" w:hAnsi="Arial" w:cs="Arial"/>
        </w:rPr>
        <w:t xml:space="preserve">. APO12 can </w:t>
      </w:r>
      <w:proofErr w:type="spellStart"/>
      <w:r w:rsidRPr="00D660B9">
        <w:rPr>
          <w:rFonts w:ascii="Arial" w:hAnsi="Arial" w:cs="Arial"/>
        </w:rPr>
        <w:t>identufy</w:t>
      </w:r>
      <w:proofErr w:type="spellEnd"/>
      <w:r w:rsidRPr="00D660B9">
        <w:rPr>
          <w:rFonts w:ascii="Arial" w:hAnsi="Arial" w:cs="Arial"/>
        </w:rPr>
        <w:t xml:space="preserve"> anomalies in access data centre in real time.</w:t>
      </w:r>
      <w:r w:rsidRPr="00156466">
        <w:rPr>
          <w:rFonts w:ascii="Arial" w:hAnsi="Arial" w:cs="Arial"/>
        </w:rPr>
        <w:t xml:space="preserve"> </w:t>
      </w:r>
    </w:p>
    <w:p w14:paraId="25C07D01" w14:textId="77777777" w:rsidR="00C07E6A" w:rsidRPr="00156466" w:rsidRDefault="00C07E6A" w:rsidP="00C07E6A">
      <w:pPr>
        <w:pStyle w:val="Heading2"/>
        <w:rPr>
          <w:rFonts w:ascii="Arial" w:hAnsi="Arial" w:cs="Arial"/>
        </w:rPr>
      </w:pPr>
      <w:bookmarkStart w:id="17" w:name="_Toc234840307"/>
      <w:r w:rsidRPr="00156466">
        <w:rPr>
          <w:rFonts w:ascii="Arial" w:hAnsi="Arial" w:cs="Arial"/>
        </w:rPr>
        <w:t>4.2 Governance structure and security responsibilities</w:t>
      </w:r>
      <w:bookmarkStart w:id="18" w:name="_GoBack"/>
      <w:bookmarkEnd w:id="17"/>
      <w:bookmarkEnd w:id="18"/>
    </w:p>
    <w:p w14:paraId="64885EB6" w14:textId="77777777" w:rsidR="00C07E6A" w:rsidRPr="00156466" w:rsidRDefault="00C07E6A" w:rsidP="00C07E6A">
      <w:pPr>
        <w:rPr>
          <w:rFonts w:ascii="Arial" w:hAnsi="Arial" w:cs="Arial"/>
        </w:rPr>
      </w:pPr>
      <w:r w:rsidRPr="00156466">
        <w:rPr>
          <w:rFonts w:ascii="Arial" w:hAnsi="Arial" w:cs="Arial"/>
          <w:b/>
          <w:bCs/>
          <w:u w:val="single"/>
        </w:rPr>
        <w:t>Governance structure (Board and CISO)</w:t>
      </w:r>
    </w:p>
    <w:p w14:paraId="5EA653AB" w14:textId="74226F65" w:rsidR="00C07E6A" w:rsidRPr="00156466" w:rsidRDefault="00C07E6A" w:rsidP="00C07E6A">
      <w:pPr>
        <w:rPr>
          <w:rFonts w:ascii="Arial" w:hAnsi="Arial" w:cs="Arial"/>
        </w:rPr>
      </w:pPr>
      <w:r w:rsidRPr="00156466">
        <w:rPr>
          <w:rFonts w:ascii="Arial" w:hAnsi="Arial" w:cs="Arial"/>
        </w:rPr>
        <w:t xml:space="preserve">The managing committee of the organisation can consider a functional organisational structure to redesign the governance structure. Following a functional organisational structure allocates the resources, roles and responsibilities among the employees equally to complete the task successfully </w:t>
      </w:r>
      <w:r w:rsidR="001E49AB" w:rsidRPr="00156466">
        <w:rPr>
          <w:rFonts w:ascii="Arial" w:hAnsi="Arial" w:cs="Arial"/>
          <w:highlight w:val="yellow"/>
        </w:rPr>
        <w:t>[</w:t>
      </w:r>
      <w:r w:rsidR="000C12AF" w:rsidRPr="00156466">
        <w:rPr>
          <w:rFonts w:ascii="Arial" w:hAnsi="Arial" w:cs="Arial"/>
          <w:highlight w:val="yellow"/>
        </w:rPr>
        <w:t>10</w:t>
      </w:r>
      <w:r w:rsidR="001E49AB" w:rsidRPr="00156466">
        <w:rPr>
          <w:rFonts w:ascii="Arial" w:hAnsi="Arial" w:cs="Arial"/>
          <w:highlight w:val="yellow"/>
        </w:rPr>
        <w:t>]</w:t>
      </w:r>
      <w:r w:rsidR="000C12AF" w:rsidRPr="00156466">
        <w:rPr>
          <w:rFonts w:ascii="Arial" w:hAnsi="Arial" w:cs="Arial"/>
        </w:rPr>
        <w:t xml:space="preserve">. </w:t>
      </w:r>
      <w:r w:rsidRPr="00156466">
        <w:rPr>
          <w:rFonts w:ascii="Arial" w:hAnsi="Arial" w:cs="Arial"/>
        </w:rPr>
        <w:t xml:space="preserve">The director will take the responsibility to evaluate </w:t>
      </w:r>
      <w:r w:rsidRPr="00156466">
        <w:rPr>
          <w:rFonts w:ascii="Arial" w:hAnsi="Arial" w:cs="Arial"/>
        </w:rPr>
        <w:lastRenderedPageBreak/>
        <w:t>the risk, identify the main security vulnerabilities and integrate the GDPR. Board of CISO select the vendor very strictly to avoid any bias in behaviour. Evaluation of third party SaaS/IaaS against the ISO 27018 standard ensures the compliance, quality and</w:t>
      </w:r>
      <w:r w:rsidRPr="00156466">
        <w:rPr>
          <w:rFonts w:ascii="Arial" w:hAnsi="Arial" w:cs="Arial"/>
          <w:b/>
          <w:bCs/>
        </w:rPr>
        <w:t xml:space="preserve"> </w:t>
      </w:r>
      <w:r w:rsidRPr="00156466">
        <w:rPr>
          <w:rFonts w:ascii="Arial" w:hAnsi="Arial" w:cs="Arial"/>
        </w:rPr>
        <w:t xml:space="preserve">contemporary of vendor performance as per </w:t>
      </w:r>
      <w:r w:rsidR="001E49AB" w:rsidRPr="00156466">
        <w:rPr>
          <w:rFonts w:ascii="Arial" w:hAnsi="Arial" w:cs="Arial"/>
          <w:highlight w:val="yellow"/>
        </w:rPr>
        <w:t>[</w:t>
      </w:r>
      <w:r w:rsidR="007115ED" w:rsidRPr="00156466">
        <w:rPr>
          <w:rFonts w:ascii="Arial" w:hAnsi="Arial" w:cs="Arial"/>
          <w:highlight w:val="yellow"/>
        </w:rPr>
        <w:t>19</w:t>
      </w:r>
      <w:r w:rsidR="001E49AB" w:rsidRPr="00156466">
        <w:rPr>
          <w:rFonts w:ascii="Arial" w:hAnsi="Arial" w:cs="Arial"/>
          <w:highlight w:val="yellow"/>
        </w:rPr>
        <w:t>]</w:t>
      </w:r>
      <w:r w:rsidR="007115ED" w:rsidRPr="00156466">
        <w:rPr>
          <w:rFonts w:ascii="Arial" w:hAnsi="Arial" w:cs="Arial"/>
        </w:rPr>
        <w:t xml:space="preserve">. </w:t>
      </w:r>
    </w:p>
    <w:p w14:paraId="2DE4A203" w14:textId="357A53A1" w:rsidR="00C07E6A" w:rsidRPr="00156466" w:rsidRDefault="00C07E6A" w:rsidP="00C07E6A">
      <w:pPr>
        <w:rPr>
          <w:rFonts w:ascii="Arial" w:hAnsi="Arial" w:cs="Arial"/>
          <w:b/>
          <w:bCs/>
          <w:u w:val="single"/>
        </w:rPr>
      </w:pPr>
      <w:r w:rsidRPr="00156466">
        <w:rPr>
          <w:rFonts w:ascii="Arial" w:hAnsi="Arial" w:cs="Arial"/>
          <w:b/>
          <w:bCs/>
          <w:u w:val="single"/>
        </w:rPr>
        <w:t>Management structure (IT and Operations)</w:t>
      </w:r>
    </w:p>
    <w:p w14:paraId="37280D3B" w14:textId="331F09DD" w:rsidR="00C07E6A" w:rsidRPr="00156466" w:rsidRDefault="00C07E6A" w:rsidP="00C07E6A">
      <w:pPr>
        <w:pStyle w:val="ListParagraph"/>
        <w:numPr>
          <w:ilvl w:val="0"/>
          <w:numId w:val="1"/>
        </w:numPr>
        <w:rPr>
          <w:rFonts w:ascii="Arial" w:hAnsi="Arial" w:cs="Arial"/>
        </w:rPr>
      </w:pPr>
      <w:r w:rsidRPr="00156466">
        <w:rPr>
          <w:rFonts w:ascii="Arial" w:hAnsi="Arial" w:cs="Arial"/>
          <w:b/>
          <w:bCs/>
        </w:rPr>
        <w:t>APO domain</w:t>
      </w:r>
      <w:r w:rsidRPr="00156466">
        <w:rPr>
          <w:rFonts w:ascii="Arial" w:hAnsi="Arial" w:cs="Arial"/>
        </w:rPr>
        <w:t xml:space="preserve"> – Take the responsibility to conduct risk management and plan for compliance to strengthen the security policy </w:t>
      </w:r>
      <w:r w:rsidR="001E49AB" w:rsidRPr="00156466">
        <w:rPr>
          <w:rFonts w:ascii="Arial" w:hAnsi="Arial" w:cs="Arial"/>
          <w:highlight w:val="yellow"/>
        </w:rPr>
        <w:t>[</w:t>
      </w:r>
      <w:r w:rsidR="007115ED" w:rsidRPr="00156466">
        <w:rPr>
          <w:rFonts w:ascii="Arial" w:hAnsi="Arial" w:cs="Arial"/>
          <w:highlight w:val="yellow"/>
        </w:rPr>
        <w:t>21</w:t>
      </w:r>
      <w:r w:rsidR="001E49AB" w:rsidRPr="00156466">
        <w:rPr>
          <w:rFonts w:ascii="Arial" w:hAnsi="Arial" w:cs="Arial"/>
          <w:highlight w:val="yellow"/>
        </w:rPr>
        <w:t xml:space="preserve">] </w:t>
      </w:r>
    </w:p>
    <w:p w14:paraId="1690567F" w14:textId="77777777" w:rsidR="00C07E6A" w:rsidRPr="00156466" w:rsidRDefault="00C07E6A" w:rsidP="00C07E6A">
      <w:pPr>
        <w:pStyle w:val="ListParagraph"/>
        <w:numPr>
          <w:ilvl w:val="0"/>
          <w:numId w:val="1"/>
        </w:numPr>
        <w:rPr>
          <w:rFonts w:ascii="Arial" w:hAnsi="Arial" w:cs="Arial"/>
        </w:rPr>
      </w:pPr>
      <w:r w:rsidRPr="00156466">
        <w:rPr>
          <w:rFonts w:ascii="Arial" w:hAnsi="Arial" w:cs="Arial"/>
          <w:b/>
          <w:bCs/>
        </w:rPr>
        <w:t>BAI domain –</w:t>
      </w:r>
      <w:r w:rsidRPr="00156466">
        <w:rPr>
          <w:rFonts w:ascii="Arial" w:hAnsi="Arial" w:cs="Arial"/>
        </w:rPr>
        <w:t xml:space="preserve"> Ensure the security integration policy of the organisation related to IOT sensor, AI analytics and cloud devices.</w:t>
      </w:r>
    </w:p>
    <w:p w14:paraId="3A52F33F" w14:textId="3D9ABE8C" w:rsidR="00C07E6A" w:rsidRPr="00156466" w:rsidRDefault="00C07E6A" w:rsidP="00C07E6A">
      <w:pPr>
        <w:pStyle w:val="ListParagraph"/>
        <w:numPr>
          <w:ilvl w:val="0"/>
          <w:numId w:val="1"/>
        </w:numPr>
        <w:rPr>
          <w:rFonts w:ascii="Arial" w:hAnsi="Arial" w:cs="Arial"/>
        </w:rPr>
      </w:pPr>
      <w:r w:rsidRPr="00156466">
        <w:rPr>
          <w:rFonts w:ascii="Arial" w:hAnsi="Arial" w:cs="Arial"/>
          <w:b/>
          <w:bCs/>
        </w:rPr>
        <w:t>DSS domain –</w:t>
      </w:r>
      <w:r w:rsidRPr="00156466">
        <w:rPr>
          <w:rFonts w:ascii="Arial" w:hAnsi="Arial" w:cs="Arial"/>
        </w:rPr>
        <w:t xml:space="preserve"> Develop a data recovery plan and manage incident response planning. It supports continuing business by managing external threats with quality assurance </w:t>
      </w:r>
      <w:r w:rsidR="001E49AB" w:rsidRPr="00156466">
        <w:rPr>
          <w:rFonts w:ascii="Arial" w:hAnsi="Arial" w:cs="Arial"/>
          <w:highlight w:val="yellow"/>
        </w:rPr>
        <w:t>[</w:t>
      </w:r>
      <w:r w:rsidR="007115ED" w:rsidRPr="00156466">
        <w:rPr>
          <w:rFonts w:ascii="Arial" w:hAnsi="Arial" w:cs="Arial"/>
          <w:highlight w:val="yellow"/>
        </w:rPr>
        <w:t>19</w:t>
      </w:r>
      <w:r w:rsidR="001E49AB" w:rsidRPr="00156466">
        <w:rPr>
          <w:rFonts w:ascii="Arial" w:hAnsi="Arial" w:cs="Arial"/>
          <w:highlight w:val="yellow"/>
        </w:rPr>
        <w:t>]</w:t>
      </w:r>
      <w:r w:rsidR="007115ED" w:rsidRPr="00156466">
        <w:rPr>
          <w:rFonts w:ascii="Arial" w:hAnsi="Arial" w:cs="Arial"/>
        </w:rPr>
        <w:t xml:space="preserve">. </w:t>
      </w:r>
    </w:p>
    <w:p w14:paraId="1B4A78B4" w14:textId="678537C0" w:rsidR="00C07E6A" w:rsidRPr="00156466" w:rsidRDefault="00C07E6A" w:rsidP="00C07E6A">
      <w:pPr>
        <w:pStyle w:val="ListParagraph"/>
        <w:numPr>
          <w:ilvl w:val="0"/>
          <w:numId w:val="1"/>
        </w:numPr>
        <w:rPr>
          <w:rFonts w:ascii="Arial" w:hAnsi="Arial" w:cs="Arial"/>
          <w:highlight w:val="yellow"/>
        </w:rPr>
      </w:pPr>
      <w:r w:rsidRPr="00156466">
        <w:rPr>
          <w:rFonts w:ascii="Arial" w:hAnsi="Arial" w:cs="Arial"/>
          <w:b/>
          <w:bCs/>
        </w:rPr>
        <w:t>MEA domain</w:t>
      </w:r>
      <w:r w:rsidRPr="00156466">
        <w:rPr>
          <w:rFonts w:ascii="Arial" w:hAnsi="Arial" w:cs="Arial"/>
        </w:rPr>
        <w:t xml:space="preserve"> – Conduct a compliance audit program and monitor the performance of stakeholders to identify any errors. Current performance review ensures quality to maintain brand reputation in the global market </w:t>
      </w:r>
      <w:r w:rsidR="001E49AB" w:rsidRPr="00156466">
        <w:rPr>
          <w:rFonts w:ascii="Arial" w:hAnsi="Arial" w:cs="Arial"/>
          <w:highlight w:val="yellow"/>
        </w:rPr>
        <w:t>[</w:t>
      </w:r>
      <w:r w:rsidR="000C12AF" w:rsidRPr="00156466">
        <w:rPr>
          <w:rFonts w:ascii="Arial" w:hAnsi="Arial" w:cs="Arial"/>
          <w:highlight w:val="yellow"/>
        </w:rPr>
        <w:t>10</w:t>
      </w:r>
      <w:r w:rsidR="001E49AB" w:rsidRPr="00156466">
        <w:rPr>
          <w:rFonts w:ascii="Arial" w:hAnsi="Arial" w:cs="Arial"/>
          <w:highlight w:val="yellow"/>
        </w:rPr>
        <w:t>]</w:t>
      </w:r>
      <w:r w:rsidR="000C12AF" w:rsidRPr="00156466">
        <w:rPr>
          <w:rFonts w:ascii="Arial" w:hAnsi="Arial" w:cs="Arial"/>
          <w:highlight w:val="yellow"/>
        </w:rPr>
        <w:t xml:space="preserve">. </w:t>
      </w:r>
    </w:p>
    <w:tbl>
      <w:tblPr>
        <w:tblStyle w:val="GridTable4-Accent4"/>
        <w:tblW w:w="0" w:type="auto"/>
        <w:tblLook w:val="04A0" w:firstRow="1" w:lastRow="0" w:firstColumn="1" w:lastColumn="0" w:noHBand="0" w:noVBand="1"/>
      </w:tblPr>
      <w:tblGrid>
        <w:gridCol w:w="2151"/>
        <w:gridCol w:w="5547"/>
        <w:gridCol w:w="1652"/>
      </w:tblGrid>
      <w:tr w:rsidR="00C07E6A" w:rsidRPr="00156466" w14:paraId="473E204E" w14:textId="77777777" w:rsidTr="00D21267">
        <w:trPr>
          <w:cnfStyle w:val="100000000000" w:firstRow="1" w:lastRow="0" w:firstColumn="0" w:lastColumn="0" w:oddVBand="0" w:evenVBand="0" w:oddHBand="0" w:evenHBand="0" w:firstRowFirstColumn="0" w:firstRowLastColumn="0" w:lastRowFirstColumn="0" w:lastRowLastColumn="0"/>
          <w:trHeight w:val="555"/>
        </w:trPr>
        <w:tc>
          <w:tcPr>
            <w:cnfStyle w:val="001000000000" w:firstRow="0" w:lastRow="0" w:firstColumn="1" w:lastColumn="0" w:oddVBand="0" w:evenVBand="0" w:oddHBand="0" w:evenHBand="0" w:firstRowFirstColumn="0" w:firstRowLastColumn="0" w:lastRowFirstColumn="0" w:lastRowLastColumn="0"/>
            <w:tcW w:w="0" w:type="auto"/>
            <w:hideMark/>
          </w:tcPr>
          <w:p w14:paraId="13054971" w14:textId="77777777" w:rsidR="00C07E6A" w:rsidRPr="00156466" w:rsidRDefault="00C07E6A" w:rsidP="00D21267">
            <w:pPr>
              <w:jc w:val="center"/>
              <w:rPr>
                <w:rFonts w:ascii="Arial" w:hAnsi="Arial" w:cs="Arial"/>
              </w:rPr>
            </w:pPr>
            <w:r w:rsidRPr="00156466">
              <w:rPr>
                <w:rFonts w:ascii="Arial" w:hAnsi="Arial" w:cs="Arial"/>
              </w:rPr>
              <w:t>Role</w:t>
            </w:r>
          </w:p>
        </w:tc>
        <w:tc>
          <w:tcPr>
            <w:tcW w:w="0" w:type="auto"/>
            <w:hideMark/>
          </w:tcPr>
          <w:p w14:paraId="4CDF226E" w14:textId="77777777" w:rsidR="00C07E6A" w:rsidRPr="00156466" w:rsidRDefault="00C07E6A" w:rsidP="00D21267">
            <w:pPr>
              <w:jc w:val="center"/>
              <w:cnfStyle w:val="100000000000" w:firstRow="1" w:lastRow="0" w:firstColumn="0" w:lastColumn="0" w:oddVBand="0" w:evenVBand="0" w:oddHBand="0" w:evenHBand="0" w:firstRowFirstColumn="0" w:firstRowLastColumn="0" w:lastRowFirstColumn="0" w:lastRowLastColumn="0"/>
              <w:rPr>
                <w:rFonts w:ascii="Arial" w:hAnsi="Arial" w:cs="Arial"/>
              </w:rPr>
            </w:pPr>
            <w:r w:rsidRPr="00156466">
              <w:rPr>
                <w:rFonts w:ascii="Arial" w:hAnsi="Arial" w:cs="Arial"/>
              </w:rPr>
              <w:t>Responsibility</w:t>
            </w:r>
          </w:p>
        </w:tc>
        <w:tc>
          <w:tcPr>
            <w:tcW w:w="0" w:type="auto"/>
            <w:hideMark/>
          </w:tcPr>
          <w:p w14:paraId="2738C083" w14:textId="77777777" w:rsidR="00C07E6A" w:rsidRPr="00156466" w:rsidRDefault="00C07E6A" w:rsidP="00D21267">
            <w:pPr>
              <w:jc w:val="center"/>
              <w:cnfStyle w:val="100000000000" w:firstRow="1" w:lastRow="0" w:firstColumn="0" w:lastColumn="0" w:oddVBand="0" w:evenVBand="0" w:oddHBand="0" w:evenHBand="0" w:firstRowFirstColumn="0" w:firstRowLastColumn="0" w:lastRowFirstColumn="0" w:lastRowLastColumn="0"/>
              <w:rPr>
                <w:rFonts w:ascii="Arial" w:hAnsi="Arial" w:cs="Arial"/>
              </w:rPr>
            </w:pPr>
            <w:r w:rsidRPr="00156466">
              <w:rPr>
                <w:rFonts w:ascii="Arial" w:hAnsi="Arial" w:cs="Arial"/>
              </w:rPr>
              <w:t>COBIT Domain</w:t>
            </w:r>
          </w:p>
        </w:tc>
      </w:tr>
      <w:tr w:rsidR="00C07E6A" w:rsidRPr="00156466" w14:paraId="695B89ED" w14:textId="77777777" w:rsidTr="00D21267">
        <w:trPr>
          <w:cnfStyle w:val="000000100000" w:firstRow="0" w:lastRow="0" w:firstColumn="0" w:lastColumn="0" w:oddVBand="0" w:evenVBand="0" w:oddHBand="1" w:evenHBand="0" w:firstRowFirstColumn="0" w:firstRowLastColumn="0" w:lastRowFirstColumn="0" w:lastRowLastColumn="0"/>
          <w:trHeight w:val="555"/>
        </w:trPr>
        <w:tc>
          <w:tcPr>
            <w:cnfStyle w:val="001000000000" w:firstRow="0" w:lastRow="0" w:firstColumn="1" w:lastColumn="0" w:oddVBand="0" w:evenVBand="0" w:oddHBand="0" w:evenHBand="0" w:firstRowFirstColumn="0" w:firstRowLastColumn="0" w:lastRowFirstColumn="0" w:lastRowLastColumn="0"/>
            <w:tcW w:w="0" w:type="auto"/>
            <w:hideMark/>
          </w:tcPr>
          <w:p w14:paraId="356A2B73" w14:textId="77777777" w:rsidR="00C07E6A" w:rsidRPr="00156466" w:rsidRDefault="00C07E6A" w:rsidP="00D21267">
            <w:pPr>
              <w:jc w:val="center"/>
              <w:rPr>
                <w:rFonts w:ascii="Arial" w:hAnsi="Arial" w:cs="Arial"/>
              </w:rPr>
            </w:pPr>
            <w:r w:rsidRPr="00156466">
              <w:rPr>
                <w:rFonts w:ascii="Arial" w:hAnsi="Arial" w:cs="Arial"/>
              </w:rPr>
              <w:t>Board of Directors</w:t>
            </w:r>
          </w:p>
        </w:tc>
        <w:tc>
          <w:tcPr>
            <w:tcW w:w="0" w:type="auto"/>
            <w:hideMark/>
          </w:tcPr>
          <w:p w14:paraId="4511AFD2" w14:textId="77777777" w:rsidR="00C07E6A" w:rsidRPr="00156466" w:rsidRDefault="00C07E6A" w:rsidP="00D21267">
            <w:pPr>
              <w:jc w:val="center"/>
              <w:cnfStyle w:val="000000100000" w:firstRow="0" w:lastRow="0" w:firstColumn="0" w:lastColumn="0" w:oddVBand="0" w:evenVBand="0" w:oddHBand="1" w:evenHBand="0" w:firstRowFirstColumn="0" w:firstRowLastColumn="0" w:lastRowFirstColumn="0" w:lastRowLastColumn="0"/>
              <w:rPr>
                <w:rFonts w:ascii="Arial" w:hAnsi="Arial" w:cs="Arial"/>
              </w:rPr>
            </w:pPr>
            <w:r w:rsidRPr="00156466">
              <w:rPr>
                <w:rFonts w:ascii="Arial" w:hAnsi="Arial" w:cs="Arial"/>
              </w:rPr>
              <w:t>Approve governance policies</w:t>
            </w:r>
          </w:p>
        </w:tc>
        <w:tc>
          <w:tcPr>
            <w:tcW w:w="0" w:type="auto"/>
            <w:hideMark/>
          </w:tcPr>
          <w:p w14:paraId="5292EB59" w14:textId="77777777" w:rsidR="00C07E6A" w:rsidRPr="00156466" w:rsidRDefault="00C07E6A" w:rsidP="00D21267">
            <w:pPr>
              <w:jc w:val="center"/>
              <w:cnfStyle w:val="000000100000" w:firstRow="0" w:lastRow="0" w:firstColumn="0" w:lastColumn="0" w:oddVBand="0" w:evenVBand="0" w:oddHBand="1" w:evenHBand="0" w:firstRowFirstColumn="0" w:firstRowLastColumn="0" w:lastRowFirstColumn="0" w:lastRowLastColumn="0"/>
              <w:rPr>
                <w:rFonts w:ascii="Arial" w:hAnsi="Arial" w:cs="Arial"/>
              </w:rPr>
            </w:pPr>
            <w:r w:rsidRPr="00156466">
              <w:rPr>
                <w:rFonts w:ascii="Arial" w:hAnsi="Arial" w:cs="Arial"/>
              </w:rPr>
              <w:t>EDM</w:t>
            </w:r>
          </w:p>
        </w:tc>
      </w:tr>
      <w:tr w:rsidR="00C07E6A" w:rsidRPr="00156466" w14:paraId="4636E1A9" w14:textId="77777777" w:rsidTr="00D21267">
        <w:trPr>
          <w:trHeight w:val="555"/>
        </w:trPr>
        <w:tc>
          <w:tcPr>
            <w:cnfStyle w:val="001000000000" w:firstRow="0" w:lastRow="0" w:firstColumn="1" w:lastColumn="0" w:oddVBand="0" w:evenVBand="0" w:oddHBand="0" w:evenHBand="0" w:firstRowFirstColumn="0" w:firstRowLastColumn="0" w:lastRowFirstColumn="0" w:lastRowLastColumn="0"/>
            <w:tcW w:w="0" w:type="auto"/>
            <w:hideMark/>
          </w:tcPr>
          <w:p w14:paraId="77C725B5" w14:textId="77777777" w:rsidR="00C07E6A" w:rsidRPr="00156466" w:rsidRDefault="00C07E6A" w:rsidP="00D21267">
            <w:pPr>
              <w:jc w:val="center"/>
              <w:rPr>
                <w:rFonts w:ascii="Arial" w:hAnsi="Arial" w:cs="Arial"/>
              </w:rPr>
            </w:pPr>
            <w:r w:rsidRPr="00156466">
              <w:rPr>
                <w:rFonts w:ascii="Arial" w:hAnsi="Arial" w:cs="Arial"/>
              </w:rPr>
              <w:t>CISO</w:t>
            </w:r>
          </w:p>
        </w:tc>
        <w:tc>
          <w:tcPr>
            <w:tcW w:w="0" w:type="auto"/>
            <w:hideMark/>
          </w:tcPr>
          <w:p w14:paraId="2DFE7E13" w14:textId="77777777" w:rsidR="00C07E6A" w:rsidRPr="00156466" w:rsidRDefault="00C07E6A" w:rsidP="00D21267">
            <w:pPr>
              <w:jc w:val="center"/>
              <w:cnfStyle w:val="000000000000" w:firstRow="0" w:lastRow="0" w:firstColumn="0" w:lastColumn="0" w:oddVBand="0" w:evenVBand="0" w:oddHBand="0" w:evenHBand="0" w:firstRowFirstColumn="0" w:firstRowLastColumn="0" w:lastRowFirstColumn="0" w:lastRowLastColumn="0"/>
              <w:rPr>
                <w:rFonts w:ascii="Arial" w:hAnsi="Arial" w:cs="Arial"/>
              </w:rPr>
            </w:pPr>
            <w:r w:rsidRPr="00156466">
              <w:rPr>
                <w:rFonts w:ascii="Arial" w:hAnsi="Arial" w:cs="Arial"/>
              </w:rPr>
              <w:t>Enterprise-wide security strategy and vendor accountability</w:t>
            </w:r>
          </w:p>
        </w:tc>
        <w:tc>
          <w:tcPr>
            <w:tcW w:w="0" w:type="auto"/>
            <w:hideMark/>
          </w:tcPr>
          <w:p w14:paraId="17377958" w14:textId="77777777" w:rsidR="00C07E6A" w:rsidRPr="00156466" w:rsidRDefault="00C07E6A" w:rsidP="00D21267">
            <w:pPr>
              <w:jc w:val="center"/>
              <w:cnfStyle w:val="000000000000" w:firstRow="0" w:lastRow="0" w:firstColumn="0" w:lastColumn="0" w:oddVBand="0" w:evenVBand="0" w:oddHBand="0" w:evenHBand="0" w:firstRowFirstColumn="0" w:firstRowLastColumn="0" w:lastRowFirstColumn="0" w:lastRowLastColumn="0"/>
              <w:rPr>
                <w:rFonts w:ascii="Arial" w:hAnsi="Arial" w:cs="Arial"/>
              </w:rPr>
            </w:pPr>
            <w:r w:rsidRPr="00156466">
              <w:rPr>
                <w:rFonts w:ascii="Arial" w:hAnsi="Arial" w:cs="Arial"/>
              </w:rPr>
              <w:t>EDM / APO</w:t>
            </w:r>
          </w:p>
        </w:tc>
      </w:tr>
      <w:tr w:rsidR="00C07E6A" w:rsidRPr="00156466" w14:paraId="2AB85C28" w14:textId="77777777" w:rsidTr="00D21267">
        <w:trPr>
          <w:cnfStyle w:val="000000100000" w:firstRow="0" w:lastRow="0" w:firstColumn="0" w:lastColumn="0" w:oddVBand="0" w:evenVBand="0" w:oddHBand="1" w:evenHBand="0" w:firstRowFirstColumn="0" w:firstRowLastColumn="0" w:lastRowFirstColumn="0" w:lastRowLastColumn="0"/>
          <w:trHeight w:val="555"/>
        </w:trPr>
        <w:tc>
          <w:tcPr>
            <w:cnfStyle w:val="001000000000" w:firstRow="0" w:lastRow="0" w:firstColumn="1" w:lastColumn="0" w:oddVBand="0" w:evenVBand="0" w:oddHBand="0" w:evenHBand="0" w:firstRowFirstColumn="0" w:firstRowLastColumn="0" w:lastRowFirstColumn="0" w:lastRowLastColumn="0"/>
            <w:tcW w:w="0" w:type="auto"/>
            <w:hideMark/>
          </w:tcPr>
          <w:p w14:paraId="427BEF2E" w14:textId="77777777" w:rsidR="00C07E6A" w:rsidRPr="00156466" w:rsidRDefault="00C07E6A" w:rsidP="00D21267">
            <w:pPr>
              <w:jc w:val="center"/>
              <w:rPr>
                <w:rFonts w:ascii="Arial" w:hAnsi="Arial" w:cs="Arial"/>
              </w:rPr>
            </w:pPr>
            <w:r w:rsidRPr="00156466">
              <w:rPr>
                <w:rFonts w:ascii="Arial" w:hAnsi="Arial" w:cs="Arial"/>
              </w:rPr>
              <w:t>IT Security Team</w:t>
            </w:r>
          </w:p>
        </w:tc>
        <w:tc>
          <w:tcPr>
            <w:tcW w:w="0" w:type="auto"/>
            <w:hideMark/>
          </w:tcPr>
          <w:p w14:paraId="279388EF" w14:textId="77777777" w:rsidR="00C07E6A" w:rsidRPr="00156466" w:rsidRDefault="00C07E6A" w:rsidP="00D21267">
            <w:pPr>
              <w:jc w:val="center"/>
              <w:cnfStyle w:val="000000100000" w:firstRow="0" w:lastRow="0" w:firstColumn="0" w:lastColumn="0" w:oddVBand="0" w:evenVBand="0" w:oddHBand="1" w:evenHBand="0" w:firstRowFirstColumn="0" w:firstRowLastColumn="0" w:lastRowFirstColumn="0" w:lastRowLastColumn="0"/>
              <w:rPr>
                <w:rFonts w:ascii="Arial" w:hAnsi="Arial" w:cs="Arial"/>
              </w:rPr>
            </w:pPr>
            <w:r w:rsidRPr="00156466">
              <w:rPr>
                <w:rFonts w:ascii="Arial" w:hAnsi="Arial" w:cs="Arial"/>
              </w:rPr>
              <w:t>Implement an encryption and endpoint security system</w:t>
            </w:r>
          </w:p>
        </w:tc>
        <w:tc>
          <w:tcPr>
            <w:tcW w:w="0" w:type="auto"/>
            <w:hideMark/>
          </w:tcPr>
          <w:p w14:paraId="61F90EC4" w14:textId="77777777" w:rsidR="00C07E6A" w:rsidRPr="00156466" w:rsidRDefault="00C07E6A" w:rsidP="00D21267">
            <w:pPr>
              <w:jc w:val="center"/>
              <w:cnfStyle w:val="000000100000" w:firstRow="0" w:lastRow="0" w:firstColumn="0" w:lastColumn="0" w:oddVBand="0" w:evenVBand="0" w:oddHBand="1" w:evenHBand="0" w:firstRowFirstColumn="0" w:firstRowLastColumn="0" w:lastRowFirstColumn="0" w:lastRowLastColumn="0"/>
              <w:rPr>
                <w:rFonts w:ascii="Arial" w:hAnsi="Arial" w:cs="Arial"/>
              </w:rPr>
            </w:pPr>
            <w:r w:rsidRPr="00156466">
              <w:rPr>
                <w:rFonts w:ascii="Arial" w:hAnsi="Arial" w:cs="Arial"/>
              </w:rPr>
              <w:t>BAI / DSS</w:t>
            </w:r>
          </w:p>
        </w:tc>
      </w:tr>
      <w:tr w:rsidR="00C07E6A" w:rsidRPr="00156466" w14:paraId="1F6D7D41" w14:textId="77777777" w:rsidTr="00D21267">
        <w:trPr>
          <w:trHeight w:val="555"/>
        </w:trPr>
        <w:tc>
          <w:tcPr>
            <w:cnfStyle w:val="001000000000" w:firstRow="0" w:lastRow="0" w:firstColumn="1" w:lastColumn="0" w:oddVBand="0" w:evenVBand="0" w:oddHBand="0" w:evenHBand="0" w:firstRowFirstColumn="0" w:firstRowLastColumn="0" w:lastRowFirstColumn="0" w:lastRowLastColumn="0"/>
            <w:tcW w:w="0" w:type="auto"/>
            <w:hideMark/>
          </w:tcPr>
          <w:p w14:paraId="7DB43408" w14:textId="77777777" w:rsidR="00C07E6A" w:rsidRPr="00156466" w:rsidRDefault="00C07E6A" w:rsidP="00D21267">
            <w:pPr>
              <w:jc w:val="center"/>
              <w:rPr>
                <w:rFonts w:ascii="Arial" w:hAnsi="Arial" w:cs="Arial"/>
              </w:rPr>
            </w:pPr>
            <w:r w:rsidRPr="00156466">
              <w:rPr>
                <w:rFonts w:ascii="Arial" w:hAnsi="Arial" w:cs="Arial"/>
              </w:rPr>
              <w:t>Compliance Officer</w:t>
            </w:r>
          </w:p>
        </w:tc>
        <w:tc>
          <w:tcPr>
            <w:tcW w:w="0" w:type="auto"/>
            <w:hideMark/>
          </w:tcPr>
          <w:p w14:paraId="053D1E61" w14:textId="4911562B" w:rsidR="00C07E6A" w:rsidRPr="00156466" w:rsidRDefault="00C07E6A" w:rsidP="00D21267">
            <w:pPr>
              <w:jc w:val="center"/>
              <w:cnfStyle w:val="000000000000" w:firstRow="0" w:lastRow="0" w:firstColumn="0" w:lastColumn="0" w:oddVBand="0" w:evenVBand="0" w:oddHBand="0" w:evenHBand="0" w:firstRowFirstColumn="0" w:firstRowLastColumn="0" w:lastRowFirstColumn="0" w:lastRowLastColumn="0"/>
              <w:rPr>
                <w:rFonts w:ascii="Arial" w:hAnsi="Arial" w:cs="Arial"/>
              </w:rPr>
            </w:pPr>
            <w:r w:rsidRPr="00156466">
              <w:rPr>
                <w:rFonts w:ascii="Arial" w:hAnsi="Arial" w:cs="Arial"/>
              </w:rPr>
              <w:t xml:space="preserve">Integrate GDPR and ISO 27001 audits </w:t>
            </w:r>
            <w:r w:rsidR="00D63AC6" w:rsidRPr="00156466">
              <w:rPr>
                <w:rFonts w:ascii="Arial" w:hAnsi="Arial" w:cs="Arial"/>
                <w:highlight w:val="yellow"/>
              </w:rPr>
              <w:t>[</w:t>
            </w:r>
            <w:r w:rsidR="007115ED" w:rsidRPr="00156466">
              <w:rPr>
                <w:rFonts w:ascii="Arial" w:hAnsi="Arial" w:cs="Arial"/>
                <w:highlight w:val="yellow"/>
              </w:rPr>
              <w:t>18</w:t>
            </w:r>
            <w:r w:rsidR="00D63AC6" w:rsidRPr="00156466">
              <w:rPr>
                <w:rFonts w:ascii="Arial" w:hAnsi="Arial" w:cs="Arial"/>
                <w:highlight w:val="yellow"/>
              </w:rPr>
              <w:t xml:space="preserve">] </w:t>
            </w:r>
          </w:p>
        </w:tc>
        <w:tc>
          <w:tcPr>
            <w:tcW w:w="0" w:type="auto"/>
            <w:hideMark/>
          </w:tcPr>
          <w:p w14:paraId="14C3324D" w14:textId="77777777" w:rsidR="00C07E6A" w:rsidRPr="00156466" w:rsidRDefault="00C07E6A" w:rsidP="00D21267">
            <w:pPr>
              <w:jc w:val="center"/>
              <w:cnfStyle w:val="000000000000" w:firstRow="0" w:lastRow="0" w:firstColumn="0" w:lastColumn="0" w:oddVBand="0" w:evenVBand="0" w:oddHBand="0" w:evenHBand="0" w:firstRowFirstColumn="0" w:firstRowLastColumn="0" w:lastRowFirstColumn="0" w:lastRowLastColumn="0"/>
              <w:rPr>
                <w:rFonts w:ascii="Arial" w:hAnsi="Arial" w:cs="Arial"/>
              </w:rPr>
            </w:pPr>
            <w:r w:rsidRPr="00156466">
              <w:rPr>
                <w:rFonts w:ascii="Arial" w:hAnsi="Arial" w:cs="Arial"/>
              </w:rPr>
              <w:t>MEA</w:t>
            </w:r>
          </w:p>
        </w:tc>
      </w:tr>
      <w:tr w:rsidR="00C07E6A" w:rsidRPr="00156466" w14:paraId="45F9D8F6" w14:textId="77777777" w:rsidTr="00D21267">
        <w:trPr>
          <w:cnfStyle w:val="000000100000" w:firstRow="0" w:lastRow="0" w:firstColumn="0" w:lastColumn="0" w:oddVBand="0" w:evenVBand="0" w:oddHBand="1" w:evenHBand="0" w:firstRowFirstColumn="0" w:firstRowLastColumn="0" w:lastRowFirstColumn="0" w:lastRowLastColumn="0"/>
          <w:trHeight w:val="555"/>
        </w:trPr>
        <w:tc>
          <w:tcPr>
            <w:cnfStyle w:val="001000000000" w:firstRow="0" w:lastRow="0" w:firstColumn="1" w:lastColumn="0" w:oddVBand="0" w:evenVBand="0" w:oddHBand="0" w:evenHBand="0" w:firstRowFirstColumn="0" w:firstRowLastColumn="0" w:lastRowFirstColumn="0" w:lastRowLastColumn="0"/>
            <w:tcW w:w="0" w:type="auto"/>
            <w:hideMark/>
          </w:tcPr>
          <w:p w14:paraId="466AF2D1" w14:textId="77777777" w:rsidR="00C07E6A" w:rsidRPr="00156466" w:rsidRDefault="00C07E6A" w:rsidP="00D21267">
            <w:pPr>
              <w:jc w:val="center"/>
              <w:rPr>
                <w:rFonts w:ascii="Arial" w:hAnsi="Arial" w:cs="Arial"/>
              </w:rPr>
            </w:pPr>
            <w:r w:rsidRPr="00156466">
              <w:rPr>
                <w:rFonts w:ascii="Arial" w:hAnsi="Arial" w:cs="Arial"/>
              </w:rPr>
              <w:t>Operations Team</w:t>
            </w:r>
          </w:p>
        </w:tc>
        <w:tc>
          <w:tcPr>
            <w:tcW w:w="0" w:type="auto"/>
            <w:hideMark/>
          </w:tcPr>
          <w:p w14:paraId="0FF20B5A" w14:textId="77777777" w:rsidR="00C07E6A" w:rsidRPr="00156466" w:rsidRDefault="00C07E6A" w:rsidP="00D21267">
            <w:pPr>
              <w:jc w:val="center"/>
              <w:cnfStyle w:val="000000100000" w:firstRow="0" w:lastRow="0" w:firstColumn="0" w:lastColumn="0" w:oddVBand="0" w:evenVBand="0" w:oddHBand="1" w:evenHBand="0" w:firstRowFirstColumn="0" w:firstRowLastColumn="0" w:lastRowFirstColumn="0" w:lastRowLastColumn="0"/>
              <w:rPr>
                <w:rFonts w:ascii="Arial" w:hAnsi="Arial" w:cs="Arial"/>
              </w:rPr>
            </w:pPr>
            <w:r w:rsidRPr="00156466">
              <w:rPr>
                <w:rFonts w:ascii="Arial" w:hAnsi="Arial" w:cs="Arial"/>
              </w:rPr>
              <w:t>Incident response plan development and disaster recovery system</w:t>
            </w:r>
          </w:p>
        </w:tc>
        <w:tc>
          <w:tcPr>
            <w:tcW w:w="0" w:type="auto"/>
            <w:hideMark/>
          </w:tcPr>
          <w:p w14:paraId="53AA43DA" w14:textId="77777777" w:rsidR="00C07E6A" w:rsidRPr="00156466" w:rsidRDefault="00C07E6A" w:rsidP="00D21267">
            <w:pPr>
              <w:jc w:val="center"/>
              <w:cnfStyle w:val="000000100000" w:firstRow="0" w:lastRow="0" w:firstColumn="0" w:lastColumn="0" w:oddVBand="0" w:evenVBand="0" w:oddHBand="1" w:evenHBand="0" w:firstRowFirstColumn="0" w:firstRowLastColumn="0" w:lastRowFirstColumn="0" w:lastRowLastColumn="0"/>
              <w:rPr>
                <w:rFonts w:ascii="Arial" w:hAnsi="Arial" w:cs="Arial"/>
              </w:rPr>
            </w:pPr>
            <w:r w:rsidRPr="00156466">
              <w:rPr>
                <w:rFonts w:ascii="Arial" w:hAnsi="Arial" w:cs="Arial"/>
              </w:rPr>
              <w:t>DSS</w:t>
            </w:r>
          </w:p>
        </w:tc>
      </w:tr>
      <w:tr w:rsidR="00C07E6A" w:rsidRPr="00156466" w14:paraId="16B612FF" w14:textId="77777777" w:rsidTr="00D21267">
        <w:trPr>
          <w:trHeight w:val="555"/>
        </w:trPr>
        <w:tc>
          <w:tcPr>
            <w:cnfStyle w:val="001000000000" w:firstRow="0" w:lastRow="0" w:firstColumn="1" w:lastColumn="0" w:oddVBand="0" w:evenVBand="0" w:oddHBand="0" w:evenHBand="0" w:firstRowFirstColumn="0" w:firstRowLastColumn="0" w:lastRowFirstColumn="0" w:lastRowLastColumn="0"/>
            <w:tcW w:w="0" w:type="auto"/>
            <w:hideMark/>
          </w:tcPr>
          <w:p w14:paraId="1D053C3F" w14:textId="77777777" w:rsidR="00C07E6A" w:rsidRPr="00156466" w:rsidRDefault="00C07E6A" w:rsidP="00D21267">
            <w:pPr>
              <w:jc w:val="center"/>
              <w:rPr>
                <w:rFonts w:ascii="Arial" w:hAnsi="Arial" w:cs="Arial"/>
              </w:rPr>
            </w:pPr>
            <w:r w:rsidRPr="00156466">
              <w:rPr>
                <w:rFonts w:ascii="Arial" w:hAnsi="Arial" w:cs="Arial"/>
              </w:rPr>
              <w:t>Vendor Managers</w:t>
            </w:r>
          </w:p>
        </w:tc>
        <w:tc>
          <w:tcPr>
            <w:tcW w:w="0" w:type="auto"/>
            <w:hideMark/>
          </w:tcPr>
          <w:p w14:paraId="6CE4FF6C" w14:textId="24AEB33C" w:rsidR="00C07E6A" w:rsidRPr="00156466" w:rsidRDefault="00C07E6A" w:rsidP="00D21267">
            <w:pPr>
              <w:jc w:val="center"/>
              <w:cnfStyle w:val="000000000000" w:firstRow="0" w:lastRow="0" w:firstColumn="0" w:lastColumn="0" w:oddVBand="0" w:evenVBand="0" w:oddHBand="0" w:evenHBand="0" w:firstRowFirstColumn="0" w:firstRowLastColumn="0" w:lastRowFirstColumn="0" w:lastRowLastColumn="0"/>
              <w:rPr>
                <w:rFonts w:ascii="Arial" w:hAnsi="Arial" w:cs="Arial"/>
              </w:rPr>
            </w:pPr>
            <w:r w:rsidRPr="00156466">
              <w:rPr>
                <w:rFonts w:ascii="Arial" w:hAnsi="Arial" w:cs="Arial"/>
              </w:rPr>
              <w:t xml:space="preserve">Ensure third-party compliance with ISO 27017/27018 </w:t>
            </w:r>
            <w:r w:rsidR="001E49AB" w:rsidRPr="00156466">
              <w:rPr>
                <w:rFonts w:ascii="Arial" w:hAnsi="Arial" w:cs="Arial"/>
                <w:highlight w:val="yellow"/>
              </w:rPr>
              <w:t>[</w:t>
            </w:r>
            <w:r w:rsidR="000C12AF" w:rsidRPr="00156466">
              <w:rPr>
                <w:rFonts w:ascii="Arial" w:hAnsi="Arial" w:cs="Arial"/>
                <w:highlight w:val="yellow"/>
              </w:rPr>
              <w:t>10</w:t>
            </w:r>
            <w:r w:rsidR="001E49AB" w:rsidRPr="00156466">
              <w:rPr>
                <w:rFonts w:ascii="Arial" w:hAnsi="Arial" w:cs="Arial"/>
                <w:highlight w:val="yellow"/>
              </w:rPr>
              <w:t>]</w:t>
            </w:r>
          </w:p>
        </w:tc>
        <w:tc>
          <w:tcPr>
            <w:tcW w:w="0" w:type="auto"/>
            <w:hideMark/>
          </w:tcPr>
          <w:p w14:paraId="2827B777" w14:textId="77777777" w:rsidR="00C07E6A" w:rsidRPr="00156466" w:rsidRDefault="00C07E6A" w:rsidP="00D21267">
            <w:pPr>
              <w:jc w:val="center"/>
              <w:cnfStyle w:val="000000000000" w:firstRow="0" w:lastRow="0" w:firstColumn="0" w:lastColumn="0" w:oddVBand="0" w:evenVBand="0" w:oddHBand="0" w:evenHBand="0" w:firstRowFirstColumn="0" w:firstRowLastColumn="0" w:lastRowFirstColumn="0" w:lastRowLastColumn="0"/>
              <w:rPr>
                <w:rFonts w:ascii="Arial" w:hAnsi="Arial" w:cs="Arial"/>
              </w:rPr>
            </w:pPr>
            <w:r w:rsidRPr="00156466">
              <w:rPr>
                <w:rFonts w:ascii="Arial" w:hAnsi="Arial" w:cs="Arial"/>
              </w:rPr>
              <w:t>APO / MEA</w:t>
            </w:r>
          </w:p>
        </w:tc>
      </w:tr>
    </w:tbl>
    <w:p w14:paraId="62036E0B" w14:textId="11CECD9C" w:rsidR="00C07E6A" w:rsidRPr="00156466" w:rsidRDefault="00C07E6A" w:rsidP="00C07E6A">
      <w:pPr>
        <w:jc w:val="center"/>
        <w:rPr>
          <w:rFonts w:ascii="Arial" w:hAnsi="Arial" w:cs="Arial"/>
        </w:rPr>
      </w:pPr>
      <w:r w:rsidRPr="00156466">
        <w:rPr>
          <w:rFonts w:ascii="Arial" w:hAnsi="Arial" w:cs="Arial"/>
          <w:b/>
          <w:bCs/>
        </w:rPr>
        <w:t>Table 3: Security Responsibilities</w:t>
      </w:r>
    </w:p>
    <w:p w14:paraId="38A178AF" w14:textId="77777777" w:rsidR="00C07E6A" w:rsidRPr="00156466" w:rsidRDefault="00C07E6A" w:rsidP="00C07E6A">
      <w:pPr>
        <w:rPr>
          <w:rFonts w:ascii="Arial" w:hAnsi="Arial" w:cs="Arial"/>
        </w:rPr>
      </w:pPr>
      <w:r w:rsidRPr="00156466">
        <w:rPr>
          <w:rFonts w:ascii="Arial" w:hAnsi="Arial" w:cs="Arial"/>
        </w:rPr>
        <w:t>The above table provides a clear overview of the roles and responsibilities of the board member to tackle the security issue in logistics operations. Developing a proper governance layer helps Aero Link logistics to address the challenges successfully.</w:t>
      </w:r>
    </w:p>
    <w:p w14:paraId="0035D338" w14:textId="12DBAF45" w:rsidR="0076057C" w:rsidRPr="00156466" w:rsidRDefault="0076057C" w:rsidP="0076057C">
      <w:pPr>
        <w:pStyle w:val="Heading2"/>
        <w:rPr>
          <w:rFonts w:ascii="Arial" w:hAnsi="Arial" w:cs="Arial"/>
        </w:rPr>
      </w:pPr>
      <w:bookmarkStart w:id="19" w:name="_Toc234840308"/>
      <w:r w:rsidRPr="00156466">
        <w:rPr>
          <w:rFonts w:ascii="Arial" w:hAnsi="Arial" w:cs="Arial"/>
        </w:rPr>
        <w:lastRenderedPageBreak/>
        <w:t>4.</w:t>
      </w:r>
      <w:r w:rsidR="00A074B9" w:rsidRPr="00156466">
        <w:rPr>
          <w:rFonts w:ascii="Arial" w:hAnsi="Arial" w:cs="Arial"/>
        </w:rPr>
        <w:t>3</w:t>
      </w:r>
      <w:r w:rsidRPr="00156466">
        <w:rPr>
          <w:rFonts w:ascii="Arial" w:hAnsi="Arial" w:cs="Arial"/>
        </w:rPr>
        <w:t xml:space="preserve"> Compliance roadmap</w:t>
      </w:r>
      <w:bookmarkEnd w:id="19"/>
    </w:p>
    <w:p w14:paraId="2BF4BB13" w14:textId="77777777" w:rsidR="0076057C" w:rsidRPr="00156466" w:rsidRDefault="0076057C" w:rsidP="0076057C">
      <w:pPr>
        <w:pStyle w:val="ListParagraph"/>
        <w:numPr>
          <w:ilvl w:val="0"/>
          <w:numId w:val="3"/>
        </w:numPr>
        <w:rPr>
          <w:rFonts w:ascii="Arial" w:hAnsi="Arial" w:cs="Arial"/>
        </w:rPr>
      </w:pPr>
      <w:r w:rsidRPr="00156466">
        <w:rPr>
          <w:rFonts w:ascii="Arial" w:hAnsi="Arial" w:cs="Arial"/>
          <w:i/>
          <w:iCs/>
        </w:rPr>
        <w:t>Stage 1: Establish compliance governance</w:t>
      </w:r>
      <w:r w:rsidRPr="00156466">
        <w:rPr>
          <w:rFonts w:ascii="Arial" w:hAnsi="Arial" w:cs="Arial"/>
        </w:rPr>
        <w:t xml:space="preserve"> – Appoint a data protection officer under COBIT EDM03 to set the compliance.</w:t>
      </w:r>
    </w:p>
    <w:p w14:paraId="66B9966D" w14:textId="77777777" w:rsidR="0076057C" w:rsidRPr="00156466" w:rsidRDefault="0076057C" w:rsidP="0076057C">
      <w:pPr>
        <w:pStyle w:val="ListParagraph"/>
        <w:numPr>
          <w:ilvl w:val="0"/>
          <w:numId w:val="3"/>
        </w:numPr>
        <w:rPr>
          <w:rFonts w:ascii="Arial" w:hAnsi="Arial" w:cs="Arial"/>
        </w:rPr>
      </w:pPr>
      <w:r w:rsidRPr="00156466">
        <w:rPr>
          <w:rFonts w:ascii="Arial" w:hAnsi="Arial" w:cs="Arial"/>
          <w:i/>
          <w:iCs/>
        </w:rPr>
        <w:t>Stage 2: Define compliance framework</w:t>
      </w:r>
      <w:r w:rsidRPr="00156466">
        <w:rPr>
          <w:rFonts w:ascii="Arial" w:hAnsi="Arial" w:cs="Arial"/>
        </w:rPr>
        <w:t xml:space="preserve"> – Adopt the GDPR and ISO 27001 as the baseline standard of the organisation to align performance.</w:t>
      </w:r>
    </w:p>
    <w:p w14:paraId="78CCC99B" w14:textId="77777777" w:rsidR="0076057C" w:rsidRPr="00156466" w:rsidRDefault="0076057C" w:rsidP="0076057C">
      <w:pPr>
        <w:pStyle w:val="ListParagraph"/>
        <w:numPr>
          <w:ilvl w:val="0"/>
          <w:numId w:val="3"/>
        </w:numPr>
        <w:rPr>
          <w:rFonts w:ascii="Arial" w:hAnsi="Arial" w:cs="Arial"/>
          <w:highlight w:val="yellow"/>
        </w:rPr>
      </w:pPr>
      <w:r w:rsidRPr="00156466">
        <w:rPr>
          <w:rFonts w:ascii="Arial" w:hAnsi="Arial" w:cs="Arial"/>
          <w:i/>
          <w:iCs/>
        </w:rPr>
        <w:t>Stage 3: Conduct gap assessment</w:t>
      </w:r>
      <w:r w:rsidRPr="00156466">
        <w:rPr>
          <w:rFonts w:ascii="Arial" w:hAnsi="Arial" w:cs="Arial"/>
        </w:rPr>
        <w:t xml:space="preserve"> – Audit program to identify gaps in encryption process, vendor selection and data protection using AI technology </w:t>
      </w:r>
      <w:r w:rsidRPr="00156466">
        <w:rPr>
          <w:rFonts w:ascii="Arial" w:hAnsi="Arial" w:cs="Arial"/>
          <w:highlight w:val="yellow"/>
        </w:rPr>
        <w:t xml:space="preserve">[21]. </w:t>
      </w:r>
    </w:p>
    <w:p w14:paraId="635F42BB" w14:textId="77777777" w:rsidR="0076057C" w:rsidRPr="00156466" w:rsidRDefault="0076057C" w:rsidP="0076057C">
      <w:pPr>
        <w:pStyle w:val="ListParagraph"/>
        <w:numPr>
          <w:ilvl w:val="0"/>
          <w:numId w:val="3"/>
        </w:numPr>
        <w:rPr>
          <w:rFonts w:ascii="Arial" w:hAnsi="Arial" w:cs="Arial"/>
        </w:rPr>
      </w:pPr>
      <w:r w:rsidRPr="00156466">
        <w:rPr>
          <w:rFonts w:ascii="Arial" w:hAnsi="Arial" w:cs="Arial"/>
          <w:i/>
          <w:iCs/>
        </w:rPr>
        <w:t>Stage 4: Implement policies and controls</w:t>
      </w:r>
      <w:r w:rsidRPr="00156466">
        <w:rPr>
          <w:rFonts w:ascii="Arial" w:hAnsi="Arial" w:cs="Arial"/>
        </w:rPr>
        <w:t xml:space="preserve"> – Roll out security policies for vendor management, access control and encryption and align this action with DSS05 and APO10.</w:t>
      </w:r>
    </w:p>
    <w:p w14:paraId="588FF0D9" w14:textId="77777777" w:rsidR="0076057C" w:rsidRPr="00156466" w:rsidRDefault="0076057C" w:rsidP="0076057C">
      <w:pPr>
        <w:pStyle w:val="ListParagraph"/>
        <w:numPr>
          <w:ilvl w:val="0"/>
          <w:numId w:val="3"/>
        </w:numPr>
        <w:rPr>
          <w:rFonts w:ascii="Arial" w:hAnsi="Arial" w:cs="Arial"/>
        </w:rPr>
      </w:pPr>
      <w:r w:rsidRPr="00156466">
        <w:rPr>
          <w:rFonts w:ascii="Arial" w:hAnsi="Arial" w:cs="Arial"/>
          <w:i/>
          <w:iCs/>
        </w:rPr>
        <w:t>Stage 5: Monitor and audit compliance</w:t>
      </w:r>
      <w:r w:rsidRPr="00156466">
        <w:rPr>
          <w:rFonts w:ascii="Arial" w:hAnsi="Arial" w:cs="Arial"/>
        </w:rPr>
        <w:t xml:space="preserve"> – Establish an action monitoring dashboard to schedule the activity of third parties, which makes it easier to conduct audit programs under MEA03 as per Appendix 1.</w:t>
      </w:r>
    </w:p>
    <w:p w14:paraId="2517AAC5" w14:textId="77777777" w:rsidR="0076057C" w:rsidRPr="00156466" w:rsidRDefault="0076057C" w:rsidP="0076057C">
      <w:pPr>
        <w:pStyle w:val="ListParagraph"/>
        <w:numPr>
          <w:ilvl w:val="0"/>
          <w:numId w:val="3"/>
        </w:numPr>
        <w:rPr>
          <w:rFonts w:ascii="Arial" w:hAnsi="Arial" w:cs="Arial"/>
        </w:rPr>
      </w:pPr>
      <w:r w:rsidRPr="00156466">
        <w:rPr>
          <w:rFonts w:ascii="Arial" w:hAnsi="Arial" w:cs="Arial"/>
          <w:i/>
          <w:iCs/>
        </w:rPr>
        <w:t>Stage 6: Train and raise awareness</w:t>
      </w:r>
      <w:r w:rsidRPr="00156466">
        <w:rPr>
          <w:rFonts w:ascii="Arial" w:hAnsi="Arial" w:cs="Arial"/>
        </w:rPr>
        <w:t xml:space="preserve"> – Regular employee training program support to take timely action against breaches.</w:t>
      </w:r>
    </w:p>
    <w:p w14:paraId="17FF1DA9" w14:textId="77777777" w:rsidR="0076057C" w:rsidRPr="00156466" w:rsidRDefault="0076057C" w:rsidP="0076057C">
      <w:pPr>
        <w:pStyle w:val="ListParagraph"/>
        <w:numPr>
          <w:ilvl w:val="0"/>
          <w:numId w:val="3"/>
        </w:numPr>
        <w:rPr>
          <w:rFonts w:ascii="Arial" w:hAnsi="Arial" w:cs="Arial"/>
        </w:rPr>
      </w:pPr>
      <w:r w:rsidRPr="00156466">
        <w:rPr>
          <w:rFonts w:ascii="Arial" w:hAnsi="Arial" w:cs="Arial"/>
          <w:i/>
          <w:iCs/>
        </w:rPr>
        <w:t>Stage 7: Review and improve continuously</w:t>
      </w:r>
      <w:r w:rsidRPr="00156466">
        <w:rPr>
          <w:rFonts w:ascii="Arial" w:hAnsi="Arial" w:cs="Arial"/>
        </w:rPr>
        <w:t xml:space="preserve"> – Annual upgradation of compliance with current risk assessment; refine SLAS [</w:t>
      </w:r>
      <w:r w:rsidRPr="00156466">
        <w:rPr>
          <w:rFonts w:ascii="Arial" w:hAnsi="Arial" w:cs="Arial"/>
          <w:highlight w:val="yellow"/>
        </w:rPr>
        <w:t>10</w:t>
      </w:r>
      <w:r w:rsidRPr="00156466">
        <w:rPr>
          <w:rFonts w:ascii="Arial" w:hAnsi="Arial" w:cs="Arial"/>
        </w:rPr>
        <w:t xml:space="preserve">]. </w:t>
      </w:r>
    </w:p>
    <w:p w14:paraId="3121AAEC" w14:textId="77777777" w:rsidR="0076057C" w:rsidRPr="00156466" w:rsidRDefault="0076057C" w:rsidP="0076057C">
      <w:pPr>
        <w:jc w:val="center"/>
        <w:rPr>
          <w:rFonts w:ascii="Arial" w:hAnsi="Arial" w:cs="Arial"/>
        </w:rPr>
      </w:pPr>
      <w:r w:rsidRPr="00156466">
        <w:rPr>
          <w:rFonts w:ascii="Arial" w:hAnsi="Arial" w:cs="Arial"/>
          <w:noProof/>
          <w:lang w:val="en-IN" w:eastAsia="en-IN" w:bidi="gu-IN"/>
        </w:rPr>
        <w:lastRenderedPageBreak/>
        <w:drawing>
          <wp:inline distT="0" distB="0" distL="0" distR="0" wp14:anchorId="69D2F0B4" wp14:editId="5C691775">
            <wp:extent cx="5677319" cy="4920343"/>
            <wp:effectExtent l="0" t="0" r="0" b="0"/>
            <wp:docPr id="1171192577" name="Picture 9" descr="How to Create a Cybersecurity Compliance Program At Your Organization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71192577" name="Picture 23" descr="How to Create a Cybersecurity Compliance Program At Your Organization ..."/>
                    <pic:cNvPicPr>
                      <a:picLocks noChangeAspect="1" noChangeArrowheads="1"/>
                    </pic:cNvPicPr>
                  </pic:nvPicPr>
                  <pic:blipFill>
                    <a:blip r:embed="rId13">
                      <a:extLst>
                        <a:ext uri="{28A0092B-C50C-407E-A947-70E740481C1C}">
                          <a14:useLocalDpi xmlns:a14="http://schemas.microsoft.com/office/drawing/2010/main" val="0"/>
                        </a:ext>
                      </a:extLst>
                    </a:blip>
                    <a:stretch>
                      <a:fillRect/>
                    </a:stretch>
                  </pic:blipFill>
                  <pic:spPr bwMode="auto">
                    <a:xfrm>
                      <a:off x="0" y="0"/>
                      <a:ext cx="5685641" cy="4927555"/>
                    </a:xfrm>
                    <a:prstGeom prst="rect">
                      <a:avLst/>
                    </a:prstGeom>
                    <a:noFill/>
                    <a:ln>
                      <a:noFill/>
                    </a:ln>
                  </pic:spPr>
                </pic:pic>
              </a:graphicData>
            </a:graphic>
          </wp:inline>
        </w:drawing>
      </w:r>
    </w:p>
    <w:p w14:paraId="73A6E0FE" w14:textId="77777777" w:rsidR="0076057C" w:rsidRPr="00156466" w:rsidRDefault="0076057C" w:rsidP="0076057C">
      <w:pPr>
        <w:jc w:val="center"/>
        <w:rPr>
          <w:rFonts w:ascii="Arial" w:hAnsi="Arial" w:cs="Arial"/>
          <w:b/>
          <w:bCs/>
        </w:rPr>
      </w:pPr>
      <w:r w:rsidRPr="00156466">
        <w:rPr>
          <w:rFonts w:ascii="Arial" w:hAnsi="Arial" w:cs="Arial"/>
          <w:b/>
          <w:bCs/>
        </w:rPr>
        <w:t>Figure 5: Compliance roadmap</w:t>
      </w:r>
    </w:p>
    <w:p w14:paraId="6412787E" w14:textId="77777777" w:rsidR="0076057C" w:rsidRPr="00156466" w:rsidRDefault="0076057C" w:rsidP="0076057C">
      <w:pPr>
        <w:jc w:val="center"/>
        <w:rPr>
          <w:rFonts w:ascii="Arial" w:hAnsi="Arial" w:cs="Arial"/>
        </w:rPr>
      </w:pPr>
      <w:r w:rsidRPr="00156466">
        <w:rPr>
          <w:rFonts w:ascii="Arial" w:hAnsi="Arial" w:cs="Arial"/>
        </w:rPr>
        <w:t>Source: self-developed, idea taken from [22]</w:t>
      </w:r>
    </w:p>
    <w:p w14:paraId="24A1C22C" w14:textId="46B5DD30" w:rsidR="0076057C" w:rsidRPr="00156466" w:rsidRDefault="0076057C" w:rsidP="00C07E6A">
      <w:pPr>
        <w:rPr>
          <w:rFonts w:ascii="Arial" w:hAnsi="Arial" w:cs="Arial"/>
        </w:rPr>
      </w:pPr>
      <w:r w:rsidRPr="00156466">
        <w:rPr>
          <w:rFonts w:ascii="Arial" w:hAnsi="Arial" w:cs="Arial"/>
        </w:rPr>
        <w:t>The above figure shows compliance roadmap implementation in the organisational practice to avoid risk incidents in logistics operations.</w:t>
      </w:r>
    </w:p>
    <w:p w14:paraId="417DE244" w14:textId="77777777" w:rsidR="0076057C" w:rsidRPr="00156466" w:rsidRDefault="0076057C" w:rsidP="0076057C">
      <w:pPr>
        <w:pStyle w:val="Heading2"/>
        <w:rPr>
          <w:rFonts w:ascii="Arial" w:hAnsi="Arial" w:cs="Arial"/>
        </w:rPr>
      </w:pPr>
      <w:bookmarkStart w:id="20" w:name="_Toc234840309"/>
      <w:r w:rsidRPr="00156466">
        <w:rPr>
          <w:rFonts w:ascii="Arial" w:hAnsi="Arial" w:cs="Arial"/>
        </w:rPr>
        <w:t>4.4 Security policies and procedures</w:t>
      </w:r>
      <w:bookmarkEnd w:id="20"/>
    </w:p>
    <w:p w14:paraId="155E1077" w14:textId="77777777" w:rsidR="0076057C" w:rsidRPr="00156466" w:rsidRDefault="0076057C" w:rsidP="0076057C">
      <w:pPr>
        <w:pStyle w:val="ListParagraph"/>
        <w:numPr>
          <w:ilvl w:val="0"/>
          <w:numId w:val="2"/>
        </w:numPr>
        <w:rPr>
          <w:rFonts w:ascii="Arial" w:hAnsi="Arial" w:cs="Arial"/>
        </w:rPr>
      </w:pPr>
      <w:r w:rsidRPr="00156466">
        <w:rPr>
          <w:rFonts w:ascii="Arial" w:hAnsi="Arial" w:cs="Arial"/>
          <w:b/>
          <w:bCs/>
          <w:i/>
          <w:iCs/>
        </w:rPr>
        <w:t>Compliance and audit policy</w:t>
      </w:r>
      <w:r w:rsidRPr="00156466">
        <w:rPr>
          <w:rFonts w:ascii="Arial" w:hAnsi="Arial" w:cs="Arial"/>
        </w:rPr>
        <w:t xml:space="preserve"> - ISO 27001 and weekly audit program by the supervisor protect the integrity and availability of sensitive data and maintain the confidentiality of the customer data across the organisation and technical domain </w:t>
      </w:r>
      <w:r w:rsidRPr="00156466">
        <w:rPr>
          <w:rFonts w:ascii="Arial" w:hAnsi="Arial" w:cs="Arial"/>
          <w:highlight w:val="yellow"/>
        </w:rPr>
        <w:t>[14]</w:t>
      </w:r>
      <w:r w:rsidRPr="00156466">
        <w:rPr>
          <w:rFonts w:ascii="Arial" w:hAnsi="Arial" w:cs="Arial"/>
        </w:rPr>
        <w:t>. Encryption mode avoids the disclosure of information to others.</w:t>
      </w:r>
    </w:p>
    <w:p w14:paraId="350A7BE9" w14:textId="28B9F96A" w:rsidR="0076057C" w:rsidRPr="00156466" w:rsidRDefault="0076057C" w:rsidP="00C07E6A">
      <w:pPr>
        <w:pStyle w:val="ListParagraph"/>
        <w:numPr>
          <w:ilvl w:val="0"/>
          <w:numId w:val="2"/>
        </w:numPr>
        <w:rPr>
          <w:rFonts w:ascii="Arial" w:hAnsi="Arial" w:cs="Arial"/>
        </w:rPr>
      </w:pPr>
      <w:r w:rsidRPr="00156466">
        <w:rPr>
          <w:rFonts w:ascii="Arial" w:hAnsi="Arial" w:cs="Arial"/>
          <w:b/>
          <w:bCs/>
          <w:i/>
          <w:iCs/>
        </w:rPr>
        <w:lastRenderedPageBreak/>
        <w:t>Data protection and privacy policy</w:t>
      </w:r>
      <w:r w:rsidRPr="00156466">
        <w:rPr>
          <w:rFonts w:ascii="Arial" w:hAnsi="Arial" w:cs="Arial"/>
        </w:rPr>
        <w:t xml:space="preserve"> – The data management team of the organisation ensures that every action is aligned with GDPR and other data protection laws. PII and client shipment data ensure that the identity of the suppliers and vendors is protected, including phone number, email address and tracking IDs to avoid privacy concerns </w:t>
      </w:r>
      <w:r w:rsidRPr="00156466">
        <w:rPr>
          <w:rFonts w:ascii="Arial" w:hAnsi="Arial" w:cs="Arial"/>
          <w:highlight w:val="yellow"/>
        </w:rPr>
        <w:t>[16]</w:t>
      </w:r>
      <w:r w:rsidRPr="00156466">
        <w:rPr>
          <w:rFonts w:ascii="Arial" w:hAnsi="Arial" w:cs="Arial"/>
        </w:rPr>
        <w:t xml:space="preserve">. </w:t>
      </w:r>
    </w:p>
    <w:p w14:paraId="259F9F80" w14:textId="7185A2CE" w:rsidR="00C07E6A" w:rsidRPr="00156466" w:rsidRDefault="00C07E6A" w:rsidP="00C07E6A">
      <w:pPr>
        <w:pStyle w:val="Heading2"/>
        <w:rPr>
          <w:rFonts w:ascii="Arial" w:hAnsi="Arial" w:cs="Arial"/>
        </w:rPr>
      </w:pPr>
      <w:bookmarkStart w:id="21" w:name="_Toc234840310"/>
      <w:r w:rsidRPr="00156466">
        <w:rPr>
          <w:rFonts w:ascii="Arial" w:hAnsi="Arial" w:cs="Arial"/>
        </w:rPr>
        <w:t>4.</w:t>
      </w:r>
      <w:r w:rsidR="00A074B9" w:rsidRPr="00156466">
        <w:rPr>
          <w:rFonts w:ascii="Arial" w:hAnsi="Arial" w:cs="Arial"/>
        </w:rPr>
        <w:t>5</w:t>
      </w:r>
      <w:r w:rsidRPr="00156466">
        <w:rPr>
          <w:rFonts w:ascii="Arial" w:hAnsi="Arial" w:cs="Arial"/>
        </w:rPr>
        <w:t xml:space="preserve"> Risk management process</w:t>
      </w:r>
      <w:bookmarkEnd w:id="21"/>
    </w:p>
    <w:p w14:paraId="77B6C7BD" w14:textId="77777777" w:rsidR="00C07E6A" w:rsidRPr="00156466" w:rsidRDefault="00C07E6A" w:rsidP="00C07E6A">
      <w:pPr>
        <w:rPr>
          <w:rFonts w:ascii="Arial" w:hAnsi="Arial" w:cs="Arial"/>
        </w:rPr>
      </w:pPr>
      <w:r w:rsidRPr="00156466">
        <w:rPr>
          <w:rFonts w:ascii="Arial" w:hAnsi="Arial" w:cs="Arial"/>
        </w:rPr>
        <w:t>COBIT 2019 framework allows a broad risk assessment to develop a mitigation strategy in time to avoid a data breach. Based on the IT environment of the company below, a risk register was created.</w:t>
      </w:r>
    </w:p>
    <w:tbl>
      <w:tblPr>
        <w:tblW w:w="0" w:type="auto"/>
        <w:tblCellMar>
          <w:top w:w="15" w:type="dxa"/>
          <w:left w:w="15" w:type="dxa"/>
          <w:bottom w:w="15" w:type="dxa"/>
          <w:right w:w="15" w:type="dxa"/>
        </w:tblCellMar>
        <w:tblLook w:val="04A0" w:firstRow="1" w:lastRow="0" w:firstColumn="1" w:lastColumn="0" w:noHBand="0" w:noVBand="1"/>
      </w:tblPr>
      <w:tblGrid>
        <w:gridCol w:w="1504"/>
        <w:gridCol w:w="1373"/>
        <w:gridCol w:w="1313"/>
        <w:gridCol w:w="954"/>
        <w:gridCol w:w="1276"/>
        <w:gridCol w:w="1468"/>
        <w:gridCol w:w="1456"/>
      </w:tblGrid>
      <w:tr w:rsidR="00C07E6A" w:rsidRPr="00156466" w14:paraId="128F7828" w14:textId="77777777" w:rsidTr="00D21267">
        <w:trPr>
          <w:trHeight w:val="555"/>
        </w:trPr>
        <w:tc>
          <w:tcPr>
            <w:tcW w:w="0" w:type="auto"/>
            <w:tcBorders>
              <w:top w:val="single" w:sz="6" w:space="0" w:color="000000"/>
              <w:left w:val="single" w:sz="6" w:space="0" w:color="000000"/>
              <w:bottom w:val="single" w:sz="6" w:space="0" w:color="000000"/>
              <w:right w:val="single" w:sz="6" w:space="0" w:color="000000"/>
            </w:tcBorders>
            <w:shd w:val="clear" w:color="auto" w:fill="DDD9C3" w:themeFill="background2" w:themeFillShade="E6"/>
            <w:tcMar>
              <w:top w:w="0" w:type="dxa"/>
              <w:left w:w="100" w:type="dxa"/>
              <w:bottom w:w="0" w:type="dxa"/>
              <w:right w:w="100" w:type="dxa"/>
            </w:tcMar>
            <w:hideMark/>
          </w:tcPr>
          <w:p w14:paraId="3A19A07C" w14:textId="77777777" w:rsidR="00C07E6A" w:rsidRPr="00156466" w:rsidRDefault="00C07E6A" w:rsidP="00D21267">
            <w:pPr>
              <w:spacing w:before="0" w:line="240" w:lineRule="auto"/>
              <w:jc w:val="center"/>
              <w:rPr>
                <w:rFonts w:ascii="Arial" w:hAnsi="Arial" w:cs="Arial"/>
              </w:rPr>
            </w:pPr>
            <w:r w:rsidRPr="00156466">
              <w:rPr>
                <w:rFonts w:ascii="Arial" w:hAnsi="Arial" w:cs="Arial"/>
                <w:b/>
                <w:bCs/>
              </w:rPr>
              <w:t>Risk Description</w:t>
            </w:r>
          </w:p>
        </w:tc>
        <w:tc>
          <w:tcPr>
            <w:tcW w:w="0" w:type="auto"/>
            <w:tcBorders>
              <w:top w:val="single" w:sz="6" w:space="0" w:color="000000"/>
              <w:left w:val="single" w:sz="6" w:space="0" w:color="000000"/>
              <w:bottom w:val="single" w:sz="6" w:space="0" w:color="000000"/>
              <w:right w:val="single" w:sz="6" w:space="0" w:color="000000"/>
            </w:tcBorders>
            <w:shd w:val="clear" w:color="auto" w:fill="DDD9C3" w:themeFill="background2" w:themeFillShade="E6"/>
            <w:tcMar>
              <w:top w:w="0" w:type="dxa"/>
              <w:left w:w="100" w:type="dxa"/>
              <w:bottom w:w="0" w:type="dxa"/>
              <w:right w:w="100" w:type="dxa"/>
            </w:tcMar>
            <w:hideMark/>
          </w:tcPr>
          <w:p w14:paraId="042E9496" w14:textId="77777777" w:rsidR="00C07E6A" w:rsidRPr="00156466" w:rsidRDefault="00C07E6A" w:rsidP="00D21267">
            <w:pPr>
              <w:spacing w:before="0" w:line="240" w:lineRule="auto"/>
              <w:jc w:val="center"/>
              <w:rPr>
                <w:rFonts w:ascii="Arial" w:hAnsi="Arial" w:cs="Arial"/>
              </w:rPr>
            </w:pPr>
            <w:r w:rsidRPr="00156466">
              <w:rPr>
                <w:rFonts w:ascii="Arial" w:hAnsi="Arial" w:cs="Arial"/>
                <w:b/>
                <w:bCs/>
              </w:rPr>
              <w:t>Impact</w:t>
            </w:r>
          </w:p>
        </w:tc>
        <w:tc>
          <w:tcPr>
            <w:tcW w:w="0" w:type="auto"/>
            <w:tcBorders>
              <w:top w:val="single" w:sz="6" w:space="0" w:color="000000"/>
              <w:left w:val="single" w:sz="6" w:space="0" w:color="000000"/>
              <w:bottom w:val="single" w:sz="6" w:space="0" w:color="000000"/>
              <w:right w:val="single" w:sz="6" w:space="0" w:color="000000"/>
            </w:tcBorders>
            <w:shd w:val="clear" w:color="auto" w:fill="DDD9C3" w:themeFill="background2" w:themeFillShade="E6"/>
            <w:tcMar>
              <w:top w:w="0" w:type="dxa"/>
              <w:left w:w="100" w:type="dxa"/>
              <w:bottom w:w="0" w:type="dxa"/>
              <w:right w:w="100" w:type="dxa"/>
            </w:tcMar>
            <w:hideMark/>
          </w:tcPr>
          <w:p w14:paraId="0A06E250" w14:textId="77777777" w:rsidR="00C07E6A" w:rsidRPr="00156466" w:rsidRDefault="00C07E6A" w:rsidP="00D21267">
            <w:pPr>
              <w:spacing w:before="0" w:line="240" w:lineRule="auto"/>
              <w:jc w:val="center"/>
              <w:rPr>
                <w:rFonts w:ascii="Arial" w:hAnsi="Arial" w:cs="Arial"/>
              </w:rPr>
            </w:pPr>
            <w:r w:rsidRPr="00156466">
              <w:rPr>
                <w:rFonts w:ascii="Arial" w:hAnsi="Arial" w:cs="Arial"/>
                <w:b/>
                <w:bCs/>
              </w:rPr>
              <w:t>Probability (0-5)</w:t>
            </w:r>
          </w:p>
        </w:tc>
        <w:tc>
          <w:tcPr>
            <w:tcW w:w="0" w:type="auto"/>
            <w:tcBorders>
              <w:top w:val="single" w:sz="6" w:space="0" w:color="000000"/>
              <w:left w:val="single" w:sz="6" w:space="0" w:color="000000"/>
              <w:bottom w:val="single" w:sz="6" w:space="0" w:color="000000"/>
              <w:right w:val="single" w:sz="6" w:space="0" w:color="000000"/>
            </w:tcBorders>
            <w:shd w:val="clear" w:color="auto" w:fill="DDD9C3" w:themeFill="background2" w:themeFillShade="E6"/>
            <w:tcMar>
              <w:top w:w="0" w:type="dxa"/>
              <w:left w:w="100" w:type="dxa"/>
              <w:bottom w:w="0" w:type="dxa"/>
              <w:right w:w="100" w:type="dxa"/>
            </w:tcMar>
            <w:hideMark/>
          </w:tcPr>
          <w:p w14:paraId="4524C3CB" w14:textId="77777777" w:rsidR="00C07E6A" w:rsidRPr="00156466" w:rsidRDefault="00C07E6A" w:rsidP="00D21267">
            <w:pPr>
              <w:spacing w:before="0" w:line="240" w:lineRule="auto"/>
              <w:jc w:val="center"/>
              <w:rPr>
                <w:rFonts w:ascii="Arial" w:hAnsi="Arial" w:cs="Arial"/>
              </w:rPr>
            </w:pPr>
            <w:r w:rsidRPr="00156466">
              <w:rPr>
                <w:rFonts w:ascii="Arial" w:hAnsi="Arial" w:cs="Arial"/>
                <w:b/>
                <w:bCs/>
              </w:rPr>
              <w:t>Priority (0-5)</w:t>
            </w:r>
          </w:p>
        </w:tc>
        <w:tc>
          <w:tcPr>
            <w:tcW w:w="0" w:type="auto"/>
            <w:tcBorders>
              <w:top w:val="single" w:sz="6" w:space="0" w:color="000000"/>
              <w:left w:val="single" w:sz="6" w:space="0" w:color="000000"/>
              <w:bottom w:val="single" w:sz="6" w:space="0" w:color="000000"/>
              <w:right w:val="single" w:sz="6" w:space="0" w:color="000000"/>
            </w:tcBorders>
            <w:shd w:val="clear" w:color="auto" w:fill="DDD9C3" w:themeFill="background2" w:themeFillShade="E6"/>
            <w:tcMar>
              <w:top w:w="0" w:type="dxa"/>
              <w:left w:w="100" w:type="dxa"/>
              <w:bottom w:w="0" w:type="dxa"/>
              <w:right w:w="100" w:type="dxa"/>
            </w:tcMar>
            <w:hideMark/>
          </w:tcPr>
          <w:p w14:paraId="2E782D72" w14:textId="77777777" w:rsidR="00C07E6A" w:rsidRPr="00156466" w:rsidRDefault="00C07E6A" w:rsidP="00D21267">
            <w:pPr>
              <w:spacing w:before="0" w:line="240" w:lineRule="auto"/>
              <w:jc w:val="center"/>
              <w:rPr>
                <w:rFonts w:ascii="Arial" w:hAnsi="Arial" w:cs="Arial"/>
              </w:rPr>
            </w:pPr>
            <w:r w:rsidRPr="00156466">
              <w:rPr>
                <w:rFonts w:ascii="Arial" w:hAnsi="Arial" w:cs="Arial"/>
                <w:b/>
                <w:bCs/>
              </w:rPr>
              <w:t>Likelihood</w:t>
            </w:r>
          </w:p>
        </w:tc>
        <w:tc>
          <w:tcPr>
            <w:tcW w:w="0" w:type="auto"/>
            <w:tcBorders>
              <w:top w:val="single" w:sz="6" w:space="0" w:color="000000"/>
              <w:left w:val="single" w:sz="6" w:space="0" w:color="000000"/>
              <w:bottom w:val="single" w:sz="6" w:space="0" w:color="000000"/>
              <w:right w:val="single" w:sz="6" w:space="0" w:color="000000"/>
            </w:tcBorders>
            <w:shd w:val="clear" w:color="auto" w:fill="DDD9C3" w:themeFill="background2" w:themeFillShade="E6"/>
            <w:tcMar>
              <w:top w:w="0" w:type="dxa"/>
              <w:left w:w="100" w:type="dxa"/>
              <w:bottom w:w="0" w:type="dxa"/>
              <w:right w:w="100" w:type="dxa"/>
            </w:tcMar>
            <w:hideMark/>
          </w:tcPr>
          <w:p w14:paraId="53743B11" w14:textId="77777777" w:rsidR="00C07E6A" w:rsidRPr="00156466" w:rsidRDefault="00C07E6A" w:rsidP="00D21267">
            <w:pPr>
              <w:spacing w:before="0" w:line="240" w:lineRule="auto"/>
              <w:jc w:val="center"/>
              <w:rPr>
                <w:rFonts w:ascii="Arial" w:hAnsi="Arial" w:cs="Arial"/>
              </w:rPr>
            </w:pPr>
            <w:r w:rsidRPr="00156466">
              <w:rPr>
                <w:rFonts w:ascii="Arial" w:hAnsi="Arial" w:cs="Arial"/>
                <w:b/>
                <w:bCs/>
              </w:rPr>
              <w:t>COBIT 2019 Domain</w:t>
            </w:r>
          </w:p>
        </w:tc>
        <w:tc>
          <w:tcPr>
            <w:tcW w:w="0" w:type="auto"/>
            <w:tcBorders>
              <w:top w:val="single" w:sz="6" w:space="0" w:color="000000"/>
              <w:left w:val="single" w:sz="6" w:space="0" w:color="000000"/>
              <w:bottom w:val="single" w:sz="6" w:space="0" w:color="000000"/>
              <w:right w:val="single" w:sz="6" w:space="0" w:color="000000"/>
            </w:tcBorders>
            <w:shd w:val="clear" w:color="auto" w:fill="DDD9C3" w:themeFill="background2" w:themeFillShade="E6"/>
            <w:tcMar>
              <w:top w:w="0" w:type="dxa"/>
              <w:left w:w="100" w:type="dxa"/>
              <w:bottom w:w="0" w:type="dxa"/>
              <w:right w:w="100" w:type="dxa"/>
            </w:tcMar>
            <w:hideMark/>
          </w:tcPr>
          <w:p w14:paraId="2D0ACE0C" w14:textId="77777777" w:rsidR="00C07E6A" w:rsidRPr="00156466" w:rsidRDefault="00C07E6A" w:rsidP="00D21267">
            <w:pPr>
              <w:spacing w:before="0" w:line="240" w:lineRule="auto"/>
              <w:jc w:val="center"/>
              <w:rPr>
                <w:rFonts w:ascii="Arial" w:hAnsi="Arial" w:cs="Arial"/>
              </w:rPr>
            </w:pPr>
            <w:r w:rsidRPr="00156466">
              <w:rPr>
                <w:rFonts w:ascii="Arial" w:hAnsi="Arial" w:cs="Arial"/>
                <w:b/>
                <w:bCs/>
              </w:rPr>
              <w:t>Mitigation Strategy</w:t>
            </w:r>
          </w:p>
        </w:tc>
      </w:tr>
      <w:tr w:rsidR="00C07E6A" w:rsidRPr="00156466" w14:paraId="62356F6A" w14:textId="77777777" w:rsidTr="00D21267">
        <w:trPr>
          <w:trHeight w:val="1905"/>
        </w:trPr>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2501492F" w14:textId="77777777" w:rsidR="00C07E6A" w:rsidRPr="00156466" w:rsidRDefault="00C07E6A" w:rsidP="00D21267">
            <w:pPr>
              <w:spacing w:before="0" w:line="240" w:lineRule="auto"/>
              <w:rPr>
                <w:rFonts w:ascii="Arial" w:hAnsi="Arial" w:cs="Arial"/>
              </w:rPr>
            </w:pPr>
            <w:r w:rsidRPr="00156466">
              <w:rPr>
                <w:rFonts w:ascii="Arial" w:hAnsi="Arial" w:cs="Arial"/>
              </w:rPr>
              <w:t>Unauthorised access to client shipment data</w:t>
            </w:r>
          </w:p>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3D6161D2" w14:textId="16AB008A" w:rsidR="00C07E6A" w:rsidRPr="00156466" w:rsidRDefault="00C07E6A" w:rsidP="00D21267">
            <w:pPr>
              <w:spacing w:before="0" w:line="240" w:lineRule="auto"/>
              <w:rPr>
                <w:rFonts w:ascii="Arial" w:hAnsi="Arial" w:cs="Arial"/>
              </w:rPr>
            </w:pPr>
            <w:r w:rsidRPr="00156466">
              <w:rPr>
                <w:rFonts w:ascii="Arial" w:hAnsi="Arial" w:cs="Arial"/>
              </w:rPr>
              <w:t xml:space="preserve">Client loss, Regulatory fines, and reputational damage </w:t>
            </w:r>
            <w:r w:rsidR="00D63AC6" w:rsidRPr="00156466">
              <w:rPr>
                <w:rFonts w:ascii="Arial" w:hAnsi="Arial" w:cs="Arial"/>
                <w:highlight w:val="yellow"/>
              </w:rPr>
              <w:t>[</w:t>
            </w:r>
            <w:r w:rsidR="007115ED" w:rsidRPr="00156466">
              <w:rPr>
                <w:rFonts w:ascii="Arial" w:hAnsi="Arial" w:cs="Arial"/>
                <w:highlight w:val="yellow"/>
              </w:rPr>
              <w:t>18</w:t>
            </w:r>
            <w:r w:rsidR="00D63AC6" w:rsidRPr="00156466">
              <w:rPr>
                <w:rFonts w:ascii="Arial" w:hAnsi="Arial" w:cs="Arial"/>
                <w:highlight w:val="yellow"/>
              </w:rPr>
              <w:t>]</w:t>
            </w:r>
          </w:p>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5BF295A5" w14:textId="77777777" w:rsidR="00C07E6A" w:rsidRPr="00156466" w:rsidRDefault="00C07E6A" w:rsidP="00D21267">
            <w:pPr>
              <w:spacing w:before="0" w:line="240" w:lineRule="auto"/>
              <w:jc w:val="center"/>
              <w:rPr>
                <w:rFonts w:ascii="Arial" w:hAnsi="Arial" w:cs="Arial"/>
              </w:rPr>
            </w:pPr>
            <w:r w:rsidRPr="00156466">
              <w:rPr>
                <w:rFonts w:ascii="Arial" w:hAnsi="Arial" w:cs="Arial"/>
              </w:rPr>
              <w:t>3</w:t>
            </w:r>
          </w:p>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0463CB6A" w14:textId="77777777" w:rsidR="00C07E6A" w:rsidRPr="00156466" w:rsidRDefault="00C07E6A" w:rsidP="00D21267">
            <w:pPr>
              <w:spacing w:before="0" w:line="240" w:lineRule="auto"/>
              <w:jc w:val="center"/>
              <w:rPr>
                <w:rFonts w:ascii="Arial" w:hAnsi="Arial" w:cs="Arial"/>
              </w:rPr>
            </w:pPr>
            <w:r w:rsidRPr="00156466">
              <w:rPr>
                <w:rFonts w:ascii="Arial" w:hAnsi="Arial" w:cs="Arial"/>
              </w:rPr>
              <w:t>4</w:t>
            </w:r>
          </w:p>
        </w:tc>
        <w:tc>
          <w:tcPr>
            <w:tcW w:w="0" w:type="auto"/>
            <w:tcBorders>
              <w:top w:val="single" w:sz="6" w:space="0" w:color="000000"/>
              <w:left w:val="single" w:sz="6" w:space="0" w:color="000000"/>
              <w:bottom w:val="single" w:sz="6" w:space="0" w:color="000000"/>
              <w:right w:val="single" w:sz="6" w:space="0" w:color="000000"/>
            </w:tcBorders>
            <w:shd w:val="clear" w:color="auto" w:fill="EE0000"/>
            <w:tcMar>
              <w:top w:w="0" w:type="dxa"/>
              <w:left w:w="100" w:type="dxa"/>
              <w:bottom w:w="0" w:type="dxa"/>
              <w:right w:w="100" w:type="dxa"/>
            </w:tcMar>
            <w:hideMark/>
          </w:tcPr>
          <w:p w14:paraId="037F4747" w14:textId="77777777" w:rsidR="00C07E6A" w:rsidRPr="00156466" w:rsidRDefault="00C07E6A" w:rsidP="00D21267">
            <w:pPr>
              <w:spacing w:before="0" w:line="240" w:lineRule="auto"/>
              <w:jc w:val="center"/>
              <w:rPr>
                <w:rFonts w:ascii="Arial" w:hAnsi="Arial" w:cs="Arial"/>
              </w:rPr>
            </w:pPr>
            <w:r w:rsidRPr="00156466">
              <w:rPr>
                <w:rFonts w:ascii="Arial" w:hAnsi="Arial" w:cs="Arial"/>
              </w:rPr>
              <w:t>High</w:t>
            </w:r>
          </w:p>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44DE10E3" w14:textId="77777777" w:rsidR="00C07E6A" w:rsidRPr="00156466" w:rsidRDefault="00C07E6A" w:rsidP="00D21267">
            <w:pPr>
              <w:spacing w:before="0" w:line="240" w:lineRule="auto"/>
              <w:rPr>
                <w:rFonts w:ascii="Arial" w:hAnsi="Arial" w:cs="Arial"/>
              </w:rPr>
            </w:pPr>
            <w:r w:rsidRPr="00156466">
              <w:rPr>
                <w:rFonts w:ascii="Arial" w:hAnsi="Arial" w:cs="Arial"/>
              </w:rPr>
              <w:t>DSS05 (Manage Security Services)</w:t>
            </w:r>
          </w:p>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163AA0BF" w14:textId="77777777" w:rsidR="00C07E6A" w:rsidRPr="00156466" w:rsidRDefault="00C07E6A" w:rsidP="00D21267">
            <w:pPr>
              <w:spacing w:before="0" w:line="240" w:lineRule="auto"/>
              <w:rPr>
                <w:rFonts w:ascii="Arial" w:hAnsi="Arial" w:cs="Arial"/>
              </w:rPr>
            </w:pPr>
            <w:r w:rsidRPr="00156466">
              <w:rPr>
                <w:rFonts w:ascii="Arial" w:hAnsi="Arial" w:cs="Arial"/>
              </w:rPr>
              <w:t>Implement Zero Trust, IAM, MFA and encryption of data in transit</w:t>
            </w:r>
          </w:p>
        </w:tc>
      </w:tr>
      <w:tr w:rsidR="00C07E6A" w:rsidRPr="00156466" w14:paraId="1F027EEB" w14:textId="77777777" w:rsidTr="00D21267">
        <w:trPr>
          <w:trHeight w:val="1365"/>
        </w:trPr>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37001FE8" w14:textId="77777777" w:rsidR="00C07E6A" w:rsidRPr="00156466" w:rsidRDefault="00C07E6A" w:rsidP="00D21267">
            <w:pPr>
              <w:spacing w:before="0" w:line="240" w:lineRule="auto"/>
              <w:rPr>
                <w:rFonts w:ascii="Arial" w:hAnsi="Arial" w:cs="Arial"/>
              </w:rPr>
            </w:pPr>
            <w:r w:rsidRPr="00156466">
              <w:rPr>
                <w:rFonts w:ascii="Arial" w:hAnsi="Arial" w:cs="Arial"/>
              </w:rPr>
              <w:t>Weak vendor accountability in IAAS/SAAS</w:t>
            </w:r>
          </w:p>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1AD4DE6D" w14:textId="77777777" w:rsidR="00C07E6A" w:rsidRPr="00156466" w:rsidRDefault="00C07E6A" w:rsidP="00D21267">
            <w:pPr>
              <w:spacing w:before="0" w:line="240" w:lineRule="auto"/>
              <w:rPr>
                <w:rFonts w:ascii="Arial" w:hAnsi="Arial" w:cs="Arial"/>
              </w:rPr>
            </w:pPr>
            <w:r w:rsidRPr="00156466">
              <w:rPr>
                <w:rFonts w:ascii="Arial" w:hAnsi="Arial" w:cs="Arial"/>
              </w:rPr>
              <w:t>Service disruption</w:t>
            </w:r>
          </w:p>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7365B896" w14:textId="77777777" w:rsidR="00C07E6A" w:rsidRPr="00156466" w:rsidRDefault="00C07E6A" w:rsidP="00D21267">
            <w:pPr>
              <w:spacing w:before="0" w:line="240" w:lineRule="auto"/>
              <w:jc w:val="center"/>
              <w:rPr>
                <w:rFonts w:ascii="Arial" w:hAnsi="Arial" w:cs="Arial"/>
              </w:rPr>
            </w:pPr>
            <w:r w:rsidRPr="00156466">
              <w:rPr>
                <w:rFonts w:ascii="Arial" w:hAnsi="Arial" w:cs="Arial"/>
              </w:rPr>
              <w:t>4</w:t>
            </w:r>
          </w:p>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20674D27" w14:textId="77777777" w:rsidR="00C07E6A" w:rsidRPr="00156466" w:rsidRDefault="00C07E6A" w:rsidP="00D21267">
            <w:pPr>
              <w:spacing w:before="0" w:line="240" w:lineRule="auto"/>
              <w:jc w:val="center"/>
              <w:rPr>
                <w:rFonts w:ascii="Arial" w:hAnsi="Arial" w:cs="Arial"/>
              </w:rPr>
            </w:pPr>
            <w:r w:rsidRPr="00156466">
              <w:rPr>
                <w:rFonts w:ascii="Arial" w:hAnsi="Arial" w:cs="Arial"/>
              </w:rPr>
              <w:t>4</w:t>
            </w:r>
          </w:p>
        </w:tc>
        <w:tc>
          <w:tcPr>
            <w:tcW w:w="0" w:type="auto"/>
            <w:tcBorders>
              <w:top w:val="single" w:sz="6" w:space="0" w:color="000000"/>
              <w:left w:val="single" w:sz="6" w:space="0" w:color="000000"/>
              <w:bottom w:val="single" w:sz="6" w:space="0" w:color="000000"/>
              <w:right w:val="single" w:sz="6" w:space="0" w:color="000000"/>
            </w:tcBorders>
            <w:shd w:val="clear" w:color="auto" w:fill="EE0000"/>
            <w:tcMar>
              <w:top w:w="0" w:type="dxa"/>
              <w:left w:w="100" w:type="dxa"/>
              <w:bottom w:w="0" w:type="dxa"/>
              <w:right w:w="100" w:type="dxa"/>
            </w:tcMar>
            <w:hideMark/>
          </w:tcPr>
          <w:p w14:paraId="360791FB" w14:textId="77777777" w:rsidR="00C07E6A" w:rsidRPr="00156466" w:rsidRDefault="00C07E6A" w:rsidP="00D21267">
            <w:pPr>
              <w:spacing w:before="0" w:line="240" w:lineRule="auto"/>
              <w:jc w:val="center"/>
              <w:rPr>
                <w:rFonts w:ascii="Arial" w:hAnsi="Arial" w:cs="Arial"/>
              </w:rPr>
            </w:pPr>
            <w:r w:rsidRPr="00156466">
              <w:rPr>
                <w:rFonts w:ascii="Arial" w:hAnsi="Arial" w:cs="Arial"/>
              </w:rPr>
              <w:t>High</w:t>
            </w:r>
          </w:p>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5B782898" w14:textId="77777777" w:rsidR="00C07E6A" w:rsidRPr="00156466" w:rsidRDefault="00C07E6A" w:rsidP="00D21267">
            <w:pPr>
              <w:spacing w:before="0" w:line="240" w:lineRule="auto"/>
              <w:rPr>
                <w:rFonts w:ascii="Arial" w:hAnsi="Arial" w:cs="Arial"/>
              </w:rPr>
            </w:pPr>
            <w:r w:rsidRPr="00156466">
              <w:rPr>
                <w:rFonts w:ascii="Arial" w:hAnsi="Arial" w:cs="Arial"/>
              </w:rPr>
              <w:t>APO10 (Manage Vendors)</w:t>
            </w:r>
          </w:p>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2BBA23F7" w14:textId="77777777" w:rsidR="00C07E6A" w:rsidRPr="00156466" w:rsidRDefault="00C07E6A" w:rsidP="00D21267">
            <w:pPr>
              <w:spacing w:before="0" w:line="240" w:lineRule="auto"/>
              <w:rPr>
                <w:rFonts w:ascii="Arial" w:hAnsi="Arial" w:cs="Arial"/>
              </w:rPr>
            </w:pPr>
            <w:r w:rsidRPr="00156466">
              <w:rPr>
                <w:rFonts w:ascii="Arial" w:hAnsi="Arial" w:cs="Arial"/>
              </w:rPr>
              <w:t>Formal vendor risk assessments and third-party audits</w:t>
            </w:r>
          </w:p>
        </w:tc>
      </w:tr>
      <w:tr w:rsidR="00C07E6A" w:rsidRPr="00156466" w14:paraId="6FE7F8AB" w14:textId="77777777" w:rsidTr="00D21267">
        <w:trPr>
          <w:trHeight w:val="1635"/>
        </w:trPr>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3DCBBC16" w14:textId="77777777" w:rsidR="00C07E6A" w:rsidRPr="00156466" w:rsidRDefault="00C07E6A" w:rsidP="00D21267">
            <w:pPr>
              <w:spacing w:before="0" w:line="240" w:lineRule="auto"/>
              <w:rPr>
                <w:rFonts w:ascii="Arial" w:hAnsi="Arial" w:cs="Arial"/>
              </w:rPr>
            </w:pPr>
            <w:r w:rsidRPr="00156466">
              <w:rPr>
                <w:rFonts w:ascii="Arial" w:hAnsi="Arial" w:cs="Arial"/>
              </w:rPr>
              <w:t>Lack of a unified security framework</w:t>
            </w:r>
          </w:p>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4BFB731B" w14:textId="77777777" w:rsidR="00C07E6A" w:rsidRPr="00156466" w:rsidRDefault="00C07E6A" w:rsidP="00D21267">
            <w:pPr>
              <w:spacing w:before="0" w:line="240" w:lineRule="auto"/>
              <w:rPr>
                <w:rFonts w:ascii="Arial" w:hAnsi="Arial" w:cs="Arial"/>
              </w:rPr>
            </w:pPr>
            <w:r w:rsidRPr="00156466">
              <w:rPr>
                <w:rFonts w:ascii="Arial" w:hAnsi="Arial" w:cs="Arial"/>
              </w:rPr>
              <w:t>Fragmented controls</w:t>
            </w:r>
          </w:p>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087BA7DB" w14:textId="77777777" w:rsidR="00C07E6A" w:rsidRPr="00156466" w:rsidRDefault="00C07E6A" w:rsidP="00D21267">
            <w:pPr>
              <w:spacing w:before="0" w:line="240" w:lineRule="auto"/>
              <w:jc w:val="center"/>
              <w:rPr>
                <w:rFonts w:ascii="Arial" w:hAnsi="Arial" w:cs="Arial"/>
              </w:rPr>
            </w:pPr>
            <w:r w:rsidRPr="00156466">
              <w:rPr>
                <w:rFonts w:ascii="Arial" w:hAnsi="Arial" w:cs="Arial"/>
              </w:rPr>
              <w:t>3</w:t>
            </w:r>
          </w:p>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0AE33642" w14:textId="77777777" w:rsidR="00C07E6A" w:rsidRPr="00156466" w:rsidRDefault="00C07E6A" w:rsidP="00D21267">
            <w:pPr>
              <w:spacing w:before="0" w:line="240" w:lineRule="auto"/>
              <w:jc w:val="center"/>
              <w:rPr>
                <w:rFonts w:ascii="Arial" w:hAnsi="Arial" w:cs="Arial"/>
              </w:rPr>
            </w:pPr>
            <w:r w:rsidRPr="00156466">
              <w:rPr>
                <w:rFonts w:ascii="Arial" w:hAnsi="Arial" w:cs="Arial"/>
              </w:rPr>
              <w:t>4</w:t>
            </w:r>
          </w:p>
        </w:tc>
        <w:tc>
          <w:tcPr>
            <w:tcW w:w="0" w:type="auto"/>
            <w:tcBorders>
              <w:top w:val="single" w:sz="6" w:space="0" w:color="000000"/>
              <w:left w:val="single" w:sz="6" w:space="0" w:color="000000"/>
              <w:bottom w:val="single" w:sz="6" w:space="0" w:color="000000"/>
              <w:right w:val="single" w:sz="6" w:space="0" w:color="000000"/>
            </w:tcBorders>
            <w:shd w:val="clear" w:color="auto" w:fill="EE0000"/>
            <w:tcMar>
              <w:top w:w="0" w:type="dxa"/>
              <w:left w:w="100" w:type="dxa"/>
              <w:bottom w:w="0" w:type="dxa"/>
              <w:right w:w="100" w:type="dxa"/>
            </w:tcMar>
            <w:hideMark/>
          </w:tcPr>
          <w:p w14:paraId="49A53035" w14:textId="77777777" w:rsidR="00C07E6A" w:rsidRPr="00156466" w:rsidRDefault="00C07E6A" w:rsidP="00D21267">
            <w:pPr>
              <w:spacing w:before="0" w:line="240" w:lineRule="auto"/>
              <w:jc w:val="center"/>
              <w:rPr>
                <w:rFonts w:ascii="Arial" w:hAnsi="Arial" w:cs="Arial"/>
              </w:rPr>
            </w:pPr>
            <w:r w:rsidRPr="00156466">
              <w:rPr>
                <w:rFonts w:ascii="Arial" w:hAnsi="Arial" w:cs="Arial"/>
              </w:rPr>
              <w:t>High</w:t>
            </w:r>
          </w:p>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61373DDD" w14:textId="77777777" w:rsidR="00C07E6A" w:rsidRPr="00156466" w:rsidRDefault="00C07E6A" w:rsidP="00D21267">
            <w:pPr>
              <w:spacing w:before="0" w:line="240" w:lineRule="auto"/>
              <w:rPr>
                <w:rFonts w:ascii="Arial" w:hAnsi="Arial" w:cs="Arial"/>
              </w:rPr>
            </w:pPr>
            <w:r w:rsidRPr="00156466">
              <w:rPr>
                <w:rFonts w:ascii="Arial" w:hAnsi="Arial" w:cs="Arial"/>
              </w:rPr>
              <w:t>EDM03 (Ensure Risk Optimisation)</w:t>
            </w:r>
          </w:p>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1F4D349C" w14:textId="77777777" w:rsidR="00C07E6A" w:rsidRPr="00156466" w:rsidRDefault="00C07E6A" w:rsidP="00D21267">
            <w:pPr>
              <w:spacing w:before="0" w:line="240" w:lineRule="auto"/>
              <w:rPr>
                <w:rFonts w:ascii="Arial" w:hAnsi="Arial" w:cs="Arial"/>
              </w:rPr>
            </w:pPr>
            <w:r w:rsidRPr="00156466">
              <w:rPr>
                <w:rFonts w:ascii="Arial" w:hAnsi="Arial" w:cs="Arial"/>
              </w:rPr>
              <w:t>Establish enterprise-wide ISMS aligned with ISO 27001</w:t>
            </w:r>
          </w:p>
        </w:tc>
      </w:tr>
      <w:tr w:rsidR="00C07E6A" w:rsidRPr="00156466" w14:paraId="0D22ED11" w14:textId="77777777" w:rsidTr="00D21267">
        <w:trPr>
          <w:trHeight w:val="1365"/>
        </w:trPr>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313BBA93" w14:textId="77777777" w:rsidR="00C07E6A" w:rsidRPr="00156466" w:rsidRDefault="00C07E6A" w:rsidP="00D21267">
            <w:pPr>
              <w:spacing w:before="0" w:line="240" w:lineRule="auto"/>
              <w:rPr>
                <w:rFonts w:ascii="Arial" w:hAnsi="Arial" w:cs="Arial"/>
              </w:rPr>
            </w:pPr>
            <w:r w:rsidRPr="00156466">
              <w:rPr>
                <w:rFonts w:ascii="Arial" w:hAnsi="Arial" w:cs="Arial"/>
              </w:rPr>
              <w:t>Immature compliance processes</w:t>
            </w:r>
          </w:p>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5B715605" w14:textId="77777777" w:rsidR="00C07E6A" w:rsidRPr="00156466" w:rsidRDefault="00C07E6A" w:rsidP="00D21267">
            <w:pPr>
              <w:spacing w:before="0" w:line="240" w:lineRule="auto"/>
              <w:rPr>
                <w:rFonts w:ascii="Arial" w:hAnsi="Arial" w:cs="Arial"/>
              </w:rPr>
            </w:pPr>
            <w:r w:rsidRPr="00156466">
              <w:rPr>
                <w:rFonts w:ascii="Arial" w:hAnsi="Arial" w:cs="Arial"/>
              </w:rPr>
              <w:t>Legal penalties</w:t>
            </w:r>
          </w:p>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25FDD5A2" w14:textId="77777777" w:rsidR="00C07E6A" w:rsidRPr="00156466" w:rsidRDefault="00C07E6A" w:rsidP="00D21267">
            <w:pPr>
              <w:spacing w:before="0" w:line="240" w:lineRule="auto"/>
              <w:jc w:val="center"/>
              <w:rPr>
                <w:rFonts w:ascii="Arial" w:hAnsi="Arial" w:cs="Arial"/>
              </w:rPr>
            </w:pPr>
            <w:r w:rsidRPr="00156466">
              <w:rPr>
                <w:rFonts w:ascii="Arial" w:hAnsi="Arial" w:cs="Arial"/>
              </w:rPr>
              <w:t>2</w:t>
            </w:r>
          </w:p>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15F97D33" w14:textId="77777777" w:rsidR="00C07E6A" w:rsidRPr="00156466" w:rsidRDefault="00C07E6A" w:rsidP="00D21267">
            <w:pPr>
              <w:spacing w:before="0" w:line="240" w:lineRule="auto"/>
              <w:jc w:val="center"/>
              <w:rPr>
                <w:rFonts w:ascii="Arial" w:hAnsi="Arial" w:cs="Arial"/>
              </w:rPr>
            </w:pPr>
            <w:r w:rsidRPr="00156466">
              <w:rPr>
                <w:rFonts w:ascii="Arial" w:hAnsi="Arial" w:cs="Arial"/>
              </w:rPr>
              <w:t>4</w:t>
            </w:r>
          </w:p>
        </w:tc>
        <w:tc>
          <w:tcPr>
            <w:tcW w:w="0" w:type="auto"/>
            <w:tcBorders>
              <w:top w:val="single" w:sz="6" w:space="0" w:color="000000"/>
              <w:left w:val="single" w:sz="6" w:space="0" w:color="000000"/>
              <w:bottom w:val="single" w:sz="6" w:space="0" w:color="000000"/>
              <w:right w:val="single" w:sz="6" w:space="0" w:color="000000"/>
            </w:tcBorders>
            <w:shd w:val="clear" w:color="auto" w:fill="FFC000"/>
            <w:tcMar>
              <w:top w:w="0" w:type="dxa"/>
              <w:left w:w="100" w:type="dxa"/>
              <w:bottom w:w="0" w:type="dxa"/>
              <w:right w:w="100" w:type="dxa"/>
            </w:tcMar>
            <w:hideMark/>
          </w:tcPr>
          <w:p w14:paraId="1F44BCBC" w14:textId="77777777" w:rsidR="00C07E6A" w:rsidRPr="00156466" w:rsidRDefault="00C07E6A" w:rsidP="00D21267">
            <w:pPr>
              <w:spacing w:before="0" w:line="240" w:lineRule="auto"/>
              <w:jc w:val="center"/>
              <w:rPr>
                <w:rFonts w:ascii="Arial" w:hAnsi="Arial" w:cs="Arial"/>
              </w:rPr>
            </w:pPr>
            <w:r w:rsidRPr="00156466">
              <w:rPr>
                <w:rFonts w:ascii="Arial" w:hAnsi="Arial" w:cs="Arial"/>
              </w:rPr>
              <w:t>Medium</w:t>
            </w:r>
          </w:p>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2B093C69" w14:textId="62757E43" w:rsidR="00C07E6A" w:rsidRPr="00156466" w:rsidRDefault="00C07E6A" w:rsidP="00D21267">
            <w:pPr>
              <w:spacing w:before="0" w:line="240" w:lineRule="auto"/>
              <w:rPr>
                <w:rFonts w:ascii="Arial" w:hAnsi="Arial" w:cs="Arial"/>
              </w:rPr>
            </w:pPr>
            <w:r w:rsidRPr="00156466">
              <w:rPr>
                <w:rFonts w:ascii="Arial" w:hAnsi="Arial" w:cs="Arial"/>
              </w:rPr>
              <w:t xml:space="preserve">MEA03 (Monitor, Evaluate and Assess Compliance) </w:t>
            </w:r>
            <w:r w:rsidR="001E49AB" w:rsidRPr="00156466">
              <w:rPr>
                <w:rFonts w:ascii="Arial" w:hAnsi="Arial" w:cs="Arial"/>
                <w:highlight w:val="yellow"/>
              </w:rPr>
              <w:t>[</w:t>
            </w:r>
            <w:r w:rsidR="000C12AF" w:rsidRPr="00156466">
              <w:rPr>
                <w:rFonts w:ascii="Arial" w:hAnsi="Arial" w:cs="Arial"/>
                <w:highlight w:val="yellow"/>
              </w:rPr>
              <w:t>10</w:t>
            </w:r>
            <w:r w:rsidR="001E49AB" w:rsidRPr="00156466">
              <w:rPr>
                <w:rFonts w:ascii="Arial" w:hAnsi="Arial" w:cs="Arial"/>
                <w:highlight w:val="yellow"/>
              </w:rPr>
              <w:t>]</w:t>
            </w:r>
            <w:r w:rsidR="00D63AC6" w:rsidRPr="00156466">
              <w:rPr>
                <w:rFonts w:ascii="Arial" w:hAnsi="Arial" w:cs="Arial"/>
                <w:highlight w:val="yellow"/>
              </w:rPr>
              <w:t xml:space="preserve"> </w:t>
            </w:r>
          </w:p>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1C5F3FE5" w14:textId="77777777" w:rsidR="00C07E6A" w:rsidRPr="00156466" w:rsidRDefault="00C07E6A" w:rsidP="00D21267">
            <w:pPr>
              <w:spacing w:before="0" w:line="240" w:lineRule="auto"/>
              <w:rPr>
                <w:rFonts w:ascii="Arial" w:hAnsi="Arial" w:cs="Arial"/>
              </w:rPr>
            </w:pPr>
            <w:r w:rsidRPr="00156466">
              <w:rPr>
                <w:rFonts w:ascii="Arial" w:hAnsi="Arial" w:cs="Arial"/>
              </w:rPr>
              <w:t>Regular compliance audit program</w:t>
            </w:r>
          </w:p>
        </w:tc>
      </w:tr>
      <w:tr w:rsidR="00C07E6A" w:rsidRPr="00156466" w14:paraId="3E0A6069" w14:textId="77777777" w:rsidTr="00D21267">
        <w:trPr>
          <w:trHeight w:val="1365"/>
        </w:trPr>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0FED537C" w14:textId="77777777" w:rsidR="00C07E6A" w:rsidRPr="00156466" w:rsidRDefault="00C07E6A" w:rsidP="00D21267">
            <w:pPr>
              <w:spacing w:before="0" w:line="240" w:lineRule="auto"/>
              <w:rPr>
                <w:rFonts w:ascii="Arial" w:hAnsi="Arial" w:cs="Arial"/>
              </w:rPr>
            </w:pPr>
            <w:r w:rsidRPr="00156466">
              <w:rPr>
                <w:rFonts w:ascii="Arial" w:hAnsi="Arial" w:cs="Arial"/>
              </w:rPr>
              <w:lastRenderedPageBreak/>
              <w:t>Inadequate incident response</w:t>
            </w:r>
          </w:p>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1EA87944" w14:textId="77777777" w:rsidR="00C07E6A" w:rsidRPr="00156466" w:rsidRDefault="00C07E6A" w:rsidP="00D21267">
            <w:pPr>
              <w:spacing w:before="0" w:line="240" w:lineRule="auto"/>
              <w:rPr>
                <w:rFonts w:ascii="Arial" w:hAnsi="Arial" w:cs="Arial"/>
              </w:rPr>
            </w:pPr>
            <w:r w:rsidRPr="00156466">
              <w:rPr>
                <w:rFonts w:ascii="Arial" w:hAnsi="Arial" w:cs="Arial"/>
              </w:rPr>
              <w:t>Delayed breach containment</w:t>
            </w:r>
          </w:p>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4040E88A" w14:textId="77777777" w:rsidR="00C07E6A" w:rsidRPr="00156466" w:rsidRDefault="00C07E6A" w:rsidP="00D21267">
            <w:pPr>
              <w:spacing w:before="0" w:line="240" w:lineRule="auto"/>
              <w:jc w:val="center"/>
              <w:rPr>
                <w:rFonts w:ascii="Arial" w:hAnsi="Arial" w:cs="Arial"/>
              </w:rPr>
            </w:pPr>
            <w:r w:rsidRPr="00156466">
              <w:rPr>
                <w:rFonts w:ascii="Arial" w:hAnsi="Arial" w:cs="Arial"/>
              </w:rPr>
              <w:t>4</w:t>
            </w:r>
          </w:p>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1525D0E0" w14:textId="77777777" w:rsidR="00C07E6A" w:rsidRPr="00156466" w:rsidRDefault="00C07E6A" w:rsidP="00D21267">
            <w:pPr>
              <w:spacing w:before="0" w:line="240" w:lineRule="auto"/>
              <w:jc w:val="center"/>
              <w:rPr>
                <w:rFonts w:ascii="Arial" w:hAnsi="Arial" w:cs="Arial"/>
              </w:rPr>
            </w:pPr>
            <w:r w:rsidRPr="00156466">
              <w:rPr>
                <w:rFonts w:ascii="Arial" w:hAnsi="Arial" w:cs="Arial"/>
              </w:rPr>
              <w:t>4</w:t>
            </w:r>
          </w:p>
        </w:tc>
        <w:tc>
          <w:tcPr>
            <w:tcW w:w="0" w:type="auto"/>
            <w:tcBorders>
              <w:top w:val="single" w:sz="6" w:space="0" w:color="000000"/>
              <w:left w:val="single" w:sz="6" w:space="0" w:color="000000"/>
              <w:bottom w:val="single" w:sz="6" w:space="0" w:color="000000"/>
              <w:right w:val="single" w:sz="6" w:space="0" w:color="000000"/>
            </w:tcBorders>
            <w:shd w:val="clear" w:color="auto" w:fill="EE0000"/>
            <w:tcMar>
              <w:top w:w="0" w:type="dxa"/>
              <w:left w:w="100" w:type="dxa"/>
              <w:bottom w:w="0" w:type="dxa"/>
              <w:right w:w="100" w:type="dxa"/>
            </w:tcMar>
            <w:hideMark/>
          </w:tcPr>
          <w:p w14:paraId="66CAD393" w14:textId="77777777" w:rsidR="00C07E6A" w:rsidRPr="00156466" w:rsidRDefault="00C07E6A" w:rsidP="00D21267">
            <w:pPr>
              <w:spacing w:before="0" w:line="240" w:lineRule="auto"/>
              <w:jc w:val="center"/>
              <w:rPr>
                <w:rFonts w:ascii="Arial" w:hAnsi="Arial" w:cs="Arial"/>
              </w:rPr>
            </w:pPr>
            <w:r w:rsidRPr="00156466">
              <w:rPr>
                <w:rFonts w:ascii="Arial" w:hAnsi="Arial" w:cs="Arial"/>
              </w:rPr>
              <w:t>High</w:t>
            </w:r>
          </w:p>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0E23A312" w14:textId="77777777" w:rsidR="00C07E6A" w:rsidRPr="00156466" w:rsidRDefault="00C07E6A" w:rsidP="00D21267">
            <w:pPr>
              <w:spacing w:before="0" w:line="240" w:lineRule="auto"/>
              <w:rPr>
                <w:rFonts w:ascii="Arial" w:hAnsi="Arial" w:cs="Arial"/>
              </w:rPr>
            </w:pPr>
            <w:r w:rsidRPr="00156466">
              <w:rPr>
                <w:rFonts w:ascii="Arial" w:hAnsi="Arial" w:cs="Arial"/>
              </w:rPr>
              <w:t>DSS02 (Manage Service Requests and Incidents)</w:t>
            </w:r>
          </w:p>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083395E6" w14:textId="77777777" w:rsidR="00C07E6A" w:rsidRPr="00156466" w:rsidRDefault="00C07E6A" w:rsidP="00D21267">
            <w:pPr>
              <w:spacing w:before="0" w:line="240" w:lineRule="auto"/>
              <w:rPr>
                <w:rFonts w:ascii="Arial" w:hAnsi="Arial" w:cs="Arial"/>
              </w:rPr>
            </w:pPr>
            <w:r w:rsidRPr="00156466">
              <w:rPr>
                <w:rFonts w:ascii="Arial" w:hAnsi="Arial" w:cs="Arial"/>
              </w:rPr>
              <w:t>Develop Incident Response Plan and   SOC integration</w:t>
            </w:r>
          </w:p>
        </w:tc>
      </w:tr>
      <w:tr w:rsidR="00C07E6A" w:rsidRPr="00156466" w14:paraId="6C2A5E55" w14:textId="77777777" w:rsidTr="00D21267">
        <w:trPr>
          <w:trHeight w:val="1095"/>
        </w:trPr>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2F217D67" w14:textId="77777777" w:rsidR="00C07E6A" w:rsidRPr="00156466" w:rsidRDefault="00C07E6A" w:rsidP="00D21267">
            <w:pPr>
              <w:spacing w:before="0" w:line="240" w:lineRule="auto"/>
              <w:rPr>
                <w:rFonts w:ascii="Arial" w:hAnsi="Arial" w:cs="Arial"/>
              </w:rPr>
            </w:pPr>
            <w:r w:rsidRPr="00156466">
              <w:rPr>
                <w:rFonts w:ascii="Arial" w:hAnsi="Arial" w:cs="Arial"/>
              </w:rPr>
              <w:t>Poor encryption practices</w:t>
            </w:r>
          </w:p>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32D4A96B" w14:textId="77777777" w:rsidR="00C07E6A" w:rsidRPr="00156466" w:rsidRDefault="00C07E6A" w:rsidP="00D21267">
            <w:pPr>
              <w:spacing w:before="0" w:line="240" w:lineRule="auto"/>
              <w:rPr>
                <w:rFonts w:ascii="Arial" w:hAnsi="Arial" w:cs="Arial"/>
              </w:rPr>
            </w:pPr>
            <w:r w:rsidRPr="00156466">
              <w:rPr>
                <w:rFonts w:ascii="Arial" w:hAnsi="Arial" w:cs="Arial"/>
              </w:rPr>
              <w:t>Data leakage</w:t>
            </w:r>
          </w:p>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23742EE9" w14:textId="77777777" w:rsidR="00C07E6A" w:rsidRPr="00156466" w:rsidRDefault="00C07E6A" w:rsidP="00D21267">
            <w:pPr>
              <w:spacing w:before="0" w:line="240" w:lineRule="auto"/>
              <w:jc w:val="center"/>
              <w:rPr>
                <w:rFonts w:ascii="Arial" w:hAnsi="Arial" w:cs="Arial"/>
              </w:rPr>
            </w:pPr>
            <w:r w:rsidRPr="00156466">
              <w:rPr>
                <w:rFonts w:ascii="Arial" w:hAnsi="Arial" w:cs="Arial"/>
              </w:rPr>
              <w:t>4</w:t>
            </w:r>
          </w:p>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3B386D99" w14:textId="77777777" w:rsidR="00C07E6A" w:rsidRPr="00156466" w:rsidRDefault="00C07E6A" w:rsidP="00D21267">
            <w:pPr>
              <w:spacing w:before="0" w:line="240" w:lineRule="auto"/>
              <w:jc w:val="center"/>
              <w:rPr>
                <w:rFonts w:ascii="Arial" w:hAnsi="Arial" w:cs="Arial"/>
              </w:rPr>
            </w:pPr>
            <w:r w:rsidRPr="00156466">
              <w:rPr>
                <w:rFonts w:ascii="Arial" w:hAnsi="Arial" w:cs="Arial"/>
              </w:rPr>
              <w:t>2</w:t>
            </w:r>
          </w:p>
        </w:tc>
        <w:tc>
          <w:tcPr>
            <w:tcW w:w="0" w:type="auto"/>
            <w:tcBorders>
              <w:top w:val="single" w:sz="6" w:space="0" w:color="000000"/>
              <w:left w:val="single" w:sz="6" w:space="0" w:color="000000"/>
              <w:bottom w:val="single" w:sz="6" w:space="0" w:color="000000"/>
              <w:right w:val="single" w:sz="6" w:space="0" w:color="000000"/>
            </w:tcBorders>
            <w:shd w:val="clear" w:color="auto" w:fill="FFC000"/>
            <w:tcMar>
              <w:top w:w="0" w:type="dxa"/>
              <w:left w:w="100" w:type="dxa"/>
              <w:bottom w:w="0" w:type="dxa"/>
              <w:right w:w="100" w:type="dxa"/>
            </w:tcMar>
            <w:hideMark/>
          </w:tcPr>
          <w:p w14:paraId="7ED14EF6" w14:textId="77777777" w:rsidR="00C07E6A" w:rsidRPr="00156466" w:rsidRDefault="00C07E6A" w:rsidP="00D21267">
            <w:pPr>
              <w:spacing w:before="0" w:line="240" w:lineRule="auto"/>
              <w:jc w:val="center"/>
              <w:rPr>
                <w:rFonts w:ascii="Arial" w:hAnsi="Arial" w:cs="Arial"/>
              </w:rPr>
            </w:pPr>
            <w:r w:rsidRPr="00156466">
              <w:rPr>
                <w:rFonts w:ascii="Arial" w:hAnsi="Arial" w:cs="Arial"/>
              </w:rPr>
              <w:t>Medium</w:t>
            </w:r>
          </w:p>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3ECF1F0A" w14:textId="77777777" w:rsidR="00C07E6A" w:rsidRPr="00156466" w:rsidRDefault="00C07E6A" w:rsidP="00D21267">
            <w:pPr>
              <w:spacing w:before="0" w:line="240" w:lineRule="auto"/>
              <w:rPr>
                <w:rFonts w:ascii="Arial" w:hAnsi="Arial" w:cs="Arial"/>
              </w:rPr>
            </w:pPr>
            <w:r w:rsidRPr="00156466">
              <w:rPr>
                <w:rFonts w:ascii="Arial" w:hAnsi="Arial" w:cs="Arial"/>
              </w:rPr>
              <w:t>DSS05 (Manage Security Services)</w:t>
            </w:r>
          </w:p>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2AE69D39" w14:textId="77777777" w:rsidR="00C07E6A" w:rsidRPr="00156466" w:rsidRDefault="00C07E6A" w:rsidP="00D21267">
            <w:pPr>
              <w:spacing w:before="0" w:line="240" w:lineRule="auto"/>
              <w:rPr>
                <w:rFonts w:ascii="Arial" w:hAnsi="Arial" w:cs="Arial"/>
              </w:rPr>
            </w:pPr>
            <w:r w:rsidRPr="00156466">
              <w:rPr>
                <w:rFonts w:ascii="Arial" w:hAnsi="Arial" w:cs="Arial"/>
              </w:rPr>
              <w:t>Enforce end-to-end encryption</w:t>
            </w:r>
          </w:p>
        </w:tc>
      </w:tr>
      <w:tr w:rsidR="00C07E6A" w:rsidRPr="00156466" w14:paraId="743E50AA" w14:textId="77777777" w:rsidTr="00D21267">
        <w:trPr>
          <w:trHeight w:val="1095"/>
        </w:trPr>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3071DFC9" w14:textId="77777777" w:rsidR="00C07E6A" w:rsidRPr="00156466" w:rsidRDefault="00C07E6A" w:rsidP="00D21267">
            <w:pPr>
              <w:spacing w:before="0" w:line="240" w:lineRule="auto"/>
              <w:rPr>
                <w:rFonts w:ascii="Arial" w:hAnsi="Arial" w:cs="Arial"/>
              </w:rPr>
            </w:pPr>
            <w:r w:rsidRPr="00156466">
              <w:rPr>
                <w:rFonts w:ascii="Arial" w:hAnsi="Arial" w:cs="Arial"/>
              </w:rPr>
              <w:t>Remote access</w:t>
            </w:r>
          </w:p>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1BA2F412" w14:textId="180FEE5C" w:rsidR="00C07E6A" w:rsidRPr="00156466" w:rsidRDefault="00C07E6A" w:rsidP="00D21267">
            <w:pPr>
              <w:spacing w:before="0" w:line="240" w:lineRule="auto"/>
              <w:rPr>
                <w:rFonts w:ascii="Arial" w:hAnsi="Arial" w:cs="Arial"/>
              </w:rPr>
            </w:pPr>
            <w:r w:rsidRPr="00156466">
              <w:rPr>
                <w:rFonts w:ascii="Arial" w:hAnsi="Arial" w:cs="Arial"/>
              </w:rPr>
              <w:t xml:space="preserve">Malware infection and insider threats </w:t>
            </w:r>
            <w:r w:rsidR="001E49AB" w:rsidRPr="00156466">
              <w:rPr>
                <w:rFonts w:ascii="Arial" w:hAnsi="Arial" w:cs="Arial"/>
                <w:highlight w:val="yellow"/>
              </w:rPr>
              <w:t>[</w:t>
            </w:r>
            <w:r w:rsidR="007115ED" w:rsidRPr="00156466">
              <w:rPr>
                <w:rFonts w:ascii="Arial" w:hAnsi="Arial" w:cs="Arial"/>
                <w:highlight w:val="yellow"/>
              </w:rPr>
              <w:t>16</w:t>
            </w:r>
            <w:r w:rsidR="001E49AB" w:rsidRPr="00156466">
              <w:rPr>
                <w:rFonts w:ascii="Arial" w:hAnsi="Arial" w:cs="Arial"/>
                <w:highlight w:val="yellow"/>
              </w:rPr>
              <w:t>]</w:t>
            </w:r>
          </w:p>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557A060B" w14:textId="77777777" w:rsidR="00C07E6A" w:rsidRPr="00156466" w:rsidRDefault="00C07E6A" w:rsidP="00D21267">
            <w:pPr>
              <w:spacing w:before="0" w:line="240" w:lineRule="auto"/>
              <w:jc w:val="center"/>
              <w:rPr>
                <w:rFonts w:ascii="Arial" w:hAnsi="Arial" w:cs="Arial"/>
              </w:rPr>
            </w:pPr>
            <w:r w:rsidRPr="00156466">
              <w:rPr>
                <w:rFonts w:ascii="Arial" w:hAnsi="Arial" w:cs="Arial"/>
              </w:rPr>
              <w:t>3</w:t>
            </w:r>
          </w:p>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4546B3FB" w14:textId="77777777" w:rsidR="00C07E6A" w:rsidRPr="00156466" w:rsidRDefault="00C07E6A" w:rsidP="00D21267">
            <w:pPr>
              <w:spacing w:before="0" w:line="240" w:lineRule="auto"/>
              <w:jc w:val="center"/>
              <w:rPr>
                <w:rFonts w:ascii="Arial" w:hAnsi="Arial" w:cs="Arial"/>
              </w:rPr>
            </w:pPr>
            <w:r w:rsidRPr="00156466">
              <w:rPr>
                <w:rFonts w:ascii="Arial" w:hAnsi="Arial" w:cs="Arial"/>
              </w:rPr>
              <w:t>4</w:t>
            </w:r>
          </w:p>
        </w:tc>
        <w:tc>
          <w:tcPr>
            <w:tcW w:w="0" w:type="auto"/>
            <w:tcBorders>
              <w:top w:val="single" w:sz="6" w:space="0" w:color="000000"/>
              <w:left w:val="single" w:sz="6" w:space="0" w:color="000000"/>
              <w:bottom w:val="single" w:sz="6" w:space="0" w:color="000000"/>
              <w:right w:val="single" w:sz="6" w:space="0" w:color="000000"/>
            </w:tcBorders>
            <w:shd w:val="clear" w:color="auto" w:fill="EE0000"/>
            <w:tcMar>
              <w:top w:w="0" w:type="dxa"/>
              <w:left w:w="100" w:type="dxa"/>
              <w:bottom w:w="0" w:type="dxa"/>
              <w:right w:w="100" w:type="dxa"/>
            </w:tcMar>
            <w:hideMark/>
          </w:tcPr>
          <w:p w14:paraId="447371CF" w14:textId="77777777" w:rsidR="00C07E6A" w:rsidRPr="00156466" w:rsidRDefault="00C07E6A" w:rsidP="00D21267">
            <w:pPr>
              <w:spacing w:before="0" w:line="240" w:lineRule="auto"/>
              <w:jc w:val="center"/>
              <w:rPr>
                <w:rFonts w:ascii="Arial" w:hAnsi="Arial" w:cs="Arial"/>
              </w:rPr>
            </w:pPr>
            <w:r w:rsidRPr="00156466">
              <w:rPr>
                <w:rFonts w:ascii="Arial" w:hAnsi="Arial" w:cs="Arial"/>
              </w:rPr>
              <w:t>High</w:t>
            </w:r>
          </w:p>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1BE1F2EF" w14:textId="1D1CF5BE" w:rsidR="00C07E6A" w:rsidRPr="00156466" w:rsidRDefault="00C07E6A" w:rsidP="00D21267">
            <w:pPr>
              <w:spacing w:before="0" w:line="240" w:lineRule="auto"/>
              <w:rPr>
                <w:rFonts w:ascii="Arial" w:hAnsi="Arial" w:cs="Arial"/>
              </w:rPr>
            </w:pPr>
            <w:r w:rsidRPr="00156466">
              <w:rPr>
                <w:rFonts w:ascii="Arial" w:hAnsi="Arial" w:cs="Arial"/>
              </w:rPr>
              <w:t xml:space="preserve">DSS01 (Manage Operations) </w:t>
            </w:r>
            <w:r w:rsidR="001E49AB" w:rsidRPr="00156466">
              <w:rPr>
                <w:rFonts w:ascii="Arial" w:hAnsi="Arial" w:cs="Arial"/>
                <w:highlight w:val="yellow"/>
              </w:rPr>
              <w:t>[</w:t>
            </w:r>
            <w:r w:rsidR="007115ED" w:rsidRPr="00156466">
              <w:rPr>
                <w:rFonts w:ascii="Arial" w:hAnsi="Arial" w:cs="Arial"/>
                <w:highlight w:val="yellow"/>
              </w:rPr>
              <w:t>19</w:t>
            </w:r>
            <w:r w:rsidR="001E49AB" w:rsidRPr="00156466">
              <w:rPr>
                <w:rFonts w:ascii="Arial" w:hAnsi="Arial" w:cs="Arial"/>
                <w:highlight w:val="yellow"/>
              </w:rPr>
              <w:t xml:space="preserve">] </w:t>
            </w:r>
          </w:p>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46318168" w14:textId="77777777" w:rsidR="00C07E6A" w:rsidRPr="00156466" w:rsidRDefault="00C07E6A" w:rsidP="00D21267">
            <w:pPr>
              <w:spacing w:before="0" w:line="240" w:lineRule="auto"/>
              <w:rPr>
                <w:rFonts w:ascii="Arial" w:hAnsi="Arial" w:cs="Arial"/>
              </w:rPr>
            </w:pPr>
            <w:r w:rsidRPr="00156466">
              <w:rPr>
                <w:rFonts w:ascii="Arial" w:hAnsi="Arial" w:cs="Arial"/>
              </w:rPr>
              <w:t>Enforce the endpoint security system</w:t>
            </w:r>
          </w:p>
        </w:tc>
      </w:tr>
      <w:tr w:rsidR="00C07E6A" w:rsidRPr="00156466" w14:paraId="21C17560" w14:textId="77777777" w:rsidTr="00D21267">
        <w:trPr>
          <w:trHeight w:val="1635"/>
        </w:trPr>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15A97A74" w14:textId="77777777" w:rsidR="00C07E6A" w:rsidRPr="00156466" w:rsidRDefault="00C07E6A" w:rsidP="00D21267">
            <w:pPr>
              <w:spacing w:before="0" w:line="240" w:lineRule="auto"/>
              <w:rPr>
                <w:rFonts w:ascii="Arial" w:hAnsi="Arial" w:cs="Arial"/>
              </w:rPr>
            </w:pPr>
            <w:r w:rsidRPr="00156466">
              <w:rPr>
                <w:rFonts w:ascii="Arial" w:hAnsi="Arial" w:cs="Arial"/>
              </w:rPr>
              <w:t>Lack of business continuity planning</w:t>
            </w:r>
          </w:p>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21CB6ED0" w14:textId="3860A4C9" w:rsidR="00C07E6A" w:rsidRPr="00156466" w:rsidRDefault="00C07E6A" w:rsidP="00D21267">
            <w:pPr>
              <w:spacing w:before="0" w:line="240" w:lineRule="auto"/>
              <w:rPr>
                <w:rFonts w:ascii="Arial" w:hAnsi="Arial" w:cs="Arial"/>
              </w:rPr>
            </w:pPr>
            <w:r w:rsidRPr="00156466">
              <w:rPr>
                <w:rFonts w:ascii="Arial" w:hAnsi="Arial" w:cs="Arial"/>
              </w:rPr>
              <w:t xml:space="preserve">Operational downtime </w:t>
            </w:r>
            <w:r w:rsidR="001E49AB" w:rsidRPr="00156466">
              <w:rPr>
                <w:rFonts w:ascii="Arial" w:hAnsi="Arial" w:cs="Arial"/>
                <w:highlight w:val="yellow"/>
              </w:rPr>
              <w:t>[1</w:t>
            </w:r>
            <w:r w:rsidR="007115ED" w:rsidRPr="00156466">
              <w:rPr>
                <w:rFonts w:ascii="Arial" w:hAnsi="Arial" w:cs="Arial"/>
                <w:highlight w:val="yellow"/>
              </w:rPr>
              <w:t>7</w:t>
            </w:r>
            <w:r w:rsidR="001E49AB" w:rsidRPr="00156466">
              <w:rPr>
                <w:rFonts w:ascii="Arial" w:hAnsi="Arial" w:cs="Arial"/>
                <w:highlight w:val="yellow"/>
              </w:rPr>
              <w:t xml:space="preserve">] </w:t>
            </w:r>
          </w:p>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1466DDA8" w14:textId="77777777" w:rsidR="00C07E6A" w:rsidRPr="00156466" w:rsidRDefault="00C07E6A" w:rsidP="00D21267">
            <w:pPr>
              <w:spacing w:before="0" w:line="240" w:lineRule="auto"/>
              <w:jc w:val="center"/>
              <w:rPr>
                <w:rFonts w:ascii="Arial" w:hAnsi="Arial" w:cs="Arial"/>
              </w:rPr>
            </w:pPr>
            <w:r w:rsidRPr="00156466">
              <w:rPr>
                <w:rFonts w:ascii="Arial" w:hAnsi="Arial" w:cs="Arial"/>
              </w:rPr>
              <w:t>4</w:t>
            </w:r>
          </w:p>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4952436F" w14:textId="77777777" w:rsidR="00C07E6A" w:rsidRPr="00156466" w:rsidRDefault="00C07E6A" w:rsidP="00D21267">
            <w:pPr>
              <w:spacing w:before="0" w:line="240" w:lineRule="auto"/>
              <w:jc w:val="center"/>
              <w:rPr>
                <w:rFonts w:ascii="Arial" w:hAnsi="Arial" w:cs="Arial"/>
              </w:rPr>
            </w:pPr>
            <w:r w:rsidRPr="00156466">
              <w:rPr>
                <w:rFonts w:ascii="Arial" w:hAnsi="Arial" w:cs="Arial"/>
              </w:rPr>
              <w:t>4</w:t>
            </w:r>
          </w:p>
        </w:tc>
        <w:tc>
          <w:tcPr>
            <w:tcW w:w="0" w:type="auto"/>
            <w:tcBorders>
              <w:top w:val="single" w:sz="6" w:space="0" w:color="000000"/>
              <w:left w:val="single" w:sz="6" w:space="0" w:color="000000"/>
              <w:bottom w:val="single" w:sz="6" w:space="0" w:color="000000"/>
              <w:right w:val="single" w:sz="6" w:space="0" w:color="000000"/>
            </w:tcBorders>
            <w:shd w:val="clear" w:color="auto" w:fill="EE0000"/>
            <w:tcMar>
              <w:top w:w="0" w:type="dxa"/>
              <w:left w:w="100" w:type="dxa"/>
              <w:bottom w:w="0" w:type="dxa"/>
              <w:right w:w="100" w:type="dxa"/>
            </w:tcMar>
            <w:hideMark/>
          </w:tcPr>
          <w:p w14:paraId="73F1C526" w14:textId="77777777" w:rsidR="00C07E6A" w:rsidRPr="00156466" w:rsidRDefault="00C07E6A" w:rsidP="00D21267">
            <w:pPr>
              <w:spacing w:before="0" w:line="240" w:lineRule="auto"/>
              <w:jc w:val="center"/>
              <w:rPr>
                <w:rFonts w:ascii="Arial" w:hAnsi="Arial" w:cs="Arial"/>
              </w:rPr>
            </w:pPr>
            <w:r w:rsidRPr="00156466">
              <w:rPr>
                <w:rFonts w:ascii="Arial" w:hAnsi="Arial" w:cs="Arial"/>
              </w:rPr>
              <w:t>High</w:t>
            </w:r>
          </w:p>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1D253C1E" w14:textId="77777777" w:rsidR="00C07E6A" w:rsidRPr="00156466" w:rsidRDefault="00C07E6A" w:rsidP="00D21267">
            <w:pPr>
              <w:spacing w:before="0" w:line="240" w:lineRule="auto"/>
              <w:rPr>
                <w:rFonts w:ascii="Arial" w:hAnsi="Arial" w:cs="Arial"/>
              </w:rPr>
            </w:pPr>
            <w:r w:rsidRPr="00156466">
              <w:rPr>
                <w:rFonts w:ascii="Arial" w:hAnsi="Arial" w:cs="Arial"/>
              </w:rPr>
              <w:t>DSS04 (Manage Continuity)</w:t>
            </w:r>
          </w:p>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3880015F" w14:textId="4EFC6C28" w:rsidR="00C07E6A" w:rsidRPr="00156466" w:rsidRDefault="00C07E6A" w:rsidP="00D21267">
            <w:pPr>
              <w:spacing w:before="0" w:line="240" w:lineRule="auto"/>
              <w:rPr>
                <w:rFonts w:ascii="Arial" w:hAnsi="Arial" w:cs="Arial"/>
              </w:rPr>
            </w:pPr>
            <w:r w:rsidRPr="00156466">
              <w:rPr>
                <w:rFonts w:ascii="Arial" w:hAnsi="Arial" w:cs="Arial"/>
              </w:rPr>
              <w:t xml:space="preserve">Develop a BCP/DRP and resilience testing program </w:t>
            </w:r>
            <w:r w:rsidR="00D63AC6" w:rsidRPr="00156466">
              <w:rPr>
                <w:rFonts w:ascii="Arial" w:hAnsi="Arial" w:cs="Arial"/>
                <w:highlight w:val="yellow"/>
              </w:rPr>
              <w:t>[1</w:t>
            </w:r>
            <w:r w:rsidR="000C12AF" w:rsidRPr="00156466">
              <w:rPr>
                <w:rFonts w:ascii="Arial" w:hAnsi="Arial" w:cs="Arial"/>
                <w:highlight w:val="yellow"/>
              </w:rPr>
              <w:t>5</w:t>
            </w:r>
            <w:r w:rsidR="00D63AC6" w:rsidRPr="00156466">
              <w:rPr>
                <w:rFonts w:ascii="Arial" w:hAnsi="Arial" w:cs="Arial"/>
                <w:highlight w:val="yellow"/>
              </w:rPr>
              <w:t>]</w:t>
            </w:r>
            <w:r w:rsidR="000C12AF" w:rsidRPr="00156466">
              <w:rPr>
                <w:rFonts w:ascii="Arial" w:hAnsi="Arial" w:cs="Arial"/>
              </w:rPr>
              <w:t xml:space="preserve">. </w:t>
            </w:r>
          </w:p>
        </w:tc>
      </w:tr>
      <w:tr w:rsidR="00C07E6A" w:rsidRPr="00156466" w14:paraId="741E7C90" w14:textId="77777777" w:rsidTr="00D21267">
        <w:trPr>
          <w:trHeight w:val="1095"/>
        </w:trPr>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15C0B1E1" w14:textId="77777777" w:rsidR="00C07E6A" w:rsidRPr="00156466" w:rsidRDefault="00C07E6A" w:rsidP="00D21267">
            <w:pPr>
              <w:spacing w:before="0" w:line="240" w:lineRule="auto"/>
              <w:rPr>
                <w:rFonts w:ascii="Arial" w:hAnsi="Arial" w:cs="Arial"/>
              </w:rPr>
            </w:pPr>
            <w:r w:rsidRPr="00156466">
              <w:rPr>
                <w:rFonts w:ascii="Arial" w:hAnsi="Arial" w:cs="Arial"/>
              </w:rPr>
              <w:t>No centralised risk management</w:t>
            </w:r>
          </w:p>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1C74BB97" w14:textId="77777777" w:rsidR="00C07E6A" w:rsidRPr="00156466" w:rsidRDefault="00C07E6A" w:rsidP="00D21267">
            <w:pPr>
              <w:spacing w:before="0" w:line="240" w:lineRule="auto"/>
              <w:rPr>
                <w:rFonts w:ascii="Arial" w:hAnsi="Arial" w:cs="Arial"/>
              </w:rPr>
            </w:pPr>
            <w:r w:rsidRPr="00156466">
              <w:rPr>
                <w:rFonts w:ascii="Arial" w:hAnsi="Arial" w:cs="Arial"/>
              </w:rPr>
              <w:t>Blind spots in the threat landscape</w:t>
            </w:r>
          </w:p>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454D41D5" w14:textId="77777777" w:rsidR="00C07E6A" w:rsidRPr="00156466" w:rsidRDefault="00C07E6A" w:rsidP="00D21267">
            <w:pPr>
              <w:spacing w:before="0" w:line="240" w:lineRule="auto"/>
              <w:jc w:val="center"/>
              <w:rPr>
                <w:rFonts w:ascii="Arial" w:hAnsi="Arial" w:cs="Arial"/>
              </w:rPr>
            </w:pPr>
            <w:r w:rsidRPr="00156466">
              <w:rPr>
                <w:rFonts w:ascii="Arial" w:hAnsi="Arial" w:cs="Arial"/>
              </w:rPr>
              <w:t>4</w:t>
            </w:r>
          </w:p>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3FE36823" w14:textId="77777777" w:rsidR="00C07E6A" w:rsidRPr="00156466" w:rsidRDefault="00C07E6A" w:rsidP="00D21267">
            <w:pPr>
              <w:spacing w:before="0" w:line="240" w:lineRule="auto"/>
              <w:jc w:val="center"/>
              <w:rPr>
                <w:rFonts w:ascii="Arial" w:hAnsi="Arial" w:cs="Arial"/>
              </w:rPr>
            </w:pPr>
            <w:r w:rsidRPr="00156466">
              <w:rPr>
                <w:rFonts w:ascii="Arial" w:hAnsi="Arial" w:cs="Arial"/>
              </w:rPr>
              <w:t>3</w:t>
            </w:r>
          </w:p>
        </w:tc>
        <w:tc>
          <w:tcPr>
            <w:tcW w:w="0" w:type="auto"/>
            <w:tcBorders>
              <w:top w:val="single" w:sz="6" w:space="0" w:color="000000"/>
              <w:left w:val="single" w:sz="6" w:space="0" w:color="000000"/>
              <w:bottom w:val="single" w:sz="6" w:space="0" w:color="000000"/>
              <w:right w:val="single" w:sz="6" w:space="0" w:color="000000"/>
            </w:tcBorders>
            <w:shd w:val="clear" w:color="auto" w:fill="EE0000"/>
            <w:tcMar>
              <w:top w:w="0" w:type="dxa"/>
              <w:left w:w="100" w:type="dxa"/>
              <w:bottom w:w="0" w:type="dxa"/>
              <w:right w:w="100" w:type="dxa"/>
            </w:tcMar>
            <w:hideMark/>
          </w:tcPr>
          <w:p w14:paraId="121EE5CD" w14:textId="77777777" w:rsidR="00C07E6A" w:rsidRPr="00156466" w:rsidRDefault="00C07E6A" w:rsidP="00D21267">
            <w:pPr>
              <w:spacing w:before="0" w:line="240" w:lineRule="auto"/>
              <w:jc w:val="center"/>
              <w:rPr>
                <w:rFonts w:ascii="Arial" w:hAnsi="Arial" w:cs="Arial"/>
              </w:rPr>
            </w:pPr>
            <w:r w:rsidRPr="00156466">
              <w:rPr>
                <w:rFonts w:ascii="Arial" w:hAnsi="Arial" w:cs="Arial"/>
              </w:rPr>
              <w:t>High</w:t>
            </w:r>
          </w:p>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4662B034" w14:textId="77777777" w:rsidR="00C07E6A" w:rsidRPr="00156466" w:rsidRDefault="00C07E6A" w:rsidP="00D21267">
            <w:pPr>
              <w:spacing w:before="0" w:line="240" w:lineRule="auto"/>
              <w:rPr>
                <w:rFonts w:ascii="Arial" w:hAnsi="Arial" w:cs="Arial"/>
              </w:rPr>
            </w:pPr>
            <w:r w:rsidRPr="00156466">
              <w:rPr>
                <w:rFonts w:ascii="Arial" w:hAnsi="Arial" w:cs="Arial"/>
              </w:rPr>
              <w:t>APO12 (Manage Risk)</w:t>
            </w:r>
          </w:p>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530EA6B6" w14:textId="77777777" w:rsidR="00C07E6A" w:rsidRPr="00156466" w:rsidRDefault="00C07E6A" w:rsidP="00D21267">
            <w:pPr>
              <w:spacing w:before="0" w:line="240" w:lineRule="auto"/>
              <w:rPr>
                <w:rFonts w:ascii="Arial" w:hAnsi="Arial" w:cs="Arial"/>
              </w:rPr>
            </w:pPr>
            <w:r w:rsidRPr="00156466">
              <w:rPr>
                <w:rFonts w:ascii="Arial" w:hAnsi="Arial" w:cs="Arial"/>
              </w:rPr>
              <w:t>Establish an ERM framework</w:t>
            </w:r>
          </w:p>
        </w:tc>
      </w:tr>
    </w:tbl>
    <w:p w14:paraId="509DA875" w14:textId="6C28D022" w:rsidR="00C07E6A" w:rsidRPr="00156466" w:rsidRDefault="00C07E6A" w:rsidP="00C07E6A">
      <w:pPr>
        <w:jc w:val="center"/>
        <w:rPr>
          <w:rFonts w:ascii="Arial" w:hAnsi="Arial" w:cs="Arial"/>
          <w:b/>
          <w:bCs/>
        </w:rPr>
      </w:pPr>
      <w:r w:rsidRPr="00156466">
        <w:rPr>
          <w:rFonts w:ascii="Arial" w:hAnsi="Arial" w:cs="Arial"/>
          <w:b/>
          <w:bCs/>
        </w:rPr>
        <w:t>Table 4: Risk analysis</w:t>
      </w:r>
    </w:p>
    <w:p w14:paraId="4B546BFE" w14:textId="2ADBDABC" w:rsidR="00C07E6A" w:rsidRPr="00701AF4" w:rsidRDefault="00007DB0" w:rsidP="00C07E6A">
      <w:pPr>
        <w:rPr>
          <w:rFonts w:ascii="Arial" w:hAnsi="Arial" w:cs="Arial"/>
        </w:rPr>
      </w:pPr>
      <w:r w:rsidRPr="00701AF4">
        <w:rPr>
          <w:rFonts w:ascii="Arial" w:hAnsi="Arial" w:cs="Arial"/>
        </w:rPr>
        <w:t xml:space="preserve">This table identified that unauthorised access to the d data centre is the most prominent issue experience by aero link due to poor IT security system. Poor access control and measurement </w:t>
      </w:r>
      <w:proofErr w:type="spellStart"/>
      <w:r w:rsidRPr="00701AF4">
        <w:rPr>
          <w:rFonts w:ascii="Arial" w:hAnsi="Arial" w:cs="Arial"/>
        </w:rPr>
        <w:t>incraease</w:t>
      </w:r>
      <w:proofErr w:type="spellEnd"/>
      <w:r w:rsidRPr="00701AF4">
        <w:rPr>
          <w:rFonts w:ascii="Arial" w:hAnsi="Arial" w:cs="Arial"/>
        </w:rPr>
        <w:t xml:space="preserve"> the chance of breaches.  There is no proper vendor selection process is followed by the organisation which causes high threat incident to leak the data. Immature complicates plan failed to adhere GDPR/ISO 27001 which causes audit failures to detect the threat incidents. </w:t>
      </w:r>
      <w:r w:rsidR="00C07E6A" w:rsidRPr="00701AF4">
        <w:rPr>
          <w:rFonts w:ascii="Arial" w:hAnsi="Arial" w:cs="Arial"/>
        </w:rPr>
        <w:t>Following this proposed mitigation plan helps the organisation to avoid the identified risk successfully.</w:t>
      </w:r>
    </w:p>
    <w:p w14:paraId="60916770" w14:textId="6A29CD8E" w:rsidR="0076057C" w:rsidRPr="00156466" w:rsidRDefault="0076057C" w:rsidP="0076057C">
      <w:pPr>
        <w:pStyle w:val="Heading2"/>
        <w:rPr>
          <w:rFonts w:ascii="Arial" w:hAnsi="Arial" w:cs="Arial"/>
        </w:rPr>
      </w:pPr>
      <w:bookmarkStart w:id="22" w:name="_Toc234840311"/>
      <w:r w:rsidRPr="00701AF4">
        <w:rPr>
          <w:rFonts w:ascii="Arial" w:hAnsi="Arial" w:cs="Arial"/>
        </w:rPr>
        <w:t>4.</w:t>
      </w:r>
      <w:r w:rsidR="00A074B9" w:rsidRPr="00701AF4">
        <w:rPr>
          <w:rFonts w:ascii="Arial" w:hAnsi="Arial" w:cs="Arial"/>
        </w:rPr>
        <w:t>6</w:t>
      </w:r>
      <w:r w:rsidRPr="00701AF4">
        <w:rPr>
          <w:rFonts w:ascii="Arial" w:hAnsi="Arial" w:cs="Arial"/>
        </w:rPr>
        <w:t xml:space="preserve"> Contingency and Business Continuity Planning</w:t>
      </w:r>
      <w:bookmarkEnd w:id="22"/>
    </w:p>
    <w:p w14:paraId="453A2EF2" w14:textId="77777777" w:rsidR="0076057C" w:rsidRPr="00156466" w:rsidRDefault="0076057C" w:rsidP="0076057C">
      <w:pPr>
        <w:rPr>
          <w:rFonts w:ascii="Arial" w:hAnsi="Arial" w:cs="Arial"/>
          <w:b/>
          <w:bCs/>
          <w:u w:val="single"/>
        </w:rPr>
      </w:pPr>
      <w:r w:rsidRPr="00156466">
        <w:rPr>
          <w:rFonts w:ascii="Arial" w:hAnsi="Arial" w:cs="Arial"/>
          <w:b/>
          <w:bCs/>
          <w:u w:val="single"/>
        </w:rPr>
        <w:t xml:space="preserve">Incident response, disaster recovery and business continuity plan </w:t>
      </w:r>
    </w:p>
    <w:p w14:paraId="6427CC09" w14:textId="77777777" w:rsidR="0076057C" w:rsidRPr="00156466" w:rsidRDefault="0076057C" w:rsidP="0076057C">
      <w:pPr>
        <w:rPr>
          <w:rFonts w:ascii="Arial" w:hAnsi="Arial" w:cs="Arial"/>
        </w:rPr>
      </w:pPr>
      <w:r w:rsidRPr="00156466">
        <w:rPr>
          <w:rFonts w:ascii="Arial" w:hAnsi="Arial" w:cs="Arial"/>
          <w:b/>
          <w:bCs/>
          <w:noProof/>
          <w:lang w:val="en-IN" w:eastAsia="en-IN" w:bidi="gu-IN"/>
        </w:rPr>
        <w:lastRenderedPageBreak/>
        <w:drawing>
          <wp:inline distT="0" distB="0" distL="0" distR="0" wp14:anchorId="30F42F42" wp14:editId="22C5CF52">
            <wp:extent cx="6049738" cy="849086"/>
            <wp:effectExtent l="0" t="0" r="8255" b="8255"/>
            <wp:docPr id="1493677181"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93677181" name="Picture 22"/>
                    <pic:cNvPicPr>
                      <a:picLocks noChangeAspect="1" noChangeArrowheads="1"/>
                    </pic:cNvPicPr>
                  </pic:nvPicPr>
                  <pic:blipFill>
                    <a:blip r:embed="rId14">
                      <a:extLst>
                        <a:ext uri="{28A0092B-C50C-407E-A947-70E740481C1C}">
                          <a14:useLocalDpi xmlns:a14="http://schemas.microsoft.com/office/drawing/2010/main" val="0"/>
                        </a:ext>
                      </a:extLst>
                    </a:blip>
                    <a:stretch>
                      <a:fillRect/>
                    </a:stretch>
                  </pic:blipFill>
                  <pic:spPr bwMode="auto">
                    <a:xfrm>
                      <a:off x="0" y="0"/>
                      <a:ext cx="6072298" cy="852252"/>
                    </a:xfrm>
                    <a:prstGeom prst="rect">
                      <a:avLst/>
                    </a:prstGeom>
                    <a:noFill/>
                    <a:ln>
                      <a:noFill/>
                    </a:ln>
                  </pic:spPr>
                </pic:pic>
              </a:graphicData>
            </a:graphic>
          </wp:inline>
        </w:drawing>
      </w:r>
    </w:p>
    <w:p w14:paraId="65CB521B" w14:textId="77777777" w:rsidR="0076057C" w:rsidRPr="00156466" w:rsidRDefault="0076057C" w:rsidP="0076057C">
      <w:pPr>
        <w:jc w:val="center"/>
        <w:rPr>
          <w:rFonts w:ascii="Arial" w:hAnsi="Arial" w:cs="Arial"/>
        </w:rPr>
      </w:pPr>
      <w:r w:rsidRPr="00156466">
        <w:rPr>
          <w:rFonts w:ascii="Arial" w:hAnsi="Arial" w:cs="Arial"/>
          <w:b/>
          <w:bCs/>
        </w:rPr>
        <w:t>Figure 4: COBIT DSS02 incident management</w:t>
      </w:r>
    </w:p>
    <w:p w14:paraId="4419B1AC" w14:textId="77777777" w:rsidR="0076057C" w:rsidRPr="00156466" w:rsidRDefault="0076057C" w:rsidP="0076057C">
      <w:pPr>
        <w:jc w:val="center"/>
        <w:rPr>
          <w:rFonts w:ascii="Arial" w:hAnsi="Arial" w:cs="Arial"/>
        </w:rPr>
      </w:pPr>
      <w:r w:rsidRPr="00156466">
        <w:rPr>
          <w:rFonts w:ascii="Arial" w:hAnsi="Arial" w:cs="Arial"/>
          <w:highlight w:val="yellow"/>
        </w:rPr>
        <w:t xml:space="preserve"> (Source: self-developed, idea taken from [19]</w:t>
      </w:r>
    </w:p>
    <w:p w14:paraId="0245311D" w14:textId="19AF3630" w:rsidR="0076057C" w:rsidRPr="00156466" w:rsidRDefault="0076057C" w:rsidP="0076057C">
      <w:pPr>
        <w:rPr>
          <w:rFonts w:ascii="Arial" w:hAnsi="Arial" w:cs="Arial"/>
        </w:rPr>
      </w:pPr>
      <w:r w:rsidRPr="00701AF4">
        <w:rPr>
          <w:rFonts w:ascii="Arial" w:hAnsi="Arial" w:cs="Arial"/>
        </w:rPr>
        <w:t>COBIT DSS02 documented the entire procedure clearly to the stakeholders to respond to the breach on time. COBIT DSS04 strengthens the disaster recovery procedure and recovers the data within 4 to 5 hours. COBIT DSS04 support to continue logistics operation within the crisis period [19]. It prioritises warehousing, shipment, tracking and distribution to continue operation.  It develops alternative policies to secure VPN networks.</w:t>
      </w:r>
    </w:p>
    <w:p w14:paraId="3E6A6402" w14:textId="35B5E9AE" w:rsidR="0076057C" w:rsidRPr="00156466" w:rsidRDefault="00C07E6A" w:rsidP="00C07E6A">
      <w:pPr>
        <w:pStyle w:val="Heading2"/>
        <w:rPr>
          <w:rFonts w:ascii="Arial" w:hAnsi="Arial" w:cs="Arial"/>
        </w:rPr>
      </w:pPr>
      <w:bookmarkStart w:id="23" w:name="_Toc234840312"/>
      <w:r w:rsidRPr="00156466">
        <w:rPr>
          <w:rFonts w:ascii="Arial" w:hAnsi="Arial" w:cs="Arial"/>
        </w:rPr>
        <w:t>4.</w:t>
      </w:r>
      <w:r w:rsidR="00A074B9" w:rsidRPr="00156466">
        <w:rPr>
          <w:rFonts w:ascii="Arial" w:hAnsi="Arial" w:cs="Arial"/>
        </w:rPr>
        <w:t>7</w:t>
      </w:r>
      <w:r w:rsidRPr="00156466">
        <w:rPr>
          <w:rFonts w:ascii="Arial" w:hAnsi="Arial" w:cs="Arial"/>
        </w:rPr>
        <w:t xml:space="preserve"> </w:t>
      </w:r>
      <w:r w:rsidR="0076057C" w:rsidRPr="00156466">
        <w:rPr>
          <w:rFonts w:ascii="Arial" w:hAnsi="Arial" w:cs="Arial"/>
        </w:rPr>
        <w:t>Protection Mechanisms and Access Controls</w:t>
      </w:r>
      <w:bookmarkEnd w:id="23"/>
    </w:p>
    <w:p w14:paraId="72EC94A0" w14:textId="73A6B418" w:rsidR="00C07E6A" w:rsidRPr="00156466" w:rsidRDefault="00C07E6A" w:rsidP="00C07E6A">
      <w:pPr>
        <w:rPr>
          <w:rFonts w:ascii="Arial" w:hAnsi="Arial" w:cs="Arial"/>
        </w:rPr>
      </w:pPr>
      <w:r w:rsidRPr="00156466">
        <w:rPr>
          <w:rFonts w:ascii="Arial" w:hAnsi="Arial" w:cs="Arial"/>
          <w:b/>
          <w:bCs/>
        </w:rPr>
        <w:t>Access control –</w:t>
      </w:r>
      <w:r w:rsidRPr="00156466">
        <w:rPr>
          <w:rFonts w:ascii="Arial" w:hAnsi="Arial" w:cs="Arial"/>
        </w:rPr>
        <w:t xml:space="preserve"> Application of the COBIT 2019 framework helps the organisation to control access by unauthorised sources.  Role-based access ensures that no one can use the information without permission </w:t>
      </w:r>
      <w:r w:rsidR="001E49AB" w:rsidRPr="00156466">
        <w:rPr>
          <w:rFonts w:ascii="Arial" w:hAnsi="Arial" w:cs="Arial"/>
          <w:highlight w:val="yellow"/>
        </w:rPr>
        <w:t>[1</w:t>
      </w:r>
      <w:r w:rsidR="007115ED" w:rsidRPr="00156466">
        <w:rPr>
          <w:rFonts w:ascii="Arial" w:hAnsi="Arial" w:cs="Arial"/>
          <w:highlight w:val="yellow"/>
        </w:rPr>
        <w:t>7</w:t>
      </w:r>
      <w:r w:rsidR="001E49AB" w:rsidRPr="00156466">
        <w:rPr>
          <w:rFonts w:ascii="Arial" w:hAnsi="Arial" w:cs="Arial"/>
          <w:highlight w:val="yellow"/>
        </w:rPr>
        <w:t>]</w:t>
      </w:r>
      <w:r w:rsidR="007115ED" w:rsidRPr="00156466">
        <w:rPr>
          <w:rFonts w:ascii="Arial" w:hAnsi="Arial" w:cs="Arial"/>
        </w:rPr>
        <w:t xml:space="preserve">. </w:t>
      </w:r>
      <w:r w:rsidRPr="00156466">
        <w:rPr>
          <w:rFonts w:ascii="Arial" w:hAnsi="Arial" w:cs="Arial"/>
        </w:rPr>
        <w:t>Multifactor authentication is mandatory for employees, partners and vendors to access sensitive data.</w:t>
      </w:r>
    </w:p>
    <w:p w14:paraId="790EB781" w14:textId="5F6641E3" w:rsidR="00C07E6A" w:rsidRPr="00156466" w:rsidRDefault="00C07E6A" w:rsidP="00C07E6A">
      <w:pPr>
        <w:rPr>
          <w:rFonts w:ascii="Arial" w:hAnsi="Arial" w:cs="Arial"/>
        </w:rPr>
      </w:pPr>
      <w:r w:rsidRPr="00156466">
        <w:rPr>
          <w:rFonts w:ascii="Arial" w:hAnsi="Arial" w:cs="Arial"/>
          <w:b/>
          <w:bCs/>
        </w:rPr>
        <w:t>Encryption practice</w:t>
      </w:r>
      <w:r w:rsidRPr="00156466">
        <w:rPr>
          <w:rFonts w:ascii="Arial" w:hAnsi="Arial" w:cs="Arial"/>
        </w:rPr>
        <w:t xml:space="preserve"> - AES-256 encryption option for warehouse, </w:t>
      </w:r>
      <w:r w:rsidR="009501D0" w:rsidRPr="00701AF4">
        <w:rPr>
          <w:rFonts w:ascii="Arial" w:hAnsi="Arial" w:cs="Arial"/>
        </w:rPr>
        <w:t xml:space="preserve">AI based </w:t>
      </w:r>
      <w:r w:rsidRPr="00701AF4">
        <w:rPr>
          <w:rFonts w:ascii="Arial" w:hAnsi="Arial" w:cs="Arial"/>
        </w:rPr>
        <w:t xml:space="preserve">cloud storage and database ensures the data at rest. Centralised data lifecycle management </w:t>
      </w:r>
      <w:r w:rsidR="009501D0" w:rsidRPr="00701AF4">
        <w:rPr>
          <w:rFonts w:ascii="Arial" w:hAnsi="Arial" w:cs="Arial"/>
        </w:rPr>
        <w:t xml:space="preserve">through AI based cloud solution </w:t>
      </w:r>
      <w:r w:rsidRPr="00701AF4">
        <w:rPr>
          <w:rFonts w:ascii="Arial" w:hAnsi="Arial" w:cs="Arial"/>
        </w:rPr>
        <w:t>avoids data breach incidents.</w:t>
      </w:r>
    </w:p>
    <w:p w14:paraId="44A2D9F5" w14:textId="5DFA8485" w:rsidR="00C07E6A" w:rsidRPr="00156466" w:rsidRDefault="00C07E6A" w:rsidP="00C07E6A">
      <w:pPr>
        <w:rPr>
          <w:rFonts w:ascii="Arial" w:hAnsi="Arial" w:cs="Arial"/>
        </w:rPr>
      </w:pPr>
      <w:r w:rsidRPr="00156466">
        <w:rPr>
          <w:rFonts w:ascii="Arial" w:hAnsi="Arial" w:cs="Arial"/>
          <w:b/>
          <w:bCs/>
        </w:rPr>
        <w:t>Zero Trust architecture</w:t>
      </w:r>
      <w:r w:rsidRPr="00156466">
        <w:rPr>
          <w:rFonts w:ascii="Arial" w:hAnsi="Arial" w:cs="Arial"/>
        </w:rPr>
        <w:t xml:space="preserve"> – Zero Trust Architecture works with a never-trust policy. Every access request is cross verified with an authentic ID and password </w:t>
      </w:r>
      <w:r w:rsidR="00D63AC6" w:rsidRPr="00156466">
        <w:rPr>
          <w:rFonts w:ascii="Arial" w:hAnsi="Arial" w:cs="Arial"/>
          <w:highlight w:val="yellow"/>
        </w:rPr>
        <w:t>[</w:t>
      </w:r>
      <w:r w:rsidR="007115ED" w:rsidRPr="00156466">
        <w:rPr>
          <w:rFonts w:ascii="Arial" w:hAnsi="Arial" w:cs="Arial"/>
          <w:highlight w:val="yellow"/>
        </w:rPr>
        <w:t>18]</w:t>
      </w:r>
      <w:r w:rsidRPr="00156466">
        <w:rPr>
          <w:rFonts w:ascii="Arial" w:hAnsi="Arial" w:cs="Arial"/>
          <w:highlight w:val="yellow"/>
        </w:rPr>
        <w:t>.</w:t>
      </w:r>
      <w:r w:rsidRPr="00156466">
        <w:rPr>
          <w:rFonts w:ascii="Arial" w:hAnsi="Arial" w:cs="Arial"/>
        </w:rPr>
        <w:t xml:space="preserve"> Micro-segmentation allows the attacker to identify the attackers regardless of location.</w:t>
      </w:r>
    </w:p>
    <w:p w14:paraId="36905CDA" w14:textId="0C1AB25A" w:rsidR="00C07E6A" w:rsidRPr="00156466" w:rsidRDefault="00C07E6A" w:rsidP="00C07E6A">
      <w:pPr>
        <w:pStyle w:val="Heading2"/>
        <w:rPr>
          <w:rFonts w:ascii="Arial" w:hAnsi="Arial" w:cs="Arial"/>
        </w:rPr>
      </w:pPr>
      <w:bookmarkStart w:id="24" w:name="_Toc234840313"/>
      <w:r w:rsidRPr="00156466">
        <w:rPr>
          <w:rFonts w:ascii="Arial" w:hAnsi="Arial" w:cs="Arial"/>
        </w:rPr>
        <w:t>4.</w:t>
      </w:r>
      <w:r w:rsidR="00A074B9" w:rsidRPr="00156466">
        <w:rPr>
          <w:rFonts w:ascii="Arial" w:hAnsi="Arial" w:cs="Arial"/>
        </w:rPr>
        <w:t>8</w:t>
      </w:r>
      <w:r w:rsidRPr="00156466">
        <w:rPr>
          <w:rFonts w:ascii="Arial" w:hAnsi="Arial" w:cs="Arial"/>
        </w:rPr>
        <w:t xml:space="preserve"> Vendor management and SLA governance</w:t>
      </w:r>
      <w:bookmarkEnd w:id="24"/>
    </w:p>
    <w:p w14:paraId="5B46F0A9" w14:textId="03478EA6" w:rsidR="00C07E6A" w:rsidRPr="00156466" w:rsidRDefault="00C07E6A" w:rsidP="00C07E6A">
      <w:pPr>
        <w:rPr>
          <w:rFonts w:ascii="Arial" w:hAnsi="Arial" w:cs="Arial"/>
        </w:rPr>
      </w:pPr>
      <w:r w:rsidRPr="00156466">
        <w:rPr>
          <w:rFonts w:ascii="Arial" w:hAnsi="Arial" w:cs="Arial"/>
        </w:rPr>
        <w:t xml:space="preserve">Managing vendors at this stage is an important action for the organisation.  The decision to initiate due diligence before </w:t>
      </w:r>
      <w:proofErr w:type="spellStart"/>
      <w:r w:rsidRPr="00156466">
        <w:rPr>
          <w:rFonts w:ascii="Arial" w:hAnsi="Arial" w:cs="Arial"/>
        </w:rPr>
        <w:t>onboarding</w:t>
      </w:r>
      <w:proofErr w:type="spellEnd"/>
      <w:r w:rsidRPr="00156466">
        <w:rPr>
          <w:rFonts w:ascii="Arial" w:hAnsi="Arial" w:cs="Arial"/>
        </w:rPr>
        <w:t xml:space="preserve"> a vendor to avoid risks. COBIT APO12 support to conduct a vendor risk assessment to select credible vendors and avoid cybersecurity </w:t>
      </w:r>
      <w:r w:rsidRPr="00156466">
        <w:rPr>
          <w:rFonts w:ascii="Arial" w:hAnsi="Arial" w:cs="Arial"/>
        </w:rPr>
        <w:lastRenderedPageBreak/>
        <w:t xml:space="preserve">issues </w:t>
      </w:r>
      <w:r w:rsidR="001E49AB" w:rsidRPr="00156466">
        <w:rPr>
          <w:rFonts w:ascii="Arial" w:hAnsi="Arial" w:cs="Arial"/>
          <w:highlight w:val="yellow"/>
        </w:rPr>
        <w:t>[</w:t>
      </w:r>
      <w:r w:rsidR="000C12AF" w:rsidRPr="00156466">
        <w:rPr>
          <w:rFonts w:ascii="Arial" w:hAnsi="Arial" w:cs="Arial"/>
          <w:highlight w:val="yellow"/>
        </w:rPr>
        <w:t>10</w:t>
      </w:r>
      <w:r w:rsidR="001E49AB" w:rsidRPr="00156466">
        <w:rPr>
          <w:rFonts w:ascii="Arial" w:hAnsi="Arial" w:cs="Arial"/>
          <w:highlight w:val="yellow"/>
        </w:rPr>
        <w:t>]</w:t>
      </w:r>
      <w:r w:rsidR="000C12AF" w:rsidRPr="00156466">
        <w:rPr>
          <w:rFonts w:ascii="Arial" w:hAnsi="Arial" w:cs="Arial"/>
          <w:highlight w:val="yellow"/>
        </w:rPr>
        <w:t>.</w:t>
      </w:r>
      <w:r w:rsidRPr="00156466">
        <w:rPr>
          <w:rFonts w:ascii="Arial" w:hAnsi="Arial" w:cs="Arial"/>
        </w:rPr>
        <w:t xml:space="preserve"> DSS01 process collects monthly vendor reports to check the performance accuracy. SLA defines the penalties for data breaches which avoid data loss. SLA governance practice allows sending breach notification instantly to implement the response plan immediately. As per the data protection act backup system will work to continue the service process.</w:t>
      </w:r>
    </w:p>
    <w:p w14:paraId="745EAAAF" w14:textId="77777777" w:rsidR="00C07E6A" w:rsidRPr="00156466" w:rsidRDefault="00C07E6A" w:rsidP="00C07E6A">
      <w:pPr>
        <w:pStyle w:val="Heading1"/>
        <w:rPr>
          <w:rFonts w:cs="Arial"/>
        </w:rPr>
      </w:pPr>
      <w:bookmarkStart w:id="25" w:name="_Toc234840314"/>
      <w:r w:rsidRPr="00156466">
        <w:rPr>
          <w:rFonts w:cs="Arial"/>
        </w:rPr>
        <w:t>5.0 Importance of continuous regulatory and standards updates</w:t>
      </w:r>
      <w:bookmarkEnd w:id="25"/>
    </w:p>
    <w:p w14:paraId="3501FFCE" w14:textId="6617BA1A" w:rsidR="00C07E6A" w:rsidRPr="00156466" w:rsidRDefault="00C07E6A" w:rsidP="00C07E6A">
      <w:pPr>
        <w:rPr>
          <w:rFonts w:ascii="Arial" w:hAnsi="Arial" w:cs="Arial"/>
        </w:rPr>
      </w:pPr>
      <w:r w:rsidRPr="00156466">
        <w:rPr>
          <w:rFonts w:ascii="Arial" w:hAnsi="Arial" w:cs="Arial"/>
        </w:rPr>
        <w:t xml:space="preserve">The decision to update regulatory practice and standards is highly essential at the present time because it identifies the emerging threats. As per, </w:t>
      </w:r>
      <w:r w:rsidR="001E49AB" w:rsidRPr="00156466">
        <w:rPr>
          <w:rFonts w:ascii="Arial" w:hAnsi="Arial" w:cs="Arial"/>
          <w:highlight w:val="yellow"/>
        </w:rPr>
        <w:t>[</w:t>
      </w:r>
      <w:r w:rsidR="007115ED" w:rsidRPr="00156466">
        <w:rPr>
          <w:rFonts w:ascii="Arial" w:hAnsi="Arial" w:cs="Arial"/>
          <w:highlight w:val="yellow"/>
        </w:rPr>
        <w:t>21</w:t>
      </w:r>
      <w:r w:rsidR="001E49AB" w:rsidRPr="00156466">
        <w:rPr>
          <w:rFonts w:ascii="Arial" w:hAnsi="Arial" w:cs="Arial"/>
          <w:highlight w:val="yellow"/>
        </w:rPr>
        <w:t>]</w:t>
      </w:r>
      <w:r w:rsidR="007115ED" w:rsidRPr="00156466">
        <w:rPr>
          <w:rFonts w:ascii="Arial" w:hAnsi="Arial" w:cs="Arial"/>
        </w:rPr>
        <w:t xml:space="preserve">, </w:t>
      </w:r>
      <w:r w:rsidRPr="00156466">
        <w:rPr>
          <w:rFonts w:ascii="Arial" w:hAnsi="Arial" w:cs="Arial"/>
        </w:rPr>
        <w:t xml:space="preserve">cyber threats are evolving continuously, which leaves vulnerabilities to the logistic operation. Outdated standards and practices do not allow control of the system. To upgrade the process, it is essential for the organisation to adapt to the emerging threats, such as access control and encryption. SOC 2 and ISO 27001 strengthen the privacy and security policy of the organisation, which avoids any legal complexities in the operational area. Continuous regulatory and standard updates help the organisation to maintain vendor accountability </w:t>
      </w:r>
      <w:r w:rsidR="001E49AB" w:rsidRPr="00156466">
        <w:rPr>
          <w:rFonts w:ascii="Arial" w:hAnsi="Arial" w:cs="Arial"/>
          <w:highlight w:val="yellow"/>
        </w:rPr>
        <w:t>[</w:t>
      </w:r>
      <w:r w:rsidR="007115ED" w:rsidRPr="00156466">
        <w:rPr>
          <w:rFonts w:ascii="Arial" w:hAnsi="Arial" w:cs="Arial"/>
          <w:highlight w:val="yellow"/>
        </w:rPr>
        <w:t>19</w:t>
      </w:r>
      <w:r w:rsidR="001E49AB" w:rsidRPr="00156466">
        <w:rPr>
          <w:rFonts w:ascii="Arial" w:hAnsi="Arial" w:cs="Arial"/>
          <w:highlight w:val="yellow"/>
        </w:rPr>
        <w:t>]</w:t>
      </w:r>
      <w:r w:rsidR="007115ED" w:rsidRPr="00156466">
        <w:rPr>
          <w:rFonts w:ascii="Arial" w:hAnsi="Arial" w:cs="Arial"/>
        </w:rPr>
        <w:t xml:space="preserve">. </w:t>
      </w:r>
      <w:r w:rsidRPr="00156466">
        <w:rPr>
          <w:rFonts w:ascii="Arial" w:hAnsi="Arial" w:cs="Arial"/>
        </w:rPr>
        <w:t>It ensures that third-party vendors meet the same compliance standards to maintain the standard of performance. COBIT DSS04 integrates a new disaster recovery plan that continuously checks the system across all domains to identify emerging supply chain attack which ensures business continuity and organisational resilience.</w:t>
      </w:r>
    </w:p>
    <w:p w14:paraId="114FE07D" w14:textId="27D1D628" w:rsidR="00B24FA7" w:rsidRPr="00156466" w:rsidRDefault="00550A01">
      <w:pPr>
        <w:pStyle w:val="Heading1"/>
        <w:rPr>
          <w:rFonts w:cs="Arial"/>
        </w:rPr>
      </w:pPr>
      <w:bookmarkStart w:id="26" w:name="_4zo7mpquudff" w:colFirst="0" w:colLast="0"/>
      <w:bookmarkStart w:id="27" w:name="_Toc234840315"/>
      <w:bookmarkEnd w:id="26"/>
      <w:r w:rsidRPr="00156466">
        <w:rPr>
          <w:rFonts w:cs="Arial"/>
        </w:rPr>
        <w:t>6.0 Conclusion</w:t>
      </w:r>
      <w:bookmarkEnd w:id="27"/>
      <w:r w:rsidRPr="00156466">
        <w:rPr>
          <w:rFonts w:cs="Arial"/>
        </w:rPr>
        <w:t xml:space="preserve"> </w:t>
      </w:r>
    </w:p>
    <w:p w14:paraId="4063C90B" w14:textId="5E375FFD" w:rsidR="001D3B51" w:rsidRPr="00156466" w:rsidRDefault="00550A01">
      <w:pPr>
        <w:rPr>
          <w:rFonts w:ascii="Arial" w:hAnsi="Arial" w:cs="Arial"/>
        </w:rPr>
      </w:pPr>
      <w:r w:rsidRPr="00156466">
        <w:rPr>
          <w:rFonts w:ascii="Arial" w:hAnsi="Arial" w:cs="Arial"/>
        </w:rPr>
        <w:t xml:space="preserve">This is a case of </w:t>
      </w:r>
      <w:proofErr w:type="spellStart"/>
      <w:r w:rsidRPr="00156466">
        <w:rPr>
          <w:rFonts w:ascii="Arial" w:hAnsi="Arial" w:cs="Arial"/>
        </w:rPr>
        <w:t>AeroLink</w:t>
      </w:r>
      <w:proofErr w:type="spellEnd"/>
      <w:r w:rsidRPr="00156466">
        <w:rPr>
          <w:rFonts w:ascii="Arial" w:hAnsi="Arial" w:cs="Arial"/>
        </w:rPr>
        <w:t xml:space="preserve"> Logistic company, and the organisation has been facing many cybersecurity issues and challenges related to it. The different cybersecurity frameworks like NIST 2.0, ISO/IEC 27001:2022, COBIT 2019 and ITIL 4 Security Management are discussed critically. Then, from the critical analysis, COBIT 2019 is the most suitable framework that the organisation can use for their cybersecurity. </w:t>
      </w:r>
      <w:r w:rsidRPr="00156466">
        <w:rPr>
          <w:rFonts w:ascii="Arial" w:hAnsi="Arial" w:cs="Arial"/>
          <w:i/>
          <w:iCs/>
        </w:rPr>
        <w:t>COBIT 19</w:t>
      </w:r>
      <w:r w:rsidRPr="00156466">
        <w:rPr>
          <w:rFonts w:ascii="Arial" w:hAnsi="Arial" w:cs="Arial"/>
        </w:rPr>
        <w:t xml:space="preserve"> can be used with other frameworks, and it helps in securing governance and accountability in making decisions.  The organisation </w:t>
      </w:r>
      <w:r w:rsidR="00394554" w:rsidRPr="00156466">
        <w:rPr>
          <w:rFonts w:ascii="Arial" w:hAnsi="Arial" w:cs="Arial"/>
        </w:rPr>
        <w:t>outsources</w:t>
      </w:r>
      <w:r w:rsidRPr="00156466">
        <w:rPr>
          <w:rFonts w:ascii="Arial" w:hAnsi="Arial" w:cs="Arial"/>
        </w:rPr>
        <w:t xml:space="preserve"> IT services from third parties, and to secure the third-party vendors, the framework is the most suitable. It needs huge investment, but the organisation is a large-scale organisation with good financial resources </w:t>
      </w:r>
      <w:r w:rsidR="00B07A0C" w:rsidRPr="00156466">
        <w:rPr>
          <w:rFonts w:ascii="Arial" w:hAnsi="Arial" w:cs="Arial"/>
        </w:rPr>
        <w:t>and</w:t>
      </w:r>
      <w:r w:rsidRPr="00156466">
        <w:rPr>
          <w:rFonts w:ascii="Arial" w:hAnsi="Arial" w:cs="Arial"/>
        </w:rPr>
        <w:t xml:space="preserve"> has experts, </w:t>
      </w:r>
      <w:r w:rsidRPr="00156466">
        <w:rPr>
          <w:rFonts w:ascii="Arial" w:hAnsi="Arial" w:cs="Arial"/>
        </w:rPr>
        <w:lastRenderedPageBreak/>
        <w:t xml:space="preserve">so adopting this framework for cybersecurity can benefit the organisation in protecting data. </w:t>
      </w:r>
      <w:r w:rsidR="006E0981" w:rsidRPr="00156466">
        <w:rPr>
          <w:rFonts w:ascii="Arial" w:hAnsi="Arial" w:cs="Arial"/>
        </w:rPr>
        <w:t xml:space="preserve">Finally, the importance of continuous update regulation and standard regulation review are discussed. </w:t>
      </w:r>
      <w:proofErr w:type="spellStart"/>
      <w:r w:rsidR="006E0981" w:rsidRPr="00156466">
        <w:rPr>
          <w:rFonts w:ascii="Arial" w:hAnsi="Arial" w:cs="Arial"/>
        </w:rPr>
        <w:t>AeroLink</w:t>
      </w:r>
      <w:proofErr w:type="spellEnd"/>
      <w:r w:rsidR="006E0981" w:rsidRPr="00156466">
        <w:rPr>
          <w:rFonts w:ascii="Arial" w:hAnsi="Arial" w:cs="Arial"/>
        </w:rPr>
        <w:t xml:space="preserve"> should regular review of the system and update to stay updated about the new and advanced features so that they can protect the sensitive data and maintain trust among </w:t>
      </w:r>
      <w:proofErr w:type="spellStart"/>
      <w:r w:rsidR="006E0981" w:rsidRPr="00156466">
        <w:rPr>
          <w:rFonts w:ascii="Arial" w:hAnsi="Arial" w:cs="Arial"/>
        </w:rPr>
        <w:t>ter</w:t>
      </w:r>
      <w:proofErr w:type="spellEnd"/>
      <w:r w:rsidR="006E0981" w:rsidRPr="00156466">
        <w:rPr>
          <w:rFonts w:ascii="Arial" w:hAnsi="Arial" w:cs="Arial"/>
        </w:rPr>
        <w:t xml:space="preserve"> customers. Finally, it is recommended to hire most experts and invest in advanced tool and technologies and developing partnership with IT firms to get best results. </w:t>
      </w:r>
      <w:r w:rsidR="009E0492" w:rsidRPr="00701AF4">
        <w:rPr>
          <w:rFonts w:ascii="Arial" w:hAnsi="Arial" w:cs="Arial"/>
        </w:rPr>
        <w:t>The case study identified a recent issue of cybersecurity and identified solution of integration of COBIT 2019 framework and in the future, the implantation issue of COBIT 2019 ca be addressed and more cases of smart city, which are using the different frameworks other than CPBIT 2019 can will be analysed for better case development.</w:t>
      </w:r>
      <w:r w:rsidR="009E0492" w:rsidRPr="00156466">
        <w:rPr>
          <w:rFonts w:ascii="Arial" w:hAnsi="Arial" w:cs="Arial"/>
        </w:rPr>
        <w:t xml:space="preserve"> </w:t>
      </w:r>
    </w:p>
    <w:p w14:paraId="39087493" w14:textId="0D646EC8" w:rsidR="00B24FA7" w:rsidRPr="00156466" w:rsidRDefault="001D3B51" w:rsidP="00C07E6A">
      <w:pPr>
        <w:pStyle w:val="Heading1"/>
        <w:rPr>
          <w:rFonts w:cs="Arial"/>
        </w:rPr>
      </w:pPr>
      <w:r w:rsidRPr="00156466">
        <w:rPr>
          <w:rFonts w:cs="Arial"/>
        </w:rPr>
        <w:br w:type="page"/>
      </w:r>
      <w:bookmarkStart w:id="28" w:name="_Toc234840316"/>
      <w:r w:rsidRPr="00156466">
        <w:rPr>
          <w:rFonts w:cs="Arial"/>
        </w:rPr>
        <w:lastRenderedPageBreak/>
        <w:t>Reference List</w:t>
      </w:r>
      <w:bookmarkEnd w:id="28"/>
      <w:r w:rsidRPr="00156466">
        <w:rPr>
          <w:rFonts w:cs="Arial"/>
        </w:rPr>
        <w:t xml:space="preserve"> </w:t>
      </w:r>
    </w:p>
    <w:p w14:paraId="18072BEF" w14:textId="77777777" w:rsidR="000C76D6" w:rsidRPr="000C76D6" w:rsidRDefault="000C76D6" w:rsidP="000C76D6">
      <w:pPr>
        <w:rPr>
          <w:rFonts w:ascii="Arial" w:hAnsi="Arial" w:cs="Arial"/>
          <w:lang w:val="en-US"/>
        </w:rPr>
      </w:pPr>
      <w:r w:rsidRPr="000C76D6">
        <w:rPr>
          <w:rFonts w:ascii="Arial" w:hAnsi="Arial" w:cs="Arial"/>
          <w:lang w:val="en-US"/>
        </w:rPr>
        <w:t xml:space="preserve">[1] M. </w:t>
      </w:r>
      <w:proofErr w:type="spellStart"/>
      <w:r w:rsidRPr="000C76D6">
        <w:rPr>
          <w:rFonts w:ascii="Arial" w:hAnsi="Arial" w:cs="Arial"/>
          <w:lang w:val="en-US"/>
        </w:rPr>
        <w:t>Mvubu</w:t>
      </w:r>
      <w:proofErr w:type="spellEnd"/>
      <w:r w:rsidRPr="000C76D6">
        <w:rPr>
          <w:rFonts w:ascii="Arial" w:hAnsi="Arial" w:cs="Arial"/>
          <w:lang w:val="en-US"/>
        </w:rPr>
        <w:t xml:space="preserve"> and M. J. </w:t>
      </w:r>
      <w:proofErr w:type="spellStart"/>
      <w:r w:rsidRPr="000C76D6">
        <w:rPr>
          <w:rFonts w:ascii="Arial" w:hAnsi="Arial" w:cs="Arial"/>
          <w:lang w:val="en-US"/>
        </w:rPr>
        <w:t>Naude</w:t>
      </w:r>
      <w:proofErr w:type="spellEnd"/>
      <w:r w:rsidRPr="000C76D6">
        <w:rPr>
          <w:rFonts w:ascii="Arial" w:hAnsi="Arial" w:cs="Arial"/>
          <w:lang w:val="en-US"/>
        </w:rPr>
        <w:t>, “Digital transformation at third-party logistics providers: Challenges and best practices,” </w:t>
      </w:r>
      <w:r w:rsidRPr="000C76D6">
        <w:rPr>
          <w:rFonts w:ascii="Arial" w:hAnsi="Arial" w:cs="Arial"/>
          <w:i/>
          <w:iCs/>
          <w:lang w:val="en-US"/>
        </w:rPr>
        <w:t>Journal of Transport and Supply Chain Management</w:t>
      </w:r>
      <w:r w:rsidRPr="000C76D6">
        <w:rPr>
          <w:rFonts w:ascii="Arial" w:hAnsi="Arial" w:cs="Arial"/>
          <w:lang w:val="en-US"/>
        </w:rPr>
        <w:t>, vol. 18, Art. no. 1023, 2024.</w:t>
      </w:r>
    </w:p>
    <w:p w14:paraId="662D23F9" w14:textId="77777777" w:rsidR="000C76D6" w:rsidRPr="000C76D6" w:rsidRDefault="000C76D6" w:rsidP="000C76D6">
      <w:pPr>
        <w:rPr>
          <w:rFonts w:ascii="Arial" w:hAnsi="Arial" w:cs="Arial"/>
          <w:lang w:val="en-US"/>
        </w:rPr>
      </w:pPr>
      <w:r w:rsidRPr="000C76D6">
        <w:rPr>
          <w:rFonts w:ascii="Arial" w:hAnsi="Arial" w:cs="Arial"/>
          <w:lang w:val="en-US"/>
        </w:rPr>
        <w:t>[2] C. E. Pascoe, </w:t>
      </w:r>
      <w:r w:rsidRPr="000C76D6">
        <w:rPr>
          <w:rFonts w:ascii="Arial" w:hAnsi="Arial" w:cs="Arial"/>
          <w:i/>
          <w:iCs/>
          <w:lang w:val="en-US"/>
        </w:rPr>
        <w:t>Public Draft: The NIST Cybersecurity Framework 2.0</w:t>
      </w:r>
      <w:r w:rsidRPr="000C76D6">
        <w:rPr>
          <w:rFonts w:ascii="Arial" w:hAnsi="Arial" w:cs="Arial"/>
          <w:lang w:val="en-US"/>
        </w:rPr>
        <w:t>. Gaithersburg, MD, USA: National Institute of Standards and Technology, 2023.</w:t>
      </w:r>
    </w:p>
    <w:p w14:paraId="6CC9F17A" w14:textId="77777777" w:rsidR="000C76D6" w:rsidRPr="000C76D6" w:rsidRDefault="000C76D6" w:rsidP="000C76D6">
      <w:pPr>
        <w:rPr>
          <w:rFonts w:ascii="Arial" w:hAnsi="Arial" w:cs="Arial"/>
          <w:lang w:val="en-US"/>
        </w:rPr>
      </w:pPr>
      <w:r w:rsidRPr="000C76D6">
        <w:rPr>
          <w:rFonts w:ascii="Arial" w:hAnsi="Arial" w:cs="Arial"/>
          <w:lang w:val="en-US"/>
        </w:rPr>
        <w:t xml:space="preserve">[3] J. </w:t>
      </w:r>
      <w:proofErr w:type="spellStart"/>
      <w:r w:rsidRPr="000C76D6">
        <w:rPr>
          <w:rFonts w:ascii="Arial" w:hAnsi="Arial" w:cs="Arial"/>
          <w:lang w:val="en-US"/>
        </w:rPr>
        <w:t>Morano</w:t>
      </w:r>
      <w:proofErr w:type="spellEnd"/>
      <w:r w:rsidRPr="000C76D6">
        <w:rPr>
          <w:rFonts w:ascii="Arial" w:hAnsi="Arial" w:cs="Arial"/>
          <w:lang w:val="en-US"/>
        </w:rPr>
        <w:t>, “NIST CSF 2.0: What you need to know,” </w:t>
      </w:r>
      <w:r w:rsidRPr="000C76D6">
        <w:rPr>
          <w:rFonts w:ascii="Arial" w:hAnsi="Arial" w:cs="Arial"/>
          <w:i/>
          <w:iCs/>
          <w:lang w:val="en-US"/>
        </w:rPr>
        <w:t>Quest</w:t>
      </w:r>
      <w:r w:rsidRPr="000C76D6">
        <w:rPr>
          <w:rFonts w:ascii="Arial" w:hAnsi="Arial" w:cs="Arial"/>
          <w:lang w:val="en-US"/>
        </w:rPr>
        <w:t>, 2023. [Online]. Available: </w:t>
      </w:r>
      <w:hyperlink r:id="rId15" w:history="1">
        <w:r w:rsidRPr="000C76D6">
          <w:rPr>
            <w:rStyle w:val="Hyperlink"/>
            <w:rFonts w:ascii="Arial" w:hAnsi="Arial" w:cs="Arial"/>
            <w:lang w:val="en-US"/>
          </w:rPr>
          <w:t>https://blog.quest.com/nist-csf-2-0-what-you-need-to-know/</w:t>
        </w:r>
      </w:hyperlink>
      <w:r w:rsidRPr="000C76D6">
        <w:rPr>
          <w:rFonts w:ascii="Arial" w:hAnsi="Arial" w:cs="Arial"/>
          <w:lang w:val="en-US"/>
        </w:rPr>
        <w:t>. [Accessed: Jul. 4, 2026].</w:t>
      </w:r>
    </w:p>
    <w:p w14:paraId="1A41D659" w14:textId="77777777" w:rsidR="000C76D6" w:rsidRPr="000C76D6" w:rsidRDefault="000C76D6" w:rsidP="000C76D6">
      <w:pPr>
        <w:rPr>
          <w:rFonts w:ascii="Arial" w:hAnsi="Arial" w:cs="Arial"/>
          <w:lang w:val="en-US"/>
        </w:rPr>
      </w:pPr>
      <w:r w:rsidRPr="000C76D6">
        <w:rPr>
          <w:rFonts w:ascii="Arial" w:hAnsi="Arial" w:cs="Arial"/>
          <w:lang w:val="en-US"/>
        </w:rPr>
        <w:t>[4] J. Edwards, </w:t>
      </w:r>
      <w:r w:rsidRPr="000C76D6">
        <w:rPr>
          <w:rFonts w:ascii="Arial" w:hAnsi="Arial" w:cs="Arial"/>
          <w:i/>
          <w:iCs/>
          <w:lang w:val="en-US"/>
        </w:rPr>
        <w:t>A Comprehensive Guide to the NIST Cybersecurity Framework 2.0: Strategies, Implementation, and Best Practice</w:t>
      </w:r>
      <w:r w:rsidRPr="000C76D6">
        <w:rPr>
          <w:rFonts w:ascii="Arial" w:hAnsi="Arial" w:cs="Arial"/>
          <w:lang w:val="en-US"/>
        </w:rPr>
        <w:t>. Hoboken, NJ, USA: Wiley, 2024.</w:t>
      </w:r>
    </w:p>
    <w:p w14:paraId="6AC8E5ED" w14:textId="77777777" w:rsidR="000C76D6" w:rsidRPr="000C76D6" w:rsidRDefault="000C76D6" w:rsidP="000C76D6">
      <w:pPr>
        <w:rPr>
          <w:rFonts w:ascii="Arial" w:hAnsi="Arial" w:cs="Arial"/>
          <w:lang w:val="en-US"/>
        </w:rPr>
      </w:pPr>
      <w:r w:rsidRPr="000C76D6">
        <w:rPr>
          <w:rFonts w:ascii="Arial" w:hAnsi="Arial" w:cs="Arial"/>
          <w:lang w:val="en-US"/>
        </w:rPr>
        <w:t xml:space="preserve">[5] J. </w:t>
      </w:r>
      <w:proofErr w:type="spellStart"/>
      <w:r w:rsidRPr="000C76D6">
        <w:rPr>
          <w:rFonts w:ascii="Arial" w:hAnsi="Arial" w:cs="Arial"/>
          <w:lang w:val="en-US"/>
        </w:rPr>
        <w:t>Lanz</w:t>
      </w:r>
      <w:proofErr w:type="spellEnd"/>
      <w:r w:rsidRPr="000C76D6">
        <w:rPr>
          <w:rFonts w:ascii="Arial" w:hAnsi="Arial" w:cs="Arial"/>
          <w:lang w:val="en-US"/>
        </w:rPr>
        <w:t>, “The updated NIST cybersecurity framework,” </w:t>
      </w:r>
      <w:r w:rsidRPr="000C76D6">
        <w:rPr>
          <w:rFonts w:ascii="Arial" w:hAnsi="Arial" w:cs="Arial"/>
          <w:i/>
          <w:iCs/>
          <w:lang w:val="en-US"/>
        </w:rPr>
        <w:t>The CPA Journal</w:t>
      </w:r>
      <w:r w:rsidRPr="000C76D6">
        <w:rPr>
          <w:rFonts w:ascii="Arial" w:hAnsi="Arial" w:cs="Arial"/>
          <w:lang w:val="en-US"/>
        </w:rPr>
        <w:t>, vol. 94, nos. 5–6, pp. 70–72, 2024.</w:t>
      </w:r>
    </w:p>
    <w:p w14:paraId="3829ADE2" w14:textId="77777777" w:rsidR="000C76D6" w:rsidRPr="000C76D6" w:rsidRDefault="000C76D6" w:rsidP="000C76D6">
      <w:pPr>
        <w:rPr>
          <w:rFonts w:ascii="Arial" w:hAnsi="Arial" w:cs="Arial"/>
          <w:lang w:val="en-US"/>
        </w:rPr>
      </w:pPr>
      <w:r w:rsidRPr="000C76D6">
        <w:rPr>
          <w:rFonts w:ascii="Arial" w:hAnsi="Arial" w:cs="Arial"/>
          <w:lang w:val="en-US"/>
        </w:rPr>
        <w:t xml:space="preserve">[6] M. </w:t>
      </w:r>
      <w:proofErr w:type="spellStart"/>
      <w:r w:rsidRPr="000C76D6">
        <w:rPr>
          <w:rFonts w:ascii="Arial" w:hAnsi="Arial" w:cs="Arial"/>
          <w:lang w:val="en-US"/>
        </w:rPr>
        <w:t>Malatji</w:t>
      </w:r>
      <w:proofErr w:type="spellEnd"/>
      <w:r w:rsidRPr="000C76D6">
        <w:rPr>
          <w:rFonts w:ascii="Arial" w:hAnsi="Arial" w:cs="Arial"/>
          <w:lang w:val="en-US"/>
        </w:rPr>
        <w:t>, “Management of enterprise cybersecurity: A review of ISO/IEC 27001:2022,” in </w:t>
      </w:r>
      <w:r w:rsidRPr="000C76D6">
        <w:rPr>
          <w:rFonts w:ascii="Arial" w:hAnsi="Arial" w:cs="Arial"/>
          <w:i/>
          <w:iCs/>
          <w:lang w:val="en-US"/>
        </w:rPr>
        <w:t>Proc. 2023 International Conference on Cyber Management and Engineering (</w:t>
      </w:r>
      <w:proofErr w:type="spellStart"/>
      <w:r w:rsidRPr="000C76D6">
        <w:rPr>
          <w:rFonts w:ascii="Arial" w:hAnsi="Arial" w:cs="Arial"/>
          <w:i/>
          <w:iCs/>
          <w:lang w:val="en-US"/>
        </w:rPr>
        <w:t>CyMaEn</w:t>
      </w:r>
      <w:proofErr w:type="spellEnd"/>
      <w:r w:rsidRPr="000C76D6">
        <w:rPr>
          <w:rFonts w:ascii="Arial" w:hAnsi="Arial" w:cs="Arial"/>
          <w:i/>
          <w:iCs/>
          <w:lang w:val="en-US"/>
        </w:rPr>
        <w:t>)</w:t>
      </w:r>
      <w:r w:rsidRPr="000C76D6">
        <w:rPr>
          <w:rFonts w:ascii="Arial" w:hAnsi="Arial" w:cs="Arial"/>
          <w:lang w:val="en-US"/>
        </w:rPr>
        <w:t>, 2023, pp. 117–122.</w:t>
      </w:r>
    </w:p>
    <w:p w14:paraId="32008973" w14:textId="77777777" w:rsidR="000C76D6" w:rsidRPr="000C76D6" w:rsidRDefault="000C76D6" w:rsidP="000C76D6">
      <w:pPr>
        <w:rPr>
          <w:rFonts w:ascii="Arial" w:hAnsi="Arial" w:cs="Arial"/>
          <w:lang w:val="en-US"/>
        </w:rPr>
      </w:pPr>
      <w:r w:rsidRPr="000C76D6">
        <w:rPr>
          <w:rFonts w:ascii="Arial" w:hAnsi="Arial" w:cs="Arial"/>
          <w:lang w:val="en-US"/>
        </w:rPr>
        <w:t xml:space="preserve">[7] A. A. </w:t>
      </w:r>
      <w:proofErr w:type="spellStart"/>
      <w:r w:rsidRPr="000C76D6">
        <w:rPr>
          <w:rFonts w:ascii="Arial" w:hAnsi="Arial" w:cs="Arial"/>
          <w:lang w:val="en-US"/>
        </w:rPr>
        <w:t>Alrehili</w:t>
      </w:r>
      <w:proofErr w:type="spellEnd"/>
      <w:r w:rsidRPr="000C76D6">
        <w:rPr>
          <w:rFonts w:ascii="Arial" w:hAnsi="Arial" w:cs="Arial"/>
          <w:lang w:val="en-US"/>
        </w:rPr>
        <w:t xml:space="preserve"> and O. H. </w:t>
      </w:r>
      <w:proofErr w:type="spellStart"/>
      <w:r w:rsidRPr="000C76D6">
        <w:rPr>
          <w:rFonts w:ascii="Arial" w:hAnsi="Arial" w:cs="Arial"/>
          <w:lang w:val="en-US"/>
        </w:rPr>
        <w:t>Alhazmi</w:t>
      </w:r>
      <w:proofErr w:type="spellEnd"/>
      <w:r w:rsidRPr="000C76D6">
        <w:rPr>
          <w:rFonts w:ascii="Arial" w:hAnsi="Arial" w:cs="Arial"/>
          <w:lang w:val="en-US"/>
        </w:rPr>
        <w:t>, “ISO/IEC 27001 standard: Analytical and comparative overview,” in </w:t>
      </w:r>
      <w:r w:rsidRPr="000C76D6">
        <w:rPr>
          <w:rFonts w:ascii="Arial" w:hAnsi="Arial" w:cs="Arial"/>
          <w:i/>
          <w:iCs/>
          <w:lang w:val="en-US"/>
        </w:rPr>
        <w:t>Advances in Data-Driven Computing and Intelligent Systems</w:t>
      </w:r>
      <w:r w:rsidRPr="000C76D6">
        <w:rPr>
          <w:rFonts w:ascii="Arial" w:hAnsi="Arial" w:cs="Arial"/>
          <w:lang w:val="en-US"/>
        </w:rPr>
        <w:t>. Singapore: Springer Nature, 2023, pp. 143–156.</w:t>
      </w:r>
    </w:p>
    <w:p w14:paraId="59A5CC27" w14:textId="77777777" w:rsidR="000C76D6" w:rsidRPr="000C76D6" w:rsidRDefault="000C76D6" w:rsidP="000C76D6">
      <w:pPr>
        <w:rPr>
          <w:rFonts w:ascii="Arial" w:hAnsi="Arial" w:cs="Arial"/>
          <w:lang w:val="en-US"/>
        </w:rPr>
      </w:pPr>
      <w:r w:rsidRPr="000C76D6">
        <w:rPr>
          <w:rFonts w:ascii="Arial" w:hAnsi="Arial" w:cs="Arial"/>
          <w:lang w:val="en-US"/>
        </w:rPr>
        <w:t xml:space="preserve">[8] B. V. </w:t>
      </w:r>
      <w:proofErr w:type="spellStart"/>
      <w:r w:rsidRPr="000C76D6">
        <w:rPr>
          <w:rFonts w:ascii="Arial" w:hAnsi="Arial" w:cs="Arial"/>
          <w:lang w:val="en-US"/>
        </w:rPr>
        <w:t>Tulus</w:t>
      </w:r>
      <w:proofErr w:type="spellEnd"/>
      <w:r w:rsidRPr="000C76D6">
        <w:rPr>
          <w:rFonts w:ascii="Arial" w:hAnsi="Arial" w:cs="Arial"/>
          <w:lang w:val="en-US"/>
        </w:rPr>
        <w:t xml:space="preserve"> and A. R. </w:t>
      </w:r>
      <w:proofErr w:type="spellStart"/>
      <w:r w:rsidRPr="000C76D6">
        <w:rPr>
          <w:rFonts w:ascii="Arial" w:hAnsi="Arial" w:cs="Arial"/>
          <w:lang w:val="en-US"/>
        </w:rPr>
        <w:t>Tanaamah</w:t>
      </w:r>
      <w:proofErr w:type="spellEnd"/>
      <w:r w:rsidRPr="000C76D6">
        <w:rPr>
          <w:rFonts w:ascii="Arial" w:hAnsi="Arial" w:cs="Arial"/>
          <w:lang w:val="en-US"/>
        </w:rPr>
        <w:t>, “Design of information technology governance in educational institutions using COBIT 2019 framework,” </w:t>
      </w:r>
      <w:r w:rsidRPr="000C76D6">
        <w:rPr>
          <w:rFonts w:ascii="Arial" w:hAnsi="Arial" w:cs="Arial"/>
          <w:i/>
          <w:iCs/>
          <w:lang w:val="en-US"/>
        </w:rPr>
        <w:t>Journal of Information Systems and Informatics</w:t>
      </w:r>
      <w:r w:rsidRPr="000C76D6">
        <w:rPr>
          <w:rFonts w:ascii="Arial" w:hAnsi="Arial" w:cs="Arial"/>
          <w:lang w:val="en-US"/>
        </w:rPr>
        <w:t>, vol. 5, no. 1, pp. 31–43, 2023.</w:t>
      </w:r>
    </w:p>
    <w:p w14:paraId="4895EA08" w14:textId="77777777" w:rsidR="000C76D6" w:rsidRPr="000C76D6" w:rsidRDefault="000C76D6" w:rsidP="000C76D6">
      <w:pPr>
        <w:rPr>
          <w:rFonts w:ascii="Arial" w:hAnsi="Arial" w:cs="Arial"/>
          <w:lang w:val="en-US"/>
        </w:rPr>
      </w:pPr>
      <w:r w:rsidRPr="000C76D6">
        <w:rPr>
          <w:rFonts w:ascii="Arial" w:hAnsi="Arial" w:cs="Arial"/>
          <w:lang w:val="en-US"/>
        </w:rPr>
        <w:t xml:space="preserve">[9] A. </w:t>
      </w:r>
      <w:proofErr w:type="spellStart"/>
      <w:r w:rsidRPr="000C76D6">
        <w:rPr>
          <w:rFonts w:ascii="Arial" w:hAnsi="Arial" w:cs="Arial"/>
          <w:lang w:val="en-US"/>
        </w:rPr>
        <w:t>Asianto</w:t>
      </w:r>
      <w:proofErr w:type="spellEnd"/>
      <w:r w:rsidRPr="000C76D6">
        <w:rPr>
          <w:rFonts w:ascii="Arial" w:hAnsi="Arial" w:cs="Arial"/>
          <w:lang w:val="en-US"/>
        </w:rPr>
        <w:t xml:space="preserve">, N. S. </w:t>
      </w:r>
      <w:proofErr w:type="spellStart"/>
      <w:r w:rsidRPr="000C76D6">
        <w:rPr>
          <w:rFonts w:ascii="Arial" w:hAnsi="Arial" w:cs="Arial"/>
          <w:lang w:val="en-US"/>
        </w:rPr>
        <w:t>Fatonah</w:t>
      </w:r>
      <w:proofErr w:type="spellEnd"/>
      <w:r w:rsidRPr="000C76D6">
        <w:rPr>
          <w:rFonts w:ascii="Arial" w:hAnsi="Arial" w:cs="Arial"/>
          <w:lang w:val="en-US"/>
        </w:rPr>
        <w:t xml:space="preserve">, G. </w:t>
      </w:r>
      <w:proofErr w:type="spellStart"/>
      <w:r w:rsidRPr="000C76D6">
        <w:rPr>
          <w:rFonts w:ascii="Arial" w:hAnsi="Arial" w:cs="Arial"/>
          <w:lang w:val="en-US"/>
        </w:rPr>
        <w:t>Firmansyah</w:t>
      </w:r>
      <w:proofErr w:type="spellEnd"/>
      <w:r w:rsidRPr="000C76D6">
        <w:rPr>
          <w:rFonts w:ascii="Arial" w:hAnsi="Arial" w:cs="Arial"/>
          <w:lang w:val="en-US"/>
        </w:rPr>
        <w:t>, and H. Akbar, “Governance and management of IT in electronic-based government systems (SPBE) in Indonesia,” </w:t>
      </w:r>
      <w:proofErr w:type="spellStart"/>
      <w:r w:rsidRPr="000C76D6">
        <w:rPr>
          <w:rFonts w:ascii="Arial" w:hAnsi="Arial" w:cs="Arial"/>
          <w:i/>
          <w:iCs/>
          <w:lang w:val="en-US"/>
        </w:rPr>
        <w:t>Jurnal</w:t>
      </w:r>
      <w:proofErr w:type="spellEnd"/>
      <w:r w:rsidRPr="000C76D6">
        <w:rPr>
          <w:rFonts w:ascii="Arial" w:hAnsi="Arial" w:cs="Arial"/>
          <w:i/>
          <w:iCs/>
          <w:lang w:val="en-US"/>
        </w:rPr>
        <w:t xml:space="preserve"> Indonesia </w:t>
      </w:r>
      <w:proofErr w:type="spellStart"/>
      <w:r w:rsidRPr="000C76D6">
        <w:rPr>
          <w:rFonts w:ascii="Arial" w:hAnsi="Arial" w:cs="Arial"/>
          <w:i/>
          <w:iCs/>
          <w:lang w:val="en-US"/>
        </w:rPr>
        <w:t>Sosial</w:t>
      </w:r>
      <w:proofErr w:type="spellEnd"/>
      <w:r w:rsidRPr="000C76D6">
        <w:rPr>
          <w:rFonts w:ascii="Arial" w:hAnsi="Arial" w:cs="Arial"/>
          <w:i/>
          <w:iCs/>
          <w:lang w:val="en-US"/>
        </w:rPr>
        <w:t xml:space="preserve"> </w:t>
      </w:r>
      <w:proofErr w:type="spellStart"/>
      <w:r w:rsidRPr="000C76D6">
        <w:rPr>
          <w:rFonts w:ascii="Arial" w:hAnsi="Arial" w:cs="Arial"/>
          <w:i/>
          <w:iCs/>
          <w:lang w:val="en-US"/>
        </w:rPr>
        <w:t>Sains</w:t>
      </w:r>
      <w:proofErr w:type="spellEnd"/>
      <w:r w:rsidRPr="000C76D6">
        <w:rPr>
          <w:rFonts w:ascii="Arial" w:hAnsi="Arial" w:cs="Arial"/>
          <w:lang w:val="en-US"/>
        </w:rPr>
        <w:t>, vol. 4, no. 9, pp. 802–814, 2023.</w:t>
      </w:r>
    </w:p>
    <w:p w14:paraId="3A400408" w14:textId="77777777" w:rsidR="000C76D6" w:rsidRPr="000C76D6" w:rsidRDefault="000C76D6" w:rsidP="000C76D6">
      <w:pPr>
        <w:rPr>
          <w:rFonts w:ascii="Arial" w:hAnsi="Arial" w:cs="Arial"/>
          <w:lang w:val="en-US"/>
        </w:rPr>
      </w:pPr>
      <w:r w:rsidRPr="000C76D6">
        <w:rPr>
          <w:rFonts w:ascii="Arial" w:hAnsi="Arial" w:cs="Arial"/>
          <w:lang w:val="en-US"/>
        </w:rPr>
        <w:lastRenderedPageBreak/>
        <w:t xml:space="preserve">[10] M. D. S. </w:t>
      </w:r>
      <w:proofErr w:type="spellStart"/>
      <w:r w:rsidRPr="000C76D6">
        <w:rPr>
          <w:rFonts w:ascii="Arial" w:hAnsi="Arial" w:cs="Arial"/>
          <w:lang w:val="en-US"/>
        </w:rPr>
        <w:t>Antariksa</w:t>
      </w:r>
      <w:proofErr w:type="spellEnd"/>
      <w:r w:rsidRPr="000C76D6">
        <w:rPr>
          <w:rFonts w:ascii="Arial" w:hAnsi="Arial" w:cs="Arial"/>
          <w:lang w:val="en-US"/>
        </w:rPr>
        <w:t xml:space="preserve">, M. P. </w:t>
      </w:r>
      <w:proofErr w:type="spellStart"/>
      <w:r w:rsidRPr="000C76D6">
        <w:rPr>
          <w:rFonts w:ascii="Arial" w:hAnsi="Arial" w:cs="Arial"/>
          <w:lang w:val="en-US"/>
        </w:rPr>
        <w:t>Angin</w:t>
      </w:r>
      <w:proofErr w:type="spellEnd"/>
      <w:r w:rsidRPr="000C76D6">
        <w:rPr>
          <w:rFonts w:ascii="Arial" w:hAnsi="Arial" w:cs="Arial"/>
          <w:lang w:val="en-US"/>
        </w:rPr>
        <w:t>, and A. P. Widodo, “COBIT 2019 framework in IT governance: A systematic literature review of implementation challenges and benefits across various industry sectors,” </w:t>
      </w:r>
      <w:r w:rsidRPr="000C76D6">
        <w:rPr>
          <w:rFonts w:ascii="Arial" w:hAnsi="Arial" w:cs="Arial"/>
          <w:i/>
          <w:iCs/>
          <w:lang w:val="en-US"/>
        </w:rPr>
        <w:t>Journal of Renewable Energy, Electrical, and Computer Engineering</w:t>
      </w:r>
      <w:r w:rsidRPr="000C76D6">
        <w:rPr>
          <w:rFonts w:ascii="Arial" w:hAnsi="Arial" w:cs="Arial"/>
          <w:lang w:val="en-US"/>
        </w:rPr>
        <w:t>, vol. 5, no. 1, pp. 99–105, 2025.</w:t>
      </w:r>
    </w:p>
    <w:p w14:paraId="44E7798D" w14:textId="77777777" w:rsidR="000C76D6" w:rsidRPr="000C76D6" w:rsidRDefault="000C76D6" w:rsidP="000C76D6">
      <w:pPr>
        <w:rPr>
          <w:rFonts w:ascii="Arial" w:hAnsi="Arial" w:cs="Arial"/>
          <w:lang w:val="en-US"/>
        </w:rPr>
      </w:pPr>
      <w:r w:rsidRPr="000C76D6">
        <w:rPr>
          <w:rFonts w:ascii="Arial" w:hAnsi="Arial" w:cs="Arial"/>
          <w:lang w:val="en-US"/>
        </w:rPr>
        <w:t xml:space="preserve">[11] A. </w:t>
      </w:r>
      <w:proofErr w:type="spellStart"/>
      <w:r w:rsidRPr="000C76D6">
        <w:rPr>
          <w:rFonts w:ascii="Arial" w:hAnsi="Arial" w:cs="Arial"/>
          <w:lang w:val="en-US"/>
        </w:rPr>
        <w:t>Harjanto</w:t>
      </w:r>
      <w:proofErr w:type="spellEnd"/>
      <w:r w:rsidRPr="000C76D6">
        <w:rPr>
          <w:rFonts w:ascii="Arial" w:hAnsi="Arial" w:cs="Arial"/>
          <w:lang w:val="en-US"/>
        </w:rPr>
        <w:t xml:space="preserve"> and R. F. </w:t>
      </w:r>
      <w:proofErr w:type="spellStart"/>
      <w:r w:rsidRPr="000C76D6">
        <w:rPr>
          <w:rFonts w:ascii="Arial" w:hAnsi="Arial" w:cs="Arial"/>
          <w:lang w:val="en-US"/>
        </w:rPr>
        <w:t>Aji</w:t>
      </w:r>
      <w:proofErr w:type="spellEnd"/>
      <w:r w:rsidRPr="000C76D6">
        <w:rPr>
          <w:rFonts w:ascii="Arial" w:hAnsi="Arial" w:cs="Arial"/>
          <w:lang w:val="en-US"/>
        </w:rPr>
        <w:t>, “Improving IT assets management with ITIL 4 framework,” </w:t>
      </w:r>
      <w:proofErr w:type="spellStart"/>
      <w:r w:rsidRPr="000C76D6">
        <w:rPr>
          <w:rFonts w:ascii="Arial" w:hAnsi="Arial" w:cs="Arial"/>
          <w:i/>
          <w:iCs/>
          <w:lang w:val="en-US"/>
        </w:rPr>
        <w:t>Jurnal</w:t>
      </w:r>
      <w:proofErr w:type="spellEnd"/>
      <w:r w:rsidRPr="000C76D6">
        <w:rPr>
          <w:rFonts w:ascii="Arial" w:hAnsi="Arial" w:cs="Arial"/>
          <w:i/>
          <w:iCs/>
          <w:lang w:val="en-US"/>
        </w:rPr>
        <w:t xml:space="preserve"> </w:t>
      </w:r>
      <w:proofErr w:type="spellStart"/>
      <w:r w:rsidRPr="000C76D6">
        <w:rPr>
          <w:rFonts w:ascii="Arial" w:hAnsi="Arial" w:cs="Arial"/>
          <w:i/>
          <w:iCs/>
          <w:lang w:val="en-US"/>
        </w:rPr>
        <w:t>Ilmu</w:t>
      </w:r>
      <w:proofErr w:type="spellEnd"/>
      <w:r w:rsidRPr="000C76D6">
        <w:rPr>
          <w:rFonts w:ascii="Arial" w:hAnsi="Arial" w:cs="Arial"/>
          <w:i/>
          <w:iCs/>
          <w:lang w:val="en-US"/>
        </w:rPr>
        <w:t xml:space="preserve"> </w:t>
      </w:r>
      <w:proofErr w:type="spellStart"/>
      <w:r w:rsidRPr="000C76D6">
        <w:rPr>
          <w:rFonts w:ascii="Arial" w:hAnsi="Arial" w:cs="Arial"/>
          <w:i/>
          <w:iCs/>
          <w:lang w:val="en-US"/>
        </w:rPr>
        <w:t>Komputer</w:t>
      </w:r>
      <w:proofErr w:type="spellEnd"/>
      <w:r w:rsidRPr="000C76D6">
        <w:rPr>
          <w:rFonts w:ascii="Arial" w:hAnsi="Arial" w:cs="Arial"/>
          <w:i/>
          <w:iCs/>
          <w:lang w:val="en-US"/>
        </w:rPr>
        <w:t xml:space="preserve"> </w:t>
      </w:r>
      <w:proofErr w:type="spellStart"/>
      <w:r w:rsidRPr="000C76D6">
        <w:rPr>
          <w:rFonts w:ascii="Arial" w:hAnsi="Arial" w:cs="Arial"/>
          <w:i/>
          <w:iCs/>
          <w:lang w:val="en-US"/>
        </w:rPr>
        <w:t>dan</w:t>
      </w:r>
      <w:proofErr w:type="spellEnd"/>
      <w:r w:rsidRPr="000C76D6">
        <w:rPr>
          <w:rFonts w:ascii="Arial" w:hAnsi="Arial" w:cs="Arial"/>
          <w:i/>
          <w:iCs/>
          <w:lang w:val="en-US"/>
        </w:rPr>
        <w:t xml:space="preserve"> </w:t>
      </w:r>
      <w:proofErr w:type="spellStart"/>
      <w:r w:rsidRPr="000C76D6">
        <w:rPr>
          <w:rFonts w:ascii="Arial" w:hAnsi="Arial" w:cs="Arial"/>
          <w:i/>
          <w:iCs/>
          <w:lang w:val="en-US"/>
        </w:rPr>
        <w:t>Informasi</w:t>
      </w:r>
      <w:proofErr w:type="spellEnd"/>
      <w:r w:rsidRPr="000C76D6">
        <w:rPr>
          <w:rFonts w:ascii="Arial" w:hAnsi="Arial" w:cs="Arial"/>
          <w:lang w:val="en-US"/>
        </w:rPr>
        <w:t>, vol. 17, no. 2, pp. 127–143, 2024.</w:t>
      </w:r>
    </w:p>
    <w:p w14:paraId="7F2EFD78" w14:textId="77777777" w:rsidR="000C76D6" w:rsidRPr="000C76D6" w:rsidRDefault="000C76D6" w:rsidP="000C76D6">
      <w:pPr>
        <w:rPr>
          <w:rFonts w:ascii="Arial" w:hAnsi="Arial" w:cs="Arial"/>
          <w:lang w:val="en-US"/>
        </w:rPr>
      </w:pPr>
      <w:r w:rsidRPr="000C76D6">
        <w:rPr>
          <w:rFonts w:ascii="Arial" w:hAnsi="Arial" w:cs="Arial"/>
          <w:lang w:val="en-US"/>
        </w:rPr>
        <w:t xml:space="preserve">[12] I. </w:t>
      </w:r>
      <w:proofErr w:type="spellStart"/>
      <w:r w:rsidRPr="000C76D6">
        <w:rPr>
          <w:rFonts w:ascii="Arial" w:hAnsi="Arial" w:cs="Arial"/>
          <w:lang w:val="en-US"/>
        </w:rPr>
        <w:t>Santosa</w:t>
      </w:r>
      <w:proofErr w:type="spellEnd"/>
      <w:r w:rsidRPr="000C76D6">
        <w:rPr>
          <w:rFonts w:ascii="Arial" w:hAnsi="Arial" w:cs="Arial"/>
          <w:lang w:val="en-US"/>
        </w:rPr>
        <w:t xml:space="preserve"> and R. </w:t>
      </w:r>
      <w:proofErr w:type="spellStart"/>
      <w:r w:rsidRPr="000C76D6">
        <w:rPr>
          <w:rFonts w:ascii="Arial" w:hAnsi="Arial" w:cs="Arial"/>
          <w:lang w:val="en-US"/>
        </w:rPr>
        <w:t>Mulyana</w:t>
      </w:r>
      <w:proofErr w:type="spellEnd"/>
      <w:r w:rsidRPr="000C76D6">
        <w:rPr>
          <w:rFonts w:ascii="Arial" w:hAnsi="Arial" w:cs="Arial"/>
          <w:lang w:val="en-US"/>
        </w:rPr>
        <w:t>, “The IT services management architecture design for large and medium-sized companies based on ITIL 4 and TOGAF framework,” </w:t>
      </w:r>
      <w:r w:rsidRPr="000C76D6">
        <w:rPr>
          <w:rFonts w:ascii="Arial" w:hAnsi="Arial" w:cs="Arial"/>
          <w:i/>
          <w:iCs/>
          <w:lang w:val="en-US"/>
        </w:rPr>
        <w:t>JOIV: International Journal on Informatics Visualization</w:t>
      </w:r>
      <w:r w:rsidRPr="000C76D6">
        <w:rPr>
          <w:rFonts w:ascii="Arial" w:hAnsi="Arial" w:cs="Arial"/>
          <w:lang w:val="en-US"/>
        </w:rPr>
        <w:t>, vol. 7, no. 1, pp. 30–36, 2023.</w:t>
      </w:r>
    </w:p>
    <w:p w14:paraId="48BEF056" w14:textId="77777777" w:rsidR="000C76D6" w:rsidRPr="000C76D6" w:rsidRDefault="000C76D6" w:rsidP="000C76D6">
      <w:pPr>
        <w:rPr>
          <w:rFonts w:ascii="Arial" w:hAnsi="Arial" w:cs="Arial"/>
          <w:lang w:val="en-US"/>
        </w:rPr>
      </w:pPr>
      <w:r w:rsidRPr="000C76D6">
        <w:rPr>
          <w:rFonts w:ascii="Arial" w:hAnsi="Arial" w:cs="Arial"/>
          <w:lang w:val="en-US"/>
        </w:rPr>
        <w:t xml:space="preserve">[13] A. </w:t>
      </w:r>
      <w:proofErr w:type="spellStart"/>
      <w:r w:rsidRPr="000C76D6">
        <w:rPr>
          <w:rFonts w:ascii="Arial" w:hAnsi="Arial" w:cs="Arial"/>
          <w:lang w:val="en-US"/>
        </w:rPr>
        <w:t>Efe</w:t>
      </w:r>
      <w:proofErr w:type="spellEnd"/>
      <w:r w:rsidRPr="000C76D6">
        <w:rPr>
          <w:rFonts w:ascii="Arial" w:hAnsi="Arial" w:cs="Arial"/>
          <w:lang w:val="en-US"/>
        </w:rPr>
        <w:t>, “A comparison of key risk management frameworks: COSO-ERM, NIST RMF, ISO 31000 and COBIT,” </w:t>
      </w:r>
      <w:proofErr w:type="spellStart"/>
      <w:r w:rsidRPr="000C76D6">
        <w:rPr>
          <w:rFonts w:ascii="Arial" w:hAnsi="Arial" w:cs="Arial"/>
          <w:i/>
          <w:iCs/>
          <w:lang w:val="en-US"/>
        </w:rPr>
        <w:t>Denetim</w:t>
      </w:r>
      <w:proofErr w:type="spellEnd"/>
      <w:r w:rsidRPr="000C76D6">
        <w:rPr>
          <w:rFonts w:ascii="Arial" w:hAnsi="Arial" w:cs="Arial"/>
          <w:i/>
          <w:iCs/>
          <w:lang w:val="en-US"/>
        </w:rPr>
        <w:t xml:space="preserve"> </w:t>
      </w:r>
      <w:proofErr w:type="spellStart"/>
      <w:r w:rsidRPr="000C76D6">
        <w:rPr>
          <w:rFonts w:ascii="Arial" w:hAnsi="Arial" w:cs="Arial"/>
          <w:i/>
          <w:iCs/>
          <w:lang w:val="en-US"/>
        </w:rPr>
        <w:t>ve</w:t>
      </w:r>
      <w:proofErr w:type="spellEnd"/>
      <w:r w:rsidRPr="000C76D6">
        <w:rPr>
          <w:rFonts w:ascii="Arial" w:hAnsi="Arial" w:cs="Arial"/>
          <w:i/>
          <w:iCs/>
          <w:lang w:val="en-US"/>
        </w:rPr>
        <w:t xml:space="preserve"> </w:t>
      </w:r>
      <w:proofErr w:type="spellStart"/>
      <w:r w:rsidRPr="000C76D6">
        <w:rPr>
          <w:rFonts w:ascii="Arial" w:hAnsi="Arial" w:cs="Arial"/>
          <w:i/>
          <w:iCs/>
          <w:lang w:val="en-US"/>
        </w:rPr>
        <w:t>Güvence</w:t>
      </w:r>
      <w:proofErr w:type="spellEnd"/>
      <w:r w:rsidRPr="000C76D6">
        <w:rPr>
          <w:rFonts w:ascii="Arial" w:hAnsi="Arial" w:cs="Arial"/>
          <w:i/>
          <w:iCs/>
          <w:lang w:val="en-US"/>
        </w:rPr>
        <w:t xml:space="preserve"> </w:t>
      </w:r>
      <w:proofErr w:type="spellStart"/>
      <w:r w:rsidRPr="000C76D6">
        <w:rPr>
          <w:rFonts w:ascii="Arial" w:hAnsi="Arial" w:cs="Arial"/>
          <w:i/>
          <w:iCs/>
          <w:lang w:val="en-US"/>
        </w:rPr>
        <w:t>Hizmetleri</w:t>
      </w:r>
      <w:proofErr w:type="spellEnd"/>
      <w:r w:rsidRPr="000C76D6">
        <w:rPr>
          <w:rFonts w:ascii="Arial" w:hAnsi="Arial" w:cs="Arial"/>
          <w:i/>
          <w:iCs/>
          <w:lang w:val="en-US"/>
        </w:rPr>
        <w:t xml:space="preserve"> </w:t>
      </w:r>
      <w:proofErr w:type="spellStart"/>
      <w:r w:rsidRPr="000C76D6">
        <w:rPr>
          <w:rFonts w:ascii="Arial" w:hAnsi="Arial" w:cs="Arial"/>
          <w:i/>
          <w:iCs/>
          <w:lang w:val="en-US"/>
        </w:rPr>
        <w:t>Dergisi</w:t>
      </w:r>
      <w:proofErr w:type="spellEnd"/>
      <w:r w:rsidRPr="000C76D6">
        <w:rPr>
          <w:rFonts w:ascii="Arial" w:hAnsi="Arial" w:cs="Arial"/>
          <w:lang w:val="en-US"/>
        </w:rPr>
        <w:t>, vol. 3, no. 2, pp. 185–205, 2023.</w:t>
      </w:r>
    </w:p>
    <w:p w14:paraId="6016E3F0" w14:textId="77777777" w:rsidR="000C76D6" w:rsidRPr="000C76D6" w:rsidRDefault="000C76D6" w:rsidP="000C76D6">
      <w:pPr>
        <w:rPr>
          <w:rFonts w:ascii="Arial" w:hAnsi="Arial" w:cs="Arial"/>
          <w:lang w:val="en-US"/>
        </w:rPr>
      </w:pPr>
      <w:r w:rsidRPr="000C76D6">
        <w:rPr>
          <w:rFonts w:ascii="Arial" w:hAnsi="Arial" w:cs="Arial"/>
          <w:lang w:val="en-US"/>
        </w:rPr>
        <w:t xml:space="preserve">[14] E. B. </w:t>
      </w:r>
      <w:proofErr w:type="spellStart"/>
      <w:r w:rsidRPr="000C76D6">
        <w:rPr>
          <w:rFonts w:ascii="Arial" w:hAnsi="Arial" w:cs="Arial"/>
          <w:lang w:val="en-US"/>
        </w:rPr>
        <w:t>Naibaho</w:t>
      </w:r>
      <w:proofErr w:type="spellEnd"/>
      <w:r w:rsidRPr="000C76D6">
        <w:rPr>
          <w:rFonts w:ascii="Arial" w:hAnsi="Arial" w:cs="Arial"/>
          <w:lang w:val="en-US"/>
        </w:rPr>
        <w:t xml:space="preserve"> and A. D. </w:t>
      </w:r>
      <w:proofErr w:type="spellStart"/>
      <w:r w:rsidRPr="000C76D6">
        <w:rPr>
          <w:rFonts w:ascii="Arial" w:hAnsi="Arial" w:cs="Arial"/>
          <w:lang w:val="en-US"/>
        </w:rPr>
        <w:t>Cahyono</w:t>
      </w:r>
      <w:proofErr w:type="spellEnd"/>
      <w:r w:rsidRPr="000C76D6">
        <w:rPr>
          <w:rFonts w:ascii="Arial" w:hAnsi="Arial" w:cs="Arial"/>
          <w:lang w:val="en-US"/>
        </w:rPr>
        <w:t xml:space="preserve">, “Information technology governance analysis using COBIT 2019 framework in </w:t>
      </w:r>
      <w:proofErr w:type="spellStart"/>
      <w:r w:rsidRPr="000C76D6">
        <w:rPr>
          <w:rFonts w:ascii="Arial" w:hAnsi="Arial" w:cs="Arial"/>
          <w:lang w:val="en-US"/>
        </w:rPr>
        <w:t>Salatiga</w:t>
      </w:r>
      <w:proofErr w:type="spellEnd"/>
      <w:r w:rsidRPr="000C76D6">
        <w:rPr>
          <w:rFonts w:ascii="Arial" w:hAnsi="Arial" w:cs="Arial"/>
          <w:lang w:val="en-US"/>
        </w:rPr>
        <w:t xml:space="preserve"> City Community and Civil Services,” </w:t>
      </w:r>
      <w:r w:rsidRPr="000C76D6">
        <w:rPr>
          <w:rFonts w:ascii="Arial" w:hAnsi="Arial" w:cs="Arial"/>
          <w:i/>
          <w:iCs/>
          <w:lang w:val="en-US"/>
        </w:rPr>
        <w:t>Journal of Information Systems and Informatics</w:t>
      </w:r>
      <w:r w:rsidRPr="000C76D6">
        <w:rPr>
          <w:rFonts w:ascii="Arial" w:hAnsi="Arial" w:cs="Arial"/>
          <w:lang w:val="en-US"/>
        </w:rPr>
        <w:t>, vol. 6, no. 2, pp. 865–881, 2024.</w:t>
      </w:r>
    </w:p>
    <w:p w14:paraId="69336014" w14:textId="77777777" w:rsidR="000C76D6" w:rsidRPr="000C76D6" w:rsidRDefault="000C76D6" w:rsidP="000C76D6">
      <w:pPr>
        <w:rPr>
          <w:rFonts w:ascii="Arial" w:hAnsi="Arial" w:cs="Arial"/>
          <w:lang w:val="en-US"/>
        </w:rPr>
      </w:pPr>
      <w:r w:rsidRPr="000C76D6">
        <w:rPr>
          <w:rFonts w:ascii="Arial" w:hAnsi="Arial" w:cs="Arial"/>
          <w:lang w:val="en-US"/>
        </w:rPr>
        <w:t xml:space="preserve">[15] A. </w:t>
      </w:r>
      <w:proofErr w:type="spellStart"/>
      <w:r w:rsidRPr="000C76D6">
        <w:rPr>
          <w:rFonts w:ascii="Arial" w:hAnsi="Arial" w:cs="Arial"/>
          <w:lang w:val="en-US"/>
        </w:rPr>
        <w:t>Safitri</w:t>
      </w:r>
      <w:proofErr w:type="spellEnd"/>
      <w:r w:rsidRPr="000C76D6">
        <w:rPr>
          <w:rFonts w:ascii="Arial" w:hAnsi="Arial" w:cs="Arial"/>
          <w:lang w:val="en-US"/>
        </w:rPr>
        <w:t xml:space="preserve">, I. </w:t>
      </w:r>
      <w:proofErr w:type="spellStart"/>
      <w:r w:rsidRPr="000C76D6">
        <w:rPr>
          <w:rFonts w:ascii="Arial" w:hAnsi="Arial" w:cs="Arial"/>
          <w:lang w:val="en-US"/>
        </w:rPr>
        <w:t>Syafii</w:t>
      </w:r>
      <w:proofErr w:type="spellEnd"/>
      <w:r w:rsidRPr="000C76D6">
        <w:rPr>
          <w:rFonts w:ascii="Arial" w:hAnsi="Arial" w:cs="Arial"/>
          <w:lang w:val="en-US"/>
        </w:rPr>
        <w:t xml:space="preserve">, and K. </w:t>
      </w:r>
      <w:proofErr w:type="spellStart"/>
      <w:r w:rsidRPr="000C76D6">
        <w:rPr>
          <w:rFonts w:ascii="Arial" w:hAnsi="Arial" w:cs="Arial"/>
          <w:lang w:val="en-US"/>
        </w:rPr>
        <w:t>Adi</w:t>
      </w:r>
      <w:proofErr w:type="spellEnd"/>
      <w:r w:rsidRPr="000C76D6">
        <w:rPr>
          <w:rFonts w:ascii="Arial" w:hAnsi="Arial" w:cs="Arial"/>
          <w:lang w:val="en-US"/>
        </w:rPr>
        <w:t>, “Measuring the performance of information system governance using COBIT 2019 framework,” </w:t>
      </w:r>
      <w:r w:rsidRPr="000C76D6">
        <w:rPr>
          <w:rFonts w:ascii="Arial" w:hAnsi="Arial" w:cs="Arial"/>
          <w:i/>
          <w:iCs/>
          <w:lang w:val="en-US"/>
        </w:rPr>
        <w:t>International Journal of Computer Applications</w:t>
      </w:r>
      <w:r w:rsidRPr="000C76D6">
        <w:rPr>
          <w:rFonts w:ascii="Arial" w:hAnsi="Arial" w:cs="Arial"/>
          <w:lang w:val="en-US"/>
        </w:rPr>
        <w:t>, vol. 174, no. 31, pp. 23–30, 2021.</w:t>
      </w:r>
    </w:p>
    <w:p w14:paraId="72F9BCB3" w14:textId="77777777" w:rsidR="000C76D6" w:rsidRPr="000C76D6" w:rsidRDefault="000C76D6" w:rsidP="000C76D6">
      <w:pPr>
        <w:rPr>
          <w:rFonts w:ascii="Arial" w:hAnsi="Arial" w:cs="Arial"/>
          <w:lang w:val="en-US"/>
        </w:rPr>
      </w:pPr>
      <w:r w:rsidRPr="000C76D6">
        <w:rPr>
          <w:rFonts w:ascii="Arial" w:hAnsi="Arial" w:cs="Arial"/>
          <w:lang w:val="en-US"/>
        </w:rPr>
        <w:t xml:space="preserve">[16] S. Fernandez, M. </w:t>
      </w:r>
      <w:proofErr w:type="spellStart"/>
      <w:r w:rsidRPr="000C76D6">
        <w:rPr>
          <w:rFonts w:ascii="Arial" w:hAnsi="Arial" w:cs="Arial"/>
          <w:lang w:val="en-US"/>
        </w:rPr>
        <w:t>Imanullah</w:t>
      </w:r>
      <w:proofErr w:type="spellEnd"/>
      <w:r w:rsidRPr="000C76D6">
        <w:rPr>
          <w:rFonts w:ascii="Arial" w:hAnsi="Arial" w:cs="Arial"/>
          <w:lang w:val="en-US"/>
        </w:rPr>
        <w:t xml:space="preserve">, M. Y. </w:t>
      </w:r>
      <w:proofErr w:type="spellStart"/>
      <w:r w:rsidRPr="000C76D6">
        <w:rPr>
          <w:rFonts w:ascii="Arial" w:hAnsi="Arial" w:cs="Arial"/>
          <w:lang w:val="en-US"/>
        </w:rPr>
        <w:t>Fathoni</w:t>
      </w:r>
      <w:proofErr w:type="spellEnd"/>
      <w:r w:rsidRPr="000C76D6">
        <w:rPr>
          <w:rFonts w:ascii="Arial" w:hAnsi="Arial" w:cs="Arial"/>
          <w:lang w:val="en-US"/>
        </w:rPr>
        <w:t xml:space="preserve">, and P. </w:t>
      </w:r>
      <w:proofErr w:type="spellStart"/>
      <w:r w:rsidRPr="000C76D6">
        <w:rPr>
          <w:rFonts w:ascii="Arial" w:hAnsi="Arial" w:cs="Arial"/>
          <w:lang w:val="en-US"/>
        </w:rPr>
        <w:t>Pahrizal</w:t>
      </w:r>
      <w:proofErr w:type="spellEnd"/>
      <w:r w:rsidRPr="000C76D6">
        <w:rPr>
          <w:rFonts w:ascii="Arial" w:hAnsi="Arial" w:cs="Arial"/>
          <w:lang w:val="en-US"/>
        </w:rPr>
        <w:t>, “Utilization of the COBIT 2019 framework to identify the level of governance in internet services,” </w:t>
      </w:r>
      <w:proofErr w:type="spellStart"/>
      <w:r w:rsidRPr="000C76D6">
        <w:rPr>
          <w:rFonts w:ascii="Arial" w:hAnsi="Arial" w:cs="Arial"/>
          <w:i/>
          <w:iCs/>
          <w:lang w:val="en-US"/>
        </w:rPr>
        <w:t>Jurnal</w:t>
      </w:r>
      <w:proofErr w:type="spellEnd"/>
      <w:r w:rsidRPr="000C76D6">
        <w:rPr>
          <w:rFonts w:ascii="Arial" w:hAnsi="Arial" w:cs="Arial"/>
          <w:i/>
          <w:iCs/>
          <w:lang w:val="en-US"/>
        </w:rPr>
        <w:t xml:space="preserve"> </w:t>
      </w:r>
      <w:proofErr w:type="spellStart"/>
      <w:r w:rsidRPr="000C76D6">
        <w:rPr>
          <w:rFonts w:ascii="Arial" w:hAnsi="Arial" w:cs="Arial"/>
          <w:i/>
          <w:iCs/>
          <w:lang w:val="en-US"/>
        </w:rPr>
        <w:t>Infotel</w:t>
      </w:r>
      <w:proofErr w:type="spellEnd"/>
      <w:r w:rsidRPr="000C76D6">
        <w:rPr>
          <w:rFonts w:ascii="Arial" w:hAnsi="Arial" w:cs="Arial"/>
          <w:lang w:val="en-US"/>
        </w:rPr>
        <w:t>, vol. 14, no. 3, pp. 188–195, 2022.</w:t>
      </w:r>
    </w:p>
    <w:p w14:paraId="71C90C45" w14:textId="77777777" w:rsidR="000C76D6" w:rsidRPr="000C76D6" w:rsidRDefault="000C76D6" w:rsidP="000C76D6">
      <w:pPr>
        <w:rPr>
          <w:rFonts w:ascii="Arial" w:hAnsi="Arial" w:cs="Arial"/>
          <w:lang w:val="en-US"/>
        </w:rPr>
      </w:pPr>
      <w:r w:rsidRPr="000C76D6">
        <w:rPr>
          <w:rFonts w:ascii="Arial" w:hAnsi="Arial" w:cs="Arial"/>
          <w:lang w:val="en-US"/>
        </w:rPr>
        <w:t xml:space="preserve">[17] K. Leonardo and R. </w:t>
      </w:r>
      <w:proofErr w:type="spellStart"/>
      <w:r w:rsidRPr="000C76D6">
        <w:rPr>
          <w:rFonts w:ascii="Arial" w:hAnsi="Arial" w:cs="Arial"/>
          <w:lang w:val="en-US"/>
        </w:rPr>
        <w:t>Latuperissa</w:t>
      </w:r>
      <w:proofErr w:type="spellEnd"/>
      <w:r w:rsidRPr="000C76D6">
        <w:rPr>
          <w:rFonts w:ascii="Arial" w:hAnsi="Arial" w:cs="Arial"/>
          <w:lang w:val="en-US"/>
        </w:rPr>
        <w:t>, “Information technology governance design in trading companies using the COBIT 2019 framework,” </w:t>
      </w:r>
      <w:r w:rsidRPr="000C76D6">
        <w:rPr>
          <w:rFonts w:ascii="Arial" w:hAnsi="Arial" w:cs="Arial"/>
          <w:i/>
          <w:iCs/>
          <w:lang w:val="en-US"/>
        </w:rPr>
        <w:t>Journal of Information Systems and Informatics</w:t>
      </w:r>
      <w:r w:rsidRPr="000C76D6">
        <w:rPr>
          <w:rFonts w:ascii="Arial" w:hAnsi="Arial" w:cs="Arial"/>
          <w:lang w:val="en-US"/>
        </w:rPr>
        <w:t>, vol. 6, no. 3, pp. 1466–1483, 2024.</w:t>
      </w:r>
    </w:p>
    <w:p w14:paraId="48E8ACD3" w14:textId="77777777" w:rsidR="000C76D6" w:rsidRPr="000C76D6" w:rsidRDefault="000C76D6" w:rsidP="000C76D6">
      <w:pPr>
        <w:rPr>
          <w:rFonts w:ascii="Arial" w:hAnsi="Arial" w:cs="Arial"/>
          <w:lang w:val="en-US"/>
        </w:rPr>
      </w:pPr>
      <w:r w:rsidRPr="000C76D6">
        <w:rPr>
          <w:rFonts w:ascii="Arial" w:hAnsi="Arial" w:cs="Arial"/>
          <w:lang w:val="en-US"/>
        </w:rPr>
        <w:t xml:space="preserve">[18] A. Yusuf, W. A. </w:t>
      </w:r>
      <w:proofErr w:type="spellStart"/>
      <w:r w:rsidRPr="000C76D6">
        <w:rPr>
          <w:rFonts w:ascii="Arial" w:hAnsi="Arial" w:cs="Arial"/>
          <w:lang w:val="en-US"/>
        </w:rPr>
        <w:t>Saputra</w:t>
      </w:r>
      <w:proofErr w:type="spellEnd"/>
      <w:r w:rsidRPr="000C76D6">
        <w:rPr>
          <w:rFonts w:ascii="Arial" w:hAnsi="Arial" w:cs="Arial"/>
          <w:lang w:val="en-US"/>
        </w:rPr>
        <w:t xml:space="preserve">, and J. </w:t>
      </w:r>
      <w:proofErr w:type="spellStart"/>
      <w:r w:rsidRPr="000C76D6">
        <w:rPr>
          <w:rFonts w:ascii="Arial" w:hAnsi="Arial" w:cs="Arial"/>
          <w:lang w:val="en-US"/>
        </w:rPr>
        <w:t>Jamilah</w:t>
      </w:r>
      <w:proofErr w:type="spellEnd"/>
      <w:r w:rsidRPr="000C76D6">
        <w:rPr>
          <w:rFonts w:ascii="Arial" w:hAnsi="Arial" w:cs="Arial"/>
          <w:lang w:val="en-US"/>
        </w:rPr>
        <w:t>, “Capability gap analysis in IT governance for a logistics company using COBIT 2019,” </w:t>
      </w:r>
      <w:r w:rsidRPr="000C76D6">
        <w:rPr>
          <w:rFonts w:ascii="Arial" w:hAnsi="Arial" w:cs="Arial"/>
          <w:i/>
          <w:iCs/>
          <w:lang w:val="en-US"/>
        </w:rPr>
        <w:t>Journal of Information Systems and Informatics</w:t>
      </w:r>
      <w:r w:rsidRPr="000C76D6">
        <w:rPr>
          <w:rFonts w:ascii="Arial" w:hAnsi="Arial" w:cs="Arial"/>
          <w:lang w:val="en-US"/>
        </w:rPr>
        <w:t>, vol. 6, no. 3, pp. 1804–1821, 2024.</w:t>
      </w:r>
    </w:p>
    <w:p w14:paraId="213AFAF0" w14:textId="77777777" w:rsidR="000C76D6" w:rsidRPr="000C76D6" w:rsidRDefault="000C76D6" w:rsidP="000C76D6">
      <w:pPr>
        <w:rPr>
          <w:rFonts w:ascii="Arial" w:hAnsi="Arial" w:cs="Arial"/>
          <w:lang w:val="en-US"/>
        </w:rPr>
      </w:pPr>
      <w:r w:rsidRPr="000C76D6">
        <w:rPr>
          <w:rFonts w:ascii="Arial" w:hAnsi="Arial" w:cs="Arial"/>
          <w:lang w:val="en-US"/>
        </w:rPr>
        <w:lastRenderedPageBreak/>
        <w:t xml:space="preserve">[19] A. </w:t>
      </w:r>
      <w:proofErr w:type="spellStart"/>
      <w:r w:rsidRPr="000C76D6">
        <w:rPr>
          <w:rFonts w:ascii="Arial" w:hAnsi="Arial" w:cs="Arial"/>
          <w:lang w:val="en-US"/>
        </w:rPr>
        <w:t>Silalahi</w:t>
      </w:r>
      <w:proofErr w:type="spellEnd"/>
      <w:r w:rsidRPr="000C76D6">
        <w:rPr>
          <w:rFonts w:ascii="Arial" w:hAnsi="Arial" w:cs="Arial"/>
          <w:lang w:val="en-US"/>
        </w:rPr>
        <w:t xml:space="preserve">, A. Maharani, D. K. </w:t>
      </w:r>
      <w:proofErr w:type="spellStart"/>
      <w:r w:rsidRPr="000C76D6">
        <w:rPr>
          <w:rFonts w:ascii="Arial" w:hAnsi="Arial" w:cs="Arial"/>
          <w:lang w:val="en-US"/>
        </w:rPr>
        <w:t>Abrianisyah</w:t>
      </w:r>
      <w:proofErr w:type="spellEnd"/>
      <w:r w:rsidRPr="000C76D6">
        <w:rPr>
          <w:rFonts w:ascii="Arial" w:hAnsi="Arial" w:cs="Arial"/>
          <w:lang w:val="en-US"/>
        </w:rPr>
        <w:t xml:space="preserve">, and E. D. </w:t>
      </w:r>
      <w:proofErr w:type="spellStart"/>
      <w:r w:rsidRPr="000C76D6">
        <w:rPr>
          <w:rFonts w:ascii="Arial" w:hAnsi="Arial" w:cs="Arial"/>
          <w:lang w:val="en-US"/>
        </w:rPr>
        <w:t>Siregar</w:t>
      </w:r>
      <w:proofErr w:type="spellEnd"/>
      <w:r w:rsidRPr="000C76D6">
        <w:rPr>
          <w:rFonts w:ascii="Arial" w:hAnsi="Arial" w:cs="Arial"/>
          <w:lang w:val="en-US"/>
        </w:rPr>
        <w:t xml:space="preserve">, “Audit </w:t>
      </w:r>
      <w:proofErr w:type="spellStart"/>
      <w:r w:rsidRPr="000C76D6">
        <w:rPr>
          <w:rFonts w:ascii="Arial" w:hAnsi="Arial" w:cs="Arial"/>
          <w:lang w:val="en-US"/>
        </w:rPr>
        <w:t>sistem</w:t>
      </w:r>
      <w:proofErr w:type="spellEnd"/>
      <w:r w:rsidRPr="000C76D6">
        <w:rPr>
          <w:rFonts w:ascii="Arial" w:hAnsi="Arial" w:cs="Arial"/>
          <w:lang w:val="en-US"/>
        </w:rPr>
        <w:t xml:space="preserve"> </w:t>
      </w:r>
      <w:proofErr w:type="spellStart"/>
      <w:r w:rsidRPr="000C76D6">
        <w:rPr>
          <w:rFonts w:ascii="Arial" w:hAnsi="Arial" w:cs="Arial"/>
          <w:lang w:val="en-US"/>
        </w:rPr>
        <w:t>informasi</w:t>
      </w:r>
      <w:proofErr w:type="spellEnd"/>
      <w:r w:rsidRPr="000C76D6">
        <w:rPr>
          <w:rFonts w:ascii="Arial" w:hAnsi="Arial" w:cs="Arial"/>
          <w:lang w:val="en-US"/>
        </w:rPr>
        <w:t xml:space="preserve"> </w:t>
      </w:r>
      <w:proofErr w:type="spellStart"/>
      <w:r w:rsidRPr="000C76D6">
        <w:rPr>
          <w:rFonts w:ascii="Arial" w:hAnsi="Arial" w:cs="Arial"/>
          <w:lang w:val="en-US"/>
        </w:rPr>
        <w:t>bebas</w:t>
      </w:r>
      <w:proofErr w:type="spellEnd"/>
      <w:r w:rsidRPr="000C76D6">
        <w:rPr>
          <w:rFonts w:ascii="Arial" w:hAnsi="Arial" w:cs="Arial"/>
          <w:lang w:val="en-US"/>
        </w:rPr>
        <w:t xml:space="preserve"> </w:t>
      </w:r>
      <w:proofErr w:type="spellStart"/>
      <w:r w:rsidRPr="000C76D6">
        <w:rPr>
          <w:rFonts w:ascii="Arial" w:hAnsi="Arial" w:cs="Arial"/>
          <w:lang w:val="en-US"/>
        </w:rPr>
        <w:t>pustaka</w:t>
      </w:r>
      <w:proofErr w:type="spellEnd"/>
      <w:r w:rsidRPr="000C76D6">
        <w:rPr>
          <w:rFonts w:ascii="Arial" w:hAnsi="Arial" w:cs="Arial"/>
          <w:lang w:val="en-US"/>
        </w:rPr>
        <w:t xml:space="preserve"> </w:t>
      </w:r>
      <w:proofErr w:type="spellStart"/>
      <w:r w:rsidRPr="000C76D6">
        <w:rPr>
          <w:rFonts w:ascii="Arial" w:hAnsi="Arial" w:cs="Arial"/>
          <w:lang w:val="en-US"/>
        </w:rPr>
        <w:t>menggunakan</w:t>
      </w:r>
      <w:proofErr w:type="spellEnd"/>
      <w:r w:rsidRPr="000C76D6">
        <w:rPr>
          <w:rFonts w:ascii="Arial" w:hAnsi="Arial" w:cs="Arial"/>
          <w:lang w:val="en-US"/>
        </w:rPr>
        <w:t xml:space="preserve"> framework COBIT 5 domain DSS01 </w:t>
      </w:r>
      <w:proofErr w:type="spellStart"/>
      <w:r w:rsidRPr="000C76D6">
        <w:rPr>
          <w:rFonts w:ascii="Arial" w:hAnsi="Arial" w:cs="Arial"/>
          <w:lang w:val="en-US"/>
        </w:rPr>
        <w:t>dan</w:t>
      </w:r>
      <w:proofErr w:type="spellEnd"/>
      <w:r w:rsidRPr="000C76D6">
        <w:rPr>
          <w:rFonts w:ascii="Arial" w:hAnsi="Arial" w:cs="Arial"/>
          <w:lang w:val="en-US"/>
        </w:rPr>
        <w:t xml:space="preserve"> DSS02,” </w:t>
      </w:r>
      <w:proofErr w:type="spellStart"/>
      <w:r w:rsidRPr="000C76D6">
        <w:rPr>
          <w:rFonts w:ascii="Arial" w:hAnsi="Arial" w:cs="Arial"/>
          <w:i/>
          <w:iCs/>
          <w:lang w:val="en-US"/>
        </w:rPr>
        <w:t>Jurnal</w:t>
      </w:r>
      <w:proofErr w:type="spellEnd"/>
      <w:r w:rsidRPr="000C76D6">
        <w:rPr>
          <w:rFonts w:ascii="Arial" w:hAnsi="Arial" w:cs="Arial"/>
          <w:i/>
          <w:iCs/>
          <w:lang w:val="en-US"/>
        </w:rPr>
        <w:t xml:space="preserve"> </w:t>
      </w:r>
      <w:proofErr w:type="spellStart"/>
      <w:r w:rsidRPr="000C76D6">
        <w:rPr>
          <w:rFonts w:ascii="Arial" w:hAnsi="Arial" w:cs="Arial"/>
          <w:i/>
          <w:iCs/>
          <w:lang w:val="en-US"/>
        </w:rPr>
        <w:t>Komputer</w:t>
      </w:r>
      <w:proofErr w:type="spellEnd"/>
      <w:r w:rsidRPr="000C76D6">
        <w:rPr>
          <w:rFonts w:ascii="Arial" w:hAnsi="Arial" w:cs="Arial"/>
          <w:i/>
          <w:iCs/>
          <w:lang w:val="en-US"/>
        </w:rPr>
        <w:t xml:space="preserve"> </w:t>
      </w:r>
      <w:proofErr w:type="spellStart"/>
      <w:r w:rsidRPr="000C76D6">
        <w:rPr>
          <w:rFonts w:ascii="Arial" w:hAnsi="Arial" w:cs="Arial"/>
          <w:i/>
          <w:iCs/>
          <w:lang w:val="en-US"/>
        </w:rPr>
        <w:t>Teknologi</w:t>
      </w:r>
      <w:proofErr w:type="spellEnd"/>
      <w:r w:rsidRPr="000C76D6">
        <w:rPr>
          <w:rFonts w:ascii="Arial" w:hAnsi="Arial" w:cs="Arial"/>
          <w:i/>
          <w:iCs/>
          <w:lang w:val="en-US"/>
        </w:rPr>
        <w:t xml:space="preserve"> </w:t>
      </w:r>
      <w:proofErr w:type="spellStart"/>
      <w:r w:rsidRPr="000C76D6">
        <w:rPr>
          <w:rFonts w:ascii="Arial" w:hAnsi="Arial" w:cs="Arial"/>
          <w:i/>
          <w:iCs/>
          <w:lang w:val="en-US"/>
        </w:rPr>
        <w:t>Informasi</w:t>
      </w:r>
      <w:proofErr w:type="spellEnd"/>
      <w:r w:rsidRPr="000C76D6">
        <w:rPr>
          <w:rFonts w:ascii="Arial" w:hAnsi="Arial" w:cs="Arial"/>
          <w:i/>
          <w:iCs/>
          <w:lang w:val="en-US"/>
        </w:rPr>
        <w:t xml:space="preserve"> </w:t>
      </w:r>
      <w:proofErr w:type="spellStart"/>
      <w:r w:rsidRPr="000C76D6">
        <w:rPr>
          <w:rFonts w:ascii="Arial" w:hAnsi="Arial" w:cs="Arial"/>
          <w:i/>
          <w:iCs/>
          <w:lang w:val="en-US"/>
        </w:rPr>
        <w:t>Sistem</w:t>
      </w:r>
      <w:proofErr w:type="spellEnd"/>
      <w:r w:rsidRPr="000C76D6">
        <w:rPr>
          <w:rFonts w:ascii="Arial" w:hAnsi="Arial" w:cs="Arial"/>
          <w:i/>
          <w:iCs/>
          <w:lang w:val="en-US"/>
        </w:rPr>
        <w:t xml:space="preserve"> </w:t>
      </w:r>
      <w:proofErr w:type="spellStart"/>
      <w:r w:rsidRPr="000C76D6">
        <w:rPr>
          <w:rFonts w:ascii="Arial" w:hAnsi="Arial" w:cs="Arial"/>
          <w:i/>
          <w:iCs/>
          <w:lang w:val="en-US"/>
        </w:rPr>
        <w:t>Informasi</w:t>
      </w:r>
      <w:proofErr w:type="spellEnd"/>
      <w:r w:rsidRPr="000C76D6">
        <w:rPr>
          <w:rFonts w:ascii="Arial" w:hAnsi="Arial" w:cs="Arial"/>
          <w:lang w:val="en-US"/>
        </w:rPr>
        <w:t>, vol. 3, no. 2, pp. 804–812, 2024.</w:t>
      </w:r>
    </w:p>
    <w:p w14:paraId="6EB98C52" w14:textId="77777777" w:rsidR="000C76D6" w:rsidRPr="000C76D6" w:rsidRDefault="000C76D6" w:rsidP="000C76D6">
      <w:pPr>
        <w:rPr>
          <w:rFonts w:ascii="Arial" w:hAnsi="Arial" w:cs="Arial"/>
          <w:lang w:val="en-US"/>
        </w:rPr>
      </w:pPr>
      <w:r w:rsidRPr="000C76D6">
        <w:rPr>
          <w:rFonts w:ascii="Arial" w:hAnsi="Arial" w:cs="Arial"/>
          <w:lang w:val="en-US"/>
        </w:rPr>
        <w:t xml:space="preserve">[20] A. </w:t>
      </w:r>
      <w:proofErr w:type="spellStart"/>
      <w:r w:rsidRPr="000C76D6">
        <w:rPr>
          <w:rFonts w:ascii="Arial" w:hAnsi="Arial" w:cs="Arial"/>
          <w:lang w:val="en-US"/>
        </w:rPr>
        <w:t>Bagja</w:t>
      </w:r>
      <w:proofErr w:type="spellEnd"/>
      <w:r w:rsidRPr="000C76D6">
        <w:rPr>
          <w:rFonts w:ascii="Arial" w:hAnsi="Arial" w:cs="Arial"/>
          <w:lang w:val="en-US"/>
        </w:rPr>
        <w:t xml:space="preserve">, Z. </w:t>
      </w:r>
      <w:proofErr w:type="spellStart"/>
      <w:r w:rsidRPr="000C76D6">
        <w:rPr>
          <w:rFonts w:ascii="Arial" w:hAnsi="Arial" w:cs="Arial"/>
          <w:lang w:val="en-US"/>
        </w:rPr>
        <w:t>Amri</w:t>
      </w:r>
      <w:proofErr w:type="spellEnd"/>
      <w:r w:rsidRPr="000C76D6">
        <w:rPr>
          <w:rFonts w:ascii="Arial" w:hAnsi="Arial" w:cs="Arial"/>
          <w:lang w:val="en-US"/>
        </w:rPr>
        <w:t xml:space="preserve">, K. </w:t>
      </w:r>
      <w:proofErr w:type="spellStart"/>
      <w:r w:rsidRPr="000C76D6">
        <w:rPr>
          <w:rFonts w:ascii="Arial" w:hAnsi="Arial" w:cs="Arial"/>
          <w:lang w:val="en-US"/>
        </w:rPr>
        <w:t>Imtihan</w:t>
      </w:r>
      <w:proofErr w:type="spellEnd"/>
      <w:r w:rsidRPr="000C76D6">
        <w:rPr>
          <w:rFonts w:ascii="Arial" w:hAnsi="Arial" w:cs="Arial"/>
          <w:lang w:val="en-US"/>
        </w:rPr>
        <w:t xml:space="preserve">, M. </w:t>
      </w:r>
      <w:proofErr w:type="spellStart"/>
      <w:r w:rsidRPr="000C76D6">
        <w:rPr>
          <w:rFonts w:ascii="Arial" w:hAnsi="Arial" w:cs="Arial"/>
          <w:lang w:val="en-US"/>
        </w:rPr>
        <w:t>Rodi</w:t>
      </w:r>
      <w:proofErr w:type="spellEnd"/>
      <w:r w:rsidRPr="000C76D6">
        <w:rPr>
          <w:rFonts w:ascii="Arial" w:hAnsi="Arial" w:cs="Arial"/>
          <w:lang w:val="en-US"/>
        </w:rPr>
        <w:t xml:space="preserve">, and S. Y. </w:t>
      </w:r>
      <w:proofErr w:type="spellStart"/>
      <w:r w:rsidRPr="000C76D6">
        <w:rPr>
          <w:rFonts w:ascii="Arial" w:hAnsi="Arial" w:cs="Arial"/>
          <w:lang w:val="en-US"/>
        </w:rPr>
        <w:t>Rusniatun</w:t>
      </w:r>
      <w:proofErr w:type="spellEnd"/>
      <w:r w:rsidRPr="000C76D6">
        <w:rPr>
          <w:rFonts w:ascii="Arial" w:hAnsi="Arial" w:cs="Arial"/>
          <w:lang w:val="en-US"/>
        </w:rPr>
        <w:t>, “Enhancing public-sector IT governance through COBIT 2019: A case study on service continuity and data management in Central Lombok,” </w:t>
      </w:r>
      <w:r w:rsidRPr="000C76D6">
        <w:rPr>
          <w:rFonts w:ascii="Arial" w:hAnsi="Arial" w:cs="Arial"/>
          <w:i/>
          <w:iCs/>
          <w:lang w:val="en-US"/>
        </w:rPr>
        <w:t>Journal of Information Systems and Informatics</w:t>
      </w:r>
      <w:r w:rsidRPr="000C76D6">
        <w:rPr>
          <w:rFonts w:ascii="Arial" w:hAnsi="Arial" w:cs="Arial"/>
          <w:lang w:val="en-US"/>
        </w:rPr>
        <w:t>, vol. 6, no. 4, pp. 2761–2776, 2024.</w:t>
      </w:r>
    </w:p>
    <w:p w14:paraId="5F491C66" w14:textId="77777777" w:rsidR="000C76D6" w:rsidRPr="000C76D6" w:rsidRDefault="000C76D6" w:rsidP="000C76D6">
      <w:pPr>
        <w:rPr>
          <w:rFonts w:ascii="Arial" w:hAnsi="Arial" w:cs="Arial"/>
          <w:lang w:val="en-US"/>
        </w:rPr>
      </w:pPr>
      <w:r w:rsidRPr="000C76D6">
        <w:rPr>
          <w:rFonts w:ascii="Arial" w:hAnsi="Arial" w:cs="Arial"/>
          <w:lang w:val="en-US"/>
        </w:rPr>
        <w:t xml:space="preserve">[21] H. Hayat and S. </w:t>
      </w:r>
      <w:proofErr w:type="spellStart"/>
      <w:r w:rsidRPr="000C76D6">
        <w:rPr>
          <w:rFonts w:ascii="Arial" w:hAnsi="Arial" w:cs="Arial"/>
          <w:lang w:val="en-US"/>
        </w:rPr>
        <w:t>Samudi</w:t>
      </w:r>
      <w:proofErr w:type="spellEnd"/>
      <w:r w:rsidRPr="000C76D6">
        <w:rPr>
          <w:rFonts w:ascii="Arial" w:hAnsi="Arial" w:cs="Arial"/>
          <w:lang w:val="en-US"/>
        </w:rPr>
        <w:t>, “Logistics service information system audit using COBIT 5 framework,” </w:t>
      </w:r>
      <w:proofErr w:type="spellStart"/>
      <w:r w:rsidRPr="000C76D6">
        <w:rPr>
          <w:rFonts w:ascii="Arial" w:hAnsi="Arial" w:cs="Arial"/>
          <w:i/>
          <w:iCs/>
          <w:lang w:val="en-US"/>
        </w:rPr>
        <w:t>Jurnal</w:t>
      </w:r>
      <w:proofErr w:type="spellEnd"/>
      <w:r w:rsidRPr="000C76D6">
        <w:rPr>
          <w:rFonts w:ascii="Arial" w:hAnsi="Arial" w:cs="Arial"/>
          <w:i/>
          <w:iCs/>
          <w:lang w:val="en-US"/>
        </w:rPr>
        <w:t xml:space="preserve"> Techno Nusa </w:t>
      </w:r>
      <w:proofErr w:type="spellStart"/>
      <w:r w:rsidRPr="000C76D6">
        <w:rPr>
          <w:rFonts w:ascii="Arial" w:hAnsi="Arial" w:cs="Arial"/>
          <w:i/>
          <w:iCs/>
          <w:lang w:val="en-US"/>
        </w:rPr>
        <w:t>Mandiri</w:t>
      </w:r>
      <w:proofErr w:type="spellEnd"/>
      <w:r w:rsidRPr="000C76D6">
        <w:rPr>
          <w:rFonts w:ascii="Arial" w:hAnsi="Arial" w:cs="Arial"/>
          <w:lang w:val="en-US"/>
        </w:rPr>
        <w:t>, vol. 21, no. 2, pp. 87–96, 2024.</w:t>
      </w:r>
    </w:p>
    <w:p w14:paraId="12D36394" w14:textId="77777777" w:rsidR="000C76D6" w:rsidRPr="000C76D6" w:rsidRDefault="000C76D6" w:rsidP="000C76D6">
      <w:pPr>
        <w:rPr>
          <w:rFonts w:ascii="Arial" w:hAnsi="Arial" w:cs="Arial"/>
          <w:lang w:val="en-US"/>
        </w:rPr>
      </w:pPr>
      <w:r w:rsidRPr="000C76D6">
        <w:rPr>
          <w:rFonts w:ascii="Arial" w:hAnsi="Arial" w:cs="Arial"/>
          <w:lang w:val="en-US"/>
        </w:rPr>
        <w:t xml:space="preserve">[22] S. U. A. </w:t>
      </w:r>
      <w:proofErr w:type="spellStart"/>
      <w:r w:rsidRPr="000C76D6">
        <w:rPr>
          <w:rFonts w:ascii="Arial" w:hAnsi="Arial" w:cs="Arial"/>
          <w:lang w:val="en-US"/>
        </w:rPr>
        <w:t>Zahroh</w:t>
      </w:r>
      <w:proofErr w:type="spellEnd"/>
      <w:r w:rsidRPr="000C76D6">
        <w:rPr>
          <w:rFonts w:ascii="Arial" w:hAnsi="Arial" w:cs="Arial"/>
          <w:lang w:val="en-US"/>
        </w:rPr>
        <w:t xml:space="preserve">, R. S. </w:t>
      </w:r>
      <w:proofErr w:type="spellStart"/>
      <w:r w:rsidRPr="000C76D6">
        <w:rPr>
          <w:rFonts w:ascii="Arial" w:hAnsi="Arial" w:cs="Arial"/>
          <w:lang w:val="en-US"/>
        </w:rPr>
        <w:t>Dewi</w:t>
      </w:r>
      <w:proofErr w:type="spellEnd"/>
      <w:r w:rsidRPr="000C76D6">
        <w:rPr>
          <w:rFonts w:ascii="Arial" w:hAnsi="Arial" w:cs="Arial"/>
          <w:lang w:val="en-US"/>
        </w:rPr>
        <w:t xml:space="preserve">, and R. P. </w:t>
      </w:r>
      <w:proofErr w:type="spellStart"/>
      <w:r w:rsidRPr="000C76D6">
        <w:rPr>
          <w:rFonts w:ascii="Arial" w:hAnsi="Arial" w:cs="Arial"/>
          <w:lang w:val="en-US"/>
        </w:rPr>
        <w:t>Wibawa</w:t>
      </w:r>
      <w:proofErr w:type="spellEnd"/>
      <w:r w:rsidRPr="000C76D6">
        <w:rPr>
          <w:rFonts w:ascii="Arial" w:hAnsi="Arial" w:cs="Arial"/>
          <w:lang w:val="en-US"/>
        </w:rPr>
        <w:t>, “Development of audit working papers and maturity levels for helpdesk information technology governance using COBIT 2019 in the DSS domain: A case study of XYZ University,” </w:t>
      </w:r>
      <w:r w:rsidRPr="000C76D6">
        <w:rPr>
          <w:rFonts w:ascii="Arial" w:hAnsi="Arial" w:cs="Arial"/>
          <w:i/>
          <w:iCs/>
          <w:lang w:val="en-US"/>
        </w:rPr>
        <w:t>Journal of Digital Business and Innovation Management</w:t>
      </w:r>
      <w:r w:rsidRPr="000C76D6">
        <w:rPr>
          <w:rFonts w:ascii="Arial" w:hAnsi="Arial" w:cs="Arial"/>
          <w:lang w:val="en-US"/>
        </w:rPr>
        <w:t>, vol. 4, no. 2, 2025.</w:t>
      </w:r>
    </w:p>
    <w:p w14:paraId="529FD52B" w14:textId="77777777" w:rsidR="000C76D6" w:rsidRPr="000C76D6" w:rsidRDefault="000C76D6" w:rsidP="000C76D6">
      <w:pPr>
        <w:rPr>
          <w:rFonts w:ascii="Arial" w:hAnsi="Arial" w:cs="Arial"/>
          <w:lang w:val="en-US"/>
        </w:rPr>
      </w:pPr>
      <w:r w:rsidRPr="000C76D6">
        <w:rPr>
          <w:rFonts w:ascii="Arial" w:hAnsi="Arial" w:cs="Arial"/>
          <w:lang w:val="en-US"/>
        </w:rPr>
        <w:t xml:space="preserve">[23] R. </w:t>
      </w:r>
      <w:proofErr w:type="spellStart"/>
      <w:r w:rsidRPr="000C76D6">
        <w:rPr>
          <w:rFonts w:ascii="Arial" w:hAnsi="Arial" w:cs="Arial"/>
          <w:lang w:val="en-US"/>
        </w:rPr>
        <w:t>Willert</w:t>
      </w:r>
      <w:proofErr w:type="spellEnd"/>
      <w:r w:rsidRPr="000C76D6">
        <w:rPr>
          <w:rFonts w:ascii="Arial" w:hAnsi="Arial" w:cs="Arial"/>
          <w:lang w:val="en-US"/>
        </w:rPr>
        <w:t>, “Understanding ISO/IEC 27001:2022 compliance,” </w:t>
      </w:r>
      <w:r w:rsidRPr="000C76D6">
        <w:rPr>
          <w:rFonts w:ascii="Arial" w:hAnsi="Arial" w:cs="Arial"/>
          <w:i/>
          <w:iCs/>
          <w:lang w:val="en-US"/>
        </w:rPr>
        <w:t>Linford &amp; Co.</w:t>
      </w:r>
      <w:r w:rsidRPr="000C76D6">
        <w:rPr>
          <w:rFonts w:ascii="Arial" w:hAnsi="Arial" w:cs="Arial"/>
          <w:lang w:val="en-US"/>
        </w:rPr>
        <w:t>, 2025. [Online]. Available: </w:t>
      </w:r>
      <w:hyperlink r:id="rId16" w:history="1">
        <w:r w:rsidRPr="000C76D6">
          <w:rPr>
            <w:rStyle w:val="Hyperlink"/>
            <w:rFonts w:ascii="Arial" w:hAnsi="Arial" w:cs="Arial"/>
            <w:lang w:val="en-US"/>
          </w:rPr>
          <w:t>https://linfordco.com/blog/iso-27001-compliance/</w:t>
        </w:r>
      </w:hyperlink>
      <w:r w:rsidRPr="000C76D6">
        <w:rPr>
          <w:rFonts w:ascii="Arial" w:hAnsi="Arial" w:cs="Arial"/>
          <w:lang w:val="en-US"/>
        </w:rPr>
        <w:t>. [Accessed: Jul. 4, 2026].</w:t>
      </w:r>
    </w:p>
    <w:p w14:paraId="2D421599" w14:textId="10B7ED63" w:rsidR="00C07E6A" w:rsidRPr="000C76D6" w:rsidRDefault="00C07E6A" w:rsidP="000C76D6">
      <w:pPr>
        <w:rPr>
          <w:rFonts w:ascii="Arial" w:hAnsi="Arial" w:cs="Arial"/>
          <w:highlight w:val="yellow"/>
          <w:lang w:val="en-US"/>
        </w:rPr>
      </w:pPr>
      <w:r w:rsidRPr="000C76D6">
        <w:rPr>
          <w:rFonts w:ascii="Arial" w:hAnsi="Arial" w:cs="Arial"/>
        </w:rPr>
        <w:br w:type="page"/>
      </w:r>
    </w:p>
    <w:p w14:paraId="5B43692B" w14:textId="7FF3A32A" w:rsidR="00C07E6A" w:rsidRPr="00156466" w:rsidRDefault="00C07E6A" w:rsidP="00C07E6A">
      <w:pPr>
        <w:pStyle w:val="Heading1"/>
        <w:rPr>
          <w:rFonts w:cs="Arial"/>
        </w:rPr>
      </w:pPr>
      <w:bookmarkStart w:id="29" w:name="_Toc234840317"/>
      <w:r w:rsidRPr="00156466">
        <w:rPr>
          <w:rFonts w:cs="Arial"/>
        </w:rPr>
        <w:lastRenderedPageBreak/>
        <w:t>Appendi</w:t>
      </w:r>
      <w:r w:rsidR="00B07A0C" w:rsidRPr="00156466">
        <w:rPr>
          <w:rFonts w:cs="Arial"/>
        </w:rPr>
        <w:t>ces</w:t>
      </w:r>
      <w:bookmarkEnd w:id="29"/>
    </w:p>
    <w:p w14:paraId="4426879D" w14:textId="77777777" w:rsidR="00C07E6A" w:rsidRPr="00156466" w:rsidRDefault="00C07E6A" w:rsidP="00C07E6A">
      <w:pPr>
        <w:pStyle w:val="Heading2"/>
        <w:rPr>
          <w:rFonts w:ascii="Arial" w:hAnsi="Arial" w:cs="Arial"/>
        </w:rPr>
      </w:pPr>
      <w:bookmarkStart w:id="30" w:name="_Toc234840318"/>
      <w:r w:rsidRPr="00156466">
        <w:rPr>
          <w:rFonts w:ascii="Arial" w:hAnsi="Arial" w:cs="Arial"/>
        </w:rPr>
        <w:t>Appendix 1: Compliance roadmap</w:t>
      </w:r>
      <w:bookmarkEnd w:id="30"/>
      <w:r w:rsidRPr="00156466">
        <w:rPr>
          <w:rFonts w:ascii="Arial" w:hAnsi="Arial" w:cs="Arial"/>
        </w:rPr>
        <w:t xml:space="preserve"> </w:t>
      </w:r>
    </w:p>
    <w:p w14:paraId="152D6895" w14:textId="77777777" w:rsidR="00C07E6A" w:rsidRPr="00156466" w:rsidRDefault="00C07E6A" w:rsidP="00C07E6A">
      <w:pPr>
        <w:jc w:val="center"/>
        <w:rPr>
          <w:rFonts w:ascii="Arial" w:hAnsi="Arial" w:cs="Arial"/>
        </w:rPr>
      </w:pPr>
      <w:r w:rsidRPr="00156466">
        <w:rPr>
          <w:rFonts w:ascii="Arial" w:hAnsi="Arial" w:cs="Arial"/>
          <w:noProof/>
          <w:lang w:val="en-IN" w:eastAsia="en-IN" w:bidi="gu-IN"/>
        </w:rPr>
        <w:drawing>
          <wp:inline distT="0" distB="0" distL="0" distR="0" wp14:anchorId="14D98E0E" wp14:editId="68BD7FD9">
            <wp:extent cx="5486400" cy="6465453"/>
            <wp:effectExtent l="0" t="0" r="0" b="0"/>
            <wp:docPr id="893423206" name="Picture 8" descr="Compliance roadma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93423206" name="Picture 24" descr="Compliance roadmap"/>
                    <pic:cNvPicPr>
                      <a:picLocks noChangeAspect="1" noChangeArrowheads="1"/>
                    </pic:cNvPicPr>
                  </pic:nvPicPr>
                  <pic:blipFill>
                    <a:blip r:embed="rId17">
                      <a:extLst>
                        <a:ext uri="{28A0092B-C50C-407E-A947-70E740481C1C}">
                          <a14:useLocalDpi xmlns:a14="http://schemas.microsoft.com/office/drawing/2010/main" val="0"/>
                        </a:ext>
                      </a:extLst>
                    </a:blip>
                    <a:stretch>
                      <a:fillRect/>
                    </a:stretch>
                  </pic:blipFill>
                  <pic:spPr bwMode="auto">
                    <a:xfrm>
                      <a:off x="0" y="0"/>
                      <a:ext cx="5502997" cy="6485012"/>
                    </a:xfrm>
                    <a:prstGeom prst="rect">
                      <a:avLst/>
                    </a:prstGeom>
                    <a:noFill/>
                    <a:ln>
                      <a:noFill/>
                    </a:ln>
                  </pic:spPr>
                </pic:pic>
              </a:graphicData>
            </a:graphic>
          </wp:inline>
        </w:drawing>
      </w:r>
    </w:p>
    <w:p w14:paraId="26AE37FA" w14:textId="3918D713" w:rsidR="00C07E6A" w:rsidRPr="00156466" w:rsidRDefault="00C07E6A" w:rsidP="00C07E6A">
      <w:pPr>
        <w:pStyle w:val="Heading2"/>
        <w:rPr>
          <w:rFonts w:ascii="Arial" w:hAnsi="Arial" w:cs="Arial"/>
        </w:rPr>
      </w:pPr>
      <w:bookmarkStart w:id="31" w:name="_Toc234840319"/>
      <w:r w:rsidRPr="00156466">
        <w:rPr>
          <w:rFonts w:ascii="Arial" w:hAnsi="Arial" w:cs="Arial"/>
        </w:rPr>
        <w:lastRenderedPageBreak/>
        <w:t>Appendix 2: Zero Trust Architecture</w:t>
      </w:r>
      <w:bookmarkEnd w:id="31"/>
      <w:r w:rsidRPr="00156466">
        <w:rPr>
          <w:rFonts w:ascii="Arial" w:hAnsi="Arial" w:cs="Arial"/>
        </w:rPr>
        <w:t xml:space="preserve"> </w:t>
      </w:r>
    </w:p>
    <w:p w14:paraId="0A11C7BE" w14:textId="68B9A052" w:rsidR="00C07E6A" w:rsidRPr="00156466" w:rsidRDefault="00C07E6A" w:rsidP="00C07E6A">
      <w:pPr>
        <w:rPr>
          <w:rFonts w:ascii="Arial" w:hAnsi="Arial" w:cs="Arial"/>
        </w:rPr>
      </w:pPr>
      <w:r w:rsidRPr="00156466">
        <w:rPr>
          <w:rFonts w:ascii="Arial" w:hAnsi="Arial" w:cs="Arial"/>
          <w:noProof/>
          <w:lang w:val="en-IN" w:eastAsia="en-IN" w:bidi="gu-IN"/>
        </w:rPr>
        <w:drawing>
          <wp:inline distT="0" distB="0" distL="0" distR="0" wp14:anchorId="0D08AAF5" wp14:editId="47550F59">
            <wp:extent cx="5943600" cy="4250055"/>
            <wp:effectExtent l="0" t="0" r="0" b="0"/>
            <wp:docPr id="414594729" name="Picture 1" descr="Zero Trust Architecture - System Design - GeeksforGeek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Zero Trust Architecture - System Design - GeeksforGeeks"/>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5943600" cy="4250055"/>
                    </a:xfrm>
                    <a:prstGeom prst="rect">
                      <a:avLst/>
                    </a:prstGeom>
                    <a:noFill/>
                    <a:ln>
                      <a:noFill/>
                    </a:ln>
                  </pic:spPr>
                </pic:pic>
              </a:graphicData>
            </a:graphic>
          </wp:inline>
        </w:drawing>
      </w:r>
      <w:r w:rsidRPr="00156466">
        <w:rPr>
          <w:rFonts w:ascii="Arial" w:hAnsi="Arial" w:cs="Arial"/>
        </w:rPr>
        <w:t> </w:t>
      </w:r>
    </w:p>
    <w:p w14:paraId="67286C8F" w14:textId="77777777" w:rsidR="00C07E6A" w:rsidRPr="00156466" w:rsidRDefault="00C07E6A" w:rsidP="00C07E6A">
      <w:pPr>
        <w:rPr>
          <w:rFonts w:ascii="Arial" w:hAnsi="Arial" w:cs="Arial"/>
        </w:rPr>
      </w:pPr>
    </w:p>
    <w:p w14:paraId="66226085" w14:textId="77777777" w:rsidR="00C07E6A" w:rsidRPr="00156466" w:rsidRDefault="00C07E6A" w:rsidP="001D3B51">
      <w:pPr>
        <w:rPr>
          <w:rFonts w:ascii="Arial" w:hAnsi="Arial" w:cs="Arial"/>
          <w:lang w:val="en-US"/>
        </w:rPr>
      </w:pPr>
    </w:p>
    <w:p w14:paraId="49B7FBC1" w14:textId="77777777" w:rsidR="001D3B51" w:rsidRPr="00156466" w:rsidRDefault="001D3B51">
      <w:pPr>
        <w:rPr>
          <w:rFonts w:ascii="Arial" w:hAnsi="Arial" w:cs="Arial"/>
        </w:rPr>
      </w:pPr>
    </w:p>
    <w:sectPr w:rsidR="001D3B51" w:rsidRPr="00156466" w:rsidSect="00B07A0C">
      <w:footerReference w:type="default" r:id="rId19"/>
      <w:pgSz w:w="12240" w:h="15840"/>
      <w:pgMar w:top="1440" w:right="1440" w:bottom="1440" w:left="1440" w:header="720" w:footer="720" w:gutter="0"/>
      <w:pgNumType w:start="1"/>
      <w:cols w:space="720"/>
      <w:titlePg/>
      <w:docGrid w:linePitch="326"/>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06E6597E" w14:textId="77777777" w:rsidR="00C76060" w:rsidRDefault="00C76060" w:rsidP="001D3B51">
      <w:pPr>
        <w:spacing w:before="0" w:line="240" w:lineRule="auto"/>
      </w:pPr>
      <w:r>
        <w:separator/>
      </w:r>
    </w:p>
  </w:endnote>
  <w:endnote w:type="continuationSeparator" w:id="0">
    <w:p w14:paraId="07D9A3F1" w14:textId="77777777" w:rsidR="00C76060" w:rsidRDefault="00C76060" w:rsidP="001D3B51">
      <w:pPr>
        <w:spacing w:before="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embedRegular r:id="rId1" w:fontKey="{204E1852-CABC-43DF-933F-A376B74583ED}"/>
  </w:font>
  <w:font w:name="Shruti">
    <w:panose1 w:val="02000500000000000000"/>
    <w:charset w:val="01"/>
    <w:family w:val="roman"/>
    <w:pitch w:val="variable"/>
  </w:font>
  <w:font w:name="Cambria">
    <w:panose1 w:val="02040503050406030204"/>
    <w:charset w:val="00"/>
    <w:family w:val="roman"/>
    <w:pitch w:val="variable"/>
    <w:sig w:usb0="E00006FF" w:usb1="420024FF" w:usb2="02000000" w:usb3="00000000" w:csb0="0000019F" w:csb1="00000000"/>
    <w:embedRegular r:id="rId2" w:fontKey="{491452F1-6F61-4918-8832-165EAF12EEA6}"/>
    <w:embedBold r:id="rId3" w:fontKey="{7491BBD3-D2C9-42D5-9741-B28E13D25AFF}"/>
    <w:embedItalic r:id="rId4" w:fontKey="{9819764E-2F92-4DA4-9035-599EFF414B93}"/>
    <w:embedBoldItalic r:id="rId5" w:fontKey="{5EB9A082-4DBA-4C79-B61A-84016F2352AB}"/>
  </w:font>
</w:fonts>
</file>

<file path=word/footer1.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549564276"/>
      <w:docPartObj>
        <w:docPartGallery w:val="Page Numbers (Bottom of Page)"/>
        <w:docPartUnique/>
      </w:docPartObj>
    </w:sdtPr>
    <w:sdtEndPr>
      <w:rPr>
        <w:noProof/>
      </w:rPr>
    </w:sdtEndPr>
    <w:sdtContent>
      <w:p w14:paraId="6BFDF7E5" w14:textId="4D0A0BC0" w:rsidR="00B07A0C" w:rsidRDefault="00B07A0C">
        <w:pPr>
          <w:pStyle w:val="Footer"/>
          <w:jc w:val="right"/>
        </w:pPr>
        <w:r>
          <w:fldChar w:fldCharType="begin"/>
        </w:r>
        <w:r>
          <w:instrText xml:space="preserve"> PAGE   \* MERGEFORMAT </w:instrText>
        </w:r>
        <w:r>
          <w:fldChar w:fldCharType="separate"/>
        </w:r>
        <w:r w:rsidR="00D660B9">
          <w:rPr>
            <w:noProof/>
          </w:rPr>
          <w:t>14</w:t>
        </w:r>
        <w:r>
          <w:rPr>
            <w:noProof/>
          </w:rPr>
          <w:fldChar w:fldCharType="end"/>
        </w:r>
      </w:p>
    </w:sdtContent>
  </w:sdt>
  <w:p w14:paraId="442E7966" w14:textId="77777777" w:rsidR="00B07A0C" w:rsidRDefault="00B07A0C">
    <w:pPr>
      <w:pStyle w:val="Footer"/>
    </w:pPr>
  </w:p>
</w:ftr>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0DB50711" w14:textId="77777777" w:rsidR="00C76060" w:rsidRDefault="00C76060" w:rsidP="001D3B51">
      <w:pPr>
        <w:spacing w:before="0" w:line="240" w:lineRule="auto"/>
      </w:pPr>
      <w:r>
        <w:separator/>
      </w:r>
    </w:p>
  </w:footnote>
  <w:footnote w:type="continuationSeparator" w:id="0">
    <w:p w14:paraId="5642EFBC" w14:textId="77777777" w:rsidR="00C76060" w:rsidRDefault="00C76060" w:rsidP="001D3B51">
      <w:pPr>
        <w:spacing w:before="0" w:line="240" w:lineRule="auto"/>
      </w:pPr>
      <w:r>
        <w:continuationSeparator/>
      </w:r>
    </w:p>
  </w:footnote>
</w:footnotes>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1D70798F"/>
    <w:multiLevelType w:val="hybridMultilevel"/>
    <w:tmpl w:val="774ACAEE"/>
    <w:lvl w:ilvl="0" w:tplc="468E0D0E">
      <w:start w:val="1"/>
      <w:numFmt w:val="bullet"/>
      <w:lvlText w:val="o"/>
      <w:lvlJc w:val="left"/>
      <w:pPr>
        <w:ind w:left="720" w:hanging="360"/>
      </w:pPr>
      <w:rPr>
        <w:rFonts w:ascii="Courier New" w:hAnsi="Courier New" w:cs="Courier New" w:hint="default"/>
      </w:rPr>
    </w:lvl>
    <w:lvl w:ilvl="1" w:tplc="562A0686" w:tentative="1">
      <w:start w:val="1"/>
      <w:numFmt w:val="bullet"/>
      <w:lvlText w:val="o"/>
      <w:lvlJc w:val="left"/>
      <w:pPr>
        <w:ind w:left="1440" w:hanging="360"/>
      </w:pPr>
      <w:rPr>
        <w:rFonts w:ascii="Courier New" w:hAnsi="Courier New" w:cs="Courier New" w:hint="default"/>
      </w:rPr>
    </w:lvl>
    <w:lvl w:ilvl="2" w:tplc="A238CCCE" w:tentative="1">
      <w:start w:val="1"/>
      <w:numFmt w:val="bullet"/>
      <w:lvlText w:val=""/>
      <w:lvlJc w:val="left"/>
      <w:pPr>
        <w:ind w:left="2160" w:hanging="360"/>
      </w:pPr>
      <w:rPr>
        <w:rFonts w:ascii="Wingdings" w:hAnsi="Wingdings" w:hint="default"/>
      </w:rPr>
    </w:lvl>
    <w:lvl w:ilvl="3" w:tplc="74B6EBA8" w:tentative="1">
      <w:start w:val="1"/>
      <w:numFmt w:val="bullet"/>
      <w:lvlText w:val=""/>
      <w:lvlJc w:val="left"/>
      <w:pPr>
        <w:ind w:left="2880" w:hanging="360"/>
      </w:pPr>
      <w:rPr>
        <w:rFonts w:ascii="Symbol" w:hAnsi="Symbol" w:hint="default"/>
      </w:rPr>
    </w:lvl>
    <w:lvl w:ilvl="4" w:tplc="247047C6" w:tentative="1">
      <w:start w:val="1"/>
      <w:numFmt w:val="bullet"/>
      <w:lvlText w:val="o"/>
      <w:lvlJc w:val="left"/>
      <w:pPr>
        <w:ind w:left="3600" w:hanging="360"/>
      </w:pPr>
      <w:rPr>
        <w:rFonts w:ascii="Courier New" w:hAnsi="Courier New" w:cs="Courier New" w:hint="default"/>
      </w:rPr>
    </w:lvl>
    <w:lvl w:ilvl="5" w:tplc="C7AEF90A" w:tentative="1">
      <w:start w:val="1"/>
      <w:numFmt w:val="bullet"/>
      <w:lvlText w:val=""/>
      <w:lvlJc w:val="left"/>
      <w:pPr>
        <w:ind w:left="4320" w:hanging="360"/>
      </w:pPr>
      <w:rPr>
        <w:rFonts w:ascii="Wingdings" w:hAnsi="Wingdings" w:hint="default"/>
      </w:rPr>
    </w:lvl>
    <w:lvl w:ilvl="6" w:tplc="A59E3B5E" w:tentative="1">
      <w:start w:val="1"/>
      <w:numFmt w:val="bullet"/>
      <w:lvlText w:val=""/>
      <w:lvlJc w:val="left"/>
      <w:pPr>
        <w:ind w:left="5040" w:hanging="360"/>
      </w:pPr>
      <w:rPr>
        <w:rFonts w:ascii="Symbol" w:hAnsi="Symbol" w:hint="default"/>
      </w:rPr>
    </w:lvl>
    <w:lvl w:ilvl="7" w:tplc="E11A2B7A" w:tentative="1">
      <w:start w:val="1"/>
      <w:numFmt w:val="bullet"/>
      <w:lvlText w:val="o"/>
      <w:lvlJc w:val="left"/>
      <w:pPr>
        <w:ind w:left="5760" w:hanging="360"/>
      </w:pPr>
      <w:rPr>
        <w:rFonts w:ascii="Courier New" w:hAnsi="Courier New" w:cs="Courier New" w:hint="default"/>
      </w:rPr>
    </w:lvl>
    <w:lvl w:ilvl="8" w:tplc="3E06D72A" w:tentative="1">
      <w:start w:val="1"/>
      <w:numFmt w:val="bullet"/>
      <w:lvlText w:val=""/>
      <w:lvlJc w:val="left"/>
      <w:pPr>
        <w:ind w:left="6480" w:hanging="360"/>
      </w:pPr>
      <w:rPr>
        <w:rFonts w:ascii="Wingdings" w:hAnsi="Wingdings" w:hint="default"/>
      </w:rPr>
    </w:lvl>
  </w:abstractNum>
  <w:abstractNum w:abstractNumId="1" w15:restartNumberingAfterBreak="0">
    <w:nsid w:val="44FA6A39"/>
    <w:multiLevelType w:val="hybridMultilevel"/>
    <w:tmpl w:val="9C76FBF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52F4349F"/>
    <w:multiLevelType w:val="hybridMultilevel"/>
    <w:tmpl w:val="E91A11E4"/>
    <w:lvl w:ilvl="0" w:tplc="C6D6BC58">
      <w:start w:val="1"/>
      <w:numFmt w:val="bullet"/>
      <w:lvlText w:val="o"/>
      <w:lvlJc w:val="left"/>
      <w:pPr>
        <w:ind w:left="720" w:hanging="360"/>
      </w:pPr>
      <w:rPr>
        <w:rFonts w:ascii="Courier New" w:hAnsi="Courier New" w:cs="Courier New" w:hint="default"/>
      </w:rPr>
    </w:lvl>
    <w:lvl w:ilvl="1" w:tplc="EE96748A" w:tentative="1">
      <w:start w:val="1"/>
      <w:numFmt w:val="bullet"/>
      <w:lvlText w:val="o"/>
      <w:lvlJc w:val="left"/>
      <w:pPr>
        <w:ind w:left="1440" w:hanging="360"/>
      </w:pPr>
      <w:rPr>
        <w:rFonts w:ascii="Courier New" w:hAnsi="Courier New" w:cs="Courier New" w:hint="default"/>
      </w:rPr>
    </w:lvl>
    <w:lvl w:ilvl="2" w:tplc="758623F4" w:tentative="1">
      <w:start w:val="1"/>
      <w:numFmt w:val="bullet"/>
      <w:lvlText w:val=""/>
      <w:lvlJc w:val="left"/>
      <w:pPr>
        <w:ind w:left="2160" w:hanging="360"/>
      </w:pPr>
      <w:rPr>
        <w:rFonts w:ascii="Wingdings" w:hAnsi="Wingdings" w:hint="default"/>
      </w:rPr>
    </w:lvl>
    <w:lvl w:ilvl="3" w:tplc="9ECC60EC" w:tentative="1">
      <w:start w:val="1"/>
      <w:numFmt w:val="bullet"/>
      <w:lvlText w:val=""/>
      <w:lvlJc w:val="left"/>
      <w:pPr>
        <w:ind w:left="2880" w:hanging="360"/>
      </w:pPr>
      <w:rPr>
        <w:rFonts w:ascii="Symbol" w:hAnsi="Symbol" w:hint="default"/>
      </w:rPr>
    </w:lvl>
    <w:lvl w:ilvl="4" w:tplc="D67A8F86" w:tentative="1">
      <w:start w:val="1"/>
      <w:numFmt w:val="bullet"/>
      <w:lvlText w:val="o"/>
      <w:lvlJc w:val="left"/>
      <w:pPr>
        <w:ind w:left="3600" w:hanging="360"/>
      </w:pPr>
      <w:rPr>
        <w:rFonts w:ascii="Courier New" w:hAnsi="Courier New" w:cs="Courier New" w:hint="default"/>
      </w:rPr>
    </w:lvl>
    <w:lvl w:ilvl="5" w:tplc="6A0257BC" w:tentative="1">
      <w:start w:val="1"/>
      <w:numFmt w:val="bullet"/>
      <w:lvlText w:val=""/>
      <w:lvlJc w:val="left"/>
      <w:pPr>
        <w:ind w:left="4320" w:hanging="360"/>
      </w:pPr>
      <w:rPr>
        <w:rFonts w:ascii="Wingdings" w:hAnsi="Wingdings" w:hint="default"/>
      </w:rPr>
    </w:lvl>
    <w:lvl w:ilvl="6" w:tplc="418CEFE6" w:tentative="1">
      <w:start w:val="1"/>
      <w:numFmt w:val="bullet"/>
      <w:lvlText w:val=""/>
      <w:lvlJc w:val="left"/>
      <w:pPr>
        <w:ind w:left="5040" w:hanging="360"/>
      </w:pPr>
      <w:rPr>
        <w:rFonts w:ascii="Symbol" w:hAnsi="Symbol" w:hint="default"/>
      </w:rPr>
    </w:lvl>
    <w:lvl w:ilvl="7" w:tplc="065074EA" w:tentative="1">
      <w:start w:val="1"/>
      <w:numFmt w:val="bullet"/>
      <w:lvlText w:val="o"/>
      <w:lvlJc w:val="left"/>
      <w:pPr>
        <w:ind w:left="5760" w:hanging="360"/>
      </w:pPr>
      <w:rPr>
        <w:rFonts w:ascii="Courier New" w:hAnsi="Courier New" w:cs="Courier New" w:hint="default"/>
      </w:rPr>
    </w:lvl>
    <w:lvl w:ilvl="8" w:tplc="D1FAE54C" w:tentative="1">
      <w:start w:val="1"/>
      <w:numFmt w:val="bullet"/>
      <w:lvlText w:val=""/>
      <w:lvlJc w:val="left"/>
      <w:pPr>
        <w:ind w:left="6480" w:hanging="360"/>
      </w:pPr>
      <w:rPr>
        <w:rFonts w:ascii="Wingdings" w:hAnsi="Wingdings" w:hint="default"/>
      </w:rPr>
    </w:lvl>
  </w:abstractNum>
  <w:abstractNum w:abstractNumId="3" w15:restartNumberingAfterBreak="0">
    <w:nsid w:val="5F396370"/>
    <w:multiLevelType w:val="hybridMultilevel"/>
    <w:tmpl w:val="F9281800"/>
    <w:lvl w:ilvl="0" w:tplc="0ED8D5F8">
      <w:start w:val="1"/>
      <w:numFmt w:val="bullet"/>
      <w:lvlText w:val=""/>
      <w:lvlJc w:val="left"/>
      <w:pPr>
        <w:ind w:left="720" w:hanging="360"/>
      </w:pPr>
      <w:rPr>
        <w:rFonts w:ascii="Symbol" w:hAnsi="Symbol" w:hint="default"/>
      </w:rPr>
    </w:lvl>
    <w:lvl w:ilvl="1" w:tplc="2578B712" w:tentative="1">
      <w:start w:val="1"/>
      <w:numFmt w:val="bullet"/>
      <w:lvlText w:val="o"/>
      <w:lvlJc w:val="left"/>
      <w:pPr>
        <w:ind w:left="1440" w:hanging="360"/>
      </w:pPr>
      <w:rPr>
        <w:rFonts w:ascii="Courier New" w:hAnsi="Courier New" w:cs="Courier New" w:hint="default"/>
      </w:rPr>
    </w:lvl>
    <w:lvl w:ilvl="2" w:tplc="BF18B124" w:tentative="1">
      <w:start w:val="1"/>
      <w:numFmt w:val="bullet"/>
      <w:lvlText w:val=""/>
      <w:lvlJc w:val="left"/>
      <w:pPr>
        <w:ind w:left="2160" w:hanging="360"/>
      </w:pPr>
      <w:rPr>
        <w:rFonts w:ascii="Wingdings" w:hAnsi="Wingdings" w:hint="default"/>
      </w:rPr>
    </w:lvl>
    <w:lvl w:ilvl="3" w:tplc="5178E776" w:tentative="1">
      <w:start w:val="1"/>
      <w:numFmt w:val="bullet"/>
      <w:lvlText w:val=""/>
      <w:lvlJc w:val="left"/>
      <w:pPr>
        <w:ind w:left="2880" w:hanging="360"/>
      </w:pPr>
      <w:rPr>
        <w:rFonts w:ascii="Symbol" w:hAnsi="Symbol" w:hint="default"/>
      </w:rPr>
    </w:lvl>
    <w:lvl w:ilvl="4" w:tplc="4BA201CE" w:tentative="1">
      <w:start w:val="1"/>
      <w:numFmt w:val="bullet"/>
      <w:lvlText w:val="o"/>
      <w:lvlJc w:val="left"/>
      <w:pPr>
        <w:ind w:left="3600" w:hanging="360"/>
      </w:pPr>
      <w:rPr>
        <w:rFonts w:ascii="Courier New" w:hAnsi="Courier New" w:cs="Courier New" w:hint="default"/>
      </w:rPr>
    </w:lvl>
    <w:lvl w:ilvl="5" w:tplc="B5FE7734" w:tentative="1">
      <w:start w:val="1"/>
      <w:numFmt w:val="bullet"/>
      <w:lvlText w:val=""/>
      <w:lvlJc w:val="left"/>
      <w:pPr>
        <w:ind w:left="4320" w:hanging="360"/>
      </w:pPr>
      <w:rPr>
        <w:rFonts w:ascii="Wingdings" w:hAnsi="Wingdings" w:hint="default"/>
      </w:rPr>
    </w:lvl>
    <w:lvl w:ilvl="6" w:tplc="8E9C8528" w:tentative="1">
      <w:start w:val="1"/>
      <w:numFmt w:val="bullet"/>
      <w:lvlText w:val=""/>
      <w:lvlJc w:val="left"/>
      <w:pPr>
        <w:ind w:left="5040" w:hanging="360"/>
      </w:pPr>
      <w:rPr>
        <w:rFonts w:ascii="Symbol" w:hAnsi="Symbol" w:hint="default"/>
      </w:rPr>
    </w:lvl>
    <w:lvl w:ilvl="7" w:tplc="D05CE594" w:tentative="1">
      <w:start w:val="1"/>
      <w:numFmt w:val="bullet"/>
      <w:lvlText w:val="o"/>
      <w:lvlJc w:val="left"/>
      <w:pPr>
        <w:ind w:left="5760" w:hanging="360"/>
      </w:pPr>
      <w:rPr>
        <w:rFonts w:ascii="Courier New" w:hAnsi="Courier New" w:cs="Courier New" w:hint="default"/>
      </w:rPr>
    </w:lvl>
    <w:lvl w:ilvl="8" w:tplc="E404F962" w:tentative="1">
      <w:start w:val="1"/>
      <w:numFmt w:val="bullet"/>
      <w:lvlText w:val=""/>
      <w:lvlJc w:val="left"/>
      <w:pPr>
        <w:ind w:left="6480" w:hanging="360"/>
      </w:pPr>
      <w:rPr>
        <w:rFonts w:ascii="Wingdings" w:hAnsi="Wingdings" w:hint="default"/>
      </w:rPr>
    </w:lvl>
  </w:abstractNum>
  <w:abstractNum w:abstractNumId="4" w15:restartNumberingAfterBreak="0">
    <w:nsid w:val="64DD4454"/>
    <w:multiLevelType w:val="hybridMultilevel"/>
    <w:tmpl w:val="1542EBA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3"/>
  </w:num>
  <w:num w:numId="2">
    <w:abstractNumId w:val="0"/>
  </w:num>
  <w:num w:numId="3">
    <w:abstractNumId w:val="2"/>
  </w:num>
  <w:num w:numId="4">
    <w:abstractNumId w:val="4"/>
  </w:num>
  <w:num w:numId="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embedTrueTypeFont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B24FA7"/>
    <w:rsid w:val="00007DB0"/>
    <w:rsid w:val="00085C82"/>
    <w:rsid w:val="000C12AF"/>
    <w:rsid w:val="000C76D6"/>
    <w:rsid w:val="000F71D2"/>
    <w:rsid w:val="001148C6"/>
    <w:rsid w:val="00156466"/>
    <w:rsid w:val="00176412"/>
    <w:rsid w:val="001A4A66"/>
    <w:rsid w:val="001D3B51"/>
    <w:rsid w:val="001E49AB"/>
    <w:rsid w:val="002A5D9A"/>
    <w:rsid w:val="00394554"/>
    <w:rsid w:val="00396598"/>
    <w:rsid w:val="003A6D5B"/>
    <w:rsid w:val="004A1A6A"/>
    <w:rsid w:val="00550A01"/>
    <w:rsid w:val="00590360"/>
    <w:rsid w:val="00593F3A"/>
    <w:rsid w:val="005B6476"/>
    <w:rsid w:val="006E0981"/>
    <w:rsid w:val="00701AF4"/>
    <w:rsid w:val="007115ED"/>
    <w:rsid w:val="00713086"/>
    <w:rsid w:val="00741B13"/>
    <w:rsid w:val="0076057C"/>
    <w:rsid w:val="007E402F"/>
    <w:rsid w:val="008B0D54"/>
    <w:rsid w:val="008B3870"/>
    <w:rsid w:val="00907F9D"/>
    <w:rsid w:val="00935432"/>
    <w:rsid w:val="009501D0"/>
    <w:rsid w:val="009836D6"/>
    <w:rsid w:val="009916B9"/>
    <w:rsid w:val="00993638"/>
    <w:rsid w:val="009E0492"/>
    <w:rsid w:val="00A074B9"/>
    <w:rsid w:val="00A56A5F"/>
    <w:rsid w:val="00A65E74"/>
    <w:rsid w:val="00AE4B2F"/>
    <w:rsid w:val="00B07A0C"/>
    <w:rsid w:val="00B24FA7"/>
    <w:rsid w:val="00B47FC0"/>
    <w:rsid w:val="00B87ECC"/>
    <w:rsid w:val="00BC2A0E"/>
    <w:rsid w:val="00BE2FDC"/>
    <w:rsid w:val="00C07E6A"/>
    <w:rsid w:val="00C136C1"/>
    <w:rsid w:val="00C76060"/>
    <w:rsid w:val="00C85089"/>
    <w:rsid w:val="00C90163"/>
    <w:rsid w:val="00D63AC6"/>
    <w:rsid w:val="00D660B9"/>
    <w:rsid w:val="00D72645"/>
    <w:rsid w:val="00D90286"/>
    <w:rsid w:val="00DC089C"/>
    <w:rsid w:val="00E27DD7"/>
    <w:rsid w:val="00E45CF2"/>
    <w:rsid w:val="00E46F5E"/>
    <w:rsid w:val="00E51C2D"/>
    <w:rsid w:val="00EF3BD6"/>
    <w:rsid w:val="00F0054A"/>
    <w:rsid w:val="00FB3BD9"/>
  </w:rsids>
  <m:mathPr>
    <m:mathFont m:val="Cambria Math"/>
    <m:brkBin m:val="before"/>
    <m:brkBinSub m:val="--"/>
    <m:smallFrac m:val="0"/>
    <m:dispDef/>
    <m:lMargin m:val="0"/>
    <m:rMargin m:val="0"/>
    <m:defJc m:val="centerGroup"/>
    <m:wrapIndent m:val="1440"/>
    <m:intLim m:val="subSup"/>
    <m:naryLim m:val="undOvr"/>
  </m:mathPr>
  <w:themeFontLang w:val="en-US" w:bidi="gu-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EAA3A8F"/>
  <w15:docId w15:val="{A1580A05-50BC-454D-8F9A-6C17D097F77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sz w:val="24"/>
        <w:szCs w:val="24"/>
        <w:lang w:val="en" w:eastAsia="en-US" w:bidi="ar-SA"/>
      </w:rPr>
    </w:rPrDefault>
    <w:pPrDefault>
      <w:pPr>
        <w:spacing w:before="200" w:line="360" w:lineRule="auto"/>
        <w:jc w:val="both"/>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rPr>
      <w:lang w:val="en-GB"/>
    </w:rPr>
  </w:style>
  <w:style w:type="paragraph" w:styleId="Heading1">
    <w:name w:val="heading 1"/>
    <w:basedOn w:val="Normal"/>
    <w:next w:val="Normal"/>
    <w:rsid w:val="001D3B51"/>
    <w:pPr>
      <w:keepNext/>
      <w:keepLines/>
      <w:spacing w:before="400" w:after="120"/>
      <w:outlineLvl w:val="0"/>
    </w:pPr>
    <w:rPr>
      <w:rFonts w:ascii="Arial" w:hAnsi="Arial"/>
      <w:b/>
      <w:bCs/>
      <w:sz w:val="28"/>
      <w:szCs w:val="28"/>
    </w:rPr>
  </w:style>
  <w:style w:type="paragraph" w:styleId="Heading2">
    <w:name w:val="heading 2"/>
    <w:basedOn w:val="Normal"/>
    <w:next w:val="Normal"/>
    <w:rsid w:val="00C07E6A"/>
    <w:pPr>
      <w:keepNext/>
      <w:keepLines/>
      <w:spacing w:before="240" w:after="240"/>
      <w:jc w:val="left"/>
      <w:outlineLvl w:val="1"/>
    </w:pPr>
    <w:rPr>
      <w:b/>
      <w:szCs w:val="32"/>
    </w:rPr>
  </w:style>
  <w:style w:type="paragraph" w:styleId="Heading3">
    <w:name w:val="heading 3"/>
    <w:basedOn w:val="Normal"/>
    <w:next w:val="Normal"/>
    <w:pPr>
      <w:keepNext/>
      <w:keepLines/>
      <w:spacing w:before="320" w:after="80"/>
      <w:outlineLvl w:val="2"/>
    </w:pPr>
    <w:rPr>
      <w:color w:val="434343"/>
      <w:sz w:val="28"/>
      <w:szCs w:val="28"/>
    </w:rPr>
  </w:style>
  <w:style w:type="paragraph" w:styleId="Heading4">
    <w:name w:val="heading 4"/>
    <w:basedOn w:val="Normal"/>
    <w:next w:val="Normal"/>
    <w:pPr>
      <w:keepNext/>
      <w:keepLines/>
      <w:spacing w:before="280" w:after="80"/>
      <w:outlineLvl w:val="3"/>
    </w:pPr>
    <w:rPr>
      <w:color w:val="666666"/>
    </w:rPr>
  </w:style>
  <w:style w:type="paragraph" w:styleId="Heading5">
    <w:name w:val="heading 5"/>
    <w:basedOn w:val="Normal"/>
    <w:next w:val="Normal"/>
    <w:pPr>
      <w:keepNext/>
      <w:keepLines/>
      <w:spacing w:before="240" w:after="80"/>
      <w:outlineLvl w:val="4"/>
    </w:pPr>
    <w:rPr>
      <w:color w:val="666666"/>
      <w:sz w:val="22"/>
      <w:szCs w:val="22"/>
    </w:rPr>
  </w:style>
  <w:style w:type="paragraph" w:styleId="Heading6">
    <w:name w:val="heading 6"/>
    <w:basedOn w:val="Normal"/>
    <w:next w:val="Normal"/>
    <w:pPr>
      <w:keepNext/>
      <w:keepLines/>
      <w:spacing w:before="240" w:after="80"/>
      <w:outlineLvl w:val="5"/>
    </w:pPr>
    <w:rPr>
      <w:i/>
      <w:iCs/>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pPr>
      <w:keepNext/>
      <w:keepLines/>
      <w:spacing w:before="0" w:after="60"/>
    </w:pPr>
    <w:rPr>
      <w:sz w:val="52"/>
      <w:szCs w:val="52"/>
    </w:rPr>
  </w:style>
  <w:style w:type="paragraph" w:styleId="Subtitle">
    <w:name w:val="Subtitle"/>
    <w:basedOn w:val="Normal"/>
    <w:next w:val="Normal"/>
    <w:pPr>
      <w:keepNext/>
      <w:keepLines/>
      <w:spacing w:before="0" w:after="320"/>
    </w:pPr>
    <w:rPr>
      <w:rFonts w:ascii="Arial" w:eastAsia="Arial" w:hAnsi="Arial" w:cs="Arial"/>
      <w:color w:val="666666"/>
      <w:sz w:val="30"/>
      <w:szCs w:val="30"/>
    </w:rPr>
  </w:style>
  <w:style w:type="table" w:customStyle="1" w:styleId="Table1">
    <w:name w:val="Table1"/>
    <w:basedOn w:val="TableNormal0"/>
    <w:tblPr>
      <w:tblStyleRowBandSize w:val="1"/>
      <w:tblStyleColBandSize w:val="1"/>
    </w:tblPr>
  </w:style>
  <w:style w:type="paragraph" w:styleId="Header">
    <w:name w:val="header"/>
    <w:basedOn w:val="Normal"/>
    <w:link w:val="HeaderChar"/>
    <w:uiPriority w:val="99"/>
    <w:unhideWhenUsed/>
    <w:rsid w:val="001D3B51"/>
    <w:pPr>
      <w:tabs>
        <w:tab w:val="center" w:pos="4680"/>
        <w:tab w:val="right" w:pos="9360"/>
      </w:tabs>
      <w:spacing w:before="0" w:line="240" w:lineRule="auto"/>
    </w:pPr>
  </w:style>
  <w:style w:type="character" w:customStyle="1" w:styleId="HeaderChar">
    <w:name w:val="Header Char"/>
    <w:basedOn w:val="DefaultParagraphFont"/>
    <w:link w:val="Header"/>
    <w:uiPriority w:val="99"/>
    <w:rsid w:val="001D3B51"/>
    <w:rPr>
      <w:lang w:val="en-GB"/>
    </w:rPr>
  </w:style>
  <w:style w:type="paragraph" w:styleId="Footer">
    <w:name w:val="footer"/>
    <w:basedOn w:val="Normal"/>
    <w:link w:val="FooterChar"/>
    <w:uiPriority w:val="99"/>
    <w:unhideWhenUsed/>
    <w:rsid w:val="001D3B51"/>
    <w:pPr>
      <w:tabs>
        <w:tab w:val="center" w:pos="4680"/>
        <w:tab w:val="right" w:pos="9360"/>
      </w:tabs>
      <w:spacing w:before="0" w:line="240" w:lineRule="auto"/>
    </w:pPr>
  </w:style>
  <w:style w:type="character" w:customStyle="1" w:styleId="FooterChar">
    <w:name w:val="Footer Char"/>
    <w:basedOn w:val="DefaultParagraphFont"/>
    <w:link w:val="Footer"/>
    <w:uiPriority w:val="99"/>
    <w:rsid w:val="001D3B51"/>
    <w:rPr>
      <w:lang w:val="en-GB"/>
    </w:rPr>
  </w:style>
  <w:style w:type="character" w:styleId="Hyperlink">
    <w:name w:val="Hyperlink"/>
    <w:basedOn w:val="DefaultParagraphFont"/>
    <w:uiPriority w:val="99"/>
    <w:unhideWhenUsed/>
    <w:rsid w:val="001D3B51"/>
    <w:rPr>
      <w:color w:val="0000FF" w:themeColor="hyperlink"/>
      <w:u w:val="single"/>
    </w:rPr>
  </w:style>
  <w:style w:type="character" w:customStyle="1" w:styleId="UnresolvedMention">
    <w:name w:val="Unresolved Mention"/>
    <w:basedOn w:val="DefaultParagraphFont"/>
    <w:uiPriority w:val="99"/>
    <w:semiHidden/>
    <w:unhideWhenUsed/>
    <w:rsid w:val="001D3B51"/>
    <w:rPr>
      <w:color w:val="605E5C"/>
      <w:shd w:val="clear" w:color="auto" w:fill="E1DFDD"/>
    </w:rPr>
  </w:style>
  <w:style w:type="paragraph" w:styleId="TOCHeading">
    <w:name w:val="TOC Heading"/>
    <w:basedOn w:val="Heading1"/>
    <w:next w:val="Normal"/>
    <w:uiPriority w:val="39"/>
    <w:unhideWhenUsed/>
    <w:qFormat/>
    <w:rsid w:val="001D3B51"/>
    <w:pPr>
      <w:spacing w:before="240" w:after="0" w:line="259" w:lineRule="auto"/>
      <w:jc w:val="left"/>
      <w:outlineLvl w:val="9"/>
    </w:pPr>
    <w:rPr>
      <w:rFonts w:asciiTheme="majorHAnsi" w:eastAsiaTheme="majorEastAsia" w:hAnsiTheme="majorHAnsi" w:cstheme="majorBidi"/>
      <w:b w:val="0"/>
      <w:bCs w:val="0"/>
      <w:color w:val="365F91" w:themeColor="accent1" w:themeShade="BF"/>
      <w:sz w:val="32"/>
      <w:szCs w:val="32"/>
      <w:lang w:val="en-US"/>
    </w:rPr>
  </w:style>
  <w:style w:type="paragraph" w:styleId="TOC1">
    <w:name w:val="toc 1"/>
    <w:basedOn w:val="Normal"/>
    <w:next w:val="Normal"/>
    <w:autoRedefine/>
    <w:uiPriority w:val="39"/>
    <w:unhideWhenUsed/>
    <w:rsid w:val="00C07E6A"/>
    <w:pPr>
      <w:tabs>
        <w:tab w:val="right" w:leader="dot" w:pos="9350"/>
      </w:tabs>
      <w:spacing w:before="120" w:after="100"/>
    </w:pPr>
  </w:style>
  <w:style w:type="paragraph" w:styleId="TOC2">
    <w:name w:val="toc 2"/>
    <w:basedOn w:val="Normal"/>
    <w:next w:val="Normal"/>
    <w:autoRedefine/>
    <w:uiPriority w:val="39"/>
    <w:unhideWhenUsed/>
    <w:rsid w:val="001D3B51"/>
    <w:pPr>
      <w:spacing w:after="100"/>
      <w:ind w:left="240"/>
    </w:pPr>
  </w:style>
  <w:style w:type="paragraph" w:styleId="ListParagraph">
    <w:name w:val="List Paragraph"/>
    <w:basedOn w:val="Normal"/>
    <w:uiPriority w:val="34"/>
    <w:qFormat/>
    <w:rsid w:val="00C07E6A"/>
    <w:pPr>
      <w:spacing w:before="240" w:after="240"/>
      <w:ind w:left="720"/>
      <w:contextualSpacing/>
    </w:pPr>
    <w:rPr>
      <w:rFonts w:eastAsiaTheme="minorHAnsi" w:cstheme="minorBidi"/>
      <w:kern w:val="2"/>
      <w14:ligatures w14:val="standardContextual"/>
    </w:rPr>
  </w:style>
  <w:style w:type="table" w:styleId="GridTable4-Accent2">
    <w:name w:val="Grid Table 4 Accent 2"/>
    <w:basedOn w:val="TableNormal"/>
    <w:uiPriority w:val="49"/>
    <w:rsid w:val="00C07E6A"/>
    <w:pPr>
      <w:spacing w:before="0" w:line="240" w:lineRule="auto"/>
      <w:jc w:val="left"/>
    </w:pPr>
    <w:rPr>
      <w:rFonts w:asciiTheme="minorHAnsi" w:eastAsiaTheme="minorHAnsi" w:hAnsiTheme="minorHAnsi" w:cstheme="minorBidi"/>
      <w:kern w:val="2"/>
      <w:lang w:val="en-GB"/>
      <w14:ligatures w14:val="standardContextual"/>
    </w:rPr>
    <w:tblPr>
      <w:tblStyleRowBandSize w:val="1"/>
      <w:tblStyleColBandSize w:val="1"/>
      <w:tblBorders>
        <w:top w:val="single" w:sz="4" w:space="0" w:color="D99594" w:themeColor="accent2" w:themeTint="99"/>
        <w:left w:val="single" w:sz="4" w:space="0" w:color="D99594" w:themeColor="accent2" w:themeTint="99"/>
        <w:bottom w:val="single" w:sz="4" w:space="0" w:color="D99594" w:themeColor="accent2" w:themeTint="99"/>
        <w:right w:val="single" w:sz="4" w:space="0" w:color="D99594" w:themeColor="accent2" w:themeTint="99"/>
        <w:insideH w:val="single" w:sz="4" w:space="0" w:color="D99594" w:themeColor="accent2" w:themeTint="99"/>
        <w:insideV w:val="single" w:sz="4" w:space="0" w:color="D99594" w:themeColor="accent2" w:themeTint="99"/>
      </w:tblBorders>
    </w:tblPr>
    <w:tblStylePr w:type="firstRow">
      <w:rPr>
        <w:b/>
        <w:bCs/>
        <w:color w:val="FFFFFF" w:themeColor="background1"/>
      </w:rPr>
      <w:tblPr/>
      <w:tcPr>
        <w:tcBorders>
          <w:top w:val="single" w:sz="4" w:space="0" w:color="C0504D" w:themeColor="accent2"/>
          <w:left w:val="single" w:sz="4" w:space="0" w:color="C0504D" w:themeColor="accent2"/>
          <w:bottom w:val="single" w:sz="4" w:space="0" w:color="C0504D" w:themeColor="accent2"/>
          <w:right w:val="single" w:sz="4" w:space="0" w:color="C0504D" w:themeColor="accent2"/>
          <w:insideH w:val="nil"/>
          <w:insideV w:val="nil"/>
        </w:tcBorders>
        <w:shd w:val="clear" w:color="auto" w:fill="C0504D" w:themeFill="accent2"/>
      </w:tcPr>
    </w:tblStylePr>
    <w:tblStylePr w:type="lastRow">
      <w:rPr>
        <w:b/>
        <w:bCs/>
      </w:rPr>
      <w:tblPr/>
      <w:tcPr>
        <w:tcBorders>
          <w:top w:val="double" w:sz="4" w:space="0" w:color="C0504D" w:themeColor="accent2"/>
        </w:tcBorders>
      </w:tcPr>
    </w:tblStylePr>
    <w:tblStylePr w:type="firstCol">
      <w:rPr>
        <w:b/>
        <w:bCs/>
      </w:rPr>
    </w:tblStylePr>
    <w:tblStylePr w:type="lastCol">
      <w:rPr>
        <w:b/>
        <w:bCs/>
      </w:rPr>
    </w:tblStylePr>
    <w:tblStylePr w:type="band1Vert">
      <w:tblPr/>
      <w:tcPr>
        <w:shd w:val="clear" w:color="auto" w:fill="F2DBDB" w:themeFill="accent2" w:themeFillTint="33"/>
      </w:tcPr>
    </w:tblStylePr>
    <w:tblStylePr w:type="band1Horz">
      <w:tblPr/>
      <w:tcPr>
        <w:shd w:val="clear" w:color="auto" w:fill="F2DBDB" w:themeFill="accent2" w:themeFillTint="33"/>
      </w:tcPr>
    </w:tblStylePr>
  </w:style>
  <w:style w:type="table" w:styleId="GridTable4-Accent4">
    <w:name w:val="Grid Table 4 Accent 4"/>
    <w:basedOn w:val="TableNormal"/>
    <w:uiPriority w:val="49"/>
    <w:rsid w:val="00C07E6A"/>
    <w:pPr>
      <w:spacing w:before="0" w:line="240" w:lineRule="auto"/>
      <w:jc w:val="left"/>
    </w:pPr>
    <w:rPr>
      <w:rFonts w:asciiTheme="minorHAnsi" w:eastAsiaTheme="minorHAnsi" w:hAnsiTheme="minorHAnsi" w:cstheme="minorBidi"/>
      <w:kern w:val="2"/>
      <w:lang w:val="en-GB"/>
      <w14:ligatures w14:val="standardContextual"/>
    </w:rPr>
    <w:tblPr>
      <w:tblStyleRowBandSize w:val="1"/>
      <w:tblStyleColBandSize w:val="1"/>
      <w:tblBorders>
        <w:top w:val="single" w:sz="4" w:space="0" w:color="B2A1C7" w:themeColor="accent4" w:themeTint="99"/>
        <w:left w:val="single" w:sz="4" w:space="0" w:color="B2A1C7" w:themeColor="accent4" w:themeTint="99"/>
        <w:bottom w:val="single" w:sz="4" w:space="0" w:color="B2A1C7" w:themeColor="accent4" w:themeTint="99"/>
        <w:right w:val="single" w:sz="4" w:space="0" w:color="B2A1C7" w:themeColor="accent4" w:themeTint="99"/>
        <w:insideH w:val="single" w:sz="4" w:space="0" w:color="B2A1C7" w:themeColor="accent4" w:themeTint="99"/>
        <w:insideV w:val="single" w:sz="4" w:space="0" w:color="B2A1C7" w:themeColor="accent4" w:themeTint="99"/>
      </w:tblBorders>
    </w:tblPr>
    <w:tblStylePr w:type="firstRow">
      <w:rPr>
        <w:b/>
        <w:bCs/>
        <w:color w:val="FFFFFF" w:themeColor="background1"/>
      </w:rPr>
      <w:tblPr/>
      <w:tcPr>
        <w:tcBorders>
          <w:top w:val="single" w:sz="4" w:space="0" w:color="8064A2" w:themeColor="accent4"/>
          <w:left w:val="single" w:sz="4" w:space="0" w:color="8064A2" w:themeColor="accent4"/>
          <w:bottom w:val="single" w:sz="4" w:space="0" w:color="8064A2" w:themeColor="accent4"/>
          <w:right w:val="single" w:sz="4" w:space="0" w:color="8064A2" w:themeColor="accent4"/>
          <w:insideH w:val="nil"/>
          <w:insideV w:val="nil"/>
        </w:tcBorders>
        <w:shd w:val="clear" w:color="auto" w:fill="8064A2" w:themeFill="accent4"/>
      </w:tcPr>
    </w:tblStylePr>
    <w:tblStylePr w:type="lastRow">
      <w:rPr>
        <w:b/>
        <w:bCs/>
      </w:rPr>
      <w:tblPr/>
      <w:tcPr>
        <w:tcBorders>
          <w:top w:val="double" w:sz="4" w:space="0" w:color="8064A2" w:themeColor="accent4"/>
        </w:tcBorders>
      </w:tcPr>
    </w:tblStylePr>
    <w:tblStylePr w:type="firstCol">
      <w:rPr>
        <w:b/>
        <w:bCs/>
      </w:rPr>
    </w:tblStylePr>
    <w:tblStylePr w:type="lastCol">
      <w:rPr>
        <w:b/>
        <w:bCs/>
      </w:rPr>
    </w:tblStylePr>
    <w:tblStylePr w:type="band1Vert">
      <w:tblPr/>
      <w:tcPr>
        <w:shd w:val="clear" w:color="auto" w:fill="E5DFEC" w:themeFill="accent4" w:themeFillTint="33"/>
      </w:tcPr>
    </w:tblStylePr>
    <w:tblStylePr w:type="band1Horz">
      <w:tblPr/>
      <w:tcPr>
        <w:shd w:val="clear" w:color="auto" w:fill="E5DFEC" w:themeFill="accent4" w:themeFillTint="33"/>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jpeg"/><Relationship Id="rId18" Type="http://schemas.openxmlformats.org/officeDocument/2006/relationships/image" Target="media/image9.png"/><Relationship Id="rId3" Type="http://schemas.openxmlformats.org/officeDocument/2006/relationships/styles" Target="styles.xml"/><Relationship Id="rId21"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8.jpeg"/><Relationship Id="rId2" Type="http://schemas.openxmlformats.org/officeDocument/2006/relationships/numbering" Target="numbering.xml"/><Relationship Id="rId16" Type="http://schemas.openxmlformats.org/officeDocument/2006/relationships/hyperlink" Target="https://linfordco.com/blog/iso-27001-compliance/" TargetMode="Externa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hyperlink" Target="https://blog.quest.com/nist-csf-2-0-what-you-need-to-know/" TargetMode="External"/><Relationship Id="rId10" Type="http://schemas.openxmlformats.org/officeDocument/2006/relationships/image" Target="media/image3.png"/><Relationship Id="rId19"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s>
</file>

<file path=word/_rels/fontTable.xml.rels><?xml version="1.0" encoding="UTF-8" standalone="yes"?>
<Relationships xmlns="http://schemas.openxmlformats.org/package/2006/relationships"><Relationship Id="rId3" Type="http://schemas.openxmlformats.org/officeDocument/2006/relationships/font" Target="fonts/font3.odttf"/><Relationship Id="rId2" Type="http://schemas.openxmlformats.org/officeDocument/2006/relationships/font" Target="fonts/font2.odttf"/><Relationship Id="rId1" Type="http://schemas.openxmlformats.org/officeDocument/2006/relationships/font" Target="fonts/font1.odttf"/><Relationship Id="rId5" Type="http://schemas.openxmlformats.org/officeDocument/2006/relationships/font" Target="fonts/font5.odttf"/><Relationship Id="rId4" Type="http://schemas.openxmlformats.org/officeDocument/2006/relationships/font" Target="fonts/font4.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F1FF8BC-E3D1-4C07-99E7-072CBD82CA0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183</TotalTime>
  <Pages>26</Pages>
  <Words>4717</Words>
  <Characters>26891</Characters>
  <Application>Microsoft Office Word</Application>
  <DocSecurity>0</DocSecurity>
  <Lines>224</Lines>
  <Paragraphs>63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31545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Admin</cp:lastModifiedBy>
  <cp:revision>25</cp:revision>
  <dcterms:created xsi:type="dcterms:W3CDTF">2026-07-04T11:21:00Z</dcterms:created>
  <dcterms:modified xsi:type="dcterms:W3CDTF">2026-07-25T18:02:00Z</dcterms:modified>
</cp:coreProperties>
</file>