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7"/>
        <w:tblW w:w="104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fixed"/>
        <w:tblCellMar>
          <w:top w:w="0" w:type="dxa"/>
          <w:left w:w="108" w:type="dxa"/>
          <w:bottom w:w="0" w:type="dxa"/>
          <w:right w:w="108" w:type="dxa"/>
        </w:tblCellMar>
      </w:tblPr>
      <w:tblGrid>
        <w:gridCol w:w="10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fixed"/>
          <w:tblCellMar>
            <w:top w:w="0" w:type="dxa"/>
            <w:left w:w="108" w:type="dxa"/>
            <w:bottom w:w="0" w:type="dxa"/>
            <w:right w:w="108" w:type="dxa"/>
          </w:tblCellMar>
        </w:tblPrEx>
        <w:trPr>
          <w:jc w:val="center"/>
        </w:trPr>
        <w:tc>
          <w:tcPr>
            <w:tcW w:w="10444" w:type="dxa"/>
            <w:shd w:val="clear" w:color="auto" w:fill="BFBFBF"/>
          </w:tcPr>
          <w:p>
            <w:pPr>
              <w:rPr>
                <w:rFonts w:ascii="Arial" w:hAnsi="Arial" w:cs="Arial"/>
              </w:rPr>
            </w:pPr>
            <w:r>
              <w:rPr>
                <w:rFonts w:ascii="Arial" w:hAnsi="Arial" w:cs="Arial"/>
                <w:sz w:val="32"/>
                <w:szCs w:val="32"/>
              </w:rPr>
              <w:br w:type="page"/>
            </w:r>
            <w:r>
              <w:rPr>
                <w:rFonts w:ascii="Arial" w:hAnsi="Arial" w:cs="Arial"/>
                <w:b/>
                <w:caps/>
                <w:sz w:val="40"/>
              </w:rPr>
              <w:t xml:space="preserve">  Student SELF FEEDBACK FOR</w:t>
            </w:r>
            <w:bookmarkStart w:id="0" w:name="_GoBack"/>
            <w:bookmarkEnd w:id="0"/>
            <w:r>
              <w:rPr>
                <w:rFonts w:ascii="Arial" w:hAnsi="Arial" w:cs="Arial"/>
                <w:b/>
                <w:caps/>
                <w:sz w:val="40"/>
              </w:rPr>
              <w:t>M LEVEL 4</w:t>
            </w:r>
          </w:p>
        </w:tc>
      </w:tr>
    </w:tbl>
    <w:p>
      <w:pPr>
        <w:rPr>
          <w:rFonts w:ascii="Arial" w:hAnsi="Arial" w:cs="Arial"/>
        </w:rPr>
      </w:pPr>
    </w:p>
    <w:p>
      <w:pPr>
        <w:pStyle w:val="19"/>
        <w:tabs>
          <w:tab w:val="clear" w:pos="720"/>
          <w:tab w:val="clear" w:pos="1440"/>
        </w:tabs>
        <w:jc w:val="both"/>
        <w:rPr>
          <w:rFonts w:ascii="Arial" w:hAnsi="Arial" w:cs="Arial"/>
          <w:sz w:val="20"/>
        </w:rPr>
      </w:pPr>
      <w:r>
        <w:rPr>
          <w:rFonts w:ascii="Arial" w:hAnsi="Arial" w:cs="Arial"/>
          <w:sz w:val="20"/>
        </w:rPr>
        <w:t xml:space="preserve">You will need to submit AT LEAST ONE of these and link it to one of the assignments you are submitting. We recommend self-assessing your interview write up. Use the criteria on the last page below to help you self-assess. </w:t>
      </w:r>
    </w:p>
    <w:p>
      <w:pPr>
        <w:rPr>
          <w:rFonts w:ascii="Arial" w:hAnsi="Arial" w:cs="Arial"/>
          <w:b/>
          <w:sz w:val="22"/>
          <w:szCs w:val="22"/>
        </w:rPr>
      </w:pPr>
    </w:p>
    <w:tbl>
      <w:tblPr>
        <w:tblStyle w:val="17"/>
        <w:tblW w:w="10444" w:type="dxa"/>
        <w:tblInd w:w="0" w:type="dxa"/>
        <w:tblLayout w:type="fixed"/>
        <w:tblCellMar>
          <w:top w:w="0" w:type="dxa"/>
          <w:left w:w="108" w:type="dxa"/>
          <w:bottom w:w="0" w:type="dxa"/>
          <w:right w:w="108" w:type="dxa"/>
        </w:tblCellMar>
      </w:tblPr>
      <w:tblGrid>
        <w:gridCol w:w="8708"/>
        <w:gridCol w:w="869"/>
        <w:gridCol w:w="867"/>
      </w:tblGrid>
      <w:tr>
        <w:tblPrEx>
          <w:tblLayout w:type="fixed"/>
          <w:tblCellMar>
            <w:top w:w="0" w:type="dxa"/>
            <w:left w:w="108" w:type="dxa"/>
            <w:bottom w:w="0" w:type="dxa"/>
            <w:right w:w="108" w:type="dxa"/>
          </w:tblCellMar>
        </w:tblPrEx>
        <w:trPr>
          <w:trHeight w:val="1002" w:hRule="atLeast"/>
        </w:trPr>
        <w:tc>
          <w:tcPr>
            <w:tcW w:w="8708" w:type="dxa"/>
            <w:tcBorders>
              <w:top w:val="single" w:color="auto" w:sz="4" w:space="0"/>
              <w:left w:val="single" w:color="auto" w:sz="4" w:space="0"/>
              <w:right w:val="single" w:color="auto" w:sz="4" w:space="0"/>
            </w:tcBorders>
            <w:shd w:val="clear" w:color="auto" w:fill="BFBFBF"/>
            <w:vAlign w:val="center"/>
          </w:tcPr>
          <w:p>
            <w:pPr>
              <w:rPr>
                <w:rFonts w:ascii="Arial" w:hAnsi="Arial" w:cs="Arial"/>
                <w:b/>
                <w:sz w:val="22"/>
              </w:rPr>
            </w:pPr>
            <w:r>
              <w:rPr>
                <w:rFonts w:ascii="Arial" w:hAnsi="Arial" w:cs="Arial"/>
                <w:b/>
                <w:sz w:val="22"/>
                <w:szCs w:val="16"/>
              </w:rPr>
              <w:t xml:space="preserve">Generic Assessment Criteria </w:t>
            </w:r>
          </w:p>
        </w:tc>
        <w:tc>
          <w:tcPr>
            <w:tcW w:w="869" w:type="dxa"/>
            <w:tcBorders>
              <w:top w:val="single" w:color="auto" w:sz="4" w:space="0"/>
              <w:left w:val="single" w:color="auto" w:sz="4" w:space="0"/>
              <w:right w:val="single" w:color="auto" w:sz="4" w:space="0"/>
            </w:tcBorders>
            <w:shd w:val="clear" w:color="auto" w:fill="BFBFBF"/>
            <w:textDirection w:val="btLr"/>
          </w:tcPr>
          <w:p>
            <w:pPr>
              <w:ind w:left="34" w:right="113"/>
              <w:jc w:val="center"/>
              <w:rPr>
                <w:rFonts w:ascii="Arial" w:hAnsi="Arial" w:cs="Arial"/>
                <w:b/>
                <w:sz w:val="18"/>
                <w:szCs w:val="18"/>
              </w:rPr>
            </w:pPr>
            <w:r>
              <w:rPr>
                <w:rFonts w:ascii="Arial" w:hAnsi="Arial" w:cs="Arial"/>
                <w:b/>
                <w:sz w:val="18"/>
                <w:szCs w:val="18"/>
              </w:rPr>
              <w:t>Marks available</w:t>
            </w:r>
          </w:p>
        </w:tc>
        <w:tc>
          <w:tcPr>
            <w:tcW w:w="867" w:type="dxa"/>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pPr>
              <w:ind w:left="113" w:right="113"/>
              <w:jc w:val="center"/>
              <w:rPr>
                <w:rFonts w:ascii="Arial" w:hAnsi="Arial" w:cs="Arial"/>
                <w:b/>
                <w:sz w:val="18"/>
                <w:szCs w:val="18"/>
              </w:rPr>
            </w:pPr>
            <w:r>
              <w:rPr>
                <w:rFonts w:ascii="Arial" w:hAnsi="Arial" w:cs="Arial"/>
                <w:b/>
                <w:sz w:val="18"/>
                <w:szCs w:val="18"/>
              </w:rPr>
              <w:t xml:space="preserve">Marks </w:t>
            </w:r>
          </w:p>
          <w:p>
            <w:pPr>
              <w:ind w:left="113" w:right="113"/>
              <w:jc w:val="center"/>
              <w:rPr>
                <w:rFonts w:ascii="Arial" w:hAnsi="Arial" w:cs="Arial"/>
                <w:b/>
                <w:sz w:val="18"/>
                <w:szCs w:val="18"/>
              </w:rPr>
            </w:pPr>
            <w:r>
              <w:rPr>
                <w:rFonts w:ascii="Arial" w:hAnsi="Arial" w:cs="Arial"/>
                <w:b/>
                <w:sz w:val="18"/>
                <w:szCs w:val="18"/>
              </w:rPr>
              <w:t>awarded</w:t>
            </w:r>
          </w:p>
        </w:tc>
      </w:tr>
      <w:tr>
        <w:tblPrEx>
          <w:tblLayout w:type="fixed"/>
          <w:tblCellMar>
            <w:top w:w="0" w:type="dxa"/>
            <w:left w:w="108" w:type="dxa"/>
            <w:bottom w:w="0" w:type="dxa"/>
            <w:right w:w="108" w:type="dxa"/>
          </w:tblCellMar>
        </w:tblPrEx>
        <w:trPr>
          <w:trHeight w:val="450" w:hRule="atLeast"/>
        </w:trPr>
        <w:tc>
          <w:tcPr>
            <w:tcW w:w="8708" w:type="dxa"/>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pPr>
              <w:spacing w:after="120"/>
              <w:rPr>
                <w:rFonts w:ascii="Arial" w:hAnsi="Arial" w:cs="Arial"/>
                <w:sz w:val="14"/>
                <w:szCs w:val="14"/>
              </w:rPr>
            </w:pPr>
            <w:r>
              <w:rPr>
                <w:rFonts w:ascii="Arial" w:hAnsi="Arial" w:cs="Arial"/>
                <w:sz w:val="14"/>
                <w:szCs w:val="14"/>
              </w:rPr>
              <w:t>.</w:t>
            </w:r>
          </w:p>
        </w:tc>
        <w:tc>
          <w:tcPr>
            <w:tcW w:w="869" w:type="dxa"/>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867" w:type="dxa"/>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vMerge w:val="restart"/>
            <w:tcBorders>
              <w:top w:val="single" w:color="auto" w:sz="4" w:space="0"/>
              <w:left w:val="single" w:color="auto" w:sz="4" w:space="0"/>
              <w:right w:val="single" w:color="auto" w:sz="4" w:space="0"/>
            </w:tcBorders>
          </w:tcPr>
          <w:p>
            <w:pPr>
              <w:spacing w:after="120"/>
              <w:rPr>
                <w:rFonts w:ascii="Arial" w:hAnsi="Arial" w:cs="Arial"/>
                <w:sz w:val="16"/>
                <w:szCs w:val="16"/>
                <w:lang w:val="en-GB"/>
              </w:rPr>
            </w:pPr>
            <w:r>
              <w:rPr>
                <w:rFonts w:ascii="Arial" w:hAnsi="Arial" w:cs="Arial"/>
                <w:sz w:val="16"/>
                <w:szCs w:val="16"/>
                <w:lang w:val="en-GB"/>
              </w:rPr>
              <w:t>Engagement with limited range of mostly relevant and credible sources but with some reliance on information gained thought class contact. Language barrier playing an important role in understanding some of the texts.</w:t>
            </w: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tcPr>
          <w:p>
            <w:pPr>
              <w:jc w:val="center"/>
              <w:rPr>
                <w:rFonts w:ascii="Arial" w:hAnsi="Arial" w:cs="Arial"/>
                <w:sz w:val="32"/>
              </w:rPr>
            </w:pPr>
            <w:r>
              <w:rPr>
                <w:rFonts w:ascii="Arial" w:hAnsi="Arial" w:cs="Arial"/>
                <w:sz w:val="32"/>
              </w:rPr>
              <w:t>10</w:t>
            </w:r>
          </w:p>
        </w:tc>
        <w:tc>
          <w:tcPr>
            <w:tcW w:w="867" w:type="dxa"/>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1" w:hRule="atLeast"/>
        </w:trPr>
        <w:tc>
          <w:tcPr>
            <w:tcW w:w="8708" w:type="dxa"/>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869" w:type="dxa"/>
            <w:tcBorders>
              <w:left w:val="single" w:color="auto" w:sz="4" w:space="0"/>
              <w:bottom w:val="single" w:color="auto" w:sz="4" w:space="0"/>
              <w:right w:val="single" w:color="auto" w:sz="4" w:space="0"/>
            </w:tcBorders>
          </w:tcPr>
          <w:p>
            <w:pPr>
              <w:jc w:val="center"/>
              <w:rPr>
                <w:rFonts w:ascii="Arial" w:hAnsi="Arial" w:cs="Arial"/>
                <w:sz w:val="32"/>
              </w:rPr>
            </w:pPr>
          </w:p>
        </w:tc>
        <w:tc>
          <w:tcPr>
            <w:tcW w:w="867" w:type="dxa"/>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tcBorders>
              <w:top w:val="single" w:color="auto" w:sz="4" w:space="0"/>
              <w:left w:val="single" w:color="auto" w:sz="4" w:space="0"/>
              <w:right w:val="single" w:color="auto" w:sz="4" w:space="0"/>
            </w:tcBorders>
            <w:shd w:val="clear" w:color="auto" w:fill="D9D9D9"/>
          </w:tcPr>
          <w:p>
            <w:pPr>
              <w:rPr>
                <w:rFonts w:ascii="Arial" w:hAnsi="Arial" w:cs="Arial"/>
                <w:b/>
              </w:rPr>
            </w:pPr>
            <w:r>
              <w:rPr>
                <w:rFonts w:ascii="Arial" w:hAnsi="Arial" w:cs="Arial"/>
                <w:b/>
                <w:szCs w:val="16"/>
              </w:rPr>
              <w:t xml:space="preserve">2. </w:t>
            </w:r>
            <w:r>
              <w:rPr>
                <w:rFonts w:ascii="Arial" w:hAnsi="Arial" w:cs="Arial"/>
                <w:b/>
              </w:rPr>
              <w:t>Knowledge and Understanding Skills</w:t>
            </w: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867" w:type="dxa"/>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vMerge w:val="restart"/>
            <w:tcBorders>
              <w:top w:val="single" w:color="auto" w:sz="4" w:space="0"/>
              <w:left w:val="single" w:color="auto" w:sz="4" w:space="0"/>
              <w:right w:val="single" w:color="auto" w:sz="4" w:space="0"/>
            </w:tcBorders>
          </w:tcPr>
          <w:p>
            <w:pPr>
              <w:spacing w:after="120"/>
              <w:rPr>
                <w:rFonts w:ascii="Arial" w:hAnsi="Arial" w:cs="Arial"/>
                <w:sz w:val="14"/>
                <w:szCs w:val="14"/>
                <w:lang w:val="en-GB"/>
              </w:rPr>
            </w:pPr>
            <w:r>
              <w:rPr>
                <w:rFonts w:ascii="Arial" w:hAnsi="Arial" w:cs="Arial"/>
                <w:sz w:val="14"/>
                <w:szCs w:val="14"/>
                <w:lang w:val="en-GB"/>
              </w:rPr>
              <w:t xml:space="preserve">Gaps in knowledge of basic understanding of basic concepts and very lost at the beginning of the year but with much confident and with more knowledge at the end . </w:t>
            </w: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tcPr>
          <w:p>
            <w:pPr>
              <w:jc w:val="center"/>
              <w:rPr>
                <w:rFonts w:ascii="Arial" w:hAnsi="Arial" w:cs="Arial"/>
                <w:sz w:val="32"/>
              </w:rPr>
            </w:pPr>
            <w:r>
              <w:rPr>
                <w:rFonts w:ascii="Arial" w:hAnsi="Arial" w:cs="Arial"/>
                <w:sz w:val="32"/>
              </w:rPr>
              <w:t>20</w:t>
            </w:r>
          </w:p>
        </w:tc>
        <w:tc>
          <w:tcPr>
            <w:tcW w:w="867" w:type="dxa"/>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1" w:hRule="atLeast"/>
        </w:trPr>
        <w:tc>
          <w:tcPr>
            <w:tcW w:w="8708" w:type="dxa"/>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869" w:type="dxa"/>
            <w:tcBorders>
              <w:left w:val="single" w:color="auto" w:sz="4" w:space="0"/>
              <w:bottom w:val="single" w:color="auto" w:sz="4" w:space="0"/>
              <w:right w:val="single" w:color="auto" w:sz="4" w:space="0"/>
            </w:tcBorders>
          </w:tcPr>
          <w:p>
            <w:pPr>
              <w:jc w:val="center"/>
              <w:rPr>
                <w:rFonts w:ascii="Arial" w:hAnsi="Arial" w:cs="Arial"/>
                <w:sz w:val="32"/>
              </w:rPr>
            </w:pPr>
          </w:p>
        </w:tc>
        <w:tc>
          <w:tcPr>
            <w:tcW w:w="867" w:type="dxa"/>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867" w:type="dxa"/>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vMerge w:val="restart"/>
            <w:tcBorders>
              <w:top w:val="single" w:color="auto" w:sz="4" w:space="0"/>
              <w:left w:val="single" w:color="auto" w:sz="4" w:space="0"/>
              <w:right w:val="single" w:color="auto" w:sz="4" w:space="0"/>
            </w:tcBorders>
          </w:tcPr>
          <w:p>
            <w:pPr>
              <w:spacing w:after="120"/>
              <w:rPr>
                <w:rFonts w:ascii="Arial" w:hAnsi="Arial" w:cs="Arial"/>
                <w:sz w:val="14"/>
                <w:szCs w:val="14"/>
                <w:lang w:val="en-GB"/>
              </w:rPr>
            </w:pPr>
            <w:r>
              <w:rPr>
                <w:rFonts w:ascii="Arial" w:hAnsi="Arial" w:cs="Arial"/>
                <w:sz w:val="14"/>
                <w:szCs w:val="14"/>
                <w:lang w:val="en-GB"/>
              </w:rPr>
              <w:t>Can interpret qualitative and quantitative data with some errors and have sometimes  ideas illogical and contradictory.</w:t>
            </w: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tcPr>
          <w:p>
            <w:pPr>
              <w:jc w:val="center"/>
              <w:rPr>
                <w:rFonts w:ascii="Arial" w:hAnsi="Arial" w:cs="Arial"/>
                <w:sz w:val="32"/>
              </w:rPr>
            </w:pPr>
            <w:r>
              <w:rPr>
                <w:rFonts w:ascii="Arial" w:hAnsi="Arial" w:cs="Arial"/>
                <w:sz w:val="32"/>
              </w:rPr>
              <w:t>20</w:t>
            </w:r>
          </w:p>
        </w:tc>
        <w:tc>
          <w:tcPr>
            <w:tcW w:w="867" w:type="dxa"/>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1" w:hRule="atLeast"/>
        </w:trPr>
        <w:tc>
          <w:tcPr>
            <w:tcW w:w="8708" w:type="dxa"/>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869" w:type="dxa"/>
            <w:tcBorders>
              <w:left w:val="single" w:color="auto" w:sz="4" w:space="0"/>
              <w:bottom w:val="single" w:color="auto" w:sz="4" w:space="0"/>
              <w:right w:val="single" w:color="auto" w:sz="4" w:space="0"/>
            </w:tcBorders>
          </w:tcPr>
          <w:p>
            <w:pPr>
              <w:jc w:val="center"/>
              <w:rPr>
                <w:rFonts w:ascii="Arial" w:hAnsi="Arial" w:cs="Arial"/>
                <w:sz w:val="32"/>
              </w:rPr>
            </w:pPr>
          </w:p>
        </w:tc>
        <w:tc>
          <w:tcPr>
            <w:tcW w:w="867" w:type="dxa"/>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867" w:type="dxa"/>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1" w:hRule="atLeast"/>
        </w:trPr>
        <w:tc>
          <w:tcPr>
            <w:tcW w:w="8708" w:type="dxa"/>
            <w:vMerge w:val="restart"/>
            <w:tcBorders>
              <w:top w:val="single" w:color="auto" w:sz="4" w:space="0"/>
              <w:left w:val="single" w:color="auto" w:sz="4" w:space="0"/>
              <w:right w:val="single" w:color="auto" w:sz="4" w:space="0"/>
            </w:tcBorders>
          </w:tcPr>
          <w:p>
            <w:pPr>
              <w:spacing w:after="120"/>
              <w:rPr>
                <w:rFonts w:ascii="Arial" w:hAnsi="Arial" w:cs="Arial"/>
                <w:sz w:val="14"/>
                <w:szCs w:val="14"/>
                <w:lang w:val="en-GB"/>
              </w:rPr>
            </w:pPr>
            <w:r>
              <w:rPr>
                <w:rFonts w:ascii="Arial" w:hAnsi="Arial" w:cs="Arial"/>
                <w:sz w:val="14"/>
                <w:szCs w:val="14"/>
                <w:lang w:val="en-GB"/>
              </w:rPr>
              <w:t xml:space="preserve">An adequate awareness and mostly appropriate applications of basic methods, materials and techniques. </w:t>
            </w: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tcPr>
          <w:p>
            <w:pPr>
              <w:jc w:val="center"/>
              <w:rPr>
                <w:rFonts w:ascii="Arial" w:hAnsi="Arial" w:cs="Arial"/>
                <w:sz w:val="32"/>
              </w:rPr>
            </w:pPr>
            <w:r>
              <w:rPr>
                <w:rFonts w:ascii="Arial" w:hAnsi="Arial" w:cs="Arial"/>
                <w:sz w:val="32"/>
              </w:rPr>
              <w:t>25</w:t>
            </w:r>
          </w:p>
        </w:tc>
        <w:tc>
          <w:tcPr>
            <w:tcW w:w="867" w:type="dxa"/>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869" w:type="dxa"/>
            <w:tcBorders>
              <w:left w:val="single" w:color="auto" w:sz="4" w:space="0"/>
              <w:bottom w:val="single" w:color="auto" w:sz="4" w:space="0"/>
              <w:right w:val="single" w:color="auto" w:sz="4" w:space="0"/>
            </w:tcBorders>
          </w:tcPr>
          <w:p>
            <w:pPr>
              <w:jc w:val="center"/>
              <w:rPr>
                <w:rFonts w:ascii="Arial" w:hAnsi="Arial" w:cs="Arial"/>
                <w:sz w:val="32"/>
              </w:rPr>
            </w:pPr>
          </w:p>
        </w:tc>
        <w:tc>
          <w:tcPr>
            <w:tcW w:w="867" w:type="dxa"/>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tcBorders>
              <w:top w:val="single" w:color="auto" w:sz="4" w:space="0"/>
              <w:left w:val="single" w:color="auto" w:sz="4" w:space="0"/>
              <w:right w:val="single" w:color="auto" w:sz="4" w:space="0"/>
            </w:tcBorders>
            <w:shd w:val="clear" w:color="auto" w:fill="D9D9D9"/>
          </w:tcPr>
          <w:p>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shd w:val="clear" w:color="auto" w:fill="D9D9D9"/>
          </w:tcPr>
          <w:p>
            <w:pPr>
              <w:jc w:val="center"/>
              <w:rPr>
                <w:rFonts w:ascii="Arial" w:hAnsi="Arial" w:cs="Arial"/>
                <w:sz w:val="32"/>
              </w:rPr>
            </w:pPr>
          </w:p>
        </w:tc>
        <w:tc>
          <w:tcPr>
            <w:tcW w:w="867" w:type="dxa"/>
            <w:tcBorders>
              <w:top w:val="single" w:color="auto" w:sz="4" w:space="0"/>
              <w:left w:val="single" w:color="auto" w:sz="4" w:space="0"/>
              <w:bottom w:val="single" w:color="auto" w:sz="4" w:space="0"/>
              <w:right w:val="single" w:color="auto" w:sz="4" w:space="0"/>
            </w:tcBorders>
            <w:shd w:val="clear" w:color="auto" w:fill="D9D9D9"/>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1" w:hRule="atLeast"/>
        </w:trPr>
        <w:tc>
          <w:tcPr>
            <w:tcW w:w="8708" w:type="dxa"/>
            <w:vMerge w:val="restart"/>
            <w:tcBorders>
              <w:top w:val="single" w:color="auto" w:sz="4" w:space="0"/>
              <w:left w:val="single" w:color="auto" w:sz="4" w:space="0"/>
              <w:right w:val="single" w:color="auto" w:sz="4" w:space="0"/>
            </w:tcBorders>
          </w:tcPr>
          <w:p>
            <w:pPr>
              <w:spacing w:after="120"/>
              <w:rPr>
                <w:rFonts w:ascii="Arial" w:hAnsi="Arial" w:cs="Arial"/>
                <w:sz w:val="14"/>
                <w:szCs w:val="14"/>
                <w:lang w:val="en-GB"/>
              </w:rPr>
            </w:pPr>
            <w:r>
              <w:rPr>
                <w:rFonts w:ascii="Arial" w:hAnsi="Arial" w:cs="Arial"/>
                <w:sz w:val="14"/>
                <w:szCs w:val="14"/>
                <w:lang w:val="en-GB"/>
              </w:rPr>
              <w:t xml:space="preserve">During this year the amount of knowledge, learning had left a big mark on self awareness. The amount of information received and processed along this course had a massive impact  in the way of thinking . Really tankful for the opportunity. </w:t>
            </w:r>
          </w:p>
          <w:p>
            <w:pPr>
              <w:spacing w:after="120"/>
              <w:rPr>
                <w:rFonts w:ascii="Arial" w:hAnsi="Arial" w:cs="Arial"/>
                <w:sz w:val="14"/>
                <w:szCs w:val="14"/>
              </w:rPr>
            </w:pPr>
          </w:p>
          <w:p>
            <w:pPr>
              <w:spacing w:after="120"/>
              <w:rPr>
                <w:rFonts w:ascii="Arial" w:hAnsi="Arial" w:cs="Arial"/>
                <w:sz w:val="14"/>
                <w:szCs w:val="14"/>
              </w:rPr>
            </w:pPr>
          </w:p>
          <w:p>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tcPr>
          <w:p>
            <w:pPr>
              <w:jc w:val="center"/>
              <w:rPr>
                <w:rFonts w:ascii="Arial" w:hAnsi="Arial" w:cs="Arial"/>
                <w:sz w:val="32"/>
              </w:rPr>
            </w:pPr>
            <w:r>
              <w:rPr>
                <w:rFonts w:ascii="Arial" w:hAnsi="Arial" w:cs="Arial"/>
                <w:sz w:val="32"/>
              </w:rPr>
              <w:t>25</w:t>
            </w:r>
          </w:p>
        </w:tc>
        <w:tc>
          <w:tcPr>
            <w:tcW w:w="867" w:type="dxa"/>
            <w:vMerge w:val="restart"/>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r>
        <w:tblPrEx>
          <w:tblLayout w:type="fixed"/>
          <w:tblCellMar>
            <w:top w:w="0" w:type="dxa"/>
            <w:left w:w="108" w:type="dxa"/>
            <w:bottom w:w="0" w:type="dxa"/>
            <w:right w:w="108" w:type="dxa"/>
          </w:tblCellMar>
        </w:tblPrEx>
        <w:trPr>
          <w:trHeight w:val="450" w:hRule="atLeast"/>
        </w:trPr>
        <w:tc>
          <w:tcPr>
            <w:tcW w:w="8708" w:type="dxa"/>
            <w:vMerge w:val="continue"/>
            <w:tcBorders>
              <w:left w:val="single" w:color="auto" w:sz="4" w:space="0"/>
              <w:bottom w:val="single" w:color="auto" w:sz="4" w:space="0"/>
              <w:right w:val="single" w:color="auto" w:sz="4" w:space="0"/>
            </w:tcBorders>
          </w:tcPr>
          <w:p>
            <w:pPr>
              <w:rPr>
                <w:rFonts w:ascii="Arial" w:hAnsi="Arial" w:cs="Arial"/>
                <w:b/>
                <w:sz w:val="16"/>
                <w:szCs w:val="16"/>
              </w:rPr>
            </w:pPr>
          </w:p>
        </w:tc>
        <w:tc>
          <w:tcPr>
            <w:tcW w:w="869" w:type="dxa"/>
            <w:tcBorders>
              <w:left w:val="single" w:color="auto" w:sz="4" w:space="0"/>
              <w:bottom w:val="single" w:color="auto" w:sz="4" w:space="0"/>
              <w:right w:val="single" w:color="auto" w:sz="4" w:space="0"/>
            </w:tcBorders>
          </w:tcPr>
          <w:p>
            <w:pPr>
              <w:jc w:val="center"/>
              <w:rPr>
                <w:rFonts w:ascii="Arial" w:hAnsi="Arial" w:cs="Arial"/>
                <w:sz w:val="32"/>
              </w:rPr>
            </w:pPr>
          </w:p>
        </w:tc>
        <w:tc>
          <w:tcPr>
            <w:tcW w:w="867" w:type="dxa"/>
            <w:vMerge w:val="continue"/>
            <w:tcBorders>
              <w:top w:val="single" w:color="auto" w:sz="4" w:space="0"/>
              <w:left w:val="single" w:color="auto" w:sz="4" w:space="0"/>
              <w:bottom w:val="single" w:color="auto" w:sz="4" w:space="0"/>
              <w:right w:val="single" w:color="auto" w:sz="4" w:space="0"/>
            </w:tcBorders>
          </w:tcPr>
          <w:p>
            <w:pPr>
              <w:jc w:val="center"/>
              <w:rPr>
                <w:rFonts w:ascii="Arial" w:hAnsi="Arial" w:cs="Arial"/>
                <w:sz w:val="32"/>
              </w:rPr>
            </w:pPr>
          </w:p>
        </w:tc>
      </w:tr>
    </w:tbl>
    <w:p>
      <w:pPr>
        <w:ind w:left="284" w:right="531"/>
        <w:rPr>
          <w:rFonts w:ascii="Arial" w:hAnsi="Arial" w:cs="Arial"/>
          <w:b/>
          <w:sz w:val="16"/>
          <w:szCs w:val="16"/>
        </w:rPr>
      </w:pPr>
    </w:p>
    <w:tbl>
      <w:tblPr>
        <w:tblStyle w:val="17"/>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6062" w:type="dxa"/>
            <w:vMerge w:val="restart"/>
            <w:shd w:val="pct10" w:color="auto" w:fill="auto"/>
            <w:vAlign w:val="center"/>
          </w:tcPr>
          <w:p>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0" w:color="auto" w:fill="auto"/>
            <w:vAlign w:val="bottom"/>
          </w:tcPr>
          <w:p>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pPr>
              <w:jc w:val="right"/>
              <w:rPr>
                <w:rFonts w:ascii="Arial" w:hAnsi="Arial" w:cs="Arial"/>
                <w:b/>
                <w:bCs/>
              </w:rPr>
            </w:pPr>
            <w:r>
              <w:rPr>
                <w:rFonts w:ascii="Arial" w:hAnsi="Arial" w:cs="Arial"/>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6062" w:type="dxa"/>
            <w:vMerge w:val="continue"/>
            <w:vAlign w:val="bottom"/>
          </w:tcPr>
          <w:p>
            <w:pPr>
              <w:rPr>
                <w:rFonts w:ascii="Arial" w:hAnsi="Arial" w:cs="Arial"/>
              </w:rPr>
            </w:pPr>
          </w:p>
        </w:tc>
        <w:tc>
          <w:tcPr>
            <w:tcW w:w="2903" w:type="dxa"/>
            <w:vAlign w:val="bottom"/>
          </w:tcPr>
          <w:p>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pPr>
              <w:jc w:val="center"/>
              <w:rPr>
                <w:rFonts w:ascii="Arial" w:hAnsi="Arial" w:cs="Arial"/>
                <w:sz w:val="12"/>
                <w:szCs w:val="12"/>
              </w:rPr>
            </w:pPr>
          </w:p>
        </w:tc>
        <w:tc>
          <w:tcPr>
            <w:tcW w:w="1060" w:type="dxa"/>
            <w:vMerge w:val="continue"/>
            <w:vAlign w:val="bottom"/>
          </w:tcPr>
          <w:p>
            <w:pPr>
              <w:ind w:left="142" w:leftChars="71"/>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6062" w:type="dxa"/>
            <w:vMerge w:val="continue"/>
            <w:vAlign w:val="bottom"/>
          </w:tcPr>
          <w:p>
            <w:pPr>
              <w:rPr>
                <w:rFonts w:ascii="Arial" w:hAnsi="Arial" w:cs="Arial"/>
              </w:rPr>
            </w:pPr>
          </w:p>
        </w:tc>
        <w:tc>
          <w:tcPr>
            <w:tcW w:w="2903" w:type="dxa"/>
            <w:vAlign w:val="bottom"/>
          </w:tcPr>
          <w:p>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pPr>
              <w:jc w:val="center"/>
              <w:rPr>
                <w:rFonts w:ascii="Arial" w:hAnsi="Arial" w:cs="Arial"/>
                <w:sz w:val="12"/>
                <w:szCs w:val="12"/>
              </w:rPr>
            </w:pPr>
          </w:p>
        </w:tc>
        <w:tc>
          <w:tcPr>
            <w:tcW w:w="1060" w:type="dxa"/>
            <w:vMerge w:val="continue"/>
            <w:vAlign w:val="bottom"/>
          </w:tcPr>
          <w:p>
            <w:pPr>
              <w:ind w:firstLine="282" w:firstLineChars="141"/>
              <w:rPr>
                <w:rFonts w:ascii="Arial" w:hAnsi="Arial" w:cs="Arial"/>
              </w:rPr>
            </w:pPr>
          </w:p>
        </w:tc>
      </w:tr>
    </w:tbl>
    <w:p>
      <w:pPr>
        <w:rPr>
          <w:rFonts w:ascii="Arial" w:hAnsi="Arial" w:cs="Arial"/>
        </w:rPr>
      </w:pPr>
    </w:p>
    <w:p>
      <w:pPr>
        <w:rPr>
          <w:rFonts w:ascii="Arial" w:hAnsi="Arial" w:cs="Arial"/>
        </w:rPr>
      </w:pPr>
    </w:p>
    <w:p>
      <w:pPr>
        <w:rPr>
          <w:rFonts w:ascii="Arial" w:hAnsi="Arial" w:cs="Arial"/>
          <w:vanish/>
        </w:rPr>
        <w:sectPr>
          <w:footerReference r:id="rId3" w:type="default"/>
          <w:type w:val="continuous"/>
          <w:pgSz w:w="11894" w:h="16834"/>
          <w:pgMar w:top="720" w:right="720" w:bottom="720" w:left="720" w:header="706" w:footer="706" w:gutter="0"/>
          <w:paperSrc w:first="1" w:other="1"/>
          <w:cols w:space="720" w:num="1"/>
        </w:sectPr>
      </w:pPr>
    </w:p>
    <w:p>
      <w:pPr>
        <w:rPr>
          <w:rFonts w:ascii="Arial" w:hAnsi="Arial" w:cs="Arial"/>
          <w:vanish/>
        </w:rPr>
        <w:sectPr>
          <w:pgSz w:w="16834" w:h="11894" w:orient="landscape"/>
          <w:pgMar w:top="720" w:right="720" w:bottom="720" w:left="720" w:header="706" w:footer="706" w:gutter="0"/>
          <w:paperSrc w:first="1" w:other="1"/>
          <w:cols w:space="720" w:num="1"/>
          <w:docGrid w:linePitch="272" w:charSpace="0"/>
        </w:sectPr>
      </w:pPr>
    </w:p>
    <w:p>
      <w:pPr>
        <w:rPr>
          <w:rFonts w:ascii="Arial" w:hAnsi="Arial" w:cs="Arial"/>
          <w:vanish/>
        </w:rPr>
      </w:pPr>
    </w:p>
    <w:p>
      <w:pPr>
        <w:pStyle w:val="12"/>
        <w:rPr>
          <w:rFonts w:ascii="Arial" w:hAnsi="Arial" w:cs="Arial"/>
          <w:color w:val="303B44"/>
          <w:sz w:val="22"/>
          <w:szCs w:val="22"/>
        </w:rPr>
      </w:pPr>
    </w:p>
    <w:tbl>
      <w:tblPr>
        <w:tblStyle w:val="18"/>
        <w:tblW w:w="13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8DB3E2" w:themeFill="text2" w:themeFillTint="66"/>
        <w:tblLayout w:type="fixed"/>
        <w:tblCellMar>
          <w:top w:w="0" w:type="dxa"/>
          <w:left w:w="108" w:type="dxa"/>
          <w:bottom w:w="0" w:type="dxa"/>
          <w:right w:w="108" w:type="dxa"/>
        </w:tblCellMar>
      </w:tblPr>
      <w:tblGrid>
        <w:gridCol w:w="13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8DB3E2" w:themeFill="text2" w:themeFillTint="66"/>
          <w:tblLayout w:type="fixed"/>
        </w:tblPrEx>
        <w:tc>
          <w:tcPr>
            <w:tcW w:w="13858" w:type="dxa"/>
            <w:shd w:val="clear" w:color="auto" w:fill="8DB3E2" w:themeFill="text2" w:themeFillTint="66"/>
          </w:tcPr>
          <w:p>
            <w:pPr>
              <w:pStyle w:val="12"/>
              <w:rPr>
                <w:rFonts w:ascii="Arial" w:hAnsi="Arial" w:cs="Arial"/>
                <w:b/>
                <w:color w:val="303B44"/>
                <w:sz w:val="22"/>
                <w:szCs w:val="22"/>
              </w:rPr>
            </w:pPr>
            <w:r>
              <w:rPr>
                <w:rFonts w:ascii="Arial" w:hAnsi="Arial" w:cs="Arial"/>
                <w:b/>
                <w:color w:val="303B44"/>
                <w:sz w:val="22"/>
                <w:szCs w:val="22"/>
              </w:rPr>
              <w:t>GENERIC ASSESSMENT CRITERIA</w:t>
            </w:r>
          </w:p>
        </w:tc>
      </w:tr>
    </w:tbl>
    <w:p>
      <w:pPr>
        <w:pStyle w:val="12"/>
        <w:rPr>
          <w:rFonts w:ascii="Arial" w:hAnsi="Arial" w:cs="Arial"/>
          <w:color w:val="303B44"/>
          <w:sz w:val="22"/>
          <w:szCs w:val="22"/>
        </w:rPr>
      </w:pP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948" w:type="dxa"/>
            <w:shd w:val="clear" w:color="auto" w:fill="8DB3E2" w:themeFill="text2" w:themeFillTint="66"/>
          </w:tcPr>
          <w:p>
            <w:pPr>
              <w:rPr>
                <w:rFonts w:ascii="Arial" w:hAnsi="Arial" w:cs="Arial"/>
                <w:b/>
              </w:rPr>
            </w:pPr>
            <w:r>
              <w:rPr>
                <w:rFonts w:ascii="Arial" w:hAnsi="Arial" w:cs="Arial"/>
                <w:b/>
              </w:rPr>
              <w:t>Level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948" w:type="dxa"/>
            <w:shd w:val="clear" w:color="auto" w:fill="DAEEF3" w:themeFill="accent5" w:themeFillTint="33"/>
          </w:tcPr>
          <w:p>
            <w:pPr>
              <w:rPr>
                <w:rFonts w:ascii="Arial" w:hAnsi="Arial" w:eastAsia="Arial" w:cs="Arial"/>
                <w:spacing w:val="-1"/>
              </w:rPr>
            </w:pPr>
            <w:r>
              <w:rPr>
                <w:rFonts w:ascii="Arial" w:hAnsi="Arial" w:eastAsia="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hAnsi="Arial"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pPr>
        <w:rPr>
          <w:rFonts w:ascii="Arial" w:hAnsi="Arial" w:cs="Arial"/>
        </w:rPr>
      </w:pPr>
    </w:p>
    <w:tbl>
      <w:tblPr>
        <w:tblStyle w:val="18"/>
        <w:tblW w:w="138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1736"/>
        <w:gridCol w:w="1736"/>
        <w:gridCol w:w="1736"/>
        <w:gridCol w:w="1736"/>
        <w:gridCol w:w="1736"/>
        <w:gridCol w:w="1736"/>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trPr>
        <w:tc>
          <w:tcPr>
            <w:tcW w:w="1735" w:type="dxa"/>
            <w:shd w:val="clear" w:color="auto" w:fill="8DB3E2" w:themeFill="text2" w:themeFillTint="66"/>
          </w:tcPr>
          <w:p>
            <w:pPr>
              <w:rPr>
                <w:rFonts w:ascii="Arial" w:hAnsi="Arial" w:cs="Arial"/>
                <w:sz w:val="18"/>
                <w:szCs w:val="18"/>
              </w:rPr>
            </w:pPr>
            <w:r>
              <w:rPr>
                <w:rFonts w:ascii="Arial" w:hAnsi="Arial" w:cs="Arial"/>
                <w:b/>
                <w:sz w:val="18"/>
                <w:szCs w:val="18"/>
              </w:rPr>
              <w:t>Level 4</w:t>
            </w:r>
          </w:p>
        </w:tc>
        <w:tc>
          <w:tcPr>
            <w:tcW w:w="1736" w:type="dxa"/>
            <w:shd w:val="clear" w:color="auto" w:fill="8DB3E2" w:themeFill="text2" w:themeFillTint="66"/>
            <w:vAlign w:val="center"/>
          </w:tcPr>
          <w:p>
            <w:pPr>
              <w:jc w:val="center"/>
              <w:rPr>
                <w:rFonts w:ascii="Arial" w:hAnsi="Arial" w:cs="Arial"/>
                <w:b/>
                <w:sz w:val="18"/>
                <w:szCs w:val="18"/>
              </w:rPr>
            </w:pPr>
            <w:r>
              <w:rPr>
                <w:rFonts w:ascii="Arial" w:hAnsi="Arial" w:cs="Arial"/>
                <w:b/>
                <w:sz w:val="18"/>
                <w:szCs w:val="18"/>
              </w:rPr>
              <w:t>FAIL</w:t>
            </w:r>
          </w:p>
        </w:tc>
        <w:tc>
          <w:tcPr>
            <w:tcW w:w="1736" w:type="dxa"/>
            <w:shd w:val="clear" w:color="auto" w:fill="8DB3E2" w:themeFill="text2" w:themeFillTint="66"/>
            <w:vAlign w:val="center"/>
          </w:tcPr>
          <w:p>
            <w:pPr>
              <w:jc w:val="center"/>
              <w:rPr>
                <w:rFonts w:ascii="Arial" w:hAnsi="Arial" w:cs="Arial"/>
                <w:b/>
                <w:sz w:val="18"/>
                <w:szCs w:val="18"/>
              </w:rPr>
            </w:pPr>
            <w:r>
              <w:rPr>
                <w:rFonts w:ascii="Arial" w:hAnsi="Arial" w:cs="Arial"/>
                <w:b/>
                <w:sz w:val="18"/>
                <w:szCs w:val="18"/>
              </w:rPr>
              <w:t>MARGINAL FAIL</w:t>
            </w:r>
          </w:p>
        </w:tc>
        <w:tc>
          <w:tcPr>
            <w:tcW w:w="1736" w:type="dxa"/>
            <w:shd w:val="clear" w:color="auto" w:fill="8DB3E2" w:themeFill="text2" w:themeFillTint="66"/>
            <w:vAlign w:val="center"/>
          </w:tcPr>
          <w:p>
            <w:pPr>
              <w:jc w:val="center"/>
              <w:rPr>
                <w:rFonts w:ascii="Arial" w:hAnsi="Arial" w:cs="Arial"/>
                <w:b/>
                <w:sz w:val="18"/>
                <w:szCs w:val="18"/>
              </w:rPr>
            </w:pPr>
            <w:r>
              <w:rPr>
                <w:rFonts w:ascii="Arial" w:hAnsi="Arial" w:cs="Arial"/>
                <w:b/>
                <w:sz w:val="18"/>
                <w:szCs w:val="18"/>
              </w:rPr>
              <w:t>SATISFACTORY</w:t>
            </w:r>
          </w:p>
          <w:p>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pPr>
              <w:jc w:val="center"/>
              <w:rPr>
                <w:rFonts w:ascii="Arial" w:hAnsi="Arial" w:cs="Arial"/>
                <w:b/>
                <w:sz w:val="18"/>
                <w:szCs w:val="18"/>
              </w:rPr>
            </w:pPr>
            <w:r>
              <w:rPr>
                <w:rFonts w:ascii="Arial" w:hAnsi="Arial" w:cs="Arial"/>
                <w:b/>
                <w:sz w:val="18"/>
                <w:szCs w:val="18"/>
              </w:rPr>
              <w:t>GOOD</w:t>
            </w:r>
          </w:p>
          <w:p>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pPr>
              <w:jc w:val="center"/>
              <w:rPr>
                <w:rFonts w:ascii="Arial" w:hAnsi="Arial" w:cs="Arial"/>
                <w:b/>
                <w:sz w:val="18"/>
                <w:szCs w:val="18"/>
              </w:rPr>
            </w:pPr>
            <w:r>
              <w:rPr>
                <w:rFonts w:ascii="Arial" w:hAnsi="Arial" w:cs="Arial"/>
                <w:b/>
                <w:sz w:val="18"/>
                <w:szCs w:val="18"/>
              </w:rPr>
              <w:t>VERY GOOD</w:t>
            </w:r>
          </w:p>
          <w:p>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pPr>
              <w:jc w:val="center"/>
              <w:rPr>
                <w:rFonts w:ascii="Arial" w:hAnsi="Arial" w:cs="Arial"/>
                <w:b/>
                <w:sz w:val="18"/>
                <w:szCs w:val="18"/>
              </w:rPr>
            </w:pPr>
            <w:r>
              <w:rPr>
                <w:rFonts w:ascii="Arial" w:hAnsi="Arial" w:cs="Arial"/>
                <w:b/>
                <w:sz w:val="18"/>
                <w:szCs w:val="18"/>
              </w:rPr>
              <w:t>EXCELLENT</w:t>
            </w:r>
          </w:p>
          <w:p>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pPr>
              <w:jc w:val="center"/>
              <w:rPr>
                <w:rFonts w:ascii="Arial" w:hAnsi="Arial" w:cs="Arial"/>
                <w:b/>
                <w:sz w:val="18"/>
                <w:szCs w:val="18"/>
              </w:rPr>
            </w:pPr>
            <w:r>
              <w:rPr>
                <w:rFonts w:ascii="Arial" w:hAnsi="Arial" w:cs="Arial"/>
                <w:b/>
                <w:sz w:val="18"/>
                <w:szCs w:val="18"/>
              </w:rPr>
              <w:t>EXCEPTIONAL</w:t>
            </w:r>
          </w:p>
          <w:p>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trPr>
        <w:tc>
          <w:tcPr>
            <w:tcW w:w="1735" w:type="dxa"/>
            <w:shd w:val="clear" w:color="auto" w:fill="8DB3E2" w:themeFill="text2" w:themeFillTint="66"/>
          </w:tcPr>
          <w:p>
            <w:pPr>
              <w:ind w:left="171"/>
              <w:rPr>
                <w:rFonts w:ascii="Arial" w:hAnsi="Arial" w:cs="Arial"/>
                <w:sz w:val="18"/>
                <w:szCs w:val="18"/>
              </w:rPr>
            </w:pPr>
            <w:r>
              <w:rPr>
                <w:rFonts w:ascii="Arial" w:hAnsi="Arial" w:eastAsia="Arial" w:cs="Arial"/>
                <w:b/>
                <w:bCs/>
              </w:rPr>
              <w:t>Category</w:t>
            </w:r>
          </w:p>
        </w:tc>
        <w:tc>
          <w:tcPr>
            <w:tcW w:w="1736" w:type="dxa"/>
            <w:shd w:val="clear" w:color="auto" w:fill="8DB3E2" w:themeFill="text2" w:themeFillTint="66"/>
            <w:vAlign w:val="bottom"/>
          </w:tcPr>
          <w:p>
            <w:pPr>
              <w:jc w:val="center"/>
              <w:rPr>
                <w:rFonts w:ascii="Arial" w:hAnsi="Arial" w:cs="Arial"/>
                <w:b/>
                <w:sz w:val="18"/>
                <w:szCs w:val="18"/>
              </w:rPr>
            </w:pPr>
            <w:r>
              <w:rPr>
                <w:rFonts w:ascii="Arial" w:hAnsi="Arial" w:cs="Arial"/>
                <w:b/>
                <w:sz w:val="18"/>
                <w:szCs w:val="18"/>
              </w:rPr>
              <w:t>0-29%</w:t>
            </w:r>
          </w:p>
        </w:tc>
        <w:tc>
          <w:tcPr>
            <w:tcW w:w="1736" w:type="dxa"/>
            <w:shd w:val="clear" w:color="auto" w:fill="8DB3E2" w:themeFill="text2" w:themeFillTint="66"/>
            <w:vAlign w:val="bottom"/>
          </w:tcPr>
          <w:p>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pPr>
              <w:jc w:val="center"/>
              <w:rPr>
                <w:rFonts w:ascii="Arial" w:hAnsi="Arial" w:cs="Arial"/>
                <w:b/>
                <w:sz w:val="18"/>
                <w:szCs w:val="18"/>
              </w:rPr>
            </w:pPr>
            <w:r>
              <w:rPr>
                <w:rFonts w:ascii="Arial" w:hAnsi="Arial" w:cs="Arial"/>
                <w:b/>
                <w:sz w:val="18"/>
                <w:szCs w:val="18"/>
              </w:rPr>
              <w:t>40-49%</w:t>
            </w:r>
          </w:p>
        </w:tc>
        <w:tc>
          <w:tcPr>
            <w:tcW w:w="1736" w:type="dxa"/>
            <w:shd w:val="clear" w:color="auto" w:fill="8DB3E2" w:themeFill="text2" w:themeFillTint="66"/>
            <w:vAlign w:val="bottom"/>
          </w:tcPr>
          <w:p>
            <w:pPr>
              <w:jc w:val="center"/>
              <w:rPr>
                <w:rFonts w:ascii="Arial" w:hAnsi="Arial" w:cs="Arial"/>
                <w:b/>
                <w:sz w:val="18"/>
                <w:szCs w:val="18"/>
              </w:rPr>
            </w:pPr>
            <w:r>
              <w:rPr>
                <w:rFonts w:ascii="Arial" w:hAnsi="Arial" w:cs="Arial"/>
                <w:b/>
                <w:sz w:val="18"/>
                <w:szCs w:val="18"/>
              </w:rPr>
              <w:t>50-59%</w:t>
            </w:r>
          </w:p>
        </w:tc>
        <w:tc>
          <w:tcPr>
            <w:tcW w:w="1736" w:type="dxa"/>
            <w:shd w:val="clear" w:color="auto" w:fill="8DB3E2" w:themeFill="text2" w:themeFillTint="66"/>
            <w:vAlign w:val="bottom"/>
          </w:tcPr>
          <w:p>
            <w:pPr>
              <w:jc w:val="center"/>
              <w:rPr>
                <w:rFonts w:ascii="Arial" w:hAnsi="Arial" w:cs="Arial"/>
                <w:b/>
                <w:sz w:val="18"/>
                <w:szCs w:val="18"/>
              </w:rPr>
            </w:pPr>
            <w:r>
              <w:rPr>
                <w:rFonts w:ascii="Arial" w:hAnsi="Arial" w:cs="Arial"/>
                <w:b/>
                <w:sz w:val="18"/>
                <w:szCs w:val="18"/>
              </w:rPr>
              <w:t>60-69%</w:t>
            </w:r>
          </w:p>
        </w:tc>
        <w:tc>
          <w:tcPr>
            <w:tcW w:w="1736" w:type="dxa"/>
            <w:shd w:val="clear" w:color="auto" w:fill="8DB3E2" w:themeFill="text2" w:themeFillTint="66"/>
            <w:vAlign w:val="bottom"/>
          </w:tcPr>
          <w:p>
            <w:pPr>
              <w:jc w:val="center"/>
              <w:rPr>
                <w:rFonts w:ascii="Arial" w:hAnsi="Arial" w:cs="Arial"/>
                <w:b/>
                <w:sz w:val="18"/>
                <w:szCs w:val="18"/>
              </w:rPr>
            </w:pPr>
            <w:r>
              <w:rPr>
                <w:rFonts w:ascii="Arial" w:hAnsi="Arial" w:cs="Arial"/>
                <w:b/>
                <w:sz w:val="18"/>
                <w:szCs w:val="18"/>
              </w:rPr>
              <w:t>70-84%</w:t>
            </w:r>
          </w:p>
        </w:tc>
        <w:tc>
          <w:tcPr>
            <w:tcW w:w="1736" w:type="dxa"/>
            <w:shd w:val="clear" w:color="auto" w:fill="8DB3E2" w:themeFill="text2" w:themeFillTint="66"/>
          </w:tcPr>
          <w:p>
            <w:pPr>
              <w:jc w:val="center"/>
              <w:rPr>
                <w:rFonts w:ascii="Arial" w:hAnsi="Arial" w:cs="Arial"/>
                <w:b/>
                <w:sz w:val="18"/>
                <w:szCs w:val="18"/>
              </w:rPr>
            </w:pPr>
            <w:r>
              <w:rPr>
                <w:rFonts w:ascii="Arial" w:hAnsi="Arial" w:cs="Arial"/>
                <w:b/>
                <w:sz w:val="18"/>
                <w:szCs w:val="18"/>
              </w:rPr>
              <w:t>85-100%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35" w:type="dxa"/>
            <w:shd w:val="clear" w:color="auto" w:fill="8DB3E2" w:themeFill="text2" w:themeFillTint="66"/>
          </w:tcPr>
          <w:p>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reading, referencing,</w:t>
            </w:r>
          </w:p>
          <w:p>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pPr>
              <w:rPr>
                <w:rFonts w:ascii="Arial" w:hAnsi="Arial" w:cs="Arial"/>
              </w:rPr>
            </w:pPr>
            <w:r>
              <w:rPr>
                <w:rFonts w:ascii="Arial" w:hAnsi="Arial" w:cs="Arial"/>
              </w:rPr>
              <w:t>Views and findings mostly unsupported and non-authoritative.</w:t>
            </w:r>
          </w:p>
          <w:p>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Engagement with a wide range of literature, including sources retrieved independently.</w:t>
            </w:r>
          </w:p>
          <w:p>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pPr>
              <w:rPr>
                <w:rFonts w:ascii="Arial" w:hAnsi="Arial" w:cs="Arial"/>
              </w:rPr>
            </w:pPr>
            <w:r>
              <w:rPr>
                <w:rFonts w:ascii="Arial" w:hAnsi="Arial" w:cs="Arial"/>
              </w:rPr>
              <w:t>Exceptional engagement with an extensive range of relevant and credible literature. High-level referencing skills consistently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35" w:type="dxa"/>
            <w:shd w:val="clear" w:color="auto" w:fill="8DB3E2" w:themeFill="text2" w:themeFillTint="66"/>
          </w:tcPr>
          <w:p>
            <w:pPr>
              <w:spacing w:before="34"/>
              <w:ind w:left="108" w:right="-54"/>
              <w:rPr>
                <w:rFonts w:ascii="Arial" w:hAnsi="Arial" w:cs="Arial"/>
                <w:sz w:val="18"/>
                <w:szCs w:val="18"/>
              </w:rPr>
            </w:pPr>
            <w:r>
              <w:rPr>
                <w:rFonts w:ascii="Arial" w:hAnsi="Arial" w:eastAsia="Arial" w:cs="Arial"/>
                <w:b/>
                <w:bCs/>
              </w:rPr>
              <w:t xml:space="preserve">Knowledge and understanding </w:t>
            </w:r>
            <w:r>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pPr>
              <w:spacing w:after="120"/>
              <w:rPr>
                <w:rFonts w:ascii="Arial" w:hAnsi="Arial" w:cs="Arial"/>
              </w:rPr>
            </w:pPr>
            <w:r>
              <w:rPr>
                <w:rFonts w:ascii="Arial" w:hAnsi="Arial" w:cs="Arial"/>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pPr>
              <w:spacing w:after="120"/>
              <w:rPr>
                <w:rFonts w:ascii="Arial" w:hAnsi="Arial" w:cs="Arial"/>
              </w:rPr>
            </w:pPr>
            <w:r>
              <w:rPr>
                <w:rFonts w:ascii="Arial" w:hAnsi="Arial" w:cs="Arial"/>
              </w:rPr>
              <w:t>Gaps in knowledge</w:t>
            </w:r>
            <w:r>
              <w:t xml:space="preserve"> of </w:t>
            </w:r>
            <w:r>
              <w:rPr>
                <w:rFonts w:ascii="Arial" w:hAnsi="Arial" w:cs="Arial"/>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pPr>
              <w:spacing w:after="120"/>
              <w:rPr>
                <w:rFonts w:ascii="Arial" w:hAnsi="Arial" w:cs="Arial"/>
              </w:rPr>
            </w:pPr>
            <w:r>
              <w:rPr>
                <w:rFonts w:ascii="Arial" w:hAnsi="Arial" w:cs="Arial"/>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pPr>
              <w:spacing w:after="120"/>
              <w:rPr>
                <w:rFonts w:ascii="Arial" w:hAnsi="Arial" w:cs="Arial"/>
              </w:rPr>
            </w:pPr>
            <w:r>
              <w:rPr>
                <w:rFonts w:ascii="Arial" w:hAnsi="Arial" w:cs="Arial"/>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pPr>
              <w:spacing w:after="120"/>
              <w:rPr>
                <w:rFonts w:ascii="Arial" w:hAnsi="Arial" w:cs="Arial"/>
              </w:rPr>
            </w:pPr>
            <w:r>
              <w:rPr>
                <w:rFonts w:ascii="Arial" w:hAnsi="Arial" w:cs="Arial"/>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pPr>
              <w:spacing w:after="120"/>
              <w:rPr>
                <w:rFonts w:ascii="Arial" w:hAnsi="Arial" w:cs="Arial"/>
              </w:rPr>
            </w:pPr>
            <w:r>
              <w:rPr>
                <w:rFonts w:ascii="Arial" w:hAnsi="Arial" w:cs="Arial"/>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pPr>
              <w:spacing w:after="120"/>
              <w:rPr>
                <w:rFonts w:ascii="Arial" w:hAnsi="Arial" w:cs="Arial"/>
              </w:rPr>
            </w:pPr>
            <w:r>
              <w:rPr>
                <w:rFonts w:ascii="Arial" w:hAnsi="Arial" w:cs="Arial"/>
              </w:rPr>
              <w:t>Exceptional, detailed knowledge and understanding of the basic underlying concepts and principles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35" w:type="dxa"/>
            <w:shd w:val="clear" w:color="auto" w:fill="8DB3E2" w:themeFill="text2" w:themeFillTint="66"/>
          </w:tcPr>
          <w:p>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(Evaluate underlying concepts and principles of a subject and interpret qualitative and quantitative data in order to develop lines of argument and make sound judgements.) </w:t>
            </w:r>
          </w:p>
          <w:p>
            <w:pPr>
              <w:spacing w:before="34" w:line="239" w:lineRule="auto"/>
              <w:ind w:left="108" w:right="-54"/>
              <w:rPr>
                <w:rFonts w:ascii="Arial" w:hAnsi="Arial" w:eastAsia="Arial" w:cs="Arial"/>
                <w:bCs/>
                <w:sz w:val="18"/>
                <w:szCs w:val="18"/>
              </w:rPr>
            </w:pPr>
          </w:p>
          <w:p>
            <w:pPr>
              <w:spacing w:before="34" w:line="239" w:lineRule="auto"/>
              <w:ind w:left="108" w:right="-54"/>
              <w:rPr>
                <w:rFonts w:ascii="Arial" w:hAnsi="Arial" w:eastAsia="Arial" w:cs="Arial"/>
                <w:bCs/>
                <w:sz w:val="18"/>
                <w:szCs w:val="18"/>
              </w:rPr>
            </w:pPr>
          </w:p>
        </w:tc>
        <w:tc>
          <w:tcPr>
            <w:tcW w:w="1736" w:type="dxa"/>
          </w:tcPr>
          <w:p>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pPr>
              <w:rPr>
                <w:rFonts w:ascii="Arial" w:hAnsi="Arial" w:cs="Arial"/>
              </w:rPr>
            </w:pPr>
            <w:r>
              <w:rPr>
                <w:rFonts w:ascii="Arial" w:hAnsi="Arial" w:cs="Arial"/>
              </w:rPr>
              <w:t>Failure to develop arguments, leading to illogical or invalid judgements. Minimal or no use of</w:t>
            </w:r>
          </w:p>
          <w:p>
            <w:pPr>
              <w:rPr>
                <w:rFonts w:ascii="Arial" w:hAnsi="Arial" w:cs="Arial"/>
              </w:rPr>
            </w:pPr>
            <w:r>
              <w:rPr>
                <w:rFonts w:ascii="Arial" w:hAnsi="Arial" w:cs="Arial"/>
              </w:rPr>
              <w:t>evidence to back up views.</w:t>
            </w:r>
          </w:p>
          <w:p>
            <w:pPr>
              <w:rPr>
                <w:rFonts w:ascii="Arial" w:hAnsi="Arial" w:cs="Arial"/>
              </w:rPr>
            </w:pPr>
          </w:p>
        </w:tc>
        <w:tc>
          <w:tcPr>
            <w:tcW w:w="1736" w:type="dxa"/>
          </w:tcPr>
          <w:p>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pPr>
              <w:rPr>
                <w:rFonts w:ascii="Arial" w:hAnsi="Arial" w:cs="Arial"/>
              </w:rPr>
            </w:pPr>
            <w:r>
              <w:rPr>
                <w:rFonts w:ascii="Arial" w:hAnsi="Arial" w:cs="Arial"/>
              </w:rPr>
              <w:t>Limited attempt at evaluation of the underlying concepts and principles, tending towards description.</w:t>
            </w:r>
          </w:p>
          <w:p>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pPr>
              <w:rPr>
                <w:rFonts w:ascii="Arial" w:hAnsi="Arial" w:cs="Arial"/>
              </w:rPr>
            </w:pPr>
          </w:p>
        </w:tc>
        <w:tc>
          <w:tcPr>
            <w:tcW w:w="1736" w:type="dxa"/>
          </w:tcPr>
          <w:p>
            <w:pPr>
              <w:rPr>
                <w:rFonts w:ascii="Arial" w:hAnsi="Arial" w:cs="Arial"/>
              </w:rPr>
            </w:pPr>
            <w:r>
              <w:rPr>
                <w:rFonts w:ascii="Arial" w:hAnsi="Arial" w:cs="Arial"/>
              </w:rPr>
              <w:t>Good evaluation of the underlying concepts and principles. Can interpret qualitative and quantitative data, with minor errors.</w:t>
            </w:r>
          </w:p>
          <w:p>
            <w:pPr>
              <w:rPr>
                <w:rFonts w:ascii="Arial" w:hAnsi="Arial" w:cs="Arial"/>
              </w:rPr>
            </w:pPr>
            <w:r>
              <w:rPr>
                <w:rFonts w:ascii="Arial" w:hAnsi="Arial" w:cs="Arial"/>
              </w:rPr>
              <w:t>An emerging ability to use evidence to support the argument.</w:t>
            </w:r>
          </w:p>
          <w:p>
            <w:pPr>
              <w:rPr>
                <w:rFonts w:ascii="Arial" w:hAnsi="Arial" w:cs="Arial"/>
              </w:rPr>
            </w:pPr>
            <w:r>
              <w:rPr>
                <w:rFonts w:ascii="Arial" w:hAnsi="Arial" w:cs="Arial"/>
              </w:rPr>
              <w:t>Mostly valid arguments and logical judgements.</w:t>
            </w:r>
            <w:r>
              <w:t xml:space="preserve"> </w:t>
            </w:r>
          </w:p>
        </w:tc>
        <w:tc>
          <w:tcPr>
            <w:tcW w:w="1736" w:type="dxa"/>
          </w:tcPr>
          <w:p>
            <w:pPr>
              <w:rPr>
                <w:rFonts w:ascii="Arial" w:hAnsi="Arial" w:cs="Arial"/>
              </w:rPr>
            </w:pPr>
            <w:r>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pPr>
              <w:rPr>
                <w:rFonts w:ascii="Arial" w:hAnsi="Arial" w:cs="Arial"/>
              </w:rPr>
            </w:pPr>
          </w:p>
        </w:tc>
        <w:tc>
          <w:tcPr>
            <w:tcW w:w="1736" w:type="dxa"/>
          </w:tcPr>
          <w:p>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pPr>
              <w:rPr>
                <w:rFonts w:ascii="Arial" w:hAnsi="Arial" w:cs="Arial"/>
              </w:rPr>
            </w:pPr>
            <w:r>
              <w:rPr>
                <w:rFonts w:ascii="Arial" w:hAnsi="Arial" w:cs="Arial"/>
              </w:rPr>
              <w:t>Exceptional evaluation of the underlying concepts and principles based evidence. Outstanding interpretation of qualitative and quantitative data.</w:t>
            </w:r>
          </w:p>
          <w:p>
            <w:pPr>
              <w:rPr>
                <w:rFonts w:ascii="Arial" w:hAnsi="Arial" w:cs="Arial"/>
              </w:rPr>
            </w:pPr>
            <w:r>
              <w:rPr>
                <w:rFonts w:ascii="Arial" w:hAnsi="Arial" w:cs="Arial"/>
              </w:rPr>
              <w:t xml:space="preserve">Exceptional ability to devise arguments using evidence and make wholly appropriate and valid judgements.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35" w:type="dxa"/>
            <w:shd w:val="clear" w:color="auto" w:fill="8DB3E2" w:themeFill="text2" w:themeFillTint="66"/>
          </w:tcPr>
          <w:p>
            <w:pPr>
              <w:spacing w:before="34" w:line="239" w:lineRule="auto"/>
              <w:ind w:left="108" w:right="-54"/>
              <w:rPr>
                <w:rFonts w:ascii="Arial" w:hAnsi="Arial" w:eastAsia="Arial" w:cs="Arial"/>
                <w:b/>
                <w:bCs/>
              </w:rPr>
            </w:pPr>
            <w:r>
              <w:rPr>
                <w:rFonts w:ascii="Arial" w:hAnsi="Arial" w:eastAsia="Arial" w:cs="Arial"/>
                <w:b/>
                <w:bCs/>
              </w:rPr>
              <w:t>Practical skills</w:t>
            </w:r>
          </w:p>
          <w:p>
            <w:pPr>
              <w:spacing w:before="34" w:line="239" w:lineRule="auto"/>
              <w:ind w:left="108" w:right="-54"/>
              <w:rPr>
                <w:rFonts w:ascii="Arial" w:hAnsi="Arial" w:eastAsia="Arial" w:cs="Arial"/>
                <w:bCs/>
                <w:sz w:val="18"/>
                <w:szCs w:val="18"/>
              </w:rPr>
            </w:pPr>
            <w:r>
              <w:rPr>
                <w:rFonts w:ascii="Arial" w:hAnsi="Arial" w:eastAsia="Arial" w:cs="Arial"/>
                <w:bCs/>
                <w:sz w:val="18"/>
                <w:szCs w:val="18"/>
              </w:rPr>
              <w:t>(Different approaches to solving problems in particular contexts.)</w:t>
            </w:r>
          </w:p>
          <w:p>
            <w:pPr>
              <w:spacing w:before="34" w:line="239" w:lineRule="auto"/>
              <w:ind w:left="108" w:right="-54"/>
              <w:rPr>
                <w:rFonts w:ascii="Arial" w:hAnsi="Arial" w:eastAsia="Arial" w:cs="Arial"/>
                <w:b/>
                <w:bCs/>
                <w:sz w:val="18"/>
                <w:szCs w:val="18"/>
              </w:rPr>
            </w:pPr>
          </w:p>
        </w:tc>
        <w:tc>
          <w:tcPr>
            <w:tcW w:w="1736" w:type="dxa"/>
          </w:tcPr>
          <w:p>
            <w:pPr>
              <w:rPr>
                <w:rFonts w:ascii="Arial" w:hAnsi="Arial" w:cs="Arial"/>
              </w:rPr>
            </w:pPr>
            <w:r>
              <w:rPr>
                <w:rFonts w:ascii="Arial" w:hAnsi="Arial" w:cs="Arial"/>
              </w:rPr>
              <w:t>Limited or no use of taught, basic methods, materials, tools and/or techniques.</w:t>
            </w:r>
          </w:p>
          <w:p>
            <w:pPr>
              <w:rPr>
                <w:rFonts w:ascii="Arial" w:hAnsi="Arial" w:cs="Arial"/>
              </w:rPr>
            </w:pPr>
            <w:r>
              <w:rPr>
                <w:rFonts w:ascii="Arial" w:hAnsi="Arial" w:cs="Arial"/>
              </w:rPr>
              <w:t>Little or no appreciation of the context of the application.</w:t>
            </w:r>
          </w:p>
          <w:p>
            <w:pPr>
              <w:rPr>
                <w:rFonts w:ascii="Arial" w:hAnsi="Arial" w:cs="Arial"/>
              </w:rPr>
            </w:pPr>
            <w:r>
              <w:rPr>
                <w:rFonts w:ascii="Arial" w:hAnsi="Arial" w:cs="Arial"/>
              </w:rPr>
              <w:t xml:space="preserve">Very weak evidence of different approaches to problem-solving in particular contexts. </w:t>
            </w:r>
          </w:p>
        </w:tc>
        <w:tc>
          <w:tcPr>
            <w:tcW w:w="1736" w:type="dxa"/>
          </w:tcPr>
          <w:p>
            <w:pPr>
              <w:rPr>
                <w:rFonts w:ascii="Arial" w:hAnsi="Arial" w:cs="Arial"/>
              </w:rPr>
            </w:pPr>
            <w:r>
              <w:rPr>
                <w:rFonts w:ascii="Arial" w:hAnsi="Arial" w:cs="Arial"/>
              </w:rPr>
              <w:t>Rudimentary application of taught, basic methods, materials, tools and/or techniques but without consideration and competence. Flawed appreciation of the context of the application.</w:t>
            </w:r>
          </w:p>
          <w:p>
            <w:pPr>
              <w:rPr>
                <w:rFonts w:ascii="Arial" w:hAnsi="Arial" w:cs="Arial"/>
              </w:rPr>
            </w:pPr>
            <w:r>
              <w:rPr>
                <w:rFonts w:ascii="Arial" w:hAnsi="Arial" w:cs="Arial"/>
              </w:rPr>
              <w:t>Weak evidence of different approaches to problem-solving in particular contexts.</w:t>
            </w:r>
          </w:p>
          <w:p>
            <w:pPr>
              <w:rPr>
                <w:rFonts w:ascii="Arial" w:hAnsi="Arial" w:cs="Arial"/>
              </w:rPr>
            </w:pPr>
          </w:p>
          <w:p>
            <w:pPr>
              <w:rPr>
                <w:rFonts w:ascii="Arial" w:hAnsi="Arial" w:cs="Arial"/>
              </w:rPr>
            </w:pPr>
          </w:p>
        </w:tc>
        <w:tc>
          <w:tcPr>
            <w:tcW w:w="1736" w:type="dxa"/>
          </w:tcPr>
          <w:p>
            <w:pPr>
              <w:rPr>
                <w:rFonts w:ascii="Arial" w:hAnsi="Arial" w:cs="Arial"/>
              </w:rPr>
            </w:pPr>
            <w:r>
              <w:rPr>
                <w:rFonts w:ascii="Arial" w:hAnsi="Arial" w:cs="Arial"/>
              </w:rPr>
              <w:t>An adequate awareness and mostly appropriate application of basic methods, materials, tools and/or techniques.</w:t>
            </w:r>
          </w:p>
          <w:p>
            <w:pPr>
              <w:rPr>
                <w:rFonts w:ascii="Arial" w:hAnsi="Arial" w:cs="Arial"/>
              </w:rPr>
            </w:pPr>
            <w:r>
              <w:rPr>
                <w:rFonts w:ascii="Arial" w:hAnsi="Arial" w:cs="Arial"/>
              </w:rPr>
              <w:t xml:space="preserve">Basic appreciation of the context of the application. </w:t>
            </w:r>
          </w:p>
          <w:p>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Pr>
          <w:p>
            <w:pPr>
              <w:rPr>
                <w:rFonts w:ascii="Arial" w:hAnsi="Arial" w:cs="Arial"/>
              </w:rPr>
            </w:pPr>
            <w:r>
              <w:rPr>
                <w:rFonts w:ascii="Arial" w:hAnsi="Arial" w:cs="Arial"/>
              </w:rPr>
              <w:t>A good and appropriate application of basic methods, materials, tools and/or techniques.</w:t>
            </w:r>
          </w:p>
          <w:p>
            <w:pPr>
              <w:rPr>
                <w:rFonts w:ascii="Arial" w:hAnsi="Arial" w:cs="Arial"/>
              </w:rPr>
            </w:pPr>
            <w:r>
              <w:rPr>
                <w:rFonts w:ascii="Arial" w:hAnsi="Arial" w:cs="Arial"/>
              </w:rPr>
              <w:t xml:space="preserve">Clear appreciation of the context of the application. </w:t>
            </w:r>
          </w:p>
          <w:p>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Pr>
          <w:p>
            <w:pPr>
              <w:rPr>
                <w:rFonts w:ascii="Arial" w:hAnsi="Arial" w:cs="Arial"/>
              </w:rPr>
            </w:pPr>
            <w:r>
              <w:rPr>
                <w:rFonts w:ascii="Arial" w:hAnsi="Arial" w:cs="Arial"/>
              </w:rPr>
              <w:t>A very good application of a range of basic methods, materials, tools and/or techniques.</w:t>
            </w:r>
          </w:p>
          <w:p>
            <w:pPr>
              <w:rPr>
                <w:rFonts w:ascii="Arial" w:hAnsi="Arial" w:cs="Arial"/>
              </w:rPr>
            </w:pPr>
            <w:r>
              <w:rPr>
                <w:rFonts w:ascii="Arial" w:hAnsi="Arial" w:cs="Arial"/>
              </w:rPr>
              <w:t>Very good consideration of the context of the application. Very good evidence of different approaches to problem-solving in particular contexts and proposes appropriate solutions.</w:t>
            </w:r>
          </w:p>
        </w:tc>
        <w:tc>
          <w:tcPr>
            <w:tcW w:w="1736" w:type="dxa"/>
          </w:tcPr>
          <w:p>
            <w:pPr>
              <w:rPr>
                <w:rFonts w:ascii="Arial" w:hAnsi="Arial" w:cs="Arial"/>
              </w:rPr>
            </w:pPr>
            <w:r>
              <w:rPr>
                <w:rFonts w:ascii="Arial" w:hAnsi="Arial" w:cs="Arial"/>
              </w:rPr>
              <w:t>An advanced application of a range of taught, basic methods, materials, tools and/or techniques.</w:t>
            </w:r>
          </w:p>
          <w:p>
            <w:pPr>
              <w:rPr>
                <w:rFonts w:ascii="Arial" w:hAnsi="Arial" w:cs="Arial"/>
              </w:rPr>
            </w:pPr>
            <w:r>
              <w:rPr>
                <w:rFonts w:ascii="Arial" w:hAnsi="Arial" w:cs="Arial"/>
              </w:rPr>
              <w:t>The context of the application is well considered, and insightful.</w:t>
            </w:r>
          </w:p>
          <w:p>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Pr>
          <w:p>
            <w:pPr>
              <w:rPr>
                <w:rFonts w:ascii="Arial" w:hAnsi="Arial" w:cs="Arial"/>
              </w:rPr>
            </w:pPr>
            <w:r>
              <w:rPr>
                <w:rFonts w:ascii="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35" w:type="dxa"/>
            <w:shd w:val="clear" w:color="auto" w:fill="8DB3E2" w:themeFill="text2" w:themeFillTint="66"/>
          </w:tcPr>
          <w:p>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pPr>
              <w:spacing w:before="34" w:line="239"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pPr>
              <w:rPr>
                <w:rFonts w:ascii="Arial" w:hAnsi="Arial" w:cs="Arial"/>
              </w:rPr>
            </w:pPr>
          </w:p>
          <w:p>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pPr>
              <w:rPr>
                <w:rFonts w:ascii="Arial" w:hAnsi="Arial" w:cs="Arial"/>
              </w:rPr>
            </w:pPr>
            <w:r>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pPr>
              <w:rPr>
                <w:rFonts w:ascii="Arial" w:hAnsi="Arial" w:cs="Arial"/>
              </w:rPr>
            </w:pPr>
            <w:r>
              <w:rPr>
                <w:rFonts w:ascii="Arial" w:hAnsi="Arial" w:cs="Arial"/>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 xml:space="preserve">Work is accurate, coherent, fluent, well-structured and organised. </w:t>
            </w:r>
          </w:p>
          <w:p>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p>
      <w:pPr>
        <w:pStyle w:val="12"/>
        <w:rPr>
          <w:rFonts w:ascii="Arial" w:hAnsi="Arial" w:cs="Arial"/>
          <w:color w:val="303B44"/>
          <w:sz w:val="22"/>
          <w:szCs w:val="22"/>
        </w:rPr>
      </w:pPr>
    </w:p>
    <w:p>
      <w:pPr>
        <w:pStyle w:val="12"/>
        <w:rPr>
          <w:rFonts w:ascii="Arial" w:hAnsi="Arial" w:cs="Arial"/>
          <w:color w:val="303B44"/>
          <w:sz w:val="22"/>
          <w:szCs w:val="22"/>
        </w:rPr>
      </w:pPr>
    </w:p>
    <w:sectPr>
      <w:pgSz w:w="16834" w:h="11894" w:orient="landscape"/>
      <w:pgMar w:top="720" w:right="720" w:bottom="720" w:left="720" w:header="706" w:footer="706" w:gutter="0"/>
      <w:paperSrc w:first="1" w:other="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G Times (WN)">
    <w:altName w:val="Segoe Print"/>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A72B5"/>
    <w:multiLevelType w:val="multilevel"/>
    <w:tmpl w:val="311A72B5"/>
    <w:lvl w:ilvl="0" w:tentative="0">
      <w:start w:val="1"/>
      <w:numFmt w:val="bullet"/>
      <w:pStyle w:val="23"/>
      <w:lvlText w:val=""/>
      <w:lvlJc w:val="left"/>
      <w:pPr>
        <w:tabs>
          <w:tab w:val="left" w:pos="288"/>
        </w:tabs>
        <w:ind w:left="432" w:hanging="288"/>
      </w:pPr>
      <w:rPr>
        <w:rFonts w:hint="default" w:ascii="Symbol" w:hAnsi="Symbol"/>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rawingGridHorizontalSpacing w:val="100"/>
  <w:displayHorizontalDrawingGridEvery w:val="1"/>
  <w:displayVerticalDrawingGridEvery w:val="1"/>
  <w:doNotShadeFormData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0E3"/>
    <w:rsid w:val="004B6C14"/>
    <w:rsid w:val="004D5E9B"/>
    <w:rsid w:val="004D63D9"/>
    <w:rsid w:val="004E6585"/>
    <w:rsid w:val="004F38B4"/>
    <w:rsid w:val="0050249F"/>
    <w:rsid w:val="00524566"/>
    <w:rsid w:val="00527E60"/>
    <w:rsid w:val="00530BEF"/>
    <w:rsid w:val="00532607"/>
    <w:rsid w:val="00542885"/>
    <w:rsid w:val="00552351"/>
    <w:rsid w:val="00561F00"/>
    <w:rsid w:val="00562C4E"/>
    <w:rsid w:val="00562DEC"/>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7C5B"/>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9FA"/>
    <w:rsid w:val="00B84B5B"/>
    <w:rsid w:val="00B86446"/>
    <w:rsid w:val="00BA1176"/>
    <w:rsid w:val="00BE0B01"/>
    <w:rsid w:val="00BE125E"/>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A36EE"/>
    <w:rsid w:val="00DB116D"/>
    <w:rsid w:val="00DC74BE"/>
    <w:rsid w:val="00DD17CC"/>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CEC0013"/>
  </w:rsids>
  <m:mathPr>
    <m:mathFont m:val="Cambria Math"/>
    <m:brkBin m:val="before"/>
    <m:brkBinSub m:val="--"/>
    <m:smallFrac m:val="1"/>
    <m:dispDef/>
    <m:lMargin m:val="0"/>
    <m:rMargin m:val="0"/>
    <m:defJc m:val="centerGroup"/>
    <m:wrapIndent m:val="1440"/>
    <m:intLim m:val="subSup"/>
    <m:naryLim m:val="undOvr"/>
  </m:mathPr>
  <w:doNotAutoCompressPictures/>
  <w:themeFontLang w:val="en-GB" w:eastAsia="ja-JP"/>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nhideWhenUsed="0" w:uiPriority="0" w:semiHidden="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GB" w:bidi="ar-SA"/>
    </w:rPr>
  </w:style>
  <w:style w:type="paragraph" w:styleId="2">
    <w:name w:val="heading 1"/>
    <w:basedOn w:val="1"/>
    <w:next w:val="1"/>
    <w:qFormat/>
    <w:uiPriority w:val="0"/>
    <w:pPr>
      <w:keepNext/>
      <w:pBdr>
        <w:top w:val="single" w:color="auto" w:sz="12" w:space="1"/>
        <w:left w:val="single" w:color="auto" w:sz="12" w:space="1"/>
        <w:bottom w:val="single" w:color="auto" w:sz="12" w:space="1"/>
        <w:right w:val="single" w:color="auto" w:sz="12" w:space="1"/>
      </w:pBdr>
      <w:shd w:val="pct10" w:color="auto" w:fill="auto"/>
      <w:jc w:val="center"/>
      <w:outlineLvl w:val="0"/>
    </w:pPr>
    <w:rPr>
      <w:b/>
      <w:sz w:val="36"/>
    </w:rPr>
  </w:style>
  <w:style w:type="paragraph" w:styleId="3">
    <w:name w:val="heading 2"/>
    <w:basedOn w:val="1"/>
    <w:next w:val="1"/>
    <w:qFormat/>
    <w:uiPriority w:val="0"/>
    <w:pPr>
      <w:keepNext/>
      <w:jc w:val="both"/>
      <w:outlineLvl w:val="1"/>
    </w:pPr>
    <w:rPr>
      <w:b/>
      <w:sz w:val="24"/>
    </w:rPr>
  </w:style>
  <w:style w:type="paragraph" w:styleId="4">
    <w:name w:val="heading 3"/>
    <w:basedOn w:val="1"/>
    <w:next w:val="1"/>
    <w:qFormat/>
    <w:uiPriority w:val="0"/>
    <w:pPr>
      <w:keepNext/>
      <w:jc w:val="center"/>
      <w:outlineLvl w:val="2"/>
    </w:pPr>
    <w:rPr>
      <w:b/>
      <w:sz w:val="24"/>
    </w:rPr>
  </w:style>
  <w:style w:type="paragraph" w:styleId="5">
    <w:name w:val="heading 4"/>
    <w:basedOn w:val="1"/>
    <w:next w:val="1"/>
    <w:qFormat/>
    <w:uiPriority w:val="0"/>
    <w:pPr>
      <w:keepNext/>
      <w:spacing w:before="120" w:after="120"/>
      <w:jc w:val="center"/>
      <w:outlineLvl w:val="3"/>
    </w:pPr>
    <w:rPr>
      <w:sz w:val="40"/>
    </w:rPr>
  </w:style>
  <w:style w:type="paragraph" w:styleId="6">
    <w:name w:val="heading 6"/>
    <w:basedOn w:val="1"/>
    <w:next w:val="1"/>
    <w:link w:val="22"/>
    <w:qFormat/>
    <w:uiPriority w:val="0"/>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default="1" w:styleId="13">
    <w:name w:val="Default Paragraph Font"/>
    <w:semiHidden/>
    <w:unhideWhenUsed/>
    <w:uiPriority w:val="1"/>
  </w:style>
  <w:style w:type="table" w:default="1" w:styleId="17">
    <w:name w:val="Normal Table"/>
    <w:semiHidden/>
    <w:unhideWhenUsed/>
    <w:uiPriority w:val="99"/>
    <w:tblPr>
      <w:tblLayout w:type="fixed"/>
      <w:tblCellMar>
        <w:top w:w="0" w:type="dxa"/>
        <w:left w:w="108" w:type="dxa"/>
        <w:bottom w:w="0" w:type="dxa"/>
        <w:right w:w="108" w:type="dxa"/>
      </w:tblCellMar>
    </w:tblPr>
  </w:style>
  <w:style w:type="paragraph" w:styleId="7">
    <w:name w:val="Balloon Text"/>
    <w:basedOn w:val="1"/>
    <w:link w:val="20"/>
    <w:uiPriority w:val="0"/>
    <w:rPr>
      <w:rFonts w:ascii="Tahoma" w:hAnsi="Tahoma" w:cs="Tahoma"/>
      <w:sz w:val="16"/>
      <w:szCs w:val="16"/>
    </w:rPr>
  </w:style>
  <w:style w:type="paragraph" w:styleId="8">
    <w:name w:val="Body Text 2"/>
    <w:basedOn w:val="1"/>
    <w:uiPriority w:val="0"/>
    <w:rPr>
      <w:sz w:val="16"/>
      <w:lang w:eastAsia="en-US"/>
    </w:rPr>
  </w:style>
  <w:style w:type="paragraph" w:styleId="9">
    <w:name w:val="annotation text"/>
    <w:basedOn w:val="1"/>
    <w:link w:val="26"/>
    <w:semiHidden/>
    <w:unhideWhenUsed/>
    <w:uiPriority w:val="0"/>
  </w:style>
  <w:style w:type="paragraph" w:styleId="10">
    <w:name w:val="footer"/>
    <w:basedOn w:val="1"/>
    <w:link w:val="21"/>
    <w:uiPriority w:val="99"/>
    <w:pPr>
      <w:tabs>
        <w:tab w:val="center" w:pos="4153"/>
        <w:tab w:val="right" w:pos="8306"/>
      </w:tabs>
    </w:pPr>
  </w:style>
  <w:style w:type="paragraph" w:styleId="11">
    <w:name w:val="header"/>
    <w:basedOn w:val="1"/>
    <w:link w:val="24"/>
    <w:uiPriority w:val="0"/>
    <w:pPr>
      <w:tabs>
        <w:tab w:val="center" w:pos="4153"/>
        <w:tab w:val="right" w:pos="8306"/>
      </w:tabs>
    </w:pPr>
  </w:style>
  <w:style w:type="paragraph" w:styleId="12">
    <w:name w:val="Normal (Web)"/>
    <w:basedOn w:val="1"/>
    <w:uiPriority w:val="99"/>
    <w:pPr>
      <w:spacing w:before="100" w:after="100"/>
    </w:pPr>
    <w:rPr>
      <w:sz w:val="24"/>
      <w:lang w:eastAsia="en-US"/>
    </w:rPr>
  </w:style>
  <w:style w:type="character" w:styleId="14">
    <w:name w:val="annotation reference"/>
    <w:basedOn w:val="13"/>
    <w:semiHidden/>
    <w:unhideWhenUsed/>
    <w:qFormat/>
    <w:uiPriority w:val="0"/>
    <w:rPr>
      <w:sz w:val="16"/>
      <w:szCs w:val="16"/>
    </w:rPr>
  </w:style>
  <w:style w:type="character" w:styleId="15">
    <w:name w:val="Emphasis"/>
    <w:qFormat/>
    <w:uiPriority w:val="20"/>
    <w:rPr>
      <w:i/>
      <w:iCs/>
    </w:rPr>
  </w:style>
  <w:style w:type="character" w:styleId="16">
    <w:name w:val="Hyperlink"/>
    <w:unhideWhenUsed/>
    <w:uiPriority w:val="99"/>
    <w:rPr>
      <w:color w:val="0000FF"/>
      <w:u w:val="single"/>
    </w:rPr>
  </w:style>
  <w:style w:type="table" w:styleId="18">
    <w:name w:val="Table Grid"/>
    <w:basedOn w:val="1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9">
    <w:name w:val="Body Text1"/>
    <w:basedOn w:val="1"/>
    <w:uiPriority w:val="0"/>
    <w:pPr>
      <w:tabs>
        <w:tab w:val="left" w:pos="720"/>
        <w:tab w:val="left" w:pos="1440"/>
      </w:tabs>
    </w:pPr>
    <w:rPr>
      <w:rFonts w:ascii="CG Times (WN)" w:hAnsi="CG Times (WN)"/>
      <w:sz w:val="24"/>
      <w:lang w:eastAsia="en-US"/>
    </w:rPr>
  </w:style>
  <w:style w:type="character" w:customStyle="1" w:styleId="20">
    <w:name w:val="Balloon Text Char"/>
    <w:link w:val="7"/>
    <w:uiPriority w:val="0"/>
    <w:rPr>
      <w:rFonts w:ascii="Tahoma" w:hAnsi="Tahoma" w:cs="Tahoma"/>
      <w:sz w:val="16"/>
      <w:szCs w:val="16"/>
    </w:rPr>
  </w:style>
  <w:style w:type="character" w:customStyle="1" w:styleId="21">
    <w:name w:val="Footer Char"/>
    <w:basedOn w:val="13"/>
    <w:link w:val="10"/>
    <w:uiPriority w:val="99"/>
  </w:style>
  <w:style w:type="character" w:customStyle="1" w:styleId="22">
    <w:name w:val="Heading 6 Char"/>
    <w:link w:val="6"/>
    <w:uiPriority w:val="0"/>
    <w:rPr>
      <w:rFonts w:ascii="Arial" w:hAnsi="Arial" w:cs="Arial"/>
      <w:b/>
      <w:bCs/>
      <w:sz w:val="24"/>
      <w:lang w:val="en-GB"/>
    </w:rPr>
  </w:style>
  <w:style w:type="paragraph" w:customStyle="1" w:styleId="23">
    <w:name w:val="Bulleted List"/>
    <w:basedOn w:val="1"/>
    <w:uiPriority w:val="0"/>
    <w:pPr>
      <w:numPr>
        <w:ilvl w:val="0"/>
        <w:numId w:val="1"/>
      </w:numPr>
      <w:spacing w:before="120" w:after="240"/>
    </w:pPr>
    <w:rPr>
      <w:rFonts w:ascii="Verdana" w:hAnsi="Verdana"/>
      <w:sz w:val="16"/>
      <w:szCs w:val="24"/>
      <w:lang w:val="en-US" w:eastAsia="en-US"/>
    </w:rPr>
  </w:style>
  <w:style w:type="character" w:customStyle="1" w:styleId="24">
    <w:name w:val="Header Char"/>
    <w:basedOn w:val="13"/>
    <w:link w:val="11"/>
    <w:uiPriority w:val="0"/>
  </w:style>
  <w:style w:type="paragraph" w:styleId="25">
    <w:name w:val="List Paragraph"/>
    <w:basedOn w:val="1"/>
    <w:qFormat/>
    <w:uiPriority w:val="34"/>
    <w:pPr>
      <w:ind w:left="720"/>
      <w:contextualSpacing/>
    </w:pPr>
  </w:style>
  <w:style w:type="character" w:customStyle="1" w:styleId="26">
    <w:name w:val="Comment Text Char"/>
    <w:basedOn w:val="13"/>
    <w:link w:val="9"/>
    <w:semiHidden/>
    <w:uiPriority w:val="0"/>
    <w:rPr>
      <w:lang w:eastAsia="en-G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42117B-698D-4161-AB4F-81FD25819BF1}">
  <ds:schemaRefs/>
</ds:datastoreItem>
</file>

<file path=docProps/app.xml><?xml version="1.0" encoding="utf-8"?>
<Properties xmlns="http://schemas.openxmlformats.org/officeDocument/2006/extended-properties" xmlns:vt="http://schemas.openxmlformats.org/officeDocument/2006/docPropsVTypes">
  <Template>AssignFrm</Template>
  <Company>S.I.H.E.</Company>
  <Pages>1</Pages>
  <Words>1709</Words>
  <Characters>9745</Characters>
  <Lines>81</Lines>
  <Paragraphs>22</Paragraphs>
  <TotalTime>46</TotalTime>
  <ScaleCrop>false</ScaleCrop>
  <LinksUpToDate>false</LinksUpToDate>
  <CharactersWithSpaces>11432</CharactersWithSpaces>
  <Application>WPS Office_10.2.0.7636_F1E327BC-269C-435d-A152-05C5408002CA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2019-03-15T14:45:00Z</dcterms:created>
  <dc:creator>fad-lc</dc:creator>
  <cp:lastModifiedBy>bianc</cp:lastModifiedBy>
  <cp:lastPrinted>2019-03-15T14:41:00Z</cp:lastPrinted>
  <dcterms:modified xsi:type="dcterms:W3CDTF">2019-05-03T20:27:02Z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KSOProductBuildVer">
    <vt:lpwstr>1033-10.2.0.7636</vt:lpwstr>
  </property>
</Properties>
</file>