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A8DCF" w14:textId="1C6E9674" w:rsidR="00E15C89" w:rsidRDefault="00E15C89" w:rsidP="00A74524">
      <w:pPr>
        <w:pStyle w:val="ListParagraph"/>
        <w:numPr>
          <w:ilvl w:val="0"/>
          <w:numId w:val="2"/>
        </w:numPr>
      </w:pPr>
      <w:r>
        <w:t>Historiographical divide – is location of human rights in the Atlantic Revolutions of late C18th, or after WWII (especially the 1970s)</w:t>
      </w:r>
      <w:r w:rsidR="00A74524">
        <w:t>?</w:t>
      </w:r>
    </w:p>
    <w:p w14:paraId="194C6EF6" w14:textId="2C9B7B23" w:rsidR="00E15C89" w:rsidRDefault="00E15C89" w:rsidP="00A74524">
      <w:pPr>
        <w:pStyle w:val="ListParagraph"/>
        <w:numPr>
          <w:ilvl w:val="0"/>
          <w:numId w:val="2"/>
        </w:numPr>
      </w:pPr>
      <w:r>
        <w:t>Human rights – ‘ideas and sentiments that are tacitly presumed to be self-evident truths and not in need of any justification’?</w:t>
      </w:r>
      <w:r>
        <w:rPr>
          <w:rStyle w:val="FootnoteReference"/>
        </w:rPr>
        <w:footnoteReference w:id="1"/>
      </w:r>
    </w:p>
    <w:p w14:paraId="6C37228E" w14:textId="40DB8750" w:rsidR="00E15C89" w:rsidRDefault="00E15C89" w:rsidP="00A74524">
      <w:pPr>
        <w:pStyle w:val="ListParagraph"/>
        <w:numPr>
          <w:ilvl w:val="0"/>
          <w:numId w:val="2"/>
        </w:numPr>
      </w:pPr>
      <w:r>
        <w:t>Now not seen as hegemonic – considered threatened or undermined.</w:t>
      </w:r>
      <w:r>
        <w:rPr>
          <w:rStyle w:val="FootnoteReference"/>
        </w:rPr>
        <w:footnoteReference w:id="2"/>
      </w:r>
    </w:p>
    <w:p w14:paraId="36EF5C38" w14:textId="7E68D8BC" w:rsidR="00E15C89" w:rsidRDefault="00E15C89" w:rsidP="00A74524">
      <w:pPr>
        <w:pStyle w:val="ListParagraph"/>
        <w:numPr>
          <w:ilvl w:val="0"/>
          <w:numId w:val="2"/>
        </w:numPr>
      </w:pPr>
      <w:r>
        <w:t>Debate – ‘deep’ or ‘revisionist’ genealogies.</w:t>
      </w:r>
    </w:p>
    <w:p w14:paraId="651EB78E" w14:textId="39EA6DE0" w:rsidR="00E15C89" w:rsidRDefault="00E15C89" w:rsidP="00A74524">
      <w:pPr>
        <w:pStyle w:val="ListParagraph"/>
        <w:numPr>
          <w:ilvl w:val="0"/>
          <w:numId w:val="2"/>
        </w:numPr>
      </w:pPr>
      <w:r>
        <w:t>‘Deep’ genealogy – origins in West in C18th.</w:t>
      </w:r>
    </w:p>
    <w:p w14:paraId="043C2F2B" w14:textId="77777777" w:rsidR="00A74524" w:rsidRDefault="00E15C89" w:rsidP="00A74524">
      <w:pPr>
        <w:pStyle w:val="ListParagraph"/>
        <w:numPr>
          <w:ilvl w:val="0"/>
          <w:numId w:val="2"/>
        </w:numPr>
      </w:pPr>
      <w:r>
        <w:t>‘Revisionists’ – C20th ideas differ greatly from earlier rights traditions.</w:t>
      </w:r>
      <w:r>
        <w:rPr>
          <w:rStyle w:val="FootnoteReference"/>
        </w:rPr>
        <w:footnoteReference w:id="3"/>
      </w:r>
    </w:p>
    <w:p w14:paraId="215DF4E1" w14:textId="77777777" w:rsidR="00A74524" w:rsidRDefault="00E15C89" w:rsidP="00A74524">
      <w:pPr>
        <w:pStyle w:val="ListParagraph"/>
        <w:numPr>
          <w:ilvl w:val="0"/>
          <w:numId w:val="2"/>
        </w:numPr>
      </w:pPr>
      <w:r>
        <w:t>PENDAS – both sides agree re: limits of accounts that trace human rights history back to secular and religious sources in antiquity then forward via various progressive developments.</w:t>
      </w:r>
      <w:r>
        <w:rPr>
          <w:rStyle w:val="FootnoteReference"/>
        </w:rPr>
        <w:footnoteReference w:id="4"/>
      </w:r>
      <w:r w:rsidRPr="00E15C89">
        <w:t xml:space="preserve"> </w:t>
      </w:r>
    </w:p>
    <w:p w14:paraId="7437B5C2" w14:textId="77777777" w:rsidR="00A74524" w:rsidRDefault="00E15C89" w:rsidP="00A74524">
      <w:pPr>
        <w:pStyle w:val="ListParagraph"/>
        <w:numPr>
          <w:ilvl w:val="0"/>
          <w:numId w:val="2"/>
        </w:numPr>
      </w:pPr>
      <w:r>
        <w:t xml:space="preserve">‘Deep history’ – LYNN HUNT: </w:t>
      </w:r>
      <w:r w:rsidRPr="00E15C89">
        <w:t xml:space="preserve">human rights as universal inclusion into category of self-evident human equality. </w:t>
      </w:r>
      <w:r>
        <w:t>Tr</w:t>
      </w:r>
      <w:r w:rsidRPr="00E15C89">
        <w:t>aced sources of human rights</w:t>
      </w:r>
      <w:r>
        <w:t xml:space="preserve"> t</w:t>
      </w:r>
      <w:r w:rsidRPr="00E15C89">
        <w:t>o</w:t>
      </w:r>
      <w:r>
        <w:t xml:space="preserve"> C18th.</w:t>
      </w:r>
    </w:p>
    <w:p w14:paraId="20BFD759" w14:textId="23C3ACD6" w:rsidR="00E15C89" w:rsidRDefault="00E15C89" w:rsidP="00A74524">
      <w:pPr>
        <w:pStyle w:val="ListParagraph"/>
        <w:numPr>
          <w:ilvl w:val="0"/>
          <w:numId w:val="2"/>
        </w:numPr>
      </w:pPr>
      <w:r>
        <w:t xml:space="preserve">Revisionist historiography: MOYN: focus after 1945, 1970s as breakthrough decade for international human rights. Argued </w:t>
      </w:r>
      <w:r w:rsidRPr="00E15C89">
        <w:t>no previous era had seen human rights mobilized and institutionalized on wide scale over and against sovereignty of state.</w:t>
      </w:r>
      <w:r w:rsidR="00374BA0">
        <w:t xml:space="preserve"> H</w:t>
      </w:r>
      <w:r w:rsidRPr="00E15C89">
        <w:t xml:space="preserve">uman rights of post-1945 era thus differed conceptually from </w:t>
      </w:r>
      <w:r w:rsidR="00374BA0">
        <w:t>C18th conceptions - l</w:t>
      </w:r>
      <w:r w:rsidRPr="00A74524">
        <w:rPr>
          <w:i/>
          <w:iCs/>
        </w:rPr>
        <w:t xml:space="preserve">es droits de </w:t>
      </w:r>
      <w:proofErr w:type="spellStart"/>
      <w:r w:rsidRPr="00A74524">
        <w:rPr>
          <w:i/>
          <w:iCs/>
        </w:rPr>
        <w:t>l’homme</w:t>
      </w:r>
      <w:proofErr w:type="spellEnd"/>
      <w:r w:rsidRPr="00E15C89">
        <w:t xml:space="preserve">, the rights of man— used for purposes of state building. Revisionist histories </w:t>
      </w:r>
      <w:r w:rsidR="00374BA0">
        <w:t xml:space="preserve">also had </w:t>
      </w:r>
      <w:r w:rsidRPr="00E15C89">
        <w:t xml:space="preserve">sharper reservations </w:t>
      </w:r>
      <w:r w:rsidR="00A74524">
        <w:t>re:</w:t>
      </w:r>
      <w:r w:rsidRPr="00E15C89">
        <w:t xml:space="preserve"> potential of contemporary human rights—the ‘road to nowhere’ (Hopgood), the ‘last utopia’, and the ‘god that did not fail while other political ideologies did’ (both </w:t>
      </w:r>
      <w:proofErr w:type="spellStart"/>
      <w:r w:rsidRPr="00E15C89">
        <w:t>Moyn</w:t>
      </w:r>
      <w:proofErr w:type="spellEnd"/>
      <w:r w:rsidRPr="00E15C89">
        <w:t>).</w:t>
      </w:r>
      <w:r w:rsidR="00374BA0">
        <w:rPr>
          <w:rStyle w:val="FootnoteReference"/>
        </w:rPr>
        <w:footnoteReference w:id="5"/>
      </w:r>
    </w:p>
    <w:p w14:paraId="6B5583BE" w14:textId="77777777" w:rsidR="00374BA0" w:rsidRDefault="00374BA0" w:rsidP="00374BA0">
      <w:r>
        <w:t xml:space="preserve">DEEP GENEALOGY: </w:t>
      </w:r>
    </w:p>
    <w:p w14:paraId="79905395" w14:textId="77777777" w:rsidR="00A74524" w:rsidRDefault="00374BA0" w:rsidP="00C75E69">
      <w:pPr>
        <w:pStyle w:val="ListParagraph"/>
        <w:numPr>
          <w:ilvl w:val="0"/>
          <w:numId w:val="3"/>
        </w:numPr>
      </w:pPr>
      <w:r>
        <w:t xml:space="preserve">From C19th to today, accounts turning to 1789 French Revolution to investigate the critical horizon of the present in the </w:t>
      </w:r>
      <w:r w:rsidR="00E15C89" w:rsidRPr="00E15C89">
        <w:t>break with feudal privilege connected to abolition of </w:t>
      </w:r>
      <w:proofErr w:type="spellStart"/>
      <w:r w:rsidR="00E15C89" w:rsidRPr="00A74524">
        <w:rPr>
          <w:i/>
          <w:iCs/>
        </w:rPr>
        <w:t>l’ancien</w:t>
      </w:r>
      <w:proofErr w:type="spellEnd"/>
      <w:r w:rsidR="00E15C89" w:rsidRPr="00A74524">
        <w:rPr>
          <w:i/>
          <w:iCs/>
        </w:rPr>
        <w:t xml:space="preserve"> regime</w:t>
      </w:r>
      <w:r w:rsidR="00E15C89" w:rsidRPr="00E15C89">
        <w:t>.</w:t>
      </w:r>
    </w:p>
    <w:p w14:paraId="38320520" w14:textId="77777777" w:rsidR="00A74524" w:rsidRDefault="00374BA0" w:rsidP="00A74524">
      <w:pPr>
        <w:pStyle w:val="ListParagraph"/>
        <w:numPr>
          <w:ilvl w:val="0"/>
          <w:numId w:val="3"/>
        </w:numPr>
      </w:pPr>
      <w:r>
        <w:lastRenderedPageBreak/>
        <w:t>W</w:t>
      </w:r>
      <w:r w:rsidR="00E15C89" w:rsidRPr="00E15C89">
        <w:t xml:space="preserve">riters </w:t>
      </w:r>
      <w:r>
        <w:t xml:space="preserve">e.g. </w:t>
      </w:r>
      <w:r w:rsidR="00E15C89" w:rsidRPr="00E15C89">
        <w:t xml:space="preserve">Jaurès, Lefort, Habermas, </w:t>
      </w:r>
      <w:proofErr w:type="spellStart"/>
      <w:r w:rsidR="00E15C89" w:rsidRPr="00E15C89">
        <w:t>Balibar</w:t>
      </w:r>
      <w:proofErr w:type="spellEnd"/>
      <w:r w:rsidR="00E15C89" w:rsidRPr="00E15C89">
        <w:t>, Israel</w:t>
      </w:r>
      <w:r>
        <w:t xml:space="preserve">: </w:t>
      </w:r>
      <w:r w:rsidR="00E15C89" w:rsidRPr="00E15C89">
        <w:t>French Revolution as historical rupture that introduced cleavage between legal and political forms on one hand, and social or economic content on other.</w:t>
      </w:r>
      <w:r>
        <w:rPr>
          <w:rStyle w:val="FootnoteReference"/>
        </w:rPr>
        <w:footnoteReference w:id="6"/>
      </w:r>
      <w:r>
        <w:t xml:space="preserve"> </w:t>
      </w:r>
    </w:p>
    <w:p w14:paraId="524CA80D" w14:textId="77777777" w:rsidR="00A74524" w:rsidRDefault="00374BA0" w:rsidP="00A74524">
      <w:pPr>
        <w:pStyle w:val="ListParagraph"/>
        <w:numPr>
          <w:ilvl w:val="0"/>
          <w:numId w:val="3"/>
        </w:numPr>
      </w:pPr>
      <w:r>
        <w:t xml:space="preserve">HABERMAS: </w:t>
      </w:r>
      <w:r w:rsidRPr="00E15C89">
        <w:t xml:space="preserve"> </w:t>
      </w:r>
      <w:r w:rsidR="00E15C89" w:rsidRPr="00E15C89">
        <w:t>‘In the eighteenth century, the critique of social inequality was directed against the social effects of political inequality’, This meant</w:t>
      </w:r>
      <w:r>
        <w:t xml:space="preserve"> </w:t>
      </w:r>
      <w:r w:rsidR="00E15C89" w:rsidRPr="00E15C89">
        <w:t xml:space="preserve"> ‘legal arguments, that is, arguments based on modern natural law, provided a sufficient basis to plead for the equal liberties of constitutional democracy and bourgeois private law in opposition to the </w:t>
      </w:r>
      <w:proofErr w:type="spellStart"/>
      <w:r w:rsidR="00E15C89" w:rsidRPr="00A74524">
        <w:rPr>
          <w:i/>
          <w:iCs/>
        </w:rPr>
        <w:t>ancien</w:t>
      </w:r>
      <w:proofErr w:type="spellEnd"/>
      <w:r w:rsidR="00E15C89" w:rsidRPr="00A74524">
        <w:rPr>
          <w:i/>
          <w:iCs/>
        </w:rPr>
        <w:t xml:space="preserve"> </w:t>
      </w:r>
      <w:proofErr w:type="spellStart"/>
      <w:r w:rsidR="00E15C89" w:rsidRPr="00A74524">
        <w:rPr>
          <w:i/>
          <w:iCs/>
        </w:rPr>
        <w:t>régime</w:t>
      </w:r>
      <w:proofErr w:type="spellEnd"/>
      <w:r w:rsidR="00E15C89" w:rsidRPr="00E15C89">
        <w:t>.</w:t>
      </w:r>
      <w:r>
        <w:rPr>
          <w:rStyle w:val="FootnoteReference"/>
        </w:rPr>
        <w:footnoteReference w:id="7"/>
      </w:r>
      <w:r w:rsidRPr="00E15C89">
        <w:t xml:space="preserve"> </w:t>
      </w:r>
      <w:r w:rsidR="00E15C89" w:rsidRPr="00E15C89">
        <w:t>When political inequality and exclusion came under pressure, and were abolished in several cases, social inequalities—‘the social effects of the unequal distribution of a non-political economic power’—appeared in the political programme.</w:t>
      </w:r>
      <w:r>
        <w:rPr>
          <w:rStyle w:val="FootnoteReference"/>
        </w:rPr>
        <w:footnoteReference w:id="8"/>
      </w:r>
      <w:r w:rsidRPr="00E15C89">
        <w:t xml:space="preserve"> </w:t>
      </w:r>
    </w:p>
    <w:p w14:paraId="110D9ACB" w14:textId="77777777" w:rsidR="00A74524" w:rsidRDefault="00374BA0" w:rsidP="00A74524">
      <w:pPr>
        <w:pStyle w:val="ListParagraph"/>
        <w:numPr>
          <w:ilvl w:val="0"/>
          <w:numId w:val="3"/>
        </w:numPr>
      </w:pPr>
      <w:r>
        <w:t xml:space="preserve">These accounts </w:t>
      </w:r>
      <w:r w:rsidR="00E15C89" w:rsidRPr="00E15C89">
        <w:t xml:space="preserve">tend to unite in what </w:t>
      </w:r>
      <w:proofErr w:type="spellStart"/>
      <w:r w:rsidR="00E15C89" w:rsidRPr="00E15C89">
        <w:t>Poulantzas</w:t>
      </w:r>
      <w:proofErr w:type="spellEnd"/>
      <w:r w:rsidR="00E15C89" w:rsidRPr="00E15C89">
        <w:t xml:space="preserve"> labelled ‘bourgeois aspect’ of ‘the Jacobin ideology’, the tradition of ‘French “radicalism”’, and ‘the ideology of smallholders’, for which ‘socialism will not be a rupture from the French Revolution, but its consummation.</w:t>
      </w:r>
      <w:r>
        <w:t>’</w:t>
      </w:r>
      <w:r>
        <w:rPr>
          <w:rStyle w:val="FootnoteReference"/>
        </w:rPr>
        <w:footnoteReference w:id="9"/>
      </w:r>
    </w:p>
    <w:p w14:paraId="629E12F9" w14:textId="77777777" w:rsidR="00A74524" w:rsidRDefault="00A74524" w:rsidP="00A74524">
      <w:pPr>
        <w:pStyle w:val="ListParagraph"/>
        <w:numPr>
          <w:ilvl w:val="0"/>
          <w:numId w:val="3"/>
        </w:numPr>
      </w:pPr>
      <w:r>
        <w:t>W</w:t>
      </w:r>
      <w:r w:rsidRPr="00E15C89">
        <w:t>hereas cleavage</w:t>
      </w:r>
      <w:r w:rsidR="00E15C89" w:rsidRPr="00E15C89">
        <w:t xml:space="preserve"> between politico-legal forms and socio-</w:t>
      </w:r>
      <w:proofErr w:type="spellStart"/>
      <w:r w:rsidR="00E15C89" w:rsidRPr="00E15C89">
        <w:t>eceonomic</w:t>
      </w:r>
      <w:proofErr w:type="spellEnd"/>
      <w:r w:rsidR="00E15C89" w:rsidRPr="00E15C89">
        <w:t xml:space="preserve"> content was result of rupture, it also connects our own time </w:t>
      </w:r>
      <w:proofErr w:type="gramStart"/>
      <w:r w:rsidR="00E15C89" w:rsidRPr="00E15C89">
        <w:t>with  ‘</w:t>
      </w:r>
      <w:proofErr w:type="gramEnd"/>
      <w:r w:rsidR="00E15C89" w:rsidRPr="00E15C89">
        <w:t>Age of Revolutions’ because we still confront cleavage between form and content in this regard, implicating that the critical resources of the French Revolution are not yet exhausted. Consequently, accurate to call genealogy of Hunt and others a deep </w:t>
      </w:r>
      <w:r w:rsidR="00E15C89" w:rsidRPr="00A74524">
        <w:rPr>
          <w:i/>
          <w:iCs/>
        </w:rPr>
        <w:t>rupture-and-continuity</w:t>
      </w:r>
      <w:r w:rsidR="00E15C89" w:rsidRPr="00E15C89">
        <w:t> genealogy.</w:t>
      </w:r>
      <w:r w:rsidR="00374BA0">
        <w:rPr>
          <w:rStyle w:val="FootnoteReference"/>
        </w:rPr>
        <w:footnoteReference w:id="10"/>
      </w:r>
      <w:r w:rsidR="00716DE0">
        <w:t xml:space="preserve"> R</w:t>
      </w:r>
      <w:r w:rsidR="00E15C89" w:rsidRPr="00E15C89">
        <w:t>upture with privilege no less importan</w:t>
      </w:r>
      <w:r w:rsidR="00716DE0">
        <w:t>t</w:t>
      </w:r>
      <w:r w:rsidR="00E15C89" w:rsidRPr="00E15C89">
        <w:t xml:space="preserve"> than continuity of human rights that ties our time to </w:t>
      </w:r>
      <w:r w:rsidR="00716DE0">
        <w:t>C18th</w:t>
      </w:r>
      <w:r w:rsidR="00E15C89" w:rsidRPr="00E15C89">
        <w:t>.</w:t>
      </w:r>
    </w:p>
    <w:p w14:paraId="5B02A8E6" w14:textId="77777777" w:rsidR="00A74524" w:rsidRDefault="00E15C89" w:rsidP="00A74524">
      <w:pPr>
        <w:pStyle w:val="ListParagraph"/>
        <w:numPr>
          <w:ilvl w:val="0"/>
          <w:numId w:val="3"/>
        </w:numPr>
      </w:pPr>
      <w:r w:rsidRPr="00E15C89">
        <w:t xml:space="preserve">Hunt’s argument can be divided into </w:t>
      </w:r>
      <w:r w:rsidR="00716DE0">
        <w:t>2</w:t>
      </w:r>
      <w:r w:rsidRPr="00E15C89">
        <w:t xml:space="preserve"> claims: historical-sociological</w:t>
      </w:r>
      <w:r w:rsidR="00A74524">
        <w:t>/</w:t>
      </w:r>
      <w:r w:rsidRPr="00E15C89">
        <w:t>political.</w:t>
      </w:r>
      <w:r w:rsidR="00716DE0">
        <w:rPr>
          <w:rStyle w:val="FootnoteReference"/>
        </w:rPr>
        <w:footnoteReference w:id="11"/>
      </w:r>
    </w:p>
    <w:p w14:paraId="091348F6" w14:textId="77777777" w:rsidR="00A74524" w:rsidRDefault="00716DE0" w:rsidP="00A74524">
      <w:pPr>
        <w:pStyle w:val="ListParagraph"/>
        <w:numPr>
          <w:ilvl w:val="0"/>
          <w:numId w:val="3"/>
        </w:numPr>
      </w:pPr>
      <w:r>
        <w:t>H</w:t>
      </w:r>
      <w:r w:rsidR="00E15C89" w:rsidRPr="00E15C89">
        <w:t>istorical-sociological claim</w:t>
      </w:r>
      <w:r>
        <w:t>:</w:t>
      </w:r>
      <w:r w:rsidR="00E15C89" w:rsidRPr="00E15C89">
        <w:t xml:space="preserve"> new form of interindividual sympathy emerged in West </w:t>
      </w:r>
      <w:r>
        <w:t xml:space="preserve">C18th - </w:t>
      </w:r>
      <w:r w:rsidR="00E15C89" w:rsidRPr="00E15C89">
        <w:t xml:space="preserve">individuals began to experience a form of sympathy with other </w:t>
      </w:r>
      <w:r w:rsidR="00E15C89" w:rsidRPr="00E15C89">
        <w:lastRenderedPageBreak/>
        <w:t xml:space="preserve">human beings beyond explicit and omnipresent lines of demarcation separating individuals according to political-economic status. </w:t>
      </w:r>
      <w:r>
        <w:t>N</w:t>
      </w:r>
      <w:r w:rsidR="00E15C89" w:rsidRPr="00E15C89">
        <w:t>ew emotional logic</w:t>
      </w:r>
      <w:r>
        <w:t xml:space="preserve"> - </w:t>
      </w:r>
      <w:r w:rsidR="00E15C89" w:rsidRPr="00E15C89">
        <w:t>immediate sympathy of heart between individuals successively replaced the orders of privilege. A learning process of equality began to break down social and spatial differences previously taken for granted as natural necessities.</w:t>
      </w:r>
      <w:r>
        <w:rPr>
          <w:rStyle w:val="FootnoteReference"/>
        </w:rPr>
        <w:footnoteReference w:id="12"/>
      </w:r>
      <w:r w:rsidRPr="00E15C89">
        <w:t xml:space="preserve"> </w:t>
      </w:r>
      <w:r>
        <w:t xml:space="preserve"> She emphasises role of new reading practices in the West in C18th, especially widespread reading of epistolary novels.</w:t>
      </w:r>
      <w:r>
        <w:rPr>
          <w:rStyle w:val="FootnoteReference"/>
        </w:rPr>
        <w:footnoteReference w:id="13"/>
      </w:r>
      <w:r>
        <w:t xml:space="preserve"> These stressed inner emotional life of protagonists – development of new form of emotional sensibility, rendering them more attuned to sufferings of fellow beings. P</w:t>
      </w:r>
      <w:r w:rsidR="00E15C89" w:rsidRPr="00E15C89">
        <w:t xml:space="preserve">oints to campaigns for abolition of torture towards </w:t>
      </w:r>
      <w:r>
        <w:t xml:space="preserve">mid-C18th </w:t>
      </w:r>
      <w:r w:rsidR="00E15C89" w:rsidRPr="00E15C89">
        <w:t>(abolished in France a few weeks after storming of Bastille). These changes testify to transformation of social imaginary in West, mentally and emotionally paved way for idea of universally valid rights.</w:t>
      </w:r>
    </w:p>
    <w:p w14:paraId="2FFFA09E" w14:textId="77777777" w:rsidR="00A74524" w:rsidRDefault="00716DE0" w:rsidP="00A74524">
      <w:pPr>
        <w:pStyle w:val="ListParagraph"/>
        <w:numPr>
          <w:ilvl w:val="0"/>
          <w:numId w:val="3"/>
        </w:numPr>
      </w:pPr>
      <w:r>
        <w:t xml:space="preserve">Political claim: </w:t>
      </w:r>
      <w:r w:rsidR="00E15C89" w:rsidRPr="00E15C89">
        <w:t>specific combination of content of rights and solemn forms of the first rights declarations set example that contained propensity to reproduce itself; rights questions ‘revealed a tendency to cascade’.</w:t>
      </w:r>
      <w:r>
        <w:rPr>
          <w:rStyle w:val="FootnoteReference"/>
        </w:rPr>
        <w:footnoteReference w:id="14"/>
      </w:r>
      <w:r>
        <w:t xml:space="preserve"> Example </w:t>
      </w:r>
      <w:r w:rsidR="00E15C89" w:rsidRPr="00E15C89">
        <w:t xml:space="preserve">established with </w:t>
      </w:r>
      <w:r>
        <w:t xml:space="preserve">1776 </w:t>
      </w:r>
      <w:r w:rsidR="00E15C89" w:rsidRPr="00E15C89">
        <w:t xml:space="preserve"> Declaration of Independence during </w:t>
      </w:r>
      <w:r w:rsidR="00A74524">
        <w:t>US</w:t>
      </w:r>
      <w:r w:rsidR="00E15C89" w:rsidRPr="00E15C89">
        <w:t xml:space="preserve"> Revolution, which cascaded in connection with universalizing aspirations of France’s </w:t>
      </w:r>
      <w:proofErr w:type="spellStart"/>
      <w:r w:rsidR="00E15C89" w:rsidRPr="00A74524">
        <w:rPr>
          <w:i/>
          <w:iCs/>
        </w:rPr>
        <w:t>Déclaration</w:t>
      </w:r>
      <w:proofErr w:type="spellEnd"/>
      <w:r w:rsidR="00E15C89" w:rsidRPr="00A74524">
        <w:rPr>
          <w:i/>
          <w:iCs/>
        </w:rPr>
        <w:t xml:space="preserve"> des droits de </w:t>
      </w:r>
      <w:proofErr w:type="spellStart"/>
      <w:r w:rsidR="00E15C89" w:rsidRPr="00A74524">
        <w:rPr>
          <w:i/>
          <w:iCs/>
        </w:rPr>
        <w:t>l’homme</w:t>
      </w:r>
      <w:proofErr w:type="spellEnd"/>
      <w:r w:rsidR="00E15C89" w:rsidRPr="00A74524">
        <w:rPr>
          <w:i/>
          <w:iCs/>
        </w:rPr>
        <w:t xml:space="preserve"> et du </w:t>
      </w:r>
      <w:proofErr w:type="spellStart"/>
      <w:r w:rsidR="00E15C89" w:rsidRPr="00A74524">
        <w:rPr>
          <w:i/>
          <w:iCs/>
        </w:rPr>
        <w:t>citoyen</w:t>
      </w:r>
      <w:proofErr w:type="spellEnd"/>
      <w:r w:rsidR="00E15C89" w:rsidRPr="00E15C89">
        <w:t xml:space="preserve"> in 1789, new groups </w:t>
      </w:r>
      <w:r>
        <w:t>followed</w:t>
      </w:r>
      <w:r w:rsidR="00E15C89" w:rsidRPr="00E15C89">
        <w:t xml:space="preserve"> and claim</w:t>
      </w:r>
      <w:r>
        <w:t>ed</w:t>
      </w:r>
      <w:r w:rsidR="00E15C89" w:rsidRPr="00E15C89">
        <w:t xml:space="preserve"> rights by virtue of forming part of common humanity. </w:t>
      </w:r>
      <w:r>
        <w:t xml:space="preserve"> She argues human rights have ‘inner logic’ which has driven expansion of human rights,</w:t>
      </w:r>
      <w:r w:rsidR="00A74524">
        <w:t xml:space="preserve"> </w:t>
      </w:r>
      <w:r>
        <w:t xml:space="preserve">didn’t end with end of Atlantic Revolutions in early C19th </w:t>
      </w:r>
      <w:r w:rsidR="00E15C89" w:rsidRPr="00E15C89">
        <w:t>(which broached questions of women, minority religions, people of colour, and enslaved people)</w:t>
      </w:r>
      <w:r>
        <w:t xml:space="preserve"> but continues since – from abolitionism in C19th to UN 1948 UDHR and after. </w:t>
      </w:r>
      <w:r w:rsidR="00180B89">
        <w:rPr>
          <w:rStyle w:val="FootnoteReference"/>
        </w:rPr>
        <w:footnoteReference w:id="15"/>
      </w:r>
      <w:r w:rsidR="00180B89" w:rsidRPr="00E15C89">
        <w:t xml:space="preserve"> </w:t>
      </w:r>
    </w:p>
    <w:p w14:paraId="20B92FEE" w14:textId="77777777" w:rsidR="00A74524" w:rsidRDefault="00E15C89" w:rsidP="00A74524">
      <w:pPr>
        <w:pStyle w:val="ListParagraph"/>
        <w:numPr>
          <w:ilvl w:val="0"/>
          <w:numId w:val="3"/>
        </w:numPr>
      </w:pPr>
      <w:r w:rsidRPr="00E15C89">
        <w:t>Hunt’s conception of inner logic of human rights</w:t>
      </w:r>
      <w:r w:rsidR="00180B89">
        <w:t xml:space="preserve"> </w:t>
      </w:r>
      <w:r w:rsidRPr="00E15C89">
        <w:t xml:space="preserve">can be understood as a clash between particularity and universality in Habermas’ approach. Yet whereas Habermas concentrates on emerging conflict between universalizable claim of equality in political sphere and particularity stemming from inequality in civil society, Hunt, much like Lefort and </w:t>
      </w:r>
      <w:proofErr w:type="spellStart"/>
      <w:r w:rsidRPr="00E15C89">
        <w:t>Balibar</w:t>
      </w:r>
      <w:proofErr w:type="spellEnd"/>
      <w:r w:rsidRPr="00E15C89">
        <w:t>, emphasizes that abstract universality of the declaration of human rights as a </w:t>
      </w:r>
      <w:r w:rsidRPr="00A74524">
        <w:rPr>
          <w:i/>
          <w:iCs/>
        </w:rPr>
        <w:t>political</w:t>
      </w:r>
      <w:r w:rsidRPr="00E15C89">
        <w:t xml:space="preserve"> form is what made them powerful force in emergence of modern society. </w:t>
      </w:r>
      <w:r w:rsidR="00180B89">
        <w:t>M</w:t>
      </w:r>
      <w:r w:rsidRPr="00E15C89">
        <w:t>ajor issue for Hunt is manifest exclusions from human rights, whilst Habermas’ point is that universal inclusion can be accomplished without altering social inequality.</w:t>
      </w:r>
    </w:p>
    <w:p w14:paraId="36531357" w14:textId="77777777" w:rsidR="00A74524" w:rsidRDefault="00180B89" w:rsidP="00B92938">
      <w:pPr>
        <w:pStyle w:val="ListParagraph"/>
        <w:numPr>
          <w:ilvl w:val="0"/>
          <w:numId w:val="3"/>
        </w:numPr>
      </w:pPr>
      <w:r>
        <w:lastRenderedPageBreak/>
        <w:t>Developments in deep genealogy –focus, theoretical approach, historical cases. Notion of inner logic and emotional learning process influential.</w:t>
      </w:r>
      <w:r>
        <w:rPr>
          <w:rStyle w:val="FootnoteReference"/>
        </w:rPr>
        <w:footnoteReference w:id="16"/>
      </w:r>
    </w:p>
    <w:p w14:paraId="44C7EA5F" w14:textId="77777777" w:rsidR="00A74524" w:rsidRDefault="00180B89" w:rsidP="00A74524">
      <w:pPr>
        <w:pStyle w:val="ListParagraph"/>
        <w:numPr>
          <w:ilvl w:val="0"/>
          <w:numId w:val="3"/>
        </w:numPr>
      </w:pPr>
      <w:r>
        <w:t>MARTINEZ – C19th abolitionism. I</w:t>
      </w:r>
      <w:r w:rsidR="00E15C89" w:rsidRPr="00E15C89">
        <w:t>nvestigated ‘courts of Mixed Commission’—</w:t>
      </w:r>
      <w:r>
        <w:t xml:space="preserve"> </w:t>
      </w:r>
      <w:r w:rsidR="00E15C89" w:rsidRPr="00E15C89">
        <w:t xml:space="preserve">slave trade courts </w:t>
      </w:r>
      <w:r>
        <w:t>where</w:t>
      </w:r>
      <w:r w:rsidR="00E15C89" w:rsidRPr="00E15C89">
        <w:t xml:space="preserve"> lawyers from different countries aimed to promote humanitarian principles </w:t>
      </w:r>
      <w:r w:rsidR="00A74524">
        <w:t>justifying</w:t>
      </w:r>
      <w:r w:rsidR="00E15C89" w:rsidRPr="00E15C89">
        <w:t xml:space="preserve"> abolition.</w:t>
      </w:r>
      <w:r>
        <w:t xml:space="preserve"> </w:t>
      </w:r>
      <w:r w:rsidR="00E15C89" w:rsidRPr="00E15C89">
        <w:t>Mixed Commissions deserve to be recognized as not only first human rights courts in history, but also as important factor in abolition of slave trade</w:t>
      </w:r>
      <w:r>
        <w:t>.</w:t>
      </w:r>
      <w:r>
        <w:rPr>
          <w:rStyle w:val="FootnoteReference"/>
        </w:rPr>
        <w:footnoteReference w:id="17"/>
      </w:r>
      <w:r>
        <w:t xml:space="preserve"> Points to history of continuity of international human rights institutions: </w:t>
      </w:r>
      <w:r w:rsidR="00E15C89" w:rsidRPr="00E15C89">
        <w:t>‘more than a century before Nuremberg, international courts in Sierra Leone, Cuba, Brazil, and other places around the Atlantic heard cases related to the slave trade, the original “crime against humanity.”’</w:t>
      </w:r>
      <w:r>
        <w:rPr>
          <w:rStyle w:val="FootnoteReference"/>
        </w:rPr>
        <w:footnoteReference w:id="18"/>
      </w:r>
      <w:r w:rsidR="00E15C89" w:rsidRPr="00E15C89">
        <w:t xml:space="preserve"> Using military force and international courts, slavery was eradicated by people and nations who had </w:t>
      </w:r>
      <w:r>
        <w:t>concluded</w:t>
      </w:r>
      <w:r w:rsidR="00E15C89" w:rsidRPr="00E15C89">
        <w:t xml:space="preserve"> it was morally wrong, in combination with material self-interest. Martinez aims to shed light on parallels between tensions present then and now, </w:t>
      </w:r>
      <w:r>
        <w:t xml:space="preserve">e.g. </w:t>
      </w:r>
      <w:r w:rsidR="00E15C89" w:rsidRPr="00E15C89">
        <w:t>between</w:t>
      </w:r>
      <w:r>
        <w:t xml:space="preserve"> </w:t>
      </w:r>
      <w:r w:rsidR="00E15C89" w:rsidRPr="00E15C89">
        <w:t>concepts of natural and universal law and law based solely on the positive enactments of a particular sovereign state; between religious and secular ideas of law and society; between European and non-European societies and cultures; between written treaties and unwritten customary law as most important source of international legal norms; between national and territorial conceptions of jurisdiction and supranational or even universal jurisdiction.</w:t>
      </w:r>
      <w:r>
        <w:rPr>
          <w:rStyle w:val="FootnoteReference"/>
        </w:rPr>
        <w:footnoteReference w:id="19"/>
      </w:r>
      <w:r w:rsidRPr="00E15C89">
        <w:t xml:space="preserve"> </w:t>
      </w:r>
    </w:p>
    <w:p w14:paraId="75B9DE69" w14:textId="77777777" w:rsidR="00A74524" w:rsidRDefault="00180B89" w:rsidP="00A74524">
      <w:pPr>
        <w:pStyle w:val="ListParagraph"/>
        <w:numPr>
          <w:ilvl w:val="0"/>
          <w:numId w:val="3"/>
        </w:numPr>
      </w:pPr>
      <w:r>
        <w:t>JOAS: C</w:t>
      </w:r>
      <w:r w:rsidR="00E15C89" w:rsidRPr="00E15C89">
        <w:t xml:space="preserve">entral role </w:t>
      </w:r>
      <w:r>
        <w:t>of</w:t>
      </w:r>
      <w:r w:rsidR="00E15C89" w:rsidRPr="00E15C89">
        <w:t xml:space="preserve"> human rights in modern society must be understood as manifestation of a process of ‘sacralization’ of the person. Drawing on Durkheim, Joas argues sacralization best understood as form of transposition of sacrality onto the human person, with roots not least in the Christian tradition.</w:t>
      </w:r>
    </w:p>
    <w:p w14:paraId="503D09BF" w14:textId="77777777" w:rsidR="00A74524" w:rsidRDefault="00180B89" w:rsidP="00A74524">
      <w:pPr>
        <w:pStyle w:val="ListParagraph"/>
        <w:numPr>
          <w:ilvl w:val="0"/>
          <w:numId w:val="3"/>
        </w:numPr>
      </w:pPr>
      <w:r>
        <w:t xml:space="preserve">Joas looks at how experiences of violence and collective trauma have been vehicles for generalising human rights. E.g. </w:t>
      </w:r>
      <w:r w:rsidR="00E15C89" w:rsidRPr="00E15C89">
        <w:t>analyses UDHR in context of Holocaust as cultural trauma based on violence, which created possibility of an ‘epistemic foundation’.</w:t>
      </w:r>
      <w:r>
        <w:rPr>
          <w:rStyle w:val="FootnoteReference"/>
        </w:rPr>
        <w:footnoteReference w:id="20"/>
      </w:r>
      <w:r w:rsidRPr="00E15C89">
        <w:t xml:space="preserve"> </w:t>
      </w:r>
      <w:r w:rsidR="00E15C89" w:rsidRPr="00E15C89">
        <w:t>The ways in which these experiences were canalized enabled agreement among conflicting religious and ideological positions. Joas takes cultural plurality of authors of UDHR as evidence for his conclusions.</w:t>
      </w:r>
      <w:r>
        <w:rPr>
          <w:rStyle w:val="FootnoteReference"/>
        </w:rPr>
        <w:footnoteReference w:id="21"/>
      </w:r>
      <w:r w:rsidRPr="00E15C89">
        <w:t xml:space="preserve"> </w:t>
      </w:r>
    </w:p>
    <w:p w14:paraId="66C227F3" w14:textId="77777777" w:rsidR="00A74524" w:rsidRDefault="00180B89" w:rsidP="00A74524">
      <w:pPr>
        <w:pStyle w:val="ListParagraph"/>
        <w:numPr>
          <w:ilvl w:val="0"/>
          <w:numId w:val="3"/>
        </w:numPr>
      </w:pPr>
      <w:r>
        <w:t xml:space="preserve">Difference between Joas and Hunt – Joas argues sacralisation of person more fundamental than learning empathy. Both inspired by Durkheim’s concept of the </w:t>
      </w:r>
      <w:r>
        <w:lastRenderedPageBreak/>
        <w:t>sacred, but Joas argues empathy is an approach, capacity or action that can be withheld even if</w:t>
      </w:r>
      <w:r w:rsidR="00A74524">
        <w:t xml:space="preserve"> </w:t>
      </w:r>
      <w:r>
        <w:t xml:space="preserve">person has the capacity. </w:t>
      </w:r>
      <w:r w:rsidR="00FD4539">
        <w:t>Empathy requires personal motivation fuelled by substantive values. Sacralisation of the person motivates empathy.</w:t>
      </w:r>
      <w:r w:rsidR="00FD4539">
        <w:rPr>
          <w:rStyle w:val="FootnoteReference"/>
        </w:rPr>
        <w:footnoteReference w:id="22"/>
      </w:r>
    </w:p>
    <w:p w14:paraId="28323626" w14:textId="77777777" w:rsidR="00A74524" w:rsidRDefault="00E15C89" w:rsidP="00A74524">
      <w:pPr>
        <w:pStyle w:val="ListParagraph"/>
        <w:numPr>
          <w:ilvl w:val="0"/>
          <w:numId w:val="3"/>
        </w:numPr>
      </w:pPr>
      <w:r w:rsidRPr="00E15C89">
        <w:t xml:space="preserve">Joas questions radical atheism of Durkheim’s notion that human rights constitute ‘religion of modernity’, in which man is both believer and God. In changing terms from Durkheimian sacralization of </w:t>
      </w:r>
      <w:r w:rsidR="00FD4539">
        <w:t xml:space="preserve">the </w:t>
      </w:r>
      <w:r w:rsidRPr="00E15C89">
        <w:t>individual to sacralization of the person, Joas seeks to avoid atheist presuppositions, and simultaneously</w:t>
      </w:r>
      <w:r w:rsidR="00FD4539">
        <w:t xml:space="preserve"> </w:t>
      </w:r>
      <w:r w:rsidRPr="00E15C89">
        <w:t>ensure that the intended belief in the irreducible dignity of every human being is not immediately mistaken for unscrupulous, egocentric self-sacralization of individual and narcissistic inability to break away from self-referentiality.</w:t>
      </w:r>
    </w:p>
    <w:p w14:paraId="78A0DF98" w14:textId="181CE6AD" w:rsidR="00FD4539" w:rsidRDefault="00FD4539" w:rsidP="00A74524">
      <w:pPr>
        <w:pStyle w:val="ListParagraph"/>
        <w:numPr>
          <w:ilvl w:val="0"/>
          <w:numId w:val="3"/>
        </w:numPr>
      </w:pPr>
      <w:r>
        <w:t>Deep genealogy holds that critical power of human rights project hasn’t been exhausted, and human rights remain effective weapon in hands of social movements, NGOs, international institutions, governments.</w:t>
      </w:r>
    </w:p>
    <w:p w14:paraId="2B363F82" w14:textId="6F7B4BF4" w:rsidR="00FD4539" w:rsidRPr="00E15C89" w:rsidRDefault="00FD4539" w:rsidP="00FD4539">
      <w:r>
        <w:t>REVISIONIST GENEALOGIES:</w:t>
      </w:r>
    </w:p>
    <w:p w14:paraId="10B62018" w14:textId="77777777" w:rsidR="00A74524" w:rsidRDefault="00E15C89" w:rsidP="00A74524">
      <w:pPr>
        <w:pStyle w:val="ListParagraph"/>
        <w:numPr>
          <w:ilvl w:val="0"/>
          <w:numId w:val="4"/>
        </w:numPr>
      </w:pPr>
      <w:r w:rsidRPr="00E15C89">
        <w:t>French human rights critic Gauchet in 1980 stressed different meanings of </w:t>
      </w:r>
      <w:r w:rsidRPr="00A74524">
        <w:rPr>
          <w:i/>
          <w:iCs/>
        </w:rPr>
        <w:t xml:space="preserve">les droits de </w:t>
      </w:r>
      <w:proofErr w:type="spellStart"/>
      <w:r w:rsidRPr="00A74524">
        <w:rPr>
          <w:i/>
          <w:iCs/>
        </w:rPr>
        <w:t>l’homme</w:t>
      </w:r>
      <w:proofErr w:type="spellEnd"/>
      <w:r w:rsidRPr="00E15C89">
        <w:t> in modernity and late modern society.</w:t>
      </w:r>
      <w:r w:rsidR="00FD4539">
        <w:t xml:space="preserve"> Modernity: </w:t>
      </w:r>
      <w:r w:rsidRPr="00E15C89">
        <w:t>political impact of rights counterbalanced and supported by concomitant strengthening of territorial state and political visions directing society toward the future.</w:t>
      </w:r>
      <w:r w:rsidR="00FD4539">
        <w:t xml:space="preserve"> Late modernity: </w:t>
      </w:r>
      <w:r w:rsidRPr="00E15C89">
        <w:t>tend to be mobilized in what Gauchet refers to as maximalist vindication of human rights, stressing defence of rights of individuals against ‘power’ of</w:t>
      </w:r>
      <w:r w:rsidR="00A74524">
        <w:t xml:space="preserve"> </w:t>
      </w:r>
      <w:r w:rsidRPr="00E15C89">
        <w:t>state, without being embedded in historically anchored political imaginaries.</w:t>
      </w:r>
      <w:r w:rsidR="00FD4539">
        <w:rPr>
          <w:rStyle w:val="FootnoteReference"/>
        </w:rPr>
        <w:footnoteReference w:id="23"/>
      </w:r>
    </w:p>
    <w:p w14:paraId="69442B21" w14:textId="77777777" w:rsidR="00A74524" w:rsidRDefault="00FD4539" w:rsidP="006379B8">
      <w:pPr>
        <w:pStyle w:val="ListParagraph"/>
        <w:numPr>
          <w:ilvl w:val="0"/>
          <w:numId w:val="4"/>
        </w:numPr>
      </w:pPr>
      <w:r>
        <w:t xml:space="preserve">ECKEL: Cmiel </w:t>
      </w:r>
      <w:r w:rsidR="00E15C89" w:rsidRPr="00E15C89">
        <w:t>turned against human rights accounts that were ‘evidently working at “inventing traditions”</w:t>
      </w:r>
      <w:r>
        <w:t>’</w:t>
      </w:r>
    </w:p>
    <w:p w14:paraId="5E0C8DD5" w14:textId="77777777" w:rsidR="00A74524" w:rsidRDefault="00FD4539" w:rsidP="00A74524">
      <w:pPr>
        <w:pStyle w:val="ListParagraph"/>
        <w:numPr>
          <w:ilvl w:val="0"/>
          <w:numId w:val="4"/>
        </w:numPr>
      </w:pPr>
      <w:r>
        <w:t>CMIEL – contrast with celebratory human rights accounts, pointed to lack of more concrete histories of human rights in the 1990s.</w:t>
      </w:r>
      <w:r>
        <w:rPr>
          <w:rStyle w:val="FootnoteReference"/>
        </w:rPr>
        <w:footnoteReference w:id="24"/>
      </w:r>
      <w:r w:rsidRPr="00E15C89">
        <w:t xml:space="preserve"> </w:t>
      </w:r>
      <w:r>
        <w:t>C</w:t>
      </w:r>
      <w:r w:rsidR="00E15C89" w:rsidRPr="00E15C89">
        <w:t>alled for historicizing analyses of contemporary human rights movement, which, in spite of long intellectual pedigree, ‘only took off in the 1970s’.</w:t>
      </w:r>
      <w:r>
        <w:rPr>
          <w:rStyle w:val="FootnoteReference"/>
        </w:rPr>
        <w:footnoteReference w:id="25"/>
      </w:r>
      <w:r>
        <w:t xml:space="preserve"> </w:t>
      </w:r>
      <w:r w:rsidR="00E15C89" w:rsidRPr="00E15C89">
        <w:t>Cmiel stressed arrival of private organizations and social movements founded to reshape global practices, as well as exclusive focus on individual rights over and against state authority as defining features of recent history of human rights.</w:t>
      </w:r>
      <w:r>
        <w:rPr>
          <w:rStyle w:val="FootnoteReference"/>
        </w:rPr>
        <w:footnoteReference w:id="26"/>
      </w:r>
    </w:p>
    <w:p w14:paraId="35BD88E1" w14:textId="77777777" w:rsidR="00A74524" w:rsidRDefault="00FD4539" w:rsidP="00CB41B8">
      <w:pPr>
        <w:pStyle w:val="ListParagraph"/>
        <w:numPr>
          <w:ilvl w:val="0"/>
          <w:numId w:val="4"/>
        </w:numPr>
      </w:pPr>
      <w:r>
        <w:lastRenderedPageBreak/>
        <w:t xml:space="preserve">AFSHARI: </w:t>
      </w:r>
      <w:r w:rsidR="00E15C89" w:rsidRPr="00E15C89">
        <w:t xml:space="preserve">‘epistemological break’ in early </w:t>
      </w:r>
      <w:r>
        <w:t>C</w:t>
      </w:r>
      <w:r w:rsidR="00E15C89" w:rsidRPr="00E15C89">
        <w:t xml:space="preserve">20th </w:t>
      </w:r>
      <w:r>
        <w:t>t</w:t>
      </w:r>
      <w:r w:rsidR="00E15C89" w:rsidRPr="00E15C89">
        <w:t>hat disconnected contemporary human rights from older rights traditions.</w:t>
      </w:r>
      <w:r>
        <w:rPr>
          <w:rStyle w:val="FootnoteReference"/>
        </w:rPr>
        <w:footnoteReference w:id="27"/>
      </w:r>
      <w:r w:rsidR="00E15C89" w:rsidRPr="00E15C89">
        <w:t xml:space="preserve"> Hunt attempted to explain socio-cultural preconditions of </w:t>
      </w:r>
      <w:r>
        <w:t>C1</w:t>
      </w:r>
      <w:r w:rsidR="00E15C89" w:rsidRPr="00E15C89">
        <w:t>8th breakthrough for human rights, Afshari more interested in delineating what characteristics make contemporary human rights different from earlier versions of rights.</w:t>
      </w:r>
    </w:p>
    <w:p w14:paraId="7B3D6F4C" w14:textId="77777777" w:rsidR="00A74524" w:rsidRDefault="00E15C89" w:rsidP="00A74524">
      <w:pPr>
        <w:pStyle w:val="ListParagraph"/>
        <w:numPr>
          <w:ilvl w:val="0"/>
          <w:numId w:val="4"/>
        </w:numPr>
      </w:pPr>
      <w:r w:rsidRPr="00E15C89">
        <w:t>Without referring to Cmiel, Afshari took next step in what would later be termed the ‘new historiography’.</w:t>
      </w:r>
      <w:r w:rsidR="00FD4539">
        <w:rPr>
          <w:rStyle w:val="FootnoteReference"/>
        </w:rPr>
        <w:footnoteReference w:id="28"/>
      </w:r>
      <w:r w:rsidR="00FD4539" w:rsidRPr="00E15C89">
        <w:t xml:space="preserve"> </w:t>
      </w:r>
      <w:r w:rsidRPr="00E15C89">
        <w:t>Afshari argued teleological human rights histories,</w:t>
      </w:r>
      <w:r w:rsidR="00FD4539">
        <w:t xml:space="preserve"> e.g. Lauren’s </w:t>
      </w:r>
      <w:r w:rsidR="00FD4539" w:rsidRPr="00A74524">
        <w:rPr>
          <w:i/>
          <w:iCs/>
        </w:rPr>
        <w:t xml:space="preserve">Evolution of International Human Rights </w:t>
      </w:r>
      <w:r w:rsidR="00FD4539">
        <w:t xml:space="preserve">(1998) </w:t>
      </w:r>
      <w:r w:rsidRPr="00E15C89">
        <w:t>fail to explain why ‘it took so long for these lofty ideals</w:t>
      </w:r>
      <w:r w:rsidRPr="00E15C89">
        <w:rPr>
          <w:rFonts w:ascii="Arial" w:hAnsi="Arial" w:cs="Arial"/>
        </w:rPr>
        <w:t> </w:t>
      </w:r>
      <w:r w:rsidRPr="00E15C89">
        <w:rPr>
          <w:rFonts w:ascii="Aptos" w:hAnsi="Aptos" w:cs="Aptos"/>
        </w:rPr>
        <w:t>…</w:t>
      </w:r>
      <w:r w:rsidRPr="00E15C89">
        <w:rPr>
          <w:rFonts w:ascii="Arial" w:hAnsi="Arial" w:cs="Arial"/>
        </w:rPr>
        <w:t> </w:t>
      </w:r>
      <w:r w:rsidRPr="00E15C89">
        <w:t>to find institutional or broad normative expressions in societies where they germinated</w:t>
      </w:r>
      <w:r w:rsidRPr="00E15C89">
        <w:rPr>
          <w:rFonts w:ascii="Aptos" w:hAnsi="Aptos" w:cs="Aptos"/>
        </w:rPr>
        <w:t>’</w:t>
      </w:r>
      <w:r w:rsidRPr="00E15C89">
        <w:t xml:space="preserve">, and that linear, evolutionary narrative may </w:t>
      </w:r>
      <w:r w:rsidRPr="00E15C89">
        <w:rPr>
          <w:rFonts w:ascii="Aptos" w:hAnsi="Aptos" w:cs="Aptos"/>
        </w:rPr>
        <w:t>‘</w:t>
      </w:r>
      <w:r w:rsidRPr="00E15C89">
        <w:t xml:space="preserve">not fully appreciate the truly unique and revolutionary notion of the contemporary human </w:t>
      </w:r>
      <w:r w:rsidR="00FD4539">
        <w:t>r</w:t>
      </w:r>
      <w:r w:rsidRPr="00E15C89">
        <w:t>ights.</w:t>
      </w:r>
      <w:r w:rsidRPr="00E15C89">
        <w:rPr>
          <w:rFonts w:ascii="Aptos" w:hAnsi="Aptos" w:cs="Aptos"/>
        </w:rPr>
        <w:t>’</w:t>
      </w:r>
      <w:r w:rsidR="00FD4539">
        <w:rPr>
          <w:rStyle w:val="FootnoteReference"/>
          <w:rFonts w:ascii="Aptos" w:hAnsi="Aptos" w:cs="Aptos"/>
        </w:rPr>
        <w:footnoteReference w:id="29"/>
      </w:r>
      <w:r w:rsidR="00FD4539">
        <w:t xml:space="preserve"> He argues the crucial defin</w:t>
      </w:r>
      <w:r w:rsidRPr="00E15C89">
        <w:t xml:space="preserve">ing characteristic of contemporary human rights is that they are indivisible and interconnected; ‘single-cause’ movements, </w:t>
      </w:r>
      <w:r w:rsidR="00FD4539">
        <w:t>e.g.</w:t>
      </w:r>
      <w:r w:rsidRPr="00E15C89">
        <w:t xml:space="preserve"> labour movement, women’s movement, anti-colonial movement, fail to qualify as human rights movements in his account.</w:t>
      </w:r>
      <w:r w:rsidR="00FD4539">
        <w:rPr>
          <w:rStyle w:val="FootnoteReference"/>
        </w:rPr>
        <w:footnoteReference w:id="30"/>
      </w:r>
    </w:p>
    <w:p w14:paraId="1D279B1D" w14:textId="77777777" w:rsidR="00A74524" w:rsidRDefault="00FD4539" w:rsidP="00A74524">
      <w:pPr>
        <w:pStyle w:val="ListParagraph"/>
        <w:numPr>
          <w:ilvl w:val="0"/>
          <w:numId w:val="4"/>
        </w:numPr>
      </w:pPr>
      <w:r>
        <w:t xml:space="preserve">Contrast: </w:t>
      </w:r>
      <w:r w:rsidR="00E15C89" w:rsidRPr="00E15C89">
        <w:t>in Hunt, Martinez, and Joas, these movements are key human rights cases. This is also why Afshari locates an epistemological break between two different rights traditions in 1930s, when, he argues, movement oriented towards cause of indivisible and interconnected human rights, beyond single separate issues, emerged for first time in history.</w:t>
      </w:r>
      <w:r w:rsidR="00EC2493">
        <w:rPr>
          <w:rStyle w:val="FootnoteReference"/>
        </w:rPr>
        <w:footnoteReference w:id="31"/>
      </w:r>
      <w:r w:rsidR="00EC2493" w:rsidRPr="00E15C89">
        <w:t xml:space="preserve"> </w:t>
      </w:r>
    </w:p>
    <w:p w14:paraId="4CF9042F" w14:textId="77777777" w:rsidR="00A74524" w:rsidRDefault="00EC2493" w:rsidP="00A74524">
      <w:pPr>
        <w:pStyle w:val="ListParagraph"/>
        <w:numPr>
          <w:ilvl w:val="0"/>
          <w:numId w:val="4"/>
        </w:numPr>
      </w:pPr>
      <w:r>
        <w:t xml:space="preserve">MOYN: </w:t>
      </w:r>
      <w:r w:rsidRPr="00A74524">
        <w:rPr>
          <w:i/>
          <w:iCs/>
        </w:rPr>
        <w:t xml:space="preserve">The Last Utopia.  </w:t>
      </w:r>
      <w:r>
        <w:t xml:space="preserve">Emphasises </w:t>
      </w:r>
      <w:r w:rsidR="00E15C89" w:rsidRPr="00E15C89">
        <w:t xml:space="preserve">different roles played by the state in the two junctures. </w:t>
      </w:r>
      <w:r>
        <w:t>E</w:t>
      </w:r>
      <w:r w:rsidR="00E15C89" w:rsidRPr="00E15C89">
        <w:t xml:space="preserve">vocation of rights of man in Age of Revolutions </w:t>
      </w:r>
      <w:r>
        <w:t>c.</w:t>
      </w:r>
      <w:r w:rsidR="00E15C89" w:rsidRPr="00E15C89">
        <w:t xml:space="preserve">1800 reflected a constellation of rights, the individual, and the state that was different and, in some respects, opposite to the notion of human rights that emerged on broad scale in late </w:t>
      </w:r>
      <w:r>
        <w:t xml:space="preserve">C20th. </w:t>
      </w:r>
      <w:r w:rsidR="00E15C89" w:rsidRPr="00E15C89">
        <w:t>Whereas notion of rights of man, or </w:t>
      </w:r>
      <w:r w:rsidR="00E15C89" w:rsidRPr="00A74524">
        <w:rPr>
          <w:i/>
          <w:iCs/>
        </w:rPr>
        <w:t xml:space="preserve">les droits de </w:t>
      </w:r>
      <w:proofErr w:type="spellStart"/>
      <w:r w:rsidR="00E15C89" w:rsidRPr="00A74524">
        <w:rPr>
          <w:i/>
          <w:iCs/>
        </w:rPr>
        <w:t>l’homme</w:t>
      </w:r>
      <w:proofErr w:type="spellEnd"/>
      <w:r w:rsidR="00E15C89" w:rsidRPr="00E15C89">
        <w:t xml:space="preserve">, served to bring about reconstruction of the state founded on popular control—where rights of political subjects would be respected through state’s authority—late-modern ideal of human rights was articulated as defence of individual </w:t>
      </w:r>
      <w:r w:rsidR="00E15C89" w:rsidRPr="00E15C89">
        <w:lastRenderedPageBreak/>
        <w:t>against state.</w:t>
      </w:r>
      <w:r>
        <w:rPr>
          <w:rStyle w:val="FootnoteReference"/>
        </w:rPr>
        <w:footnoteReference w:id="32"/>
      </w:r>
      <w:r>
        <w:t xml:space="preserve"> ‘M</w:t>
      </w:r>
      <w:r w:rsidR="00E15C89" w:rsidRPr="00E15C89">
        <w:t xml:space="preserve">ove from the politics of the state to the morality of the globe, which now defines contemporary aspirations’, </w:t>
      </w:r>
    </w:p>
    <w:p w14:paraId="4CC562CF" w14:textId="77777777" w:rsidR="00A74524" w:rsidRDefault="00EC2493" w:rsidP="00A74524">
      <w:pPr>
        <w:pStyle w:val="ListParagraph"/>
        <w:numPr>
          <w:ilvl w:val="0"/>
          <w:numId w:val="4"/>
        </w:numPr>
      </w:pPr>
      <w:r>
        <w:t>‘</w:t>
      </w:r>
      <w:proofErr w:type="gramStart"/>
      <w:r w:rsidR="00E15C89" w:rsidRPr="00E15C89">
        <w:t>even</w:t>
      </w:r>
      <w:proofErr w:type="gramEnd"/>
      <w:r w:rsidR="00E15C89" w:rsidRPr="00E15C89">
        <w:t xml:space="preserve"> as a rightist international alliance coalesced in 1975 to destroy the revolutionary left, the infamous </w:t>
      </w:r>
      <w:proofErr w:type="spellStart"/>
      <w:r w:rsidR="00E15C89" w:rsidRPr="00E15C89">
        <w:t>Operación</w:t>
      </w:r>
      <w:proofErr w:type="spellEnd"/>
      <w:r w:rsidR="00E15C89" w:rsidRPr="00E15C89">
        <w:t xml:space="preserve"> Cóndor, crimes in the world alone did not provoke interest in human rights. Their new appeal depended here, too, on the failure of more maximal visions of political transformation and the opening of the avenue of moral criticism in a moment of political closure.</w:t>
      </w:r>
      <w:r>
        <w:t>’</w:t>
      </w:r>
    </w:p>
    <w:p w14:paraId="42F7CA08" w14:textId="77777777" w:rsidR="00A74524" w:rsidRDefault="00EC2493" w:rsidP="00A74524">
      <w:pPr>
        <w:pStyle w:val="ListParagraph"/>
        <w:numPr>
          <w:ilvl w:val="0"/>
          <w:numId w:val="4"/>
        </w:numPr>
      </w:pPr>
      <w:r>
        <w:t xml:space="preserve">1948 UDHR - </w:t>
      </w:r>
      <w:r w:rsidR="00E15C89" w:rsidRPr="00E15C89">
        <w:t>‘In real history</w:t>
      </w:r>
      <w:r>
        <w:t>…</w:t>
      </w:r>
      <w:r w:rsidR="00E15C89" w:rsidRPr="00E15C89">
        <w:t>human rights were peripheral to both wartime rhetoric and post-war reconstruction, not central to their outcome’.</w:t>
      </w:r>
      <w:r>
        <w:rPr>
          <w:rStyle w:val="FootnoteReference"/>
        </w:rPr>
        <w:footnoteReference w:id="33"/>
      </w:r>
      <w:r>
        <w:t xml:space="preserve"> Nor were they crucial to decolonisation movements or third world movements after 1945: </w:t>
      </w:r>
      <w:r w:rsidR="00E15C89" w:rsidRPr="00E15C89">
        <w:t>chief motivating force was collective self-determination, independence from the two superpowers, and economic development</w:t>
      </w:r>
      <w:r>
        <w:t>.</w:t>
      </w:r>
      <w:r>
        <w:rPr>
          <w:rStyle w:val="FootnoteReference"/>
        </w:rPr>
        <w:footnoteReference w:id="34"/>
      </w:r>
      <w:r w:rsidRPr="00E15C89">
        <w:t xml:space="preserve"> </w:t>
      </w:r>
    </w:p>
    <w:p w14:paraId="669D8FF1" w14:textId="77777777" w:rsidR="00555BBB" w:rsidRDefault="00EC2493" w:rsidP="00681558">
      <w:pPr>
        <w:pStyle w:val="ListParagraph"/>
        <w:numPr>
          <w:ilvl w:val="0"/>
          <w:numId w:val="4"/>
        </w:numPr>
      </w:pPr>
      <w:r>
        <w:t xml:space="preserve">Human rights </w:t>
      </w:r>
      <w:r w:rsidR="00E15C89" w:rsidRPr="00E15C89">
        <w:t xml:space="preserve">a kind of ersatz version of more ambitious projects that in modern period had inspired political action, </w:t>
      </w:r>
      <w:r>
        <w:t xml:space="preserve">e.g. </w:t>
      </w:r>
      <w:r w:rsidR="00E15C89" w:rsidRPr="00E15C89">
        <w:t xml:space="preserve">socialism and experiments of post-1945 welfare states. </w:t>
      </w:r>
      <w:proofErr w:type="spellStart"/>
      <w:r w:rsidR="00E15C89" w:rsidRPr="00E15C89">
        <w:t>Moyn</w:t>
      </w:r>
      <w:proofErr w:type="spellEnd"/>
      <w:r w:rsidR="00E15C89" w:rsidRPr="00E15C89">
        <w:t xml:space="preserve"> </w:t>
      </w:r>
      <w:r>
        <w:t>says</w:t>
      </w:r>
      <w:r w:rsidR="00E15C89" w:rsidRPr="00E15C89">
        <w:t xml:space="preserve"> it was ‘only in the 1970s that a genuine social movement around human rights made its appearance, seizing the foreground by transcending official government institutions, especially international ones’.</w:t>
      </w:r>
      <w:r>
        <w:t xml:space="preserve"> Disillusionment following Cambodian Genocide 1975-9 and problems perceived by Western observers in postcolonial states after liberation struggles in 1960s, </w:t>
      </w:r>
      <w:r w:rsidR="00E15C89" w:rsidRPr="00E15C89">
        <w:t>transnational ideal of human rights emerged as moral minimum hoped for in politically disenchanted world</w:t>
      </w:r>
      <w:r w:rsidR="00555BBB">
        <w:t>.</w:t>
      </w:r>
    </w:p>
    <w:p w14:paraId="2468C911" w14:textId="77777777" w:rsidR="00555BBB" w:rsidRDefault="00555BBB" w:rsidP="00555BBB">
      <w:pPr>
        <w:pStyle w:val="ListParagraph"/>
        <w:numPr>
          <w:ilvl w:val="0"/>
          <w:numId w:val="4"/>
        </w:numPr>
      </w:pPr>
      <w:r>
        <w:t>B</w:t>
      </w:r>
      <w:r w:rsidR="00E15C89" w:rsidRPr="00E15C89">
        <w:t xml:space="preserve">est general explanation for the origins of this social movement and common discourse around rights </w:t>
      </w:r>
      <w:r w:rsidR="00EC2493">
        <w:t xml:space="preserve">- </w:t>
      </w:r>
      <w:r w:rsidR="00E15C89" w:rsidRPr="00E15C89">
        <w:t>collapse of other, prior utopias, both state-based and internationalist. These were belief systems that promised a free way of life, but led into bloody morass, or offered emancipation from empire and capital, but suddenly came to seem like dark tragedies rather than bright hopes.</w:t>
      </w:r>
      <w:r w:rsidR="00EC2493" w:rsidRPr="00E15C89">
        <w:t xml:space="preserve"> </w:t>
      </w:r>
    </w:p>
    <w:p w14:paraId="38926746" w14:textId="77777777" w:rsidR="00555BBB" w:rsidRDefault="00E15C89" w:rsidP="00555BBB">
      <w:pPr>
        <w:pStyle w:val="ListParagraph"/>
        <w:numPr>
          <w:ilvl w:val="0"/>
          <w:numId w:val="4"/>
        </w:numPr>
      </w:pPr>
      <w:r w:rsidRPr="00E15C89">
        <w:t xml:space="preserve">Yet if human rights, emerging </w:t>
      </w:r>
      <w:r w:rsidR="00EC2493">
        <w:t xml:space="preserve">from </w:t>
      </w:r>
      <w:r w:rsidRPr="00E15C89">
        <w:t xml:space="preserve">vacuum created by crumbling of grand narratives which had inspired political movements for well over a century, were born as an ‘alternative to grand political missions—or even as a moral criticism of </w:t>
      </w:r>
      <w:proofErr w:type="gramStart"/>
      <w:r w:rsidRPr="00E15C89">
        <w:t>politics’</w:t>
      </w:r>
      <w:proofErr w:type="gramEnd"/>
      <w:r w:rsidRPr="00E15C89">
        <w:t>, as a ‘minimalist utopia’, they were ‘forced, slowly but surely, to assume the very maximalism they triumphed by avoiding’.</w:t>
      </w:r>
    </w:p>
    <w:p w14:paraId="3F082D14" w14:textId="77777777" w:rsidR="00555BBB" w:rsidRDefault="00EC2493" w:rsidP="00555BBB">
      <w:pPr>
        <w:pStyle w:val="ListParagraph"/>
        <w:numPr>
          <w:ilvl w:val="0"/>
          <w:numId w:val="4"/>
        </w:numPr>
      </w:pPr>
      <w:r>
        <w:t xml:space="preserve">HOFFMANN: places rupture even later in time, argues 1990s definitive breakthrough of </w:t>
      </w:r>
      <w:r w:rsidR="00E15C89" w:rsidRPr="00E15C89">
        <w:t>the new, ‘distinct version of human rights, pre-state and individual’.</w:t>
      </w:r>
      <w:r>
        <w:rPr>
          <w:rStyle w:val="FootnoteReference"/>
        </w:rPr>
        <w:footnoteReference w:id="35"/>
      </w:r>
      <w:r w:rsidR="00E15C89" w:rsidRPr="00E15C89">
        <w:t xml:space="preserve"> It was only now, rather than in 1970s, that ‘new global morality of </w:t>
      </w:r>
      <w:r w:rsidR="00E15C89" w:rsidRPr="00E15C89">
        <w:lastRenderedPageBreak/>
        <w:t xml:space="preserve">human rights’ was imposed as ideal trumping ‘rights of </w:t>
      </w:r>
      <w:proofErr w:type="gramStart"/>
      <w:r w:rsidR="00E15C89" w:rsidRPr="00E15C89">
        <w:t>states’</w:t>
      </w:r>
      <w:proofErr w:type="gramEnd"/>
      <w:r w:rsidR="00E15C89" w:rsidRPr="00E15C89">
        <w:t>.</w:t>
      </w:r>
      <w:r>
        <w:t xml:space="preserve"> After huma</w:t>
      </w:r>
      <w:r w:rsidR="00E15C89" w:rsidRPr="00E15C89">
        <w:t>nitarian interventions (</w:t>
      </w:r>
      <w:r>
        <w:t>e.g.</w:t>
      </w:r>
      <w:r w:rsidR="00E15C89" w:rsidRPr="00E15C89">
        <w:t xml:space="preserve"> former Yugoslavia), and prosecutions of mass violence and genocide being initiated.</w:t>
      </w:r>
      <w:r>
        <w:rPr>
          <w:rStyle w:val="FootnoteReference"/>
        </w:rPr>
        <w:footnoteReference w:id="36"/>
      </w:r>
      <w:r>
        <w:t xml:space="preserve"> </w:t>
      </w:r>
      <w:r w:rsidRPr="00E15C89">
        <w:t xml:space="preserve"> </w:t>
      </w:r>
      <w:r w:rsidR="00E15C89" w:rsidRPr="00E15C89">
        <w:t>Sociologically, Hoffmann connects these new tides to coming to power of baby boomers and student protest generation</w:t>
      </w:r>
      <w:r>
        <w:t xml:space="preserve">: </w:t>
      </w:r>
      <w:r w:rsidR="00E15C89" w:rsidRPr="00E15C89">
        <w:t xml:space="preserve">Clinton, Bernard </w:t>
      </w:r>
      <w:proofErr w:type="spellStart"/>
      <w:r w:rsidR="00E15C89" w:rsidRPr="00E15C89">
        <w:t>Kouchner</w:t>
      </w:r>
      <w:proofErr w:type="spellEnd"/>
      <w:r w:rsidR="00E15C89" w:rsidRPr="00E15C89">
        <w:t xml:space="preserve"> and Joschka Fischer.</w:t>
      </w:r>
    </w:p>
    <w:p w14:paraId="3B78A815" w14:textId="77777777" w:rsidR="00555BBB" w:rsidRDefault="00EC2493" w:rsidP="00555BBB">
      <w:pPr>
        <w:pStyle w:val="ListParagraph"/>
        <w:numPr>
          <w:ilvl w:val="0"/>
          <w:numId w:val="4"/>
        </w:numPr>
      </w:pPr>
      <w:r>
        <w:t>Some historians broadly a</w:t>
      </w:r>
      <w:r w:rsidR="00E15C89" w:rsidRPr="00E15C89">
        <w:t xml:space="preserve">ccept outlines of revisionist account, but object to neglect of the more fine-tuned transformations in period between UDHR 1948 and 1970s. </w:t>
      </w:r>
    </w:p>
    <w:p w14:paraId="569E6408" w14:textId="77777777" w:rsidR="00555BBB" w:rsidRDefault="00EC2493" w:rsidP="00555BBB">
      <w:pPr>
        <w:pStyle w:val="ListParagraph"/>
        <w:numPr>
          <w:ilvl w:val="0"/>
          <w:numId w:val="4"/>
        </w:numPr>
      </w:pPr>
      <w:r>
        <w:t xml:space="preserve">BURKE - </w:t>
      </w:r>
      <w:r w:rsidR="00E15C89" w:rsidRPr="00E15C89">
        <w:t>mistake to consider 1948–1970s as interregnum.</w:t>
      </w:r>
      <w:r w:rsidR="00261D13">
        <w:rPr>
          <w:rStyle w:val="FootnoteReference"/>
        </w:rPr>
        <w:footnoteReference w:id="37"/>
      </w:r>
      <w:r w:rsidR="00261D13">
        <w:t xml:space="preserve"> F</w:t>
      </w:r>
      <w:r w:rsidR="00E15C89" w:rsidRPr="00E15C89">
        <w:t>ledging individual-centred and liberal conceptualization of human rights remained at least as aspirational ideal for anti-colonial liberals, the ‘adoptive parents’ of human rights after 1948.</w:t>
      </w:r>
      <w:r w:rsidR="00261D13" w:rsidRPr="00E15C89">
        <w:t xml:space="preserve"> </w:t>
      </w:r>
      <w:r w:rsidR="00E15C89" w:rsidRPr="00E15C89">
        <w:t xml:space="preserve">Then, </w:t>
      </w:r>
      <w:r w:rsidR="00261D13">
        <w:t>largely due to</w:t>
      </w:r>
      <w:r w:rsidR="00E15C89" w:rsidRPr="00E15C89">
        <w:t xml:space="preserve"> transformation of anti-colonial wars in light of challenge of state-building under conditions of massive poverty and burden of creating a unifying institutional framework, UDHR lost some of most ardent and politically influential </w:t>
      </w:r>
      <w:proofErr w:type="gramStart"/>
      <w:r w:rsidR="00E15C89" w:rsidRPr="00E15C89">
        <w:t>advocates, and</w:t>
      </w:r>
      <w:proofErr w:type="gramEnd"/>
      <w:r w:rsidR="00E15C89" w:rsidRPr="00E15C89">
        <w:t xml:space="preserve"> left remaining liberal-minded individuals who still believed in a consensual definition of human rights in despair towards end of 1960s.</w:t>
      </w:r>
      <w:r w:rsidR="00261D13" w:rsidRPr="00E15C89">
        <w:t xml:space="preserve"> </w:t>
      </w:r>
    </w:p>
    <w:p w14:paraId="40838031" w14:textId="77777777" w:rsidR="00555BBB" w:rsidRDefault="00E15C89" w:rsidP="00555BBB">
      <w:pPr>
        <w:pStyle w:val="ListParagraph"/>
        <w:numPr>
          <w:ilvl w:val="0"/>
          <w:numId w:val="4"/>
        </w:numPr>
      </w:pPr>
      <w:r w:rsidRPr="00E15C89">
        <w:t>For Burke UDHR did not come into the world stillborn</w:t>
      </w:r>
      <w:r w:rsidR="00261D13">
        <w:t xml:space="preserve"> as </w:t>
      </w:r>
      <w:proofErr w:type="spellStart"/>
      <w:r w:rsidR="00261D13">
        <w:t>Moyn</w:t>
      </w:r>
      <w:proofErr w:type="spellEnd"/>
      <w:r w:rsidR="00261D13">
        <w:t xml:space="preserve"> suggested</w:t>
      </w:r>
      <w:r w:rsidRPr="00E15C89">
        <w:t>. ‘At a normative level</w:t>
      </w:r>
      <w:r w:rsidR="00261D13">
        <w:t xml:space="preserve"> </w:t>
      </w:r>
      <w:r w:rsidRPr="00E15C89">
        <w:t>the philosophy of the UDHR, while attacked, abandoned, and obscured, still gave a passable impression of being alive, although very sickly, fifteen years after its adoption’.</w:t>
      </w:r>
    </w:p>
    <w:p w14:paraId="21F00AFA" w14:textId="77777777" w:rsidR="00555BBB" w:rsidRDefault="00261D13" w:rsidP="00555BBB">
      <w:pPr>
        <w:pStyle w:val="ListParagraph"/>
        <w:numPr>
          <w:ilvl w:val="0"/>
          <w:numId w:val="4"/>
        </w:numPr>
      </w:pPr>
      <w:r>
        <w:t>I</w:t>
      </w:r>
      <w:r w:rsidR="00E15C89" w:rsidRPr="00E15C89">
        <w:t>t was on these fragile grounds—more fragile towards end 1960s —that human rights movement of 1970s could build. Without denying shift in 1970s, Burke states strengthening movement of that time had ‘some discernible precedents upon which to build, some accumulated organization and institutional frame to inherit, and a proximate lineage of principles that had yet to fully disintegrate’</w:t>
      </w:r>
      <w:r w:rsidR="00A74524">
        <w:t>.</w:t>
      </w:r>
    </w:p>
    <w:p w14:paraId="38D69A6B" w14:textId="77777777" w:rsidR="00555BBB" w:rsidRDefault="00A74524" w:rsidP="00555BBB">
      <w:pPr>
        <w:pStyle w:val="ListParagraph"/>
        <w:numPr>
          <w:ilvl w:val="0"/>
          <w:numId w:val="4"/>
        </w:numPr>
      </w:pPr>
      <w:r>
        <w:t>ECKEL – explored earlier movements – history of human rights must be understood as ‘</w:t>
      </w:r>
      <w:r w:rsidR="00E15C89" w:rsidRPr="00E15C89">
        <w:t>fractured and discontinuous process’.</w:t>
      </w:r>
      <w:r>
        <w:rPr>
          <w:rStyle w:val="FootnoteReference"/>
        </w:rPr>
        <w:footnoteReference w:id="38"/>
      </w:r>
      <w:r>
        <w:t xml:space="preserve"> </w:t>
      </w:r>
      <w:r w:rsidR="00E15C89" w:rsidRPr="00E15C89">
        <w:t>Through analyses of preceding movements</w:t>
      </w:r>
      <w:r>
        <w:t xml:space="preserve"> e.g. </w:t>
      </w:r>
      <w:r w:rsidR="00E15C89" w:rsidRPr="00E15C89">
        <w:t xml:space="preserve">International League of the Rights of Man (founded in 1942), Eckel argues that elements of late-modern conceptualization figured in earlier usages, but with limited ‘transformative effect’, characterized mainly by ‘creeping disenchantment’ </w:t>
      </w:r>
      <w:proofErr w:type="gramStart"/>
      <w:r w:rsidR="00E15C89" w:rsidRPr="00E15C89">
        <w:t>with regard to</w:t>
      </w:r>
      <w:proofErr w:type="gramEnd"/>
      <w:r w:rsidR="00E15C89" w:rsidRPr="00E15C89">
        <w:t xml:space="preserve"> practical </w:t>
      </w:r>
      <w:r w:rsidR="00555BBB">
        <w:t>o</w:t>
      </w:r>
      <w:r w:rsidR="00E15C89" w:rsidRPr="00E15C89">
        <w:t>utcomes.</w:t>
      </w:r>
      <w:r w:rsidR="00555BBB">
        <w:rPr>
          <w:rStyle w:val="FootnoteReference"/>
        </w:rPr>
        <w:footnoteReference w:id="39"/>
      </w:r>
    </w:p>
    <w:p w14:paraId="1AE3C2DA" w14:textId="77777777" w:rsidR="00555BBB" w:rsidRDefault="00E15C89" w:rsidP="00555BBB">
      <w:pPr>
        <w:pStyle w:val="ListParagraph"/>
        <w:numPr>
          <w:ilvl w:val="0"/>
          <w:numId w:val="4"/>
        </w:numPr>
      </w:pPr>
      <w:r w:rsidRPr="00E15C89">
        <w:t xml:space="preserve">Without completely denying relevance of long-term continuities, Eckel contends that impact of short-term causes and ‘immediate triggers’ </w:t>
      </w:r>
      <w:r w:rsidR="00555BBB">
        <w:t xml:space="preserve">more important. </w:t>
      </w:r>
    </w:p>
    <w:p w14:paraId="5D88028A" w14:textId="44CFE717" w:rsidR="00E15C89" w:rsidRDefault="00555BBB" w:rsidP="00555BBB">
      <w:pPr>
        <w:pStyle w:val="ListParagraph"/>
        <w:numPr>
          <w:ilvl w:val="0"/>
          <w:numId w:val="4"/>
        </w:numPr>
      </w:pPr>
      <w:r>
        <w:t xml:space="preserve">To </w:t>
      </w:r>
      <w:r w:rsidR="00E15C89" w:rsidRPr="00E15C89">
        <w:t xml:space="preserve">grasp ambivalent role of human rights in international politics, </w:t>
      </w:r>
      <w:r>
        <w:t xml:space="preserve">need </w:t>
      </w:r>
      <w:r w:rsidR="00E15C89" w:rsidRPr="00E15C89">
        <w:t xml:space="preserve">to comprehend what he refers to as their polycentric character, and that the impetus behind them in any period was a combination of well-meaning idealism </w:t>
      </w:r>
      <w:r w:rsidR="00E15C89" w:rsidRPr="00E15C89">
        <w:lastRenderedPageBreak/>
        <w:t>and brute self-interest, thereby attaching a ‘wide range of sometimes contradictory meanings to the term over the decades’.</w:t>
      </w:r>
      <w:r w:rsidRPr="00E15C89">
        <w:t xml:space="preserve"> </w:t>
      </w:r>
    </w:p>
    <w:p w14:paraId="570C1AD8" w14:textId="77777777" w:rsidR="00555BBB" w:rsidRDefault="00555BBB" w:rsidP="00280D14">
      <w:pPr>
        <w:pStyle w:val="ListParagraph"/>
        <w:numPr>
          <w:ilvl w:val="0"/>
          <w:numId w:val="4"/>
        </w:numPr>
      </w:pPr>
      <w:r>
        <w:t xml:space="preserve">Another revisionist current – argument that ‘new historians’ who emphasise 70s as breakthrough decade </w:t>
      </w:r>
      <w:r w:rsidR="00E15C89" w:rsidRPr="00E15C89">
        <w:t xml:space="preserve">overlook connections between triumphant notions of human rights and suspended attempts to create new, decolonialized world order, </w:t>
      </w:r>
      <w:r>
        <w:t xml:space="preserve">e.g. </w:t>
      </w:r>
      <w:r w:rsidR="00E15C89" w:rsidRPr="00E15C89">
        <w:t>efforts to create a new international economic order (NIEO).</w:t>
      </w:r>
      <w:r>
        <w:rPr>
          <w:rStyle w:val="FootnoteReference"/>
        </w:rPr>
        <w:footnoteReference w:id="40"/>
      </w:r>
    </w:p>
    <w:p w14:paraId="0A69C190" w14:textId="77777777" w:rsidR="00555BBB" w:rsidRDefault="00555BBB" w:rsidP="00280D14">
      <w:pPr>
        <w:pStyle w:val="ListParagraph"/>
        <w:numPr>
          <w:ilvl w:val="0"/>
          <w:numId w:val="4"/>
        </w:numPr>
      </w:pPr>
      <w:r>
        <w:t xml:space="preserve">Received understanding of 1970s as breakthrough for transnational conceptualisation of human rights is too focused on the West. </w:t>
      </w:r>
    </w:p>
    <w:p w14:paraId="47E17CCD" w14:textId="22DCE60D" w:rsidR="00E15C89" w:rsidRDefault="00555BBB" w:rsidP="00CC6295">
      <w:pPr>
        <w:pStyle w:val="ListParagraph"/>
        <w:numPr>
          <w:ilvl w:val="0"/>
          <w:numId w:val="4"/>
        </w:numPr>
      </w:pPr>
      <w:r>
        <w:t xml:space="preserve">JENSEN: Highlights role of newly independent states e.g. Jamaica, Liberia, Ghana, in promotion of the individual as a subject of international </w:t>
      </w:r>
      <w:proofErr w:type="gramStart"/>
      <w:r>
        <w:t>law, and</w:t>
      </w:r>
      <w:proofErr w:type="gramEnd"/>
      <w:r>
        <w:t xml:space="preserve"> linking international human rights law and humanitarian law.</w:t>
      </w:r>
      <w:r w:rsidR="00E15C89" w:rsidRPr="00E15C89">
        <w:t xml:space="preserve"> </w:t>
      </w:r>
      <w:r>
        <w:t>Q</w:t>
      </w:r>
      <w:r w:rsidR="00E15C89" w:rsidRPr="00E15C89">
        <w:t xml:space="preserve">ualifies central role </w:t>
      </w:r>
      <w:r>
        <w:t>of</w:t>
      </w:r>
      <w:r w:rsidR="00E15C89" w:rsidRPr="00E15C89">
        <w:t xml:space="preserve"> Western-based NGOs during breakthrough of 1970s.</w:t>
      </w:r>
      <w:r>
        <w:rPr>
          <w:rStyle w:val="FootnoteReference"/>
        </w:rPr>
        <w:footnoteReference w:id="41"/>
      </w:r>
      <w:r w:rsidRPr="00E15C89">
        <w:t xml:space="preserve"> </w:t>
      </w:r>
      <w:r>
        <w:t>States</w:t>
      </w:r>
      <w:r w:rsidR="00E15C89" w:rsidRPr="00E15C89">
        <w:t xml:space="preserve"> such as Jamaica and Liberia, in successful struggle for Convention on the Elimination of All Forms of Racial Discrimination (CERD), clearly paved the way for individual-based human rights.</w:t>
      </w:r>
      <w:r>
        <w:rPr>
          <w:rStyle w:val="FootnoteReference"/>
        </w:rPr>
        <w:footnoteReference w:id="42"/>
      </w:r>
      <w:r w:rsidRPr="00E15C89">
        <w:t xml:space="preserve"> </w:t>
      </w:r>
    </w:p>
    <w:p w14:paraId="13AE6162" w14:textId="2A7CD5C3" w:rsidR="00555BBB" w:rsidRDefault="00555BBB" w:rsidP="00CC6295">
      <w:pPr>
        <w:pStyle w:val="ListParagraph"/>
        <w:numPr>
          <w:ilvl w:val="0"/>
          <w:numId w:val="4"/>
        </w:numPr>
      </w:pPr>
      <w:r>
        <w:t>Revisionists united in insistence on epistemological break at some point in C20th – implies contemporary human rights are disconnected from the revolutionary rights of the 18</w:t>
      </w:r>
      <w:r w:rsidRPr="00555BBB">
        <w:rPr>
          <w:vertAlign w:val="superscript"/>
        </w:rPr>
        <w:t>th</w:t>
      </w:r>
      <w:r>
        <w:t>/19</w:t>
      </w:r>
      <w:r w:rsidRPr="00555BBB">
        <w:rPr>
          <w:vertAlign w:val="superscript"/>
        </w:rPr>
        <w:t>th</w:t>
      </w:r>
      <w:r>
        <w:t xml:space="preserve"> centuries. </w:t>
      </w:r>
    </w:p>
    <w:p w14:paraId="447FEA40" w14:textId="77777777" w:rsidR="00555BBB" w:rsidRDefault="00555BBB" w:rsidP="00555BBB">
      <w:pPr>
        <w:pStyle w:val="ListParagraph"/>
        <w:numPr>
          <w:ilvl w:val="0"/>
          <w:numId w:val="4"/>
        </w:numPr>
      </w:pPr>
      <w:r>
        <w:t>What influenced turn to history of human rights – 1990s saw flourishing human rights policies and NGO activity around the world. Celebratory monographs.</w:t>
      </w:r>
      <w:r>
        <w:rPr>
          <w:rStyle w:val="FootnoteReference"/>
        </w:rPr>
        <w:footnoteReference w:id="43"/>
      </w:r>
      <w:r>
        <w:t xml:space="preserve"> Human rights as ‘near-hegemonic’ – attention to origins, continuity and discontinuity.</w:t>
      </w:r>
    </w:p>
    <w:p w14:paraId="5B91ADC0" w14:textId="77777777" w:rsidR="00C95977" w:rsidRDefault="00555BBB" w:rsidP="00C95977">
      <w:pPr>
        <w:pStyle w:val="ListParagraph"/>
        <w:numPr>
          <w:ilvl w:val="0"/>
          <w:numId w:val="4"/>
        </w:numPr>
      </w:pPr>
      <w:r>
        <w:t>B</w:t>
      </w:r>
      <w:r w:rsidR="00E15C89" w:rsidRPr="00E15C89">
        <w:t>y 2003 human rights narrative mobilized in several military interventions, notably Kosovo (1999)</w:t>
      </w:r>
      <w:r>
        <w:t>,</w:t>
      </w:r>
      <w:r w:rsidR="00E15C89" w:rsidRPr="00E15C89">
        <w:t xml:space="preserve"> Iraq (2003).</w:t>
      </w:r>
      <w:r w:rsidR="00C95977">
        <w:rPr>
          <w:rStyle w:val="FootnoteReference"/>
        </w:rPr>
        <w:footnoteReference w:id="44"/>
      </w:r>
      <w:r w:rsidR="00C95977">
        <w:t xml:space="preserve"> Human rights track record seemed questionable at end C20th </w:t>
      </w:r>
      <w:proofErr w:type="gramStart"/>
      <w:r w:rsidR="00C95977">
        <w:t>in light of</w:t>
      </w:r>
      <w:proofErr w:type="gramEnd"/>
      <w:r w:rsidR="00C95977">
        <w:t xml:space="preserve"> Rwanda, Kosovo, East Timor…Human rights used as stated motivation for</w:t>
      </w:r>
      <w:r w:rsidR="00E15C89" w:rsidRPr="00E15C89">
        <w:t xml:space="preserve"> violating principle of state </w:t>
      </w:r>
      <w:r w:rsidR="00C95977">
        <w:t xml:space="preserve">sovereignty </w:t>
      </w:r>
      <w:r w:rsidR="00E15C89" w:rsidRPr="00E15C89">
        <w:t xml:space="preserve">now </w:t>
      </w:r>
      <w:r w:rsidR="00E15C89" w:rsidRPr="00E15C89">
        <w:lastRenderedPageBreak/>
        <w:t xml:space="preserve">increasingly perceived as sign of hegemony; human rights would now be recurrently depicted in terms of dominance. </w:t>
      </w:r>
      <w:r w:rsidR="00C95977">
        <w:t>Celebratory accounts lost appeal.</w:t>
      </w:r>
    </w:p>
    <w:p w14:paraId="75450E6F" w14:textId="77777777" w:rsidR="00C95977" w:rsidRDefault="00C95977" w:rsidP="00C95977">
      <w:pPr>
        <w:pStyle w:val="ListParagraph"/>
        <w:numPr>
          <w:ilvl w:val="0"/>
          <w:numId w:val="4"/>
        </w:numPr>
      </w:pPr>
      <w:r>
        <w:t>After financial crisis 2008, MARKS articles relating success of neoliberal movement from 1970s onwards to success of human rights movement.</w:t>
      </w:r>
      <w:r>
        <w:rPr>
          <w:rStyle w:val="FootnoteReference"/>
        </w:rPr>
        <w:footnoteReference w:id="45"/>
      </w:r>
      <w:r w:rsidR="00E15C89" w:rsidRPr="00E15C89">
        <w:t> Her ideas later taken up by scholars interested in human rights and neoliberalism and distributive inequality.</w:t>
      </w:r>
      <w:r>
        <w:rPr>
          <w:rStyle w:val="FootnoteReference"/>
        </w:rPr>
        <w:footnoteReference w:id="46"/>
      </w:r>
      <w:r w:rsidRPr="00E15C89">
        <w:t xml:space="preserve"> </w:t>
      </w:r>
    </w:p>
    <w:p w14:paraId="4029446F" w14:textId="77777777" w:rsidR="00C95977" w:rsidRDefault="00C95977" w:rsidP="00DF389A">
      <w:pPr>
        <w:pStyle w:val="ListParagraph"/>
        <w:numPr>
          <w:ilvl w:val="0"/>
          <w:numId w:val="4"/>
        </w:numPr>
      </w:pPr>
      <w:r>
        <w:t>I</w:t>
      </w:r>
      <w:r w:rsidR="00E15C89" w:rsidRPr="00E15C89">
        <w:t xml:space="preserve">n debate that emerged </w:t>
      </w:r>
      <w:r>
        <w:t>after M</w:t>
      </w:r>
      <w:r w:rsidR="00E15C89" w:rsidRPr="00E15C89">
        <w:t xml:space="preserve">arks’ 2013 text ‘Four Human Rights Myths’, </w:t>
      </w:r>
      <w:r>
        <w:t>4</w:t>
      </w:r>
      <w:r w:rsidR="00E15C89" w:rsidRPr="00E15C89">
        <w:t xml:space="preserve"> conflicting arguments offered </w:t>
      </w:r>
      <w:r>
        <w:t>re:</w:t>
      </w:r>
      <w:r w:rsidR="00E15C89" w:rsidRPr="00E15C89">
        <w:t xml:space="preserve"> relationship between human rights movement and neoliberalism, positing that human rights ought to be seen as: (</w:t>
      </w:r>
      <w:proofErr w:type="spellStart"/>
      <w:r w:rsidR="00E15C89" w:rsidRPr="00E15C89">
        <w:t>i</w:t>
      </w:r>
      <w:proofErr w:type="spellEnd"/>
      <w:r w:rsidR="00E15C89" w:rsidRPr="00E15C89">
        <w:t xml:space="preserve">) part of the </w:t>
      </w:r>
      <w:proofErr w:type="spellStart"/>
      <w:r w:rsidR="00E15C89" w:rsidRPr="00E15C89">
        <w:t>neoliberalization</w:t>
      </w:r>
      <w:proofErr w:type="spellEnd"/>
      <w:r w:rsidR="00E15C89" w:rsidRPr="00E15C89">
        <w:t xml:space="preserve"> of society; (ii) a fellow traveller or, even stronger, reinforcer and collaborator; (iii) a powerless companion; or (iv) an opponent.</w:t>
      </w:r>
    </w:p>
    <w:p w14:paraId="75342818" w14:textId="77777777" w:rsidR="00C95977" w:rsidRDefault="00C95977" w:rsidP="00DF389A">
      <w:pPr>
        <w:pStyle w:val="ListParagraph"/>
        <w:numPr>
          <w:ilvl w:val="0"/>
          <w:numId w:val="4"/>
        </w:numPr>
      </w:pPr>
      <w:r>
        <w:t xml:space="preserve">I) – less common approach. </w:t>
      </w:r>
      <w:proofErr w:type="spellStart"/>
      <w:r>
        <w:t>Neoliberalisation</w:t>
      </w:r>
      <w:proofErr w:type="spellEnd"/>
      <w:r>
        <w:t xml:space="preserve"> of society understood in </w:t>
      </w:r>
      <w:r w:rsidR="00E15C89" w:rsidRPr="00E15C89">
        <w:t>strictly economistic terms, first and foremost built on idea of </w:t>
      </w:r>
      <w:r w:rsidR="00E15C89" w:rsidRPr="00E15C89">
        <w:rPr>
          <w:i/>
          <w:iCs/>
        </w:rPr>
        <w:t>homo economicus</w:t>
      </w:r>
      <w:r w:rsidR="00E15C89" w:rsidRPr="00E15C89">
        <w:t xml:space="preserve">, argue that human rights </w:t>
      </w:r>
      <w:proofErr w:type="gramStart"/>
      <w:r w:rsidR="00E15C89" w:rsidRPr="00E15C89">
        <w:t>is</w:t>
      </w:r>
      <w:proofErr w:type="gramEnd"/>
      <w:r w:rsidR="00E15C89" w:rsidRPr="00E15C89">
        <w:t xml:space="preserve"> an effect of its logic.</w:t>
      </w:r>
      <w:r>
        <w:rPr>
          <w:rStyle w:val="FootnoteReference"/>
        </w:rPr>
        <w:footnoteReference w:id="47"/>
      </w:r>
      <w:r w:rsidR="00E15C89" w:rsidRPr="00E15C89">
        <w:t> </w:t>
      </w:r>
    </w:p>
    <w:p w14:paraId="6E8D8288" w14:textId="0EB4AE3D" w:rsidR="00E15C89" w:rsidRDefault="00C95977" w:rsidP="00DF389A">
      <w:pPr>
        <w:pStyle w:val="ListParagraph"/>
        <w:numPr>
          <w:ilvl w:val="0"/>
          <w:numId w:val="4"/>
        </w:numPr>
      </w:pPr>
      <w:r>
        <w:t>II) C</w:t>
      </w:r>
      <w:r w:rsidR="00E15C89" w:rsidRPr="00E15C89">
        <w:t>ritics who assert human rights have not just been powerless companion but can be directly connected to emergence of neoliberal order, although not reducible to a manifestation of neoliberalism</w:t>
      </w:r>
      <w:r>
        <w:rPr>
          <w:rStyle w:val="FootnoteReference"/>
        </w:rPr>
        <w:footnoteReference w:id="48"/>
      </w:r>
      <w:r w:rsidR="00E15C89" w:rsidRPr="00E15C89">
        <w:t>.</w:t>
      </w:r>
      <w:r>
        <w:t xml:space="preserve"> E.g. </w:t>
      </w:r>
      <w:r w:rsidR="00E15C89" w:rsidRPr="00E15C89">
        <w:t>Brown, Klein, Whyte</w:t>
      </w:r>
      <w:r>
        <w:t xml:space="preserve">, </w:t>
      </w:r>
      <w:r w:rsidR="00E15C89" w:rsidRPr="00E15C89">
        <w:t xml:space="preserve">Slobodian </w:t>
      </w:r>
      <w:proofErr w:type="gramStart"/>
      <w:r>
        <w:t>argue</w:t>
      </w:r>
      <w:proofErr w:type="gramEnd"/>
      <w:r w:rsidR="00E15C89" w:rsidRPr="00E15C89">
        <w:t xml:space="preserve"> that emergence of neoliberal order has been undergirded by ‘morals of the market’, a depoliticizing authoritarian form of moralism that has sapped possibilities for reproducing and creating collective subjectivities that </w:t>
      </w:r>
      <w:r w:rsidR="00E15C89" w:rsidRPr="00E15C89">
        <w:lastRenderedPageBreak/>
        <w:t>could have served as counterforces to neoliberal wave.</w:t>
      </w:r>
      <w:r>
        <w:rPr>
          <w:rStyle w:val="FootnoteReference"/>
        </w:rPr>
        <w:footnoteReference w:id="49"/>
      </w:r>
      <w:r w:rsidR="00E15C89" w:rsidRPr="00E15C89">
        <w:t> </w:t>
      </w:r>
      <w:r>
        <w:t xml:space="preserve"> E.g. </w:t>
      </w:r>
      <w:r w:rsidR="00E15C89" w:rsidRPr="00E15C89">
        <w:t xml:space="preserve">Chilean regime under Pinochet. Both Whyte and Slobodian have identified how vocabulary of human rights has been crucial tenet in argumentation of some of the most prominent members of what Mirowski and </w:t>
      </w:r>
      <w:proofErr w:type="spellStart"/>
      <w:r w:rsidR="00E15C89" w:rsidRPr="00E15C89">
        <w:t>Plehwe</w:t>
      </w:r>
      <w:proofErr w:type="spellEnd"/>
      <w:r w:rsidR="00E15C89" w:rsidRPr="00E15C89">
        <w:t xml:space="preserve"> have called the ‘neoliberal thought collective’.</w:t>
      </w:r>
      <w:r>
        <w:rPr>
          <w:rStyle w:val="FootnoteReference"/>
        </w:rPr>
        <w:footnoteReference w:id="50"/>
      </w:r>
    </w:p>
    <w:p w14:paraId="2AC19DDF" w14:textId="77777777" w:rsidR="003F1E7A" w:rsidRDefault="00C95977" w:rsidP="003F1E7A">
      <w:pPr>
        <w:pStyle w:val="ListParagraph"/>
        <w:numPr>
          <w:ilvl w:val="0"/>
          <w:numId w:val="4"/>
        </w:numPr>
      </w:pPr>
      <w:r>
        <w:t xml:space="preserve">III) Articulated by </w:t>
      </w:r>
      <w:proofErr w:type="spellStart"/>
      <w:r>
        <w:t>Moyn</w:t>
      </w:r>
      <w:proofErr w:type="spellEnd"/>
      <w:r>
        <w:t xml:space="preserve"> as answer to critics arguing that late-modern form of human rights and neoliberalism have strengthened each other.</w:t>
      </w:r>
      <w:r>
        <w:rPr>
          <w:rStyle w:val="FootnoteReference"/>
        </w:rPr>
        <w:footnoteReference w:id="51"/>
      </w:r>
      <w:r>
        <w:t xml:space="preserve"> Human rights </w:t>
      </w:r>
      <w:r w:rsidR="00E15C89" w:rsidRPr="00E15C89">
        <w:t>have followed in the footsteps of rapid and thorough unfolding of the market logic in the transformation of society. They have little if anything to offer against neoliberalism because ‘simply have nothing to say about material inequality’.</w:t>
      </w:r>
      <w:r>
        <w:rPr>
          <w:rStyle w:val="FootnoteReference"/>
        </w:rPr>
        <w:footnoteReference w:id="52"/>
      </w:r>
      <w:r w:rsidRPr="00E15C89">
        <w:t xml:space="preserve"> </w:t>
      </w:r>
    </w:p>
    <w:p w14:paraId="141D74B4" w14:textId="77777777" w:rsidR="003F1E7A" w:rsidRDefault="00E15C89" w:rsidP="003F1E7A">
      <w:pPr>
        <w:pStyle w:val="ListParagraph"/>
        <w:numPr>
          <w:ilvl w:val="0"/>
          <w:numId w:val="4"/>
        </w:numPr>
      </w:pPr>
      <w:r w:rsidRPr="00E15C89">
        <w:t>Instead, human rights movements, activists, and states striving to promote human rights preoccupied with state abuses and goal of providing everyone with a material minimum. Further, by aiming solely at achieving a material baseline for the most destitute, they have ‘failed to respond to—or even recognize—neoliberalism’s obliteration of any constraints on inequality’.</w:t>
      </w:r>
      <w:r w:rsidR="003F1E7A">
        <w:rPr>
          <w:rStyle w:val="FootnoteReference"/>
        </w:rPr>
        <w:footnoteReference w:id="53"/>
      </w:r>
      <w:r w:rsidR="003F1E7A" w:rsidRPr="00E15C89">
        <w:t xml:space="preserve"> </w:t>
      </w:r>
      <w:proofErr w:type="spellStart"/>
      <w:r w:rsidRPr="00E15C89">
        <w:t>Moyn</w:t>
      </w:r>
      <w:proofErr w:type="spellEnd"/>
      <w:r w:rsidR="003F1E7A">
        <w:t>:</w:t>
      </w:r>
      <w:r w:rsidRPr="00E15C89">
        <w:t xml:space="preserve"> the ‘age of human rights has not been kind to full-fledged distributive justice, because it is also an age of the victory of the rich.’</w:t>
      </w:r>
    </w:p>
    <w:p w14:paraId="2B24CB02" w14:textId="127AC1F6" w:rsidR="00E15C89" w:rsidRDefault="003F1E7A" w:rsidP="003F1E7A">
      <w:pPr>
        <w:pStyle w:val="ListParagraph"/>
        <w:numPr>
          <w:ilvl w:val="0"/>
          <w:numId w:val="4"/>
        </w:numPr>
      </w:pPr>
      <w:r>
        <w:lastRenderedPageBreak/>
        <w:t>A</w:t>
      </w:r>
      <w:r w:rsidR="00E15C89" w:rsidRPr="00E15C89">
        <w:t xml:space="preserve">pparent inability of human rights project to counter rising levels of socioeconomic inequality has resulted in conclusions ranging from dismissal of human rights as ineffective in themselves to suggestions as to how human rights movements ought to change tactics. </w:t>
      </w:r>
      <w:proofErr w:type="spellStart"/>
      <w:r w:rsidR="00E15C89" w:rsidRPr="00E15C89">
        <w:t>Moyn</w:t>
      </w:r>
      <w:proofErr w:type="spellEnd"/>
      <w:r w:rsidR="00E15C89" w:rsidRPr="00E15C89">
        <w:t xml:space="preserve"> argues that hope of bringing about change to our current predicament by transforming human rights movement is futile, because its foundation is a critique of the state vindicated by both NGOs and parties within existing states promoting a limited state. Historically, however, all attempts to create a society based on critical levels of sufficiency and equality have relied on a ‘strong state—built with interventionist capacities, funded by high taxes, and able to call forth the zeal of its people’.</w:t>
      </w:r>
      <w:r w:rsidRPr="00E15C89">
        <w:t xml:space="preserve"> </w:t>
      </w:r>
      <w:proofErr w:type="gramStart"/>
      <w:r w:rsidR="00E15C89" w:rsidRPr="00E15C89">
        <w:t>Thus</w:t>
      </w:r>
      <w:proofErr w:type="gramEnd"/>
      <w:r w:rsidR="00E15C89" w:rsidRPr="00E15C89">
        <w:t xml:space="preserve"> we find that the problem of origins is critical to </w:t>
      </w:r>
      <w:proofErr w:type="spellStart"/>
      <w:r w:rsidR="00E15C89" w:rsidRPr="00E15C89">
        <w:t>Moyn’s</w:t>
      </w:r>
      <w:proofErr w:type="spellEnd"/>
      <w:r w:rsidR="00E15C89" w:rsidRPr="00E15C89">
        <w:t xml:space="preserve"> account—the origins of human rights as such, but also the genealogy of sufficiency and equality.</w:t>
      </w:r>
    </w:p>
    <w:p w14:paraId="7A038EE8" w14:textId="77777777" w:rsidR="003F1E7A" w:rsidRDefault="003F1E7A" w:rsidP="003F1E7A">
      <w:pPr>
        <w:pStyle w:val="ListParagraph"/>
        <w:numPr>
          <w:ilvl w:val="0"/>
          <w:numId w:val="4"/>
        </w:numPr>
      </w:pPr>
      <w:r>
        <w:t>IV) T</w:t>
      </w:r>
      <w:r w:rsidR="00E15C89" w:rsidRPr="00E15C89">
        <w:t>hose who view human rights as a counterforce to neoliberalism</w:t>
      </w:r>
      <w:r>
        <w:t xml:space="preserve">. SIKKINK and ISHAY. </w:t>
      </w:r>
      <w:proofErr w:type="gramStart"/>
      <w:r>
        <w:t>U</w:t>
      </w:r>
      <w:r w:rsidR="00E15C89" w:rsidRPr="00E15C89">
        <w:t>nderscore</w:t>
      </w:r>
      <w:proofErr w:type="gramEnd"/>
      <w:r w:rsidR="00E15C89" w:rsidRPr="00E15C89">
        <w:t xml:space="preserve"> need to recognize present-day human rights movements as part o</w:t>
      </w:r>
      <w:r>
        <w:t>f</w:t>
      </w:r>
      <w:r w:rsidR="00E15C89" w:rsidRPr="00E15C89">
        <w:t xml:space="preserve"> broader continuum of progressive political movements with deep historical roots.</w:t>
      </w:r>
      <w:r>
        <w:rPr>
          <w:rStyle w:val="FootnoteReference"/>
        </w:rPr>
        <w:footnoteReference w:id="54"/>
      </w:r>
      <w:r w:rsidR="00E15C89" w:rsidRPr="00E15C89">
        <w:t> Human rights conceptualized as stronghold against neoconservatism and various forms of religious extremism as well as neoliberalism.</w:t>
      </w:r>
      <w:r w:rsidRPr="00E15C89">
        <w:t xml:space="preserve"> </w:t>
      </w:r>
      <w:r w:rsidR="00E15C89" w:rsidRPr="00E15C89">
        <w:t>These scholars critique opponents for inability to distinguish between (beneficent) version of individualism that prioritizes individual well-being and (detrimental) neoliberal variant of individualism, in which individual is ‘a rational, self-maximizing actor in a model where self-interest provides the motivation for economic production’.</w:t>
      </w:r>
      <w:r>
        <w:rPr>
          <w:rStyle w:val="FootnoteReference"/>
        </w:rPr>
        <w:footnoteReference w:id="55"/>
      </w:r>
      <w:r w:rsidRPr="00E15C89">
        <w:t xml:space="preserve"> </w:t>
      </w:r>
    </w:p>
    <w:p w14:paraId="21D9DC09" w14:textId="77777777" w:rsidR="003F1E7A" w:rsidRDefault="003F1E7A" w:rsidP="003F1E7A">
      <w:pPr>
        <w:pStyle w:val="ListParagraph"/>
        <w:numPr>
          <w:ilvl w:val="0"/>
          <w:numId w:val="4"/>
        </w:numPr>
      </w:pPr>
      <w:r>
        <w:t>S</w:t>
      </w:r>
      <w:r w:rsidR="00E15C89" w:rsidRPr="00E15C89">
        <w:t xml:space="preserve">everal </w:t>
      </w:r>
      <w:proofErr w:type="gramStart"/>
      <w:r w:rsidR="00E15C89" w:rsidRPr="00E15C89">
        <w:t>more or less alarmist</w:t>
      </w:r>
      <w:proofErr w:type="gramEnd"/>
      <w:r w:rsidR="00E15C89" w:rsidRPr="00E15C89">
        <w:t xml:space="preserve"> defences of human rights have reappeared lately, according to which authoritarian and nationalist threats to human rights materialized out of thin air with arrival of Trump as US president and Brexit.</w:t>
      </w:r>
      <w:r>
        <w:rPr>
          <w:rStyle w:val="FootnoteReference"/>
        </w:rPr>
        <w:footnoteReference w:id="56"/>
      </w:r>
    </w:p>
    <w:p w14:paraId="4D47CDF7" w14:textId="77777777" w:rsidR="00E15C89" w:rsidRDefault="00E15C89"/>
    <w:sectPr w:rsidR="00E15C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34164" w14:textId="77777777" w:rsidR="00E15C89" w:rsidRDefault="00E15C89" w:rsidP="00E15C89">
      <w:pPr>
        <w:spacing w:after="0" w:line="240" w:lineRule="auto"/>
      </w:pPr>
      <w:r>
        <w:separator/>
      </w:r>
    </w:p>
  </w:endnote>
  <w:endnote w:type="continuationSeparator" w:id="0">
    <w:p w14:paraId="78A64A5E" w14:textId="77777777" w:rsidR="00E15C89" w:rsidRDefault="00E15C89" w:rsidP="00E1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6317B" w14:textId="77777777" w:rsidR="00E15C89" w:rsidRDefault="00E15C89" w:rsidP="00E15C89">
      <w:pPr>
        <w:spacing w:after="0" w:line="240" w:lineRule="auto"/>
      </w:pPr>
      <w:r>
        <w:separator/>
      </w:r>
    </w:p>
  </w:footnote>
  <w:footnote w:type="continuationSeparator" w:id="0">
    <w:p w14:paraId="03C0C685" w14:textId="77777777" w:rsidR="00E15C89" w:rsidRDefault="00E15C89" w:rsidP="00E15C89">
      <w:pPr>
        <w:spacing w:after="0" w:line="240" w:lineRule="auto"/>
      </w:pPr>
      <w:r>
        <w:continuationSeparator/>
      </w:r>
    </w:p>
  </w:footnote>
  <w:footnote w:id="1">
    <w:p w14:paraId="63CFAEE7" w14:textId="4A775376" w:rsidR="00E15C89" w:rsidRDefault="00E15C89" w:rsidP="00E15C89">
      <w:pPr>
        <w:pStyle w:val="FootnoteText"/>
      </w:pPr>
      <w:r>
        <w:rPr>
          <w:rStyle w:val="FootnoteReference"/>
        </w:rPr>
        <w:footnoteRef/>
      </w:r>
      <w:r>
        <w:t xml:space="preserve"> </w:t>
      </w:r>
      <w:proofErr w:type="spellStart"/>
      <w:r w:rsidRPr="00E15C89">
        <w:t>tefan</w:t>
      </w:r>
      <w:proofErr w:type="spellEnd"/>
      <w:r w:rsidRPr="00E15C89">
        <w:t>-Ludwig Hoffmann, ‘Introduction: Genealogies of Human Rights’, in Stefan-Ludwig Hoffmann (ed.), </w:t>
      </w:r>
      <w:r w:rsidRPr="00E15C89">
        <w:rPr>
          <w:i/>
          <w:iCs/>
        </w:rPr>
        <w:t>Human Rights in the Twentieth Century</w:t>
      </w:r>
      <w:r w:rsidRPr="00E15C89">
        <w:t xml:space="preserve"> (Cambridge, 2011), 1–2; Samuel </w:t>
      </w:r>
      <w:proofErr w:type="spellStart"/>
      <w:r w:rsidRPr="00E15C89">
        <w:t>Moyn</w:t>
      </w:r>
      <w:proofErr w:type="spellEnd"/>
      <w:r w:rsidRPr="00E15C89">
        <w:t>, </w:t>
      </w:r>
      <w:r w:rsidRPr="00E15C89">
        <w:rPr>
          <w:i/>
          <w:iCs/>
        </w:rPr>
        <w:t>The Last Utopia: Human Rights in History</w:t>
      </w:r>
      <w:r w:rsidRPr="00E15C89">
        <w:t xml:space="preserve"> (Belknap Press 2010); Stefan-Ludwig Hoffmann, ‘Human Rights and History’ (2016) Past &amp; Present 232 279; Justine Lacroix and Jean-Yves </w:t>
      </w:r>
      <w:proofErr w:type="spellStart"/>
      <w:r w:rsidRPr="00E15C89">
        <w:t>Pranchère</w:t>
      </w:r>
      <w:proofErr w:type="spellEnd"/>
      <w:r w:rsidRPr="00E15C89">
        <w:t>, </w:t>
      </w:r>
      <w:r w:rsidRPr="00E15C89">
        <w:rPr>
          <w:i/>
          <w:iCs/>
        </w:rPr>
        <w:t xml:space="preserve">Le </w:t>
      </w:r>
      <w:proofErr w:type="spellStart"/>
      <w:r w:rsidRPr="00E15C89">
        <w:rPr>
          <w:i/>
          <w:iCs/>
        </w:rPr>
        <w:t>procès</w:t>
      </w:r>
      <w:proofErr w:type="spellEnd"/>
      <w:r w:rsidRPr="00E15C89">
        <w:rPr>
          <w:i/>
          <w:iCs/>
        </w:rPr>
        <w:t xml:space="preserve"> des droits de </w:t>
      </w:r>
      <w:proofErr w:type="spellStart"/>
      <w:r w:rsidRPr="00E15C89">
        <w:rPr>
          <w:i/>
          <w:iCs/>
        </w:rPr>
        <w:t>l’homme</w:t>
      </w:r>
      <w:proofErr w:type="spellEnd"/>
      <w:r w:rsidRPr="00E15C89">
        <w:rPr>
          <w:i/>
          <w:iCs/>
        </w:rPr>
        <w:t xml:space="preserve">: </w:t>
      </w:r>
      <w:proofErr w:type="spellStart"/>
      <w:r w:rsidRPr="00E15C89">
        <w:rPr>
          <w:i/>
          <w:iCs/>
        </w:rPr>
        <w:t>Généalogie</w:t>
      </w:r>
      <w:proofErr w:type="spellEnd"/>
      <w:r w:rsidRPr="00E15C89">
        <w:rPr>
          <w:i/>
          <w:iCs/>
        </w:rPr>
        <w:t xml:space="preserve"> du </w:t>
      </w:r>
      <w:proofErr w:type="spellStart"/>
      <w:r w:rsidRPr="00E15C89">
        <w:rPr>
          <w:i/>
          <w:iCs/>
        </w:rPr>
        <w:t>scepticisme</w:t>
      </w:r>
      <w:proofErr w:type="spellEnd"/>
      <w:r w:rsidRPr="00E15C89">
        <w:rPr>
          <w:i/>
          <w:iCs/>
        </w:rPr>
        <w:t xml:space="preserve"> </w:t>
      </w:r>
      <w:proofErr w:type="spellStart"/>
      <w:r w:rsidRPr="00E15C89">
        <w:rPr>
          <w:i/>
          <w:iCs/>
        </w:rPr>
        <w:t>démocratique</w:t>
      </w:r>
      <w:proofErr w:type="spellEnd"/>
      <w:r w:rsidRPr="00E15C89">
        <w:t> (Paris 2016); Lynn Hunt, ‘The Long and the Short of the History of Human Rights’ (2016) Past &amp; Present 233 331. These diagnoses united critics as well as advocates of a politics of human rights.</w:t>
      </w:r>
    </w:p>
  </w:footnote>
  <w:footnote w:id="2">
    <w:p w14:paraId="40E2E858" w14:textId="07B5EDF9" w:rsidR="00E15C89" w:rsidRDefault="00E15C89" w:rsidP="00E15C89">
      <w:pPr>
        <w:pStyle w:val="FootnoteText"/>
      </w:pPr>
      <w:r>
        <w:rPr>
          <w:rStyle w:val="FootnoteReference"/>
        </w:rPr>
        <w:footnoteRef/>
      </w:r>
      <w:r>
        <w:t xml:space="preserve"> </w:t>
      </w:r>
      <w:r w:rsidRPr="00E15C89">
        <w:t>Philip Alston, ‘The Populist Challenge to Human Rights’ (2017) Journal of Human Rights Practice 9 2; Stephen Hopgood, </w:t>
      </w:r>
      <w:r w:rsidRPr="00E15C89">
        <w:rPr>
          <w:i/>
          <w:iCs/>
        </w:rPr>
        <w:t xml:space="preserve">The </w:t>
      </w:r>
      <w:proofErr w:type="spellStart"/>
      <w:r w:rsidRPr="00E15C89">
        <w:rPr>
          <w:i/>
          <w:iCs/>
        </w:rPr>
        <w:t>Endtimes</w:t>
      </w:r>
      <w:proofErr w:type="spellEnd"/>
      <w:r w:rsidRPr="00E15C89">
        <w:rPr>
          <w:i/>
          <w:iCs/>
        </w:rPr>
        <w:t xml:space="preserve"> of Human Rights</w:t>
      </w:r>
      <w:r w:rsidRPr="00E15C89">
        <w:t> (Cornell University Press 2013) 1–3.</w:t>
      </w:r>
    </w:p>
  </w:footnote>
  <w:footnote w:id="3">
    <w:p w14:paraId="049B2144" w14:textId="6944792D" w:rsidR="00E15C89" w:rsidRDefault="00E15C89" w:rsidP="00E15C89">
      <w:pPr>
        <w:pStyle w:val="FootnoteText"/>
      </w:pPr>
      <w:r>
        <w:rPr>
          <w:rStyle w:val="FootnoteReference"/>
        </w:rPr>
        <w:footnoteRef/>
      </w:r>
      <w:r>
        <w:t xml:space="preserve"> </w:t>
      </w:r>
      <w:r w:rsidRPr="00E15C89">
        <w:t>For the terms ‘deep history’ and ‘revisionist historiography’, see Philip Alston, ‘Does the Past Matter? On the Origins of Human Rights’ (2012) Harvard Law Review 126 2063; Hoffmann (n 2) 280. For long and short human rights histories, see, for example, Roland Burke, ‘Flat Affect? Revisiting Emotion in the Historiography of Human Rights’ (2017) Journal of Human Rights 16 137.</w:t>
      </w:r>
    </w:p>
  </w:footnote>
  <w:footnote w:id="4">
    <w:p w14:paraId="3593AE6A" w14:textId="0F85E762" w:rsidR="00E15C89" w:rsidRDefault="00E15C89" w:rsidP="00E15C89">
      <w:pPr>
        <w:pStyle w:val="FootnoteText"/>
      </w:pPr>
      <w:r>
        <w:rPr>
          <w:rStyle w:val="FootnoteReference"/>
        </w:rPr>
        <w:footnoteRef/>
      </w:r>
      <w:r>
        <w:t xml:space="preserve"> </w:t>
      </w:r>
      <w:r w:rsidRPr="00E15C89">
        <w:t>Devin O. Pendas, ‘Toward a New Politics? On the Recent Historiography of Human Rights’ (2012) Contemporary European History 21 96, 98.</w:t>
      </w:r>
    </w:p>
  </w:footnote>
  <w:footnote w:id="5">
    <w:p w14:paraId="3EEEC3AF" w14:textId="29904D96" w:rsidR="00374BA0" w:rsidRDefault="00374BA0" w:rsidP="00374BA0">
      <w:pPr>
        <w:pStyle w:val="FootnoteText"/>
      </w:pPr>
      <w:r>
        <w:rPr>
          <w:rStyle w:val="FootnoteReference"/>
        </w:rPr>
        <w:footnoteRef/>
      </w:r>
      <w:r>
        <w:t xml:space="preserve"> </w:t>
      </w:r>
      <w:r w:rsidRPr="00374BA0">
        <w:t>Stephen Hopgood, ‘Road to Nowhere’ in Stephen Hopgood, Jack Snyder, and Leslie Vinjamuri (eds) </w:t>
      </w:r>
      <w:r w:rsidRPr="00374BA0">
        <w:rPr>
          <w:i/>
          <w:iCs/>
        </w:rPr>
        <w:t>Human Rights Futures</w:t>
      </w:r>
      <w:r w:rsidRPr="00374BA0">
        <w:t> (Cambridge University Press 2017).</w:t>
      </w:r>
    </w:p>
  </w:footnote>
  <w:footnote w:id="6">
    <w:p w14:paraId="4DBA2BF0" w14:textId="1693B14E" w:rsidR="00374BA0" w:rsidRDefault="00374BA0" w:rsidP="00374BA0">
      <w:pPr>
        <w:pStyle w:val="FootnoteText"/>
      </w:pPr>
      <w:r>
        <w:rPr>
          <w:rStyle w:val="FootnoteReference"/>
        </w:rPr>
        <w:footnoteRef/>
      </w:r>
      <w:r>
        <w:t xml:space="preserve"> </w:t>
      </w:r>
      <w:r w:rsidRPr="00374BA0">
        <w:t xml:space="preserve">Etienne </w:t>
      </w:r>
      <w:proofErr w:type="spellStart"/>
      <w:r w:rsidRPr="00374BA0">
        <w:t>Balibar</w:t>
      </w:r>
      <w:proofErr w:type="spellEnd"/>
      <w:r w:rsidRPr="00374BA0">
        <w:t xml:space="preserve">, ‘Ambiguous Universality’ (1995) Differences, 7; Claude Lefort, ‘Droits de </w:t>
      </w:r>
      <w:proofErr w:type="spellStart"/>
      <w:r w:rsidRPr="00374BA0">
        <w:t>l’homme</w:t>
      </w:r>
      <w:proofErr w:type="spellEnd"/>
      <w:r w:rsidRPr="00374BA0">
        <w:t xml:space="preserve"> et politique’ (1980) Libre; Jonathan Israel, </w:t>
      </w:r>
      <w:r w:rsidRPr="00374BA0">
        <w:rPr>
          <w:i/>
          <w:iCs/>
        </w:rPr>
        <w:t>Democratic Enlightenment: Philosophy, Revolution, and Human Rights 1750–1790</w:t>
      </w:r>
      <w:r w:rsidRPr="00374BA0">
        <w:t> (Oxford University Press 2014), 937; Jean Jaurès, </w:t>
      </w:r>
      <w:proofErr w:type="spellStart"/>
      <w:r w:rsidRPr="00374BA0">
        <w:rPr>
          <w:i/>
          <w:iCs/>
        </w:rPr>
        <w:t>Histoire</w:t>
      </w:r>
      <w:proofErr w:type="spellEnd"/>
      <w:r w:rsidRPr="00374BA0">
        <w:rPr>
          <w:i/>
          <w:iCs/>
        </w:rPr>
        <w:t xml:space="preserve"> </w:t>
      </w:r>
      <w:proofErr w:type="spellStart"/>
      <w:r w:rsidRPr="00374BA0">
        <w:rPr>
          <w:i/>
          <w:iCs/>
        </w:rPr>
        <w:t>socialiste</w:t>
      </w:r>
      <w:proofErr w:type="spellEnd"/>
      <w:r w:rsidRPr="00374BA0">
        <w:rPr>
          <w:i/>
          <w:iCs/>
        </w:rPr>
        <w:t>, vol. I</w:t>
      </w:r>
      <w:r w:rsidRPr="00374BA0">
        <w:t xml:space="preserve"> (Les </w:t>
      </w:r>
      <w:proofErr w:type="spellStart"/>
      <w:r w:rsidRPr="00374BA0">
        <w:t>éditions</w:t>
      </w:r>
      <w:proofErr w:type="spellEnd"/>
      <w:r w:rsidRPr="00374BA0">
        <w:t xml:space="preserve"> </w:t>
      </w:r>
      <w:proofErr w:type="spellStart"/>
      <w:r w:rsidRPr="00374BA0">
        <w:t>sociales</w:t>
      </w:r>
      <w:proofErr w:type="spellEnd"/>
      <w:r w:rsidRPr="00374BA0">
        <w:t xml:space="preserve"> 1901) 381, 479; Jürgen Habermas, </w:t>
      </w:r>
      <w:r w:rsidRPr="00374BA0">
        <w:rPr>
          <w:i/>
          <w:iCs/>
        </w:rPr>
        <w:t>Between Facts and Norms: Contributions to a Discourse Theory of Law and Democracy</w:t>
      </w:r>
      <w:r w:rsidRPr="00374BA0">
        <w:t> (MIT Press 1996) 477–8.</w:t>
      </w:r>
    </w:p>
  </w:footnote>
  <w:footnote w:id="7">
    <w:p w14:paraId="62370B93" w14:textId="59FD003A" w:rsidR="00374BA0" w:rsidRDefault="00374BA0">
      <w:pPr>
        <w:pStyle w:val="FootnoteText"/>
      </w:pPr>
      <w:r>
        <w:rPr>
          <w:rStyle w:val="FootnoteReference"/>
        </w:rPr>
        <w:footnoteRef/>
      </w:r>
      <w:r>
        <w:t xml:space="preserve"> Habermas, above.</w:t>
      </w:r>
    </w:p>
  </w:footnote>
  <w:footnote w:id="8">
    <w:p w14:paraId="579AAC21" w14:textId="228A8BD7" w:rsidR="00374BA0" w:rsidRDefault="00374BA0">
      <w:pPr>
        <w:pStyle w:val="FootnoteText"/>
      </w:pPr>
      <w:r>
        <w:rPr>
          <w:rStyle w:val="FootnoteReference"/>
        </w:rPr>
        <w:footnoteRef/>
      </w:r>
      <w:r>
        <w:t xml:space="preserve"> Habermas, above</w:t>
      </w:r>
    </w:p>
  </w:footnote>
  <w:footnote w:id="9">
    <w:p w14:paraId="6A2C9678" w14:textId="31E11843" w:rsidR="00374BA0" w:rsidRDefault="00374BA0" w:rsidP="00374BA0">
      <w:pPr>
        <w:pStyle w:val="FootnoteText"/>
      </w:pPr>
      <w:r>
        <w:rPr>
          <w:rStyle w:val="FootnoteReference"/>
        </w:rPr>
        <w:footnoteRef/>
      </w:r>
      <w:r>
        <w:t xml:space="preserve"> </w:t>
      </w:r>
      <w:proofErr w:type="spellStart"/>
      <w:r w:rsidRPr="00374BA0">
        <w:t>icos</w:t>
      </w:r>
      <w:proofErr w:type="spellEnd"/>
      <w:r w:rsidRPr="00374BA0">
        <w:t xml:space="preserve"> </w:t>
      </w:r>
      <w:proofErr w:type="spellStart"/>
      <w:r w:rsidRPr="00374BA0">
        <w:t>Poulantzas</w:t>
      </w:r>
      <w:proofErr w:type="spellEnd"/>
      <w:r w:rsidRPr="00374BA0">
        <w:t>, </w:t>
      </w:r>
      <w:r w:rsidRPr="00374BA0">
        <w:rPr>
          <w:i/>
          <w:iCs/>
        </w:rPr>
        <w:t>Political Power and Social Classes</w:t>
      </w:r>
      <w:r w:rsidRPr="00374BA0">
        <w:t xml:space="preserve"> (Verso 1978 [1968]), 179; the last quote is Jean Jaurès, cited in </w:t>
      </w:r>
      <w:proofErr w:type="spellStart"/>
      <w:r w:rsidRPr="00374BA0">
        <w:t>Poulantzas</w:t>
      </w:r>
      <w:proofErr w:type="spellEnd"/>
      <w:r w:rsidRPr="00374BA0">
        <w:t>’ book.</w:t>
      </w:r>
    </w:p>
  </w:footnote>
  <w:footnote w:id="10">
    <w:p w14:paraId="47726655" w14:textId="227F27CE" w:rsidR="00374BA0" w:rsidRDefault="00374BA0" w:rsidP="00716DE0">
      <w:pPr>
        <w:pStyle w:val="FootnoteText"/>
      </w:pPr>
      <w:r>
        <w:rPr>
          <w:rStyle w:val="FootnoteReference"/>
        </w:rPr>
        <w:footnoteRef/>
      </w:r>
      <w:r>
        <w:t xml:space="preserve"> </w:t>
      </w:r>
      <w:r w:rsidR="00716DE0" w:rsidRPr="00716DE0">
        <w:t xml:space="preserve"> Our focus here is the main line of division in the historiographical turn in human rights. We have thus decided to leave aside the more peripheral, yet highly interesting, line of argumentation analysing the declaration of human rights as an explosion of impulses that go much further back in time and must be understood as the upshot of the political-theological transformations in Europe between the 12th and 17th centuries. For this discussion, see, for example, Michel </w:t>
      </w:r>
      <w:proofErr w:type="spellStart"/>
      <w:r w:rsidR="00716DE0" w:rsidRPr="00716DE0">
        <w:t>Villey</w:t>
      </w:r>
      <w:proofErr w:type="spellEnd"/>
      <w:r w:rsidR="00716DE0" w:rsidRPr="00716DE0">
        <w:t>, </w:t>
      </w:r>
      <w:r w:rsidR="00716DE0" w:rsidRPr="00716DE0">
        <w:rPr>
          <w:i/>
          <w:iCs/>
        </w:rPr>
        <w:t xml:space="preserve">Le droit et les droits de </w:t>
      </w:r>
      <w:proofErr w:type="spellStart"/>
      <w:r w:rsidR="00716DE0" w:rsidRPr="00716DE0">
        <w:rPr>
          <w:i/>
          <w:iCs/>
        </w:rPr>
        <w:t>l’homme</w:t>
      </w:r>
      <w:proofErr w:type="spellEnd"/>
      <w:r w:rsidR="00716DE0" w:rsidRPr="00716DE0">
        <w:t> (PUF 1983); Blandine Barret-Kriegel, </w:t>
      </w:r>
      <w:r w:rsidR="00716DE0" w:rsidRPr="00716DE0">
        <w:rPr>
          <w:i/>
          <w:iCs/>
        </w:rPr>
        <w:t xml:space="preserve">Les droits de </w:t>
      </w:r>
      <w:proofErr w:type="spellStart"/>
      <w:r w:rsidR="00716DE0" w:rsidRPr="00716DE0">
        <w:rPr>
          <w:i/>
          <w:iCs/>
        </w:rPr>
        <w:t>l’homme</w:t>
      </w:r>
      <w:proofErr w:type="spellEnd"/>
      <w:r w:rsidR="00716DE0" w:rsidRPr="00716DE0">
        <w:rPr>
          <w:i/>
          <w:iCs/>
        </w:rPr>
        <w:t xml:space="preserve"> et le droit naturel</w:t>
      </w:r>
      <w:r w:rsidR="00716DE0" w:rsidRPr="00716DE0">
        <w:t xml:space="preserve"> (PUF 1989); Pierre </w:t>
      </w:r>
      <w:proofErr w:type="spellStart"/>
      <w:r w:rsidR="00716DE0" w:rsidRPr="00716DE0">
        <w:t>Manent</w:t>
      </w:r>
      <w:proofErr w:type="spellEnd"/>
      <w:r w:rsidR="00716DE0" w:rsidRPr="00716DE0">
        <w:t>, </w:t>
      </w:r>
      <w:r w:rsidR="00716DE0" w:rsidRPr="00716DE0">
        <w:rPr>
          <w:i/>
          <w:iCs/>
        </w:rPr>
        <w:t xml:space="preserve">La </w:t>
      </w:r>
      <w:proofErr w:type="spellStart"/>
      <w:r w:rsidR="00716DE0" w:rsidRPr="00716DE0">
        <w:rPr>
          <w:i/>
          <w:iCs/>
        </w:rPr>
        <w:t>loi</w:t>
      </w:r>
      <w:proofErr w:type="spellEnd"/>
      <w:r w:rsidR="00716DE0" w:rsidRPr="00716DE0">
        <w:rPr>
          <w:i/>
          <w:iCs/>
        </w:rPr>
        <w:t xml:space="preserve"> naturelle et les droits de </w:t>
      </w:r>
      <w:proofErr w:type="spellStart"/>
      <w:r w:rsidR="00716DE0" w:rsidRPr="00716DE0">
        <w:rPr>
          <w:i/>
          <w:iCs/>
        </w:rPr>
        <w:t>l’homme</w:t>
      </w:r>
      <w:proofErr w:type="spellEnd"/>
      <w:r w:rsidR="00716DE0" w:rsidRPr="00716DE0">
        <w:t> (PUF 2018); John Milbank, ‘Against Human Rights: Liberty in the Western Tradition’ (2012) </w:t>
      </w:r>
      <w:r w:rsidR="00716DE0" w:rsidRPr="00716DE0">
        <w:rPr>
          <w:i/>
          <w:iCs/>
        </w:rPr>
        <w:t>Oxford Journal of Law and Religion</w:t>
      </w:r>
      <w:r w:rsidR="00716DE0" w:rsidRPr="00716DE0">
        <w:t> 1.</w:t>
      </w:r>
    </w:p>
  </w:footnote>
  <w:footnote w:id="11">
    <w:p w14:paraId="0FC2E842" w14:textId="5A88AC71" w:rsidR="00716DE0" w:rsidRDefault="00716DE0" w:rsidP="00716DE0">
      <w:pPr>
        <w:pStyle w:val="FootnoteText"/>
      </w:pPr>
      <w:r>
        <w:rPr>
          <w:rStyle w:val="FootnoteReference"/>
        </w:rPr>
        <w:footnoteRef/>
      </w:r>
      <w:r>
        <w:t xml:space="preserve"> </w:t>
      </w:r>
      <w:r w:rsidRPr="00716DE0">
        <w:t>Lynn Hunt, </w:t>
      </w:r>
      <w:r w:rsidRPr="00716DE0">
        <w:rPr>
          <w:i/>
          <w:iCs/>
        </w:rPr>
        <w:t>Inventing Human Rights</w:t>
      </w:r>
      <w:r w:rsidRPr="00716DE0">
        <w:t xml:space="preserve"> (W </w:t>
      </w:r>
      <w:proofErr w:type="spellStart"/>
      <w:r w:rsidRPr="00716DE0">
        <w:t>W</w:t>
      </w:r>
      <w:proofErr w:type="spellEnd"/>
      <w:r w:rsidRPr="00716DE0">
        <w:t xml:space="preserve"> Norton 2007). Other contributions falling within this genre include, to name a few: Hans Joas, </w:t>
      </w:r>
      <w:r w:rsidRPr="00716DE0">
        <w:rPr>
          <w:i/>
          <w:iCs/>
        </w:rPr>
        <w:t>The Sacredness of the Person: A New Genealogy of Human Rights</w:t>
      </w:r>
      <w:r w:rsidRPr="00716DE0">
        <w:t xml:space="preserve"> (Georgetown University Press 2011); Lefort (n 8); </w:t>
      </w:r>
      <w:proofErr w:type="spellStart"/>
      <w:r w:rsidRPr="00716DE0">
        <w:t>Balibar</w:t>
      </w:r>
      <w:proofErr w:type="spellEnd"/>
      <w:r w:rsidRPr="00716DE0">
        <w:t xml:space="preserve"> (n 8).</w:t>
      </w:r>
    </w:p>
  </w:footnote>
  <w:footnote w:id="12">
    <w:p w14:paraId="2898B1BE" w14:textId="562884C7" w:rsidR="00716DE0" w:rsidRDefault="00716DE0">
      <w:pPr>
        <w:pStyle w:val="FootnoteText"/>
      </w:pPr>
      <w:r>
        <w:rPr>
          <w:rStyle w:val="FootnoteReference"/>
        </w:rPr>
        <w:footnoteRef/>
      </w:r>
      <w:r>
        <w:t xml:space="preserve"> Hunt above.</w:t>
      </w:r>
    </w:p>
  </w:footnote>
  <w:footnote w:id="13">
    <w:p w14:paraId="4254C9D2" w14:textId="7C86F822" w:rsidR="00716DE0" w:rsidRDefault="00716DE0" w:rsidP="00716DE0">
      <w:pPr>
        <w:pStyle w:val="FootnoteText"/>
      </w:pPr>
      <w:r>
        <w:rPr>
          <w:rStyle w:val="FootnoteReference"/>
        </w:rPr>
        <w:footnoteRef/>
      </w:r>
      <w:r>
        <w:t xml:space="preserve"> </w:t>
      </w:r>
      <w:r w:rsidRPr="00716DE0">
        <w:t xml:space="preserve">Alexis de Tocqueville noted this shift of emotional register, arguing that a new form of emotional logic emerged with the democratic society taking form, based on an unrestricted empathy for one’s neighbour. </w:t>
      </w:r>
      <w:proofErr w:type="spellStart"/>
      <w:r w:rsidRPr="00716DE0">
        <w:rPr>
          <w:lang w:val="fr-FR"/>
        </w:rPr>
        <w:t>See</w:t>
      </w:r>
      <w:proofErr w:type="spellEnd"/>
      <w:r w:rsidRPr="00716DE0">
        <w:rPr>
          <w:lang w:val="fr-FR"/>
        </w:rPr>
        <w:t xml:space="preserve"> Alexis de Tocqueville, </w:t>
      </w:r>
      <w:r w:rsidRPr="00716DE0">
        <w:rPr>
          <w:i/>
          <w:iCs/>
          <w:lang w:val="fr-FR"/>
        </w:rPr>
        <w:t>La démocratie de l’Amérique 2</w:t>
      </w:r>
      <w:r w:rsidRPr="00716DE0">
        <w:rPr>
          <w:lang w:val="fr-FR"/>
        </w:rPr>
        <w:t xml:space="preserve"> (Gallimard 1981) 205ff. </w:t>
      </w:r>
      <w:r w:rsidRPr="00716DE0">
        <w:t>The theme, however, is a recurrent topic in Tocqueville’s </w:t>
      </w:r>
      <w:proofErr w:type="spellStart"/>
      <w:r w:rsidRPr="00716DE0">
        <w:rPr>
          <w:i/>
          <w:iCs/>
        </w:rPr>
        <w:t>œuvre</w:t>
      </w:r>
      <w:proofErr w:type="spellEnd"/>
      <w:r w:rsidRPr="00716DE0">
        <w:t xml:space="preserve"> and variations on this theme are found elsewhere in the second book. The novels that Hunt focuses on </w:t>
      </w:r>
      <w:proofErr w:type="gramStart"/>
      <w:r w:rsidRPr="00716DE0">
        <w:t>are:</w:t>
      </w:r>
      <w:proofErr w:type="gramEnd"/>
      <w:r w:rsidRPr="00716DE0">
        <w:t xml:space="preserve"> Samuel Richardson’s </w:t>
      </w:r>
      <w:r w:rsidRPr="00716DE0">
        <w:rPr>
          <w:i/>
          <w:iCs/>
        </w:rPr>
        <w:t>Pamela, or Virtue Rewarded</w:t>
      </w:r>
      <w:r w:rsidRPr="00716DE0">
        <w:t> (1740), and </w:t>
      </w:r>
      <w:r w:rsidRPr="00716DE0">
        <w:rPr>
          <w:i/>
          <w:iCs/>
        </w:rPr>
        <w:t>Clarissa; or, The History of a Young Lady</w:t>
      </w:r>
      <w:r w:rsidRPr="00716DE0">
        <w:t> (1748), and Jean-Jacques Rousseau’s </w:t>
      </w:r>
      <w:r w:rsidRPr="00716DE0">
        <w:rPr>
          <w:i/>
          <w:iCs/>
        </w:rPr>
        <w:t xml:space="preserve">Julie, </w:t>
      </w:r>
      <w:proofErr w:type="spellStart"/>
      <w:r w:rsidRPr="00716DE0">
        <w:rPr>
          <w:i/>
          <w:iCs/>
        </w:rPr>
        <w:t>ou</w:t>
      </w:r>
      <w:proofErr w:type="spellEnd"/>
      <w:r w:rsidRPr="00716DE0">
        <w:rPr>
          <w:i/>
          <w:iCs/>
        </w:rPr>
        <w:t xml:space="preserve"> la nouvelle Héloïse</w:t>
      </w:r>
      <w:r w:rsidRPr="00716DE0">
        <w:t> (1761).</w:t>
      </w:r>
    </w:p>
  </w:footnote>
  <w:footnote w:id="14">
    <w:p w14:paraId="62A05AD3" w14:textId="4CC38DD4" w:rsidR="00716DE0" w:rsidRDefault="00716DE0">
      <w:pPr>
        <w:pStyle w:val="FootnoteText"/>
      </w:pPr>
      <w:r>
        <w:rPr>
          <w:rStyle w:val="FootnoteReference"/>
        </w:rPr>
        <w:footnoteRef/>
      </w:r>
      <w:r>
        <w:t xml:space="preserve"> Hunt, above.</w:t>
      </w:r>
    </w:p>
  </w:footnote>
  <w:footnote w:id="15">
    <w:p w14:paraId="6F330212" w14:textId="5068D49E" w:rsidR="00180B89" w:rsidRDefault="00180B89">
      <w:pPr>
        <w:pStyle w:val="FootnoteText"/>
      </w:pPr>
      <w:r>
        <w:rPr>
          <w:rStyle w:val="FootnoteReference"/>
        </w:rPr>
        <w:footnoteRef/>
      </w:r>
      <w:r>
        <w:t xml:space="preserve"> Hunt - above</w:t>
      </w:r>
    </w:p>
  </w:footnote>
  <w:footnote w:id="16">
    <w:p w14:paraId="54594FAD" w14:textId="2A9305F6" w:rsidR="00180B89" w:rsidRDefault="00180B89" w:rsidP="00180B89">
      <w:pPr>
        <w:pStyle w:val="FootnoteText"/>
      </w:pPr>
      <w:r>
        <w:rPr>
          <w:rStyle w:val="FootnoteReference"/>
        </w:rPr>
        <w:footnoteRef/>
      </w:r>
      <w:r>
        <w:t xml:space="preserve"> </w:t>
      </w:r>
      <w:r w:rsidRPr="00180B89">
        <w:t xml:space="preserve">Alongside the scholars presented below, it is also worth </w:t>
      </w:r>
      <w:proofErr w:type="gramStart"/>
      <w:r w:rsidRPr="00180B89">
        <w:t>highlighting:</w:t>
      </w:r>
      <w:proofErr w:type="gramEnd"/>
      <w:r w:rsidRPr="00180B89">
        <w:t xml:space="preserve"> Lacroix and </w:t>
      </w:r>
      <w:proofErr w:type="spellStart"/>
      <w:r w:rsidRPr="00180B89">
        <w:t>Pranchère</w:t>
      </w:r>
      <w:proofErr w:type="spellEnd"/>
      <w:r w:rsidRPr="00180B89">
        <w:t xml:space="preserve"> (n 1) Susan Marks, ‘Four Human Rights Myths’ in David Kinley, Wojciech Sadurski, and Kevin Walton (eds) </w:t>
      </w:r>
      <w:r w:rsidRPr="00180B89">
        <w:rPr>
          <w:i/>
          <w:iCs/>
        </w:rPr>
        <w:t>Human Rights: Old Problems, New Possibilities</w:t>
      </w:r>
      <w:r w:rsidRPr="00180B89">
        <w:t> (Edward Elgar Publishing 2013). The focus on emotions has so far gained least acknowledgement and concrete attempts at further development within the historical turn. On human rights history and emotions, see Burke (n 4) 16.</w:t>
      </w:r>
    </w:p>
  </w:footnote>
  <w:footnote w:id="17">
    <w:p w14:paraId="207C44AD" w14:textId="49EABC69" w:rsidR="00180B89" w:rsidRDefault="00180B89" w:rsidP="00180B89">
      <w:pPr>
        <w:pStyle w:val="FootnoteText"/>
      </w:pPr>
      <w:r>
        <w:rPr>
          <w:rStyle w:val="FootnoteReference"/>
        </w:rPr>
        <w:footnoteRef/>
      </w:r>
      <w:r>
        <w:t xml:space="preserve"> </w:t>
      </w:r>
      <w:r w:rsidRPr="00180B89">
        <w:t> Jenny S. Martinez, </w:t>
      </w:r>
      <w:r w:rsidRPr="00180B89">
        <w:rPr>
          <w:i/>
          <w:iCs/>
        </w:rPr>
        <w:t>The Slave Trade and the Origins of International Human Rights Law</w:t>
      </w:r>
      <w:r w:rsidRPr="00180B89">
        <w:t> (Oxford University Press 2012) 13, see also pp. 6, 15.</w:t>
      </w:r>
    </w:p>
  </w:footnote>
  <w:footnote w:id="18">
    <w:p w14:paraId="6D099E46" w14:textId="253E70E7" w:rsidR="00180B89" w:rsidRDefault="00180B89">
      <w:pPr>
        <w:pStyle w:val="FootnoteText"/>
      </w:pPr>
      <w:r>
        <w:rPr>
          <w:rStyle w:val="FootnoteReference"/>
        </w:rPr>
        <w:footnoteRef/>
      </w:r>
      <w:r>
        <w:t xml:space="preserve"> Ibid.</w:t>
      </w:r>
    </w:p>
  </w:footnote>
  <w:footnote w:id="19">
    <w:p w14:paraId="03A37A12" w14:textId="78FF9317" w:rsidR="00180B89" w:rsidRDefault="00180B89">
      <w:pPr>
        <w:pStyle w:val="FootnoteText"/>
      </w:pPr>
      <w:r>
        <w:rPr>
          <w:rStyle w:val="FootnoteReference"/>
        </w:rPr>
        <w:footnoteRef/>
      </w:r>
      <w:r>
        <w:t xml:space="preserve"> Ibid.</w:t>
      </w:r>
    </w:p>
  </w:footnote>
  <w:footnote w:id="20">
    <w:p w14:paraId="7C84B217" w14:textId="732642BE" w:rsidR="00180B89" w:rsidRDefault="00180B89" w:rsidP="00180B89">
      <w:pPr>
        <w:pStyle w:val="FootnoteText"/>
      </w:pPr>
      <w:r>
        <w:rPr>
          <w:rStyle w:val="FootnoteReference"/>
        </w:rPr>
        <w:footnoteRef/>
      </w:r>
      <w:r>
        <w:t xml:space="preserve"> </w:t>
      </w:r>
      <w:r w:rsidRPr="00180B89">
        <w:t>Joas (n 13) 72-73.</w:t>
      </w:r>
    </w:p>
  </w:footnote>
  <w:footnote w:id="21">
    <w:p w14:paraId="303D75A9" w14:textId="5CFA79B9" w:rsidR="00180B89" w:rsidRDefault="00180B89">
      <w:pPr>
        <w:pStyle w:val="FootnoteText"/>
      </w:pPr>
      <w:r>
        <w:rPr>
          <w:rStyle w:val="FootnoteReference"/>
        </w:rPr>
        <w:footnoteRef/>
      </w:r>
      <w:r>
        <w:t xml:space="preserve"> Ibid.</w:t>
      </w:r>
    </w:p>
  </w:footnote>
  <w:footnote w:id="22">
    <w:p w14:paraId="258B1CAD" w14:textId="757D05FD" w:rsidR="00FD4539" w:rsidRDefault="00FD4539">
      <w:pPr>
        <w:pStyle w:val="FootnoteText"/>
      </w:pPr>
      <w:r>
        <w:rPr>
          <w:rStyle w:val="FootnoteReference"/>
        </w:rPr>
        <w:footnoteRef/>
      </w:r>
      <w:r>
        <w:t xml:space="preserve"> Ibid.</w:t>
      </w:r>
    </w:p>
  </w:footnote>
  <w:footnote w:id="23">
    <w:p w14:paraId="0E70F786" w14:textId="22C82241" w:rsidR="00FD4539" w:rsidRDefault="00FD4539" w:rsidP="00FD4539">
      <w:pPr>
        <w:pStyle w:val="FootnoteText"/>
      </w:pPr>
      <w:r>
        <w:rPr>
          <w:rStyle w:val="FootnoteReference"/>
        </w:rPr>
        <w:footnoteRef/>
      </w:r>
      <w:r w:rsidRPr="00FD4539">
        <w:rPr>
          <w:lang w:val="fr-FR"/>
        </w:rPr>
        <w:t xml:space="preserve"> </w:t>
      </w:r>
      <w:r w:rsidRPr="00FD4539">
        <w:rPr>
          <w:lang w:val="fr-FR"/>
        </w:rPr>
        <w:t xml:space="preserve">Marcel Gauchet, ‘Les droits de l’homme ne sont pas une politique’ (1980) Le Débat 3. </w:t>
      </w:r>
      <w:r w:rsidRPr="00FD4539">
        <w:t xml:space="preserve">Regarding the influence of Gauchet over </w:t>
      </w:r>
      <w:proofErr w:type="spellStart"/>
      <w:r w:rsidRPr="00FD4539">
        <w:t>Moyn</w:t>
      </w:r>
      <w:proofErr w:type="spellEnd"/>
      <w:r w:rsidRPr="00FD4539">
        <w:t xml:space="preserve">, see: Tomas Wedin, ‘On the French Origins of Samuel </w:t>
      </w:r>
      <w:proofErr w:type="spellStart"/>
      <w:r w:rsidRPr="00FD4539">
        <w:t>Moyn's</w:t>
      </w:r>
      <w:proofErr w:type="spellEnd"/>
      <w:r w:rsidRPr="00FD4539">
        <w:t xml:space="preserve"> The Last Utopia’ (2023) Global Intellectual History; Tomas Wedin, ‘Samuel </w:t>
      </w:r>
      <w:proofErr w:type="spellStart"/>
      <w:r w:rsidRPr="00FD4539">
        <w:t>Moyn</w:t>
      </w:r>
      <w:proofErr w:type="spellEnd"/>
      <w:r w:rsidRPr="00FD4539">
        <w:t xml:space="preserve"> and Marcel Gauchet on the Relationship Between Human Rights, Neoliberalism, and Inequality’ (2023) Nordic Journal of Human Rights 41.</w:t>
      </w:r>
    </w:p>
  </w:footnote>
  <w:footnote w:id="24">
    <w:p w14:paraId="5B5BE934" w14:textId="5A9A17D6" w:rsidR="00FD4539" w:rsidRDefault="00FD4539" w:rsidP="00FD4539">
      <w:pPr>
        <w:pStyle w:val="FootnoteText"/>
      </w:pPr>
      <w:r>
        <w:rPr>
          <w:rStyle w:val="FootnoteReference"/>
        </w:rPr>
        <w:footnoteRef/>
      </w:r>
      <w:r>
        <w:t xml:space="preserve"> </w:t>
      </w:r>
      <w:r w:rsidRPr="00FD4539">
        <w:t>Kenneth Cmiel, ‘The Recent History of Human Rights’ (2004) The American Historical Review 109 1231–2. Also see Kenneth Cmiel, ‘The Emergence of Human Rights Politics in the United States’ (1999) The Journal of American History 86 117, 119.</w:t>
      </w:r>
    </w:p>
  </w:footnote>
  <w:footnote w:id="25">
    <w:p w14:paraId="35D19486" w14:textId="28FF1242" w:rsidR="00FD4539" w:rsidRDefault="00FD4539">
      <w:pPr>
        <w:pStyle w:val="FootnoteText"/>
      </w:pPr>
      <w:r>
        <w:rPr>
          <w:rStyle w:val="FootnoteReference"/>
        </w:rPr>
        <w:footnoteRef/>
      </w:r>
      <w:r>
        <w:t xml:space="preserve"> Ibid.</w:t>
      </w:r>
    </w:p>
  </w:footnote>
  <w:footnote w:id="26">
    <w:p w14:paraId="6EC21FA5" w14:textId="363C1F57" w:rsidR="00FD4539" w:rsidRDefault="00FD4539">
      <w:pPr>
        <w:pStyle w:val="FootnoteText"/>
      </w:pPr>
      <w:r>
        <w:rPr>
          <w:rStyle w:val="FootnoteReference"/>
        </w:rPr>
        <w:footnoteRef/>
      </w:r>
      <w:r>
        <w:t xml:space="preserve"> Ibid.</w:t>
      </w:r>
    </w:p>
  </w:footnote>
  <w:footnote w:id="27">
    <w:p w14:paraId="62FBA0F8" w14:textId="21FA7C9C" w:rsidR="00FD4539" w:rsidRDefault="00FD4539" w:rsidP="00FD4539">
      <w:pPr>
        <w:pStyle w:val="FootnoteText"/>
      </w:pPr>
      <w:r>
        <w:rPr>
          <w:rStyle w:val="FootnoteReference"/>
        </w:rPr>
        <w:footnoteRef/>
      </w:r>
      <w:r>
        <w:t xml:space="preserve"> </w:t>
      </w:r>
      <w:r w:rsidRPr="00FD4539">
        <w:t>While the two 2007 publications of Hunt and Afshari were decisive for the first phase of the historical turn, they were not the first. Alongside the essays of Cmiel, Hunt had published several essays and articles on ‘revolutionary rights’ during the preceding 10 years. See, for example, Lynn Hunt, ‘The Revolutionary Origins of Human Rights’, in Lynn Hunt (ed) </w:t>
      </w:r>
      <w:r w:rsidRPr="00FD4539">
        <w:rPr>
          <w:i/>
          <w:iCs/>
        </w:rPr>
        <w:t>The French Revolution and Human Rights: A Brief Documentary History</w:t>
      </w:r>
      <w:r w:rsidRPr="00FD4539">
        <w:t xml:space="preserve"> (Bedford Series in History and Culture 1996). On Afshari’s notion of an ‘epistemological break’, see Afshari (n 31) 42. For accounts that trace the emergence of the historical turn to the publications of Hunt and Afshari, see Roland Burke, </w:t>
      </w:r>
      <w:proofErr w:type="gramStart"/>
      <w:r w:rsidRPr="00FD4539">
        <w:t>‘”How</w:t>
      </w:r>
      <w:proofErr w:type="gramEnd"/>
      <w:r w:rsidRPr="00FD4539">
        <w:t xml:space="preserve"> Time Flies”’: Celebrating the Universal Declaration of Human Rights in the 1960s’ (2015) The International History Review 394; Steven B. Jensen, ‘Black Box of Human Rights’ (2019) Human Rights Quarterly 41 200, 203.</w:t>
      </w:r>
    </w:p>
  </w:footnote>
  <w:footnote w:id="28">
    <w:p w14:paraId="581B8B36" w14:textId="6487FB01" w:rsidR="00FD4539" w:rsidRDefault="00FD4539" w:rsidP="00FD4539">
      <w:pPr>
        <w:pStyle w:val="FootnoteText"/>
      </w:pPr>
      <w:r>
        <w:rPr>
          <w:rStyle w:val="FootnoteReference"/>
        </w:rPr>
        <w:footnoteRef/>
      </w:r>
      <w:r>
        <w:t xml:space="preserve"> </w:t>
      </w:r>
      <w:r w:rsidRPr="00FD4539">
        <w:t>Important differences between Cmiel and Afshari include that the former stresses the 1970s more than the latter, who, with the concept of an epistemological break in the 1930s, instead introduces a stricter notion of rupture than the former.</w:t>
      </w:r>
    </w:p>
  </w:footnote>
  <w:footnote w:id="29">
    <w:p w14:paraId="49D31780" w14:textId="1C70D7DF" w:rsidR="00FD4539" w:rsidRDefault="00FD4539">
      <w:pPr>
        <w:pStyle w:val="FootnoteText"/>
      </w:pPr>
      <w:r>
        <w:rPr>
          <w:rStyle w:val="FootnoteReference"/>
        </w:rPr>
        <w:footnoteRef/>
      </w:r>
      <w:r>
        <w:t xml:space="preserve"> Afshari</w:t>
      </w:r>
    </w:p>
  </w:footnote>
  <w:footnote w:id="30">
    <w:p w14:paraId="428193E5" w14:textId="440CD4F0" w:rsidR="00FD4539" w:rsidRDefault="00FD4539">
      <w:pPr>
        <w:pStyle w:val="FootnoteText"/>
      </w:pPr>
      <w:r>
        <w:rPr>
          <w:rStyle w:val="FootnoteReference"/>
        </w:rPr>
        <w:footnoteRef/>
      </w:r>
      <w:r>
        <w:t xml:space="preserve"> Ibid.</w:t>
      </w:r>
    </w:p>
  </w:footnote>
  <w:footnote w:id="31">
    <w:p w14:paraId="70479CF6" w14:textId="79B355A5" w:rsidR="00EC2493" w:rsidRDefault="00EC2493">
      <w:pPr>
        <w:pStyle w:val="FootnoteText"/>
      </w:pPr>
      <w:r>
        <w:rPr>
          <w:rStyle w:val="FootnoteReference"/>
        </w:rPr>
        <w:footnoteRef/>
      </w:r>
      <w:r>
        <w:t xml:space="preserve"> Afshari.</w:t>
      </w:r>
    </w:p>
  </w:footnote>
  <w:footnote w:id="32">
    <w:p w14:paraId="4A66029B" w14:textId="47F4228A" w:rsidR="00EC2493" w:rsidRDefault="00EC2493" w:rsidP="00EC2493">
      <w:pPr>
        <w:pStyle w:val="FootnoteText"/>
      </w:pPr>
      <w:r>
        <w:rPr>
          <w:rStyle w:val="FootnoteReference"/>
        </w:rPr>
        <w:footnoteRef/>
      </w:r>
      <w:r>
        <w:t xml:space="preserve"> </w:t>
      </w:r>
      <w:proofErr w:type="spellStart"/>
      <w:r w:rsidRPr="00EC2493">
        <w:t>Moyn</w:t>
      </w:r>
      <w:proofErr w:type="spellEnd"/>
      <w:r w:rsidRPr="00EC2493">
        <w:t xml:space="preserve"> (n 1) 7.</w:t>
      </w:r>
    </w:p>
  </w:footnote>
  <w:footnote w:id="33">
    <w:p w14:paraId="41FC8798" w14:textId="325A45BE" w:rsidR="00EC2493" w:rsidRDefault="00EC2493">
      <w:pPr>
        <w:pStyle w:val="FootnoteText"/>
      </w:pPr>
      <w:r>
        <w:rPr>
          <w:rStyle w:val="FootnoteReference"/>
        </w:rPr>
        <w:footnoteRef/>
      </w:r>
      <w:r>
        <w:t xml:space="preserve"> </w:t>
      </w:r>
      <w:proofErr w:type="spellStart"/>
      <w:r>
        <w:t>Moyn</w:t>
      </w:r>
      <w:proofErr w:type="spellEnd"/>
    </w:p>
  </w:footnote>
  <w:footnote w:id="34">
    <w:p w14:paraId="32B8984F" w14:textId="15085D82" w:rsidR="00EC2493" w:rsidRDefault="00EC2493">
      <w:pPr>
        <w:pStyle w:val="FootnoteText"/>
      </w:pPr>
      <w:r>
        <w:rPr>
          <w:rStyle w:val="FootnoteReference"/>
        </w:rPr>
        <w:footnoteRef/>
      </w:r>
      <w:r>
        <w:t xml:space="preserve"> </w:t>
      </w:r>
      <w:proofErr w:type="spellStart"/>
      <w:r>
        <w:t>Moyn</w:t>
      </w:r>
      <w:proofErr w:type="spellEnd"/>
      <w:r>
        <w:t>.</w:t>
      </w:r>
    </w:p>
  </w:footnote>
  <w:footnote w:id="35">
    <w:p w14:paraId="78315CCE" w14:textId="7F0316AA" w:rsidR="00EC2493" w:rsidRDefault="00EC2493" w:rsidP="00EC2493">
      <w:pPr>
        <w:pStyle w:val="FootnoteText"/>
      </w:pPr>
      <w:r>
        <w:rPr>
          <w:rStyle w:val="FootnoteReference"/>
        </w:rPr>
        <w:footnoteRef/>
      </w:r>
      <w:r>
        <w:t xml:space="preserve"> </w:t>
      </w:r>
      <w:r w:rsidRPr="00EC2493">
        <w:t xml:space="preserve">Hoffmann, ‘Human Rights and History’ (n 1). Hoffmann’s argumentation hereby ties in with </w:t>
      </w:r>
      <w:proofErr w:type="spellStart"/>
      <w:r w:rsidRPr="00EC2493">
        <w:t>Koskenniemi’s</w:t>
      </w:r>
      <w:proofErr w:type="spellEnd"/>
      <w:r w:rsidRPr="00EC2493">
        <w:t xml:space="preserve"> emphasis on an ‘ethical turn’ in both academia and international law and politics in the 1990s, in contrast to those, like </w:t>
      </w:r>
      <w:proofErr w:type="spellStart"/>
      <w:r w:rsidRPr="00EC2493">
        <w:t>Moyn</w:t>
      </w:r>
      <w:proofErr w:type="spellEnd"/>
      <w:r w:rsidRPr="00EC2493">
        <w:t>, who have highlighted the 1970s as a breaking point rather than the 1990s. </w:t>
      </w:r>
    </w:p>
  </w:footnote>
  <w:footnote w:id="36">
    <w:p w14:paraId="70E1022E" w14:textId="1CBBEB98" w:rsidR="00EC2493" w:rsidRDefault="00EC2493">
      <w:pPr>
        <w:pStyle w:val="FootnoteText"/>
      </w:pPr>
      <w:r>
        <w:rPr>
          <w:rStyle w:val="FootnoteReference"/>
        </w:rPr>
        <w:footnoteRef/>
      </w:r>
      <w:r>
        <w:t xml:space="preserve"> Ibid.</w:t>
      </w:r>
    </w:p>
  </w:footnote>
  <w:footnote w:id="37">
    <w:p w14:paraId="039DE546" w14:textId="0A286DDF" w:rsidR="00261D13" w:rsidRDefault="00261D13" w:rsidP="00261D13">
      <w:pPr>
        <w:pStyle w:val="FootnoteText"/>
      </w:pPr>
      <w:r>
        <w:rPr>
          <w:rStyle w:val="FootnoteReference"/>
        </w:rPr>
        <w:footnoteRef/>
      </w:r>
      <w:r>
        <w:t xml:space="preserve"> </w:t>
      </w:r>
      <w:r w:rsidRPr="00261D13">
        <w:t>Burke (n 35) 395.</w:t>
      </w:r>
    </w:p>
  </w:footnote>
  <w:footnote w:id="38">
    <w:p w14:paraId="311EC6FE" w14:textId="52E5EFB5" w:rsidR="00A74524" w:rsidRDefault="00A74524" w:rsidP="00A74524">
      <w:pPr>
        <w:pStyle w:val="FootnoteText"/>
      </w:pPr>
      <w:r>
        <w:rPr>
          <w:rStyle w:val="FootnoteReference"/>
        </w:rPr>
        <w:footnoteRef/>
      </w:r>
      <w:r>
        <w:t xml:space="preserve"> </w:t>
      </w:r>
      <w:r w:rsidRPr="00A74524">
        <w:t>Eckel (n 31) 8.</w:t>
      </w:r>
    </w:p>
  </w:footnote>
  <w:footnote w:id="39">
    <w:p w14:paraId="0065FB4E" w14:textId="36A6D04A" w:rsidR="00555BBB" w:rsidRDefault="00555BBB">
      <w:pPr>
        <w:pStyle w:val="FootnoteText"/>
      </w:pPr>
      <w:r>
        <w:rPr>
          <w:rStyle w:val="FootnoteReference"/>
        </w:rPr>
        <w:footnoteRef/>
      </w:r>
      <w:r>
        <w:t xml:space="preserve"> Ibid.</w:t>
      </w:r>
    </w:p>
  </w:footnote>
  <w:footnote w:id="40">
    <w:p w14:paraId="25FEF598" w14:textId="57D6479D" w:rsidR="00555BBB" w:rsidRDefault="00555BBB" w:rsidP="00555BBB">
      <w:pPr>
        <w:pStyle w:val="FootnoteText"/>
      </w:pPr>
      <w:r>
        <w:rPr>
          <w:rStyle w:val="FootnoteReference"/>
        </w:rPr>
        <w:footnoteRef/>
      </w:r>
      <w:r>
        <w:t xml:space="preserve"> </w:t>
      </w:r>
      <w:r w:rsidRPr="00555BBB">
        <w:t xml:space="preserve">See: Antony </w:t>
      </w:r>
      <w:proofErr w:type="spellStart"/>
      <w:r w:rsidRPr="00555BBB">
        <w:t>Anghie</w:t>
      </w:r>
      <w:proofErr w:type="spellEnd"/>
      <w:r w:rsidRPr="00555BBB">
        <w:t>, ‘Whose Utopia? Human Rights, Development, and the Third World’ (2013) Qui Parle: Critical Humanities and Social Sciences, 22); Joseph R. Slaughter, ‘Hijacking Human Rights: Neoliberalism, the New Historiography, and the End of the Third World’ (2018) </w:t>
      </w:r>
      <w:r w:rsidRPr="00555BBB">
        <w:rPr>
          <w:i/>
          <w:iCs/>
        </w:rPr>
        <w:t>Human Rights Quarterly</w:t>
      </w:r>
      <w:r w:rsidRPr="00555BBB">
        <w:t> 40; Steven L. B. Jensen, </w:t>
      </w:r>
      <w:r w:rsidRPr="00555BBB">
        <w:rPr>
          <w:i/>
          <w:iCs/>
        </w:rPr>
        <w:t>The Making of International Human Rights: The 1960s, Decolonization, and the Reconstruction of Global Values</w:t>
      </w:r>
      <w:r w:rsidRPr="00555BBB">
        <w:t xml:space="preserve"> (Cambridge </w:t>
      </w:r>
      <w:proofErr w:type="spellStart"/>
      <w:r w:rsidRPr="00555BBB">
        <w:t>Univesity</w:t>
      </w:r>
      <w:proofErr w:type="spellEnd"/>
      <w:r w:rsidRPr="00555BBB">
        <w:t xml:space="preserve"> Press 2016); Dirk Moses, Marco </w:t>
      </w:r>
      <w:proofErr w:type="spellStart"/>
      <w:r w:rsidRPr="00555BBB">
        <w:t>Duranti</w:t>
      </w:r>
      <w:proofErr w:type="spellEnd"/>
      <w:r w:rsidRPr="00555BBB">
        <w:t>, and Roland Burke, </w:t>
      </w:r>
      <w:r w:rsidRPr="00555BBB">
        <w:rPr>
          <w:i/>
          <w:iCs/>
        </w:rPr>
        <w:t>Decolonization, Self-Determination, and the Rise of Global Human Rights Politics</w:t>
      </w:r>
      <w:r w:rsidRPr="00555BBB">
        <w:t xml:space="preserve"> (Cambridge University Press 2020); Marco </w:t>
      </w:r>
      <w:proofErr w:type="spellStart"/>
      <w:r w:rsidRPr="00555BBB">
        <w:t>Duranti</w:t>
      </w:r>
      <w:proofErr w:type="spellEnd"/>
      <w:r w:rsidRPr="00555BBB">
        <w:t>, </w:t>
      </w:r>
      <w:r w:rsidRPr="00555BBB">
        <w:rPr>
          <w:i/>
          <w:iCs/>
        </w:rPr>
        <w:t>The Conservative Human Rights Revolution: European Identity, International Politics, and the Origins of the European Convention</w:t>
      </w:r>
      <w:r w:rsidRPr="00555BBB">
        <w:t> (Oxford University Press 2017); Robert Brier, ‘Beyond the Quest for a “Breakthrough”: Reflections on the Recent Historiography on Human Rights’ (2015) European History Yearbook 16; Catherine Baylin Duryea, ‘Mobilising Human Rights: The Origins of Human Rights’ (2022) Berkeley Journal of International Law 40.</w:t>
      </w:r>
    </w:p>
  </w:footnote>
  <w:footnote w:id="41">
    <w:p w14:paraId="48CE857A" w14:textId="0F28B3D4" w:rsidR="00555BBB" w:rsidRDefault="00555BBB" w:rsidP="00555BBB">
      <w:pPr>
        <w:pStyle w:val="FootnoteText"/>
      </w:pPr>
      <w:r>
        <w:rPr>
          <w:rStyle w:val="FootnoteReference"/>
        </w:rPr>
        <w:footnoteRef/>
      </w:r>
      <w:r>
        <w:t xml:space="preserve"> </w:t>
      </w:r>
      <w:r w:rsidRPr="00555BBB">
        <w:t>Jensen (n 60) 158, 187, 192.</w:t>
      </w:r>
    </w:p>
  </w:footnote>
  <w:footnote w:id="42">
    <w:p w14:paraId="0F724715" w14:textId="04586B37" w:rsidR="00555BBB" w:rsidRDefault="00555BBB">
      <w:pPr>
        <w:pStyle w:val="FootnoteText"/>
      </w:pPr>
      <w:r>
        <w:rPr>
          <w:rStyle w:val="FootnoteReference"/>
        </w:rPr>
        <w:footnoteRef/>
      </w:r>
      <w:r>
        <w:t xml:space="preserve"> Ibid.</w:t>
      </w:r>
    </w:p>
  </w:footnote>
  <w:footnote w:id="43">
    <w:p w14:paraId="682C90CA" w14:textId="59697F90" w:rsidR="00555BBB" w:rsidRPr="00555BBB" w:rsidRDefault="00555BBB" w:rsidP="00555BBB">
      <w:pPr>
        <w:pStyle w:val="FootnoteText"/>
        <w:rPr>
          <w:lang w:val="pt-PT"/>
        </w:rPr>
      </w:pPr>
      <w:r>
        <w:rPr>
          <w:rStyle w:val="FootnoteReference"/>
        </w:rPr>
        <w:footnoteRef/>
      </w:r>
      <w:r w:rsidRPr="00555BBB">
        <w:rPr>
          <w:lang w:val="pt-PT"/>
        </w:rPr>
        <w:t xml:space="preserve"> </w:t>
      </w:r>
      <w:r w:rsidRPr="00555BBB">
        <w:rPr>
          <w:lang w:val="pt-PT"/>
        </w:rPr>
        <w:t xml:space="preserve"> </w:t>
      </w:r>
      <w:proofErr w:type="spellStart"/>
      <w:r w:rsidRPr="00555BBB">
        <w:rPr>
          <w:lang w:val="pt-PT"/>
        </w:rPr>
        <w:t>Eckel</w:t>
      </w:r>
      <w:proofErr w:type="spellEnd"/>
      <w:r w:rsidRPr="00555BBB">
        <w:rPr>
          <w:lang w:val="pt-PT"/>
        </w:rPr>
        <w:t xml:space="preserve"> (n 30) 5–6; </w:t>
      </w:r>
      <w:proofErr w:type="spellStart"/>
      <w:r w:rsidRPr="00555BBB">
        <w:rPr>
          <w:lang w:val="pt-PT"/>
        </w:rPr>
        <w:t>Moyn</w:t>
      </w:r>
      <w:proofErr w:type="spellEnd"/>
      <w:r w:rsidRPr="00555BBB">
        <w:rPr>
          <w:lang w:val="pt-PT"/>
        </w:rPr>
        <w:t xml:space="preserve"> (n 1) 5–6; </w:t>
      </w:r>
      <w:proofErr w:type="spellStart"/>
      <w:r w:rsidRPr="00555BBB">
        <w:rPr>
          <w:lang w:val="pt-PT"/>
        </w:rPr>
        <w:t>Alston</w:t>
      </w:r>
      <w:proofErr w:type="spellEnd"/>
      <w:r w:rsidRPr="00555BBB">
        <w:rPr>
          <w:lang w:val="pt-PT"/>
        </w:rPr>
        <w:t xml:space="preserve"> (n 4) 2043.</w:t>
      </w:r>
    </w:p>
  </w:footnote>
  <w:footnote w:id="44">
    <w:p w14:paraId="146BE4EE" w14:textId="4ACDE07E" w:rsidR="00C95977" w:rsidRDefault="00C95977" w:rsidP="00C95977">
      <w:pPr>
        <w:pStyle w:val="FootnoteText"/>
      </w:pPr>
      <w:r>
        <w:rPr>
          <w:rStyle w:val="FootnoteReference"/>
        </w:rPr>
        <w:footnoteRef/>
      </w:r>
      <w:r>
        <w:t xml:space="preserve"> </w:t>
      </w:r>
      <w:r w:rsidRPr="00C95977">
        <w:t xml:space="preserve">Eckel (n 30) 4–7; Mark </w:t>
      </w:r>
      <w:proofErr w:type="spellStart"/>
      <w:r w:rsidRPr="00C95977">
        <w:t>Mazower</w:t>
      </w:r>
      <w:proofErr w:type="spellEnd"/>
      <w:r w:rsidRPr="00C95977">
        <w:t>, ‘The End of Civilization and the Rise of Human Rights: The Mid-Twentieth-Century Disjuncture’, in Stefan-Ludwig Hoffmann (ed) </w:t>
      </w:r>
      <w:r w:rsidRPr="00C95977">
        <w:rPr>
          <w:i/>
          <w:iCs/>
        </w:rPr>
        <w:t>Human Rights in the Twentieth Century</w:t>
      </w:r>
      <w:r w:rsidRPr="00C95977">
        <w:t> (Cambridge University Press 2011) 29.</w:t>
      </w:r>
    </w:p>
  </w:footnote>
  <w:footnote w:id="45">
    <w:p w14:paraId="1C77BD24" w14:textId="0F823DB9" w:rsidR="00C95977" w:rsidRDefault="00C95977" w:rsidP="00C95977">
      <w:pPr>
        <w:pStyle w:val="FootnoteText"/>
      </w:pPr>
      <w:r>
        <w:rPr>
          <w:rStyle w:val="FootnoteReference"/>
        </w:rPr>
        <w:footnoteRef/>
      </w:r>
      <w:r>
        <w:t xml:space="preserve"> </w:t>
      </w:r>
      <w:r w:rsidRPr="00C95977">
        <w:t xml:space="preserve"> ‘Four Human Rights Myths’ (2013), Marks discerns three existing human rights myths and adds to these a fourth. The first is the critique articulated by Raz’s twofold objection to current advocates of human rights. The first, process-related difficulty with human rights, Raz claims, is that the possibilities for overseeing and enforcing human rights are at best unreliable and in some cases non-existent. His second objection is that much of what is said in their name is clearly biased in favour of ideas stemming from the West. For both these reasons, it is questionable whether it makes sense to speak of human rights. The second myth Marks points to is </w:t>
      </w:r>
      <w:proofErr w:type="spellStart"/>
      <w:r w:rsidRPr="00C95977">
        <w:t>Moyn’s</w:t>
      </w:r>
      <w:proofErr w:type="spellEnd"/>
      <w:r w:rsidRPr="00C95977">
        <w:t xml:space="preserve"> critique of deep genealogies. The third myth she refers to is inspired by Brown’s criticism of the alleged non-political ‘neutrality’ of human rights, and that the new understanding of human rights is politics with its advantages and drawbacks as any other competing claims of ideals, and that the claims of human rights must therefore be understood as a significant form of exercising power, and not just contesting it. The fourth myth, developed by Marks herself, is the myth that human rights violations take form in hidden spaces, or what she refers to as the myth of the ‘dangerous dark’. For Marks, human rights violations must be envisaged from within a broader, systemic-oriented point of view, conceptualized as intertwined with the wider economic and social environment in which they take place. See Marks (n 19). While single articles pointing in this direction had been published previously, it was only after the publication of Marks’ article that the debate took off. Two noteworthy exceptions are: Wendy Brown, ‘“The Most We Can Hope For”</w:t>
      </w:r>
      <w:r w:rsidRPr="00C95977">
        <w:rPr>
          <w:rFonts w:ascii="Arial" w:hAnsi="Arial" w:cs="Arial"/>
        </w:rPr>
        <w:t> </w:t>
      </w:r>
      <w:r w:rsidRPr="00C95977">
        <w:rPr>
          <w:rFonts w:ascii="Aptos" w:hAnsi="Aptos" w:cs="Aptos"/>
        </w:rPr>
        <w:t>…</w:t>
      </w:r>
      <w:r w:rsidRPr="00C95977">
        <w:rPr>
          <w:rFonts w:ascii="Arial" w:hAnsi="Arial" w:cs="Arial"/>
        </w:rPr>
        <w:t> </w:t>
      </w:r>
      <w:r w:rsidRPr="00C95977">
        <w:t>Human Rights and the Politics of Fatalism</w:t>
      </w:r>
      <w:r w:rsidRPr="00C95977">
        <w:rPr>
          <w:rFonts w:ascii="Aptos" w:hAnsi="Aptos" w:cs="Aptos"/>
        </w:rPr>
        <w:t>’</w:t>
      </w:r>
      <w:r w:rsidRPr="00C95977">
        <w:t xml:space="preserve"> (2004) South Atlantic Quarterly 103; Slavoj Zizek (2005) </w:t>
      </w:r>
      <w:r w:rsidRPr="00C95977">
        <w:rPr>
          <w:rFonts w:ascii="Aptos" w:hAnsi="Aptos" w:cs="Aptos"/>
        </w:rPr>
        <w:t>“</w:t>
      </w:r>
      <w:r w:rsidRPr="00C95977">
        <w:t>Against human rights</w:t>
      </w:r>
      <w:r w:rsidRPr="00C95977">
        <w:rPr>
          <w:rFonts w:ascii="Aptos" w:hAnsi="Aptos" w:cs="Aptos"/>
        </w:rPr>
        <w:t>”</w:t>
      </w:r>
      <w:r w:rsidRPr="00C95977">
        <w:t xml:space="preserve"> New Left Review</w:t>
      </w:r>
      <w:r w:rsidRPr="00C95977">
        <w:rPr>
          <w:rFonts w:ascii="Aptos" w:hAnsi="Aptos" w:cs="Aptos"/>
        </w:rPr>
        <w:t> </w:t>
      </w:r>
      <w:r w:rsidRPr="00C95977">
        <w:t>34.</w:t>
      </w:r>
    </w:p>
  </w:footnote>
  <w:footnote w:id="46">
    <w:p w14:paraId="1E61E4CB" w14:textId="1304162F" w:rsidR="00C95977" w:rsidRDefault="00C95977" w:rsidP="00C95977">
      <w:pPr>
        <w:pStyle w:val="FootnoteText"/>
      </w:pPr>
      <w:r>
        <w:rPr>
          <w:rStyle w:val="FootnoteReference"/>
        </w:rPr>
        <w:footnoteRef/>
      </w:r>
      <w:r>
        <w:t xml:space="preserve"> </w:t>
      </w:r>
      <w:r w:rsidRPr="00C95977">
        <w:t>See, for example, the preface to: Gerald L. Neuman (ed) </w:t>
      </w:r>
      <w:r w:rsidRPr="00C95977">
        <w:rPr>
          <w:i/>
          <w:iCs/>
        </w:rPr>
        <w:t>Human Rights in a Time of Populism: Challenges and Responses</w:t>
      </w:r>
      <w:r w:rsidRPr="00C95977">
        <w:t> (Cambridge University Press 2020).</w:t>
      </w:r>
    </w:p>
  </w:footnote>
  <w:footnote w:id="47">
    <w:p w14:paraId="19354CF0" w14:textId="07E479BF" w:rsidR="00C95977" w:rsidRDefault="00C95977" w:rsidP="00C95977">
      <w:pPr>
        <w:pStyle w:val="FootnoteText"/>
      </w:pPr>
      <w:r>
        <w:rPr>
          <w:rStyle w:val="FootnoteReference"/>
        </w:rPr>
        <w:footnoteRef/>
      </w:r>
      <w:r>
        <w:t xml:space="preserve"> </w:t>
      </w:r>
      <w:r w:rsidRPr="00C95977">
        <w:t xml:space="preserve">Costas </w:t>
      </w:r>
      <w:proofErr w:type="spellStart"/>
      <w:r w:rsidRPr="00C95977">
        <w:t>Douzinas</w:t>
      </w:r>
      <w:proofErr w:type="spellEnd"/>
      <w:r w:rsidRPr="00C95977">
        <w:t>, ‘Seven Theses on Human Rights: (3) Neoliberal Capitalism &amp; Voluntary Imperialism’ (2013) </w:t>
      </w:r>
      <w:r w:rsidRPr="00C95977">
        <w:rPr>
          <w:i/>
          <w:iCs/>
        </w:rPr>
        <w:t>Critical Legal Thinking</w:t>
      </w:r>
      <w:r w:rsidRPr="00C95977">
        <w:t>, 23 May http://criticallegalthinking.com/2013/05/23/seven-theses-on-human-rights-3-neoliberal-capitalism-voluntary-imperialism.</w:t>
      </w:r>
    </w:p>
  </w:footnote>
  <w:footnote w:id="48">
    <w:p w14:paraId="00768060" w14:textId="24D9B3E3" w:rsidR="00C95977" w:rsidRDefault="00C95977" w:rsidP="00C95977">
      <w:pPr>
        <w:pStyle w:val="FootnoteText"/>
      </w:pPr>
      <w:r>
        <w:rPr>
          <w:rStyle w:val="FootnoteReference"/>
        </w:rPr>
        <w:footnoteRef/>
      </w:r>
      <w:r>
        <w:t xml:space="preserve"> </w:t>
      </w:r>
      <w:r w:rsidRPr="00C95977">
        <w:t>or a critique of the limits of the Anglophone debate and its focus on inequality, neoliberalism, and human rights, see: Wedin (n 28).</w:t>
      </w:r>
    </w:p>
  </w:footnote>
  <w:footnote w:id="49">
    <w:p w14:paraId="7E6E9126" w14:textId="4D5525F9" w:rsidR="00C95977" w:rsidRDefault="00C95977" w:rsidP="00C95977">
      <w:pPr>
        <w:pStyle w:val="FootnoteText"/>
      </w:pPr>
      <w:r>
        <w:rPr>
          <w:rStyle w:val="FootnoteReference"/>
        </w:rPr>
        <w:footnoteRef/>
      </w:r>
      <w:r>
        <w:t xml:space="preserve"> </w:t>
      </w:r>
      <w:proofErr w:type="spellStart"/>
      <w:r w:rsidRPr="00C95977">
        <w:t>rown</w:t>
      </w:r>
      <w:proofErr w:type="spellEnd"/>
      <w:r w:rsidRPr="00C95977">
        <w:t xml:space="preserve"> (n 67); Quinn Slobodian, </w:t>
      </w:r>
      <w:r w:rsidRPr="00C95977">
        <w:rPr>
          <w:i/>
          <w:iCs/>
        </w:rPr>
        <w:t>Globalists: The End of Empire and the Birth of Neoliberalism</w:t>
      </w:r>
      <w:r w:rsidRPr="00C95977">
        <w:t> (Harvard University Press 2018); Jessica Whyte, </w:t>
      </w:r>
      <w:r w:rsidRPr="00C95977">
        <w:rPr>
          <w:i/>
          <w:iCs/>
        </w:rPr>
        <w:t>The Morals of the Market: Human Rights and the Rise of Neoliberalism</w:t>
      </w:r>
      <w:r w:rsidRPr="00C95977">
        <w:t> (Verso 2019), 200–1; Naomi Klein, </w:t>
      </w:r>
      <w:r w:rsidRPr="00C95977">
        <w:rPr>
          <w:i/>
          <w:iCs/>
        </w:rPr>
        <w:t>The Shock Doctrine: The Rise of Disaster Capitalism</w:t>
      </w:r>
      <w:r w:rsidRPr="00C95977">
        <w:t> (Knopf Canada 2007); Kate Nash, ‘The Cultural Politics of Human Rights and Neoliberalism’ (2019) Journal of Human Rights 18; Marcel Gauchet, </w:t>
      </w:r>
      <w:proofErr w:type="spellStart"/>
      <w:r w:rsidRPr="00C95977">
        <w:rPr>
          <w:i/>
          <w:iCs/>
        </w:rPr>
        <w:t>L’avènement</w:t>
      </w:r>
      <w:proofErr w:type="spellEnd"/>
      <w:r w:rsidRPr="00C95977">
        <w:rPr>
          <w:i/>
          <w:iCs/>
        </w:rPr>
        <w:t xml:space="preserve"> de la </w:t>
      </w:r>
      <w:proofErr w:type="spellStart"/>
      <w:r w:rsidRPr="00C95977">
        <w:rPr>
          <w:i/>
          <w:iCs/>
        </w:rPr>
        <w:t>démocratie</w:t>
      </w:r>
      <w:proofErr w:type="spellEnd"/>
      <w:r w:rsidRPr="00C95977">
        <w:rPr>
          <w:i/>
          <w:iCs/>
        </w:rPr>
        <w:t>: le nouveau monde</w:t>
      </w:r>
      <w:r w:rsidRPr="00C95977">
        <w:t> (Gallimard 2017); Hopgood (n 7) 95.</w:t>
      </w:r>
    </w:p>
  </w:footnote>
  <w:footnote w:id="50">
    <w:p w14:paraId="6442DD10" w14:textId="62E67688" w:rsidR="00C95977" w:rsidRDefault="00C95977" w:rsidP="00C95977">
      <w:pPr>
        <w:pStyle w:val="FootnoteText"/>
      </w:pPr>
      <w:r>
        <w:rPr>
          <w:rStyle w:val="FootnoteReference"/>
        </w:rPr>
        <w:footnoteRef/>
      </w:r>
      <w:r>
        <w:t xml:space="preserve"> </w:t>
      </w:r>
      <w:r w:rsidRPr="00C95977">
        <w:t xml:space="preserve">Philip Mirowski and Dieter </w:t>
      </w:r>
      <w:proofErr w:type="spellStart"/>
      <w:r w:rsidRPr="00C95977">
        <w:t>Plehwe</w:t>
      </w:r>
      <w:proofErr w:type="spellEnd"/>
      <w:r w:rsidRPr="00C95977">
        <w:t xml:space="preserve"> (eds) </w:t>
      </w:r>
      <w:r w:rsidRPr="00C95977">
        <w:rPr>
          <w:i/>
          <w:iCs/>
        </w:rPr>
        <w:t xml:space="preserve">The Road from Mont </w:t>
      </w:r>
      <w:proofErr w:type="spellStart"/>
      <w:r w:rsidRPr="00C95977">
        <w:rPr>
          <w:i/>
          <w:iCs/>
        </w:rPr>
        <w:t>Pèlerin</w:t>
      </w:r>
      <w:proofErr w:type="spellEnd"/>
      <w:r w:rsidRPr="00C95977">
        <w:rPr>
          <w:i/>
          <w:iCs/>
        </w:rPr>
        <w:t>: The Making of the Neoliberal Thought Collective</w:t>
      </w:r>
      <w:r w:rsidRPr="00C95977">
        <w:t> (Harvard University Press 2009).</w:t>
      </w:r>
    </w:p>
  </w:footnote>
  <w:footnote w:id="51">
    <w:p w14:paraId="67BE6221" w14:textId="04E273A5" w:rsidR="00C95977" w:rsidRDefault="00C95977" w:rsidP="00C95977">
      <w:pPr>
        <w:pStyle w:val="FootnoteText"/>
      </w:pPr>
      <w:r>
        <w:rPr>
          <w:rStyle w:val="FootnoteReference"/>
        </w:rPr>
        <w:footnoteRef/>
      </w:r>
      <w:r>
        <w:t xml:space="preserve"> </w:t>
      </w:r>
      <w:r w:rsidRPr="00C95977">
        <w:t xml:space="preserve">Samuel </w:t>
      </w:r>
      <w:proofErr w:type="spellStart"/>
      <w:r w:rsidRPr="00C95977">
        <w:t>Moyn</w:t>
      </w:r>
      <w:proofErr w:type="spellEnd"/>
      <w:r w:rsidRPr="00C95977">
        <w:t xml:space="preserve">, ‘A Powerless Companion: Human Rights in the Age of Neoliberalism’ (2014) Law &amp; Contemporary Problems 77; Samuel </w:t>
      </w:r>
      <w:proofErr w:type="spellStart"/>
      <w:r w:rsidRPr="00C95977">
        <w:t>Moyn</w:t>
      </w:r>
      <w:proofErr w:type="spellEnd"/>
      <w:r w:rsidRPr="00C95977">
        <w:t>, </w:t>
      </w:r>
      <w:r w:rsidRPr="00C95977">
        <w:rPr>
          <w:i/>
          <w:iCs/>
        </w:rPr>
        <w:t>Not Enough: Human Rights in an Unequal World</w:t>
      </w:r>
      <w:r w:rsidRPr="00C95977">
        <w:t> (Harvard University Press, 2018).</w:t>
      </w:r>
    </w:p>
  </w:footnote>
  <w:footnote w:id="52">
    <w:p w14:paraId="52FB57BF" w14:textId="69010613" w:rsidR="00C95977" w:rsidRDefault="00C95977" w:rsidP="00C95977">
      <w:pPr>
        <w:pStyle w:val="FootnoteText"/>
      </w:pPr>
      <w:r>
        <w:rPr>
          <w:rStyle w:val="FootnoteReference"/>
        </w:rPr>
        <w:footnoteRef/>
      </w:r>
      <w:r>
        <w:t xml:space="preserve"> </w:t>
      </w:r>
      <w:r w:rsidRPr="00C95977">
        <w:t xml:space="preserve">Samuel </w:t>
      </w:r>
      <w:proofErr w:type="spellStart"/>
      <w:r w:rsidRPr="00C95977">
        <w:t>Moyn</w:t>
      </w:r>
      <w:proofErr w:type="spellEnd"/>
      <w:r w:rsidRPr="00C95977">
        <w:t xml:space="preserve">, ‘A Powerless Companion: Human Rights in the Age of Neoliberalism’ (2014) Law &amp; Contemporary Problems 77; Samuel </w:t>
      </w:r>
      <w:proofErr w:type="spellStart"/>
      <w:r w:rsidRPr="00C95977">
        <w:t>Moyn</w:t>
      </w:r>
      <w:proofErr w:type="spellEnd"/>
      <w:r w:rsidRPr="00C95977">
        <w:t>, </w:t>
      </w:r>
      <w:r w:rsidRPr="00C95977">
        <w:rPr>
          <w:i/>
          <w:iCs/>
        </w:rPr>
        <w:t>Not Enough: Human Rights in an Unequal World</w:t>
      </w:r>
      <w:r w:rsidRPr="00C95977">
        <w:t> (Harvard University Press, 2018).</w:t>
      </w:r>
    </w:p>
  </w:footnote>
  <w:footnote w:id="53">
    <w:p w14:paraId="356001FD" w14:textId="1FF175BD" w:rsidR="003F1E7A" w:rsidRDefault="003F1E7A" w:rsidP="003F1E7A">
      <w:pPr>
        <w:pStyle w:val="FootnoteText"/>
      </w:pPr>
      <w:r>
        <w:rPr>
          <w:rStyle w:val="FootnoteReference"/>
        </w:rPr>
        <w:footnoteRef/>
      </w:r>
      <w:r>
        <w:t xml:space="preserve"> </w:t>
      </w:r>
      <w:r w:rsidRPr="003F1E7A">
        <w:rPr>
          <w:i/>
          <w:iCs/>
        </w:rPr>
        <w:t>bid</w:t>
      </w:r>
      <w:r w:rsidRPr="003F1E7A">
        <w:t xml:space="preserve">., 217. For a Marxist critique of the displacement thesis and the focus on redistribution instead of social relations, see Paul O’Connell, ‘Human Rights: Contesting the Displacement Thesis’ (2018) Northern Ireland Legal Quarterly 69; 19; Dimitrios </w:t>
      </w:r>
      <w:proofErr w:type="spellStart"/>
      <w:r w:rsidRPr="003F1E7A">
        <w:t>Kivotidis</w:t>
      </w:r>
      <w:proofErr w:type="spellEnd"/>
      <w:r w:rsidRPr="003F1E7A">
        <w:t xml:space="preserve">, ‘Theses on the Relationship between Rights and Social Struggle’ (2019) Northern Ireland Legal Quarterly 70 407. </w:t>
      </w:r>
      <w:proofErr w:type="spellStart"/>
      <w:r w:rsidRPr="003F1E7A">
        <w:t>Moyn</w:t>
      </w:r>
      <w:proofErr w:type="spellEnd"/>
      <w:r w:rsidRPr="003F1E7A">
        <w:t xml:space="preserve"> stresses the difference between what in contemporary analytical philosophy is referred to as </w:t>
      </w:r>
      <w:proofErr w:type="spellStart"/>
      <w:r w:rsidRPr="003F1E7A">
        <w:t>sufficientarianism</w:t>
      </w:r>
      <w:proofErr w:type="spellEnd"/>
      <w:r w:rsidRPr="003F1E7A">
        <w:t xml:space="preserve"> and egalitarianism, that is, the distinction between prioritizing a floor above which everyone should be secured, and the more demanding ideal of equality, according to which equality is a desideratum valuing distributive equality as an end in and of itself, and not just as a means for alleviating destitution (as in the case of the </w:t>
      </w:r>
      <w:proofErr w:type="spellStart"/>
      <w:r w:rsidRPr="003F1E7A">
        <w:t>sufficientarist</w:t>
      </w:r>
      <w:proofErr w:type="spellEnd"/>
      <w:r w:rsidRPr="003F1E7A">
        <w:t xml:space="preserve"> conceptualization). The contemporary debate between </w:t>
      </w:r>
      <w:proofErr w:type="spellStart"/>
      <w:r w:rsidRPr="003F1E7A">
        <w:t>sufficientarianism</w:t>
      </w:r>
      <w:proofErr w:type="spellEnd"/>
      <w:r w:rsidRPr="003F1E7A">
        <w:t xml:space="preserve"> and egalitarians </w:t>
      </w:r>
      <w:proofErr w:type="gramStart"/>
      <w:r w:rsidRPr="003F1E7A">
        <w:t>dates back to</w:t>
      </w:r>
      <w:proofErr w:type="gramEnd"/>
      <w:r w:rsidRPr="003F1E7A">
        <w:t xml:space="preserve"> the 1980s, and more specifically to the publication of Dworkin’s article ‘What is Equality?’, which attempted to address the discussions on equality sparked by Rawls’ pathbreaking work in the preceding decade. In the ensuing debates, a plethora of positions has emerged. Alongside those already mentioned, we might add luck egalitarians (such as Dworkin himself), telic and deontic egalitarians, and </w:t>
      </w:r>
      <w:proofErr w:type="spellStart"/>
      <w:r w:rsidRPr="003F1E7A">
        <w:t>prioritarians</w:t>
      </w:r>
      <w:proofErr w:type="spellEnd"/>
      <w:r w:rsidRPr="003F1E7A">
        <w:t>, to mention just some of the most influential positions. See Ronald Dworkin, ‘What is Equality? Part 1: Equality of Resources’ (1981) Philosophy and Public Affairs 10; Ronald Dworkin, ‘What is Equality? Part 2: Equality of Resources’ (1981) Philosophy and Public Affairs 10.</w:t>
      </w:r>
    </w:p>
  </w:footnote>
  <w:footnote w:id="54">
    <w:p w14:paraId="395F54DF" w14:textId="4B46BE09" w:rsidR="003F1E7A" w:rsidRDefault="003F1E7A" w:rsidP="003F1E7A">
      <w:pPr>
        <w:pStyle w:val="FootnoteText"/>
      </w:pPr>
      <w:r>
        <w:rPr>
          <w:rStyle w:val="FootnoteReference"/>
        </w:rPr>
        <w:footnoteRef/>
      </w:r>
      <w:r>
        <w:t xml:space="preserve"> </w:t>
      </w:r>
      <w:r w:rsidRPr="003F1E7A">
        <w:t>Kathryn Sikkink, </w:t>
      </w:r>
      <w:r w:rsidRPr="003F1E7A">
        <w:rPr>
          <w:i/>
          <w:iCs/>
        </w:rPr>
        <w:t>Evidence for Hope: Making Human Rights Work in the 21st Century</w:t>
      </w:r>
      <w:r w:rsidRPr="003F1E7A">
        <w:t> (Princeton University Press 2017) 38. Micheline Ishay, </w:t>
      </w:r>
      <w:r w:rsidRPr="003F1E7A">
        <w:rPr>
          <w:i/>
          <w:iCs/>
        </w:rPr>
        <w:t>The History of Human Rights: From Ancient Times to the Globalization Era</w:t>
      </w:r>
      <w:r w:rsidRPr="003F1E7A">
        <w:t> (University of California Press 2008) ix.</w:t>
      </w:r>
    </w:p>
  </w:footnote>
  <w:footnote w:id="55">
    <w:p w14:paraId="7D1E3804" w14:textId="3CE7928A" w:rsidR="003F1E7A" w:rsidRDefault="003F1E7A" w:rsidP="003F1E7A">
      <w:pPr>
        <w:pStyle w:val="FootnoteText"/>
      </w:pPr>
      <w:r>
        <w:rPr>
          <w:rStyle w:val="FootnoteReference"/>
        </w:rPr>
        <w:footnoteRef/>
      </w:r>
      <w:r>
        <w:t xml:space="preserve"> </w:t>
      </w:r>
      <w:r w:rsidRPr="003F1E7A">
        <w:t>Sikkink (n 78) 39.</w:t>
      </w:r>
    </w:p>
  </w:footnote>
  <w:footnote w:id="56">
    <w:p w14:paraId="7CE879BD" w14:textId="468EF42F" w:rsidR="003F1E7A" w:rsidRDefault="003F1E7A" w:rsidP="003F1E7A">
      <w:pPr>
        <w:pStyle w:val="FootnoteText"/>
      </w:pPr>
      <w:r>
        <w:rPr>
          <w:rStyle w:val="FootnoteReference"/>
        </w:rPr>
        <w:footnoteRef/>
      </w:r>
      <w:r>
        <w:t xml:space="preserve"> </w:t>
      </w:r>
      <w:r w:rsidRPr="003F1E7A">
        <w:t>For an academic example of analyses of the threat against human rights in the wake of Brexit and Trump in isolation from the economic conjuncture of the financial crisis, see, for example, the preface to Neuman (n 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2073B"/>
    <w:multiLevelType w:val="multilevel"/>
    <w:tmpl w:val="0A1A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24FF3"/>
    <w:multiLevelType w:val="hybridMultilevel"/>
    <w:tmpl w:val="C880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553B7"/>
    <w:multiLevelType w:val="hybridMultilevel"/>
    <w:tmpl w:val="CDD06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C0CB5"/>
    <w:multiLevelType w:val="hybridMultilevel"/>
    <w:tmpl w:val="47F6212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num w:numId="1" w16cid:durableId="1320616918">
    <w:abstractNumId w:val="0"/>
  </w:num>
  <w:num w:numId="2" w16cid:durableId="2055733832">
    <w:abstractNumId w:val="1"/>
  </w:num>
  <w:num w:numId="3" w16cid:durableId="1127046321">
    <w:abstractNumId w:val="2"/>
  </w:num>
  <w:num w:numId="4" w16cid:durableId="483162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C89"/>
    <w:rsid w:val="000575D2"/>
    <w:rsid w:val="00180B89"/>
    <w:rsid w:val="00261D13"/>
    <w:rsid w:val="00374BA0"/>
    <w:rsid w:val="00376BDB"/>
    <w:rsid w:val="003F1E7A"/>
    <w:rsid w:val="00555BBB"/>
    <w:rsid w:val="00716DE0"/>
    <w:rsid w:val="00A74524"/>
    <w:rsid w:val="00C95977"/>
    <w:rsid w:val="00E15C89"/>
    <w:rsid w:val="00EC2493"/>
    <w:rsid w:val="00FD45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1C44"/>
  <w15:chartTrackingRefBased/>
  <w15:docId w15:val="{4D976065-9E02-4445-90A8-D31F64C6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C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C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C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C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C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C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C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C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C89"/>
    <w:rPr>
      <w:rFonts w:eastAsiaTheme="majorEastAsia" w:cstheme="majorBidi"/>
      <w:color w:val="272727" w:themeColor="text1" w:themeTint="D8"/>
    </w:rPr>
  </w:style>
  <w:style w:type="paragraph" w:styleId="Title">
    <w:name w:val="Title"/>
    <w:basedOn w:val="Normal"/>
    <w:next w:val="Normal"/>
    <w:link w:val="TitleChar"/>
    <w:uiPriority w:val="10"/>
    <w:qFormat/>
    <w:rsid w:val="00E15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C89"/>
    <w:pPr>
      <w:spacing w:before="160"/>
      <w:jc w:val="center"/>
    </w:pPr>
    <w:rPr>
      <w:i/>
      <w:iCs/>
      <w:color w:val="404040" w:themeColor="text1" w:themeTint="BF"/>
    </w:rPr>
  </w:style>
  <w:style w:type="character" w:customStyle="1" w:styleId="QuoteChar">
    <w:name w:val="Quote Char"/>
    <w:basedOn w:val="DefaultParagraphFont"/>
    <w:link w:val="Quote"/>
    <w:uiPriority w:val="29"/>
    <w:rsid w:val="00E15C89"/>
    <w:rPr>
      <w:i/>
      <w:iCs/>
      <w:color w:val="404040" w:themeColor="text1" w:themeTint="BF"/>
    </w:rPr>
  </w:style>
  <w:style w:type="paragraph" w:styleId="ListParagraph">
    <w:name w:val="List Paragraph"/>
    <w:basedOn w:val="Normal"/>
    <w:uiPriority w:val="34"/>
    <w:qFormat/>
    <w:rsid w:val="00E15C89"/>
    <w:pPr>
      <w:ind w:left="720"/>
      <w:contextualSpacing/>
    </w:pPr>
  </w:style>
  <w:style w:type="character" w:styleId="IntenseEmphasis">
    <w:name w:val="Intense Emphasis"/>
    <w:basedOn w:val="DefaultParagraphFont"/>
    <w:uiPriority w:val="21"/>
    <w:qFormat/>
    <w:rsid w:val="00E15C89"/>
    <w:rPr>
      <w:i/>
      <w:iCs/>
      <w:color w:val="0F4761" w:themeColor="accent1" w:themeShade="BF"/>
    </w:rPr>
  </w:style>
  <w:style w:type="paragraph" w:styleId="IntenseQuote">
    <w:name w:val="Intense Quote"/>
    <w:basedOn w:val="Normal"/>
    <w:next w:val="Normal"/>
    <w:link w:val="IntenseQuoteChar"/>
    <w:uiPriority w:val="30"/>
    <w:qFormat/>
    <w:rsid w:val="00E15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C89"/>
    <w:rPr>
      <w:i/>
      <w:iCs/>
      <w:color w:val="0F4761" w:themeColor="accent1" w:themeShade="BF"/>
    </w:rPr>
  </w:style>
  <w:style w:type="character" w:styleId="IntenseReference">
    <w:name w:val="Intense Reference"/>
    <w:basedOn w:val="DefaultParagraphFont"/>
    <w:uiPriority w:val="32"/>
    <w:qFormat/>
    <w:rsid w:val="00E15C89"/>
    <w:rPr>
      <w:b/>
      <w:bCs/>
      <w:smallCaps/>
      <w:color w:val="0F4761" w:themeColor="accent1" w:themeShade="BF"/>
      <w:spacing w:val="5"/>
    </w:rPr>
  </w:style>
  <w:style w:type="character" w:styleId="Hyperlink">
    <w:name w:val="Hyperlink"/>
    <w:basedOn w:val="DefaultParagraphFont"/>
    <w:uiPriority w:val="99"/>
    <w:unhideWhenUsed/>
    <w:rsid w:val="00E15C89"/>
    <w:rPr>
      <w:color w:val="467886" w:themeColor="hyperlink"/>
      <w:u w:val="single"/>
    </w:rPr>
  </w:style>
  <w:style w:type="character" w:styleId="UnresolvedMention">
    <w:name w:val="Unresolved Mention"/>
    <w:basedOn w:val="DefaultParagraphFont"/>
    <w:uiPriority w:val="99"/>
    <w:semiHidden/>
    <w:unhideWhenUsed/>
    <w:rsid w:val="00E15C89"/>
    <w:rPr>
      <w:color w:val="605E5C"/>
      <w:shd w:val="clear" w:color="auto" w:fill="E1DFDD"/>
    </w:rPr>
  </w:style>
  <w:style w:type="paragraph" w:styleId="FootnoteText">
    <w:name w:val="footnote text"/>
    <w:basedOn w:val="Normal"/>
    <w:link w:val="FootnoteTextChar"/>
    <w:uiPriority w:val="99"/>
    <w:semiHidden/>
    <w:unhideWhenUsed/>
    <w:rsid w:val="00E15C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5C89"/>
    <w:rPr>
      <w:sz w:val="20"/>
      <w:szCs w:val="20"/>
    </w:rPr>
  </w:style>
  <w:style w:type="character" w:styleId="FootnoteReference">
    <w:name w:val="footnote reference"/>
    <w:basedOn w:val="DefaultParagraphFont"/>
    <w:uiPriority w:val="99"/>
    <w:semiHidden/>
    <w:unhideWhenUsed/>
    <w:rsid w:val="00E15C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913010">
      <w:bodyDiv w:val="1"/>
      <w:marLeft w:val="0"/>
      <w:marRight w:val="0"/>
      <w:marTop w:val="0"/>
      <w:marBottom w:val="0"/>
      <w:divBdr>
        <w:top w:val="none" w:sz="0" w:space="0" w:color="auto"/>
        <w:left w:val="none" w:sz="0" w:space="0" w:color="auto"/>
        <w:bottom w:val="none" w:sz="0" w:space="0" w:color="auto"/>
        <w:right w:val="none" w:sz="0" w:space="0" w:color="auto"/>
      </w:divBdr>
      <w:divsChild>
        <w:div w:id="2087919765">
          <w:marLeft w:val="0"/>
          <w:marRight w:val="0"/>
          <w:marTop w:val="0"/>
          <w:marBottom w:val="0"/>
          <w:divBdr>
            <w:top w:val="none" w:sz="0" w:space="0" w:color="auto"/>
            <w:left w:val="none" w:sz="0" w:space="0" w:color="auto"/>
            <w:bottom w:val="none" w:sz="0" w:space="0" w:color="auto"/>
            <w:right w:val="none" w:sz="0" w:space="0" w:color="auto"/>
          </w:divBdr>
          <w:divsChild>
            <w:div w:id="1626307406">
              <w:marLeft w:val="0"/>
              <w:marRight w:val="0"/>
              <w:marTop w:val="0"/>
              <w:marBottom w:val="0"/>
              <w:divBdr>
                <w:top w:val="none" w:sz="0" w:space="0" w:color="auto"/>
                <w:left w:val="none" w:sz="0" w:space="0" w:color="auto"/>
                <w:bottom w:val="none" w:sz="0" w:space="0" w:color="auto"/>
                <w:right w:val="none" w:sz="0" w:space="0" w:color="auto"/>
              </w:divBdr>
            </w:div>
          </w:divsChild>
        </w:div>
        <w:div w:id="1802072482">
          <w:marLeft w:val="0"/>
          <w:marRight w:val="0"/>
          <w:marTop w:val="0"/>
          <w:marBottom w:val="0"/>
          <w:divBdr>
            <w:top w:val="none" w:sz="0" w:space="0" w:color="auto"/>
            <w:left w:val="none" w:sz="0" w:space="0" w:color="auto"/>
            <w:bottom w:val="none" w:sz="0" w:space="0" w:color="auto"/>
            <w:right w:val="none" w:sz="0" w:space="0" w:color="auto"/>
          </w:divBdr>
          <w:divsChild>
            <w:div w:id="1230455355">
              <w:marLeft w:val="0"/>
              <w:marRight w:val="0"/>
              <w:marTop w:val="0"/>
              <w:marBottom w:val="0"/>
              <w:divBdr>
                <w:top w:val="none" w:sz="0" w:space="0" w:color="auto"/>
                <w:left w:val="none" w:sz="0" w:space="0" w:color="auto"/>
                <w:bottom w:val="none" w:sz="0" w:space="0" w:color="auto"/>
                <w:right w:val="none" w:sz="0" w:space="0" w:color="auto"/>
              </w:divBdr>
              <w:divsChild>
                <w:div w:id="1919903039">
                  <w:marLeft w:val="0"/>
                  <w:marRight w:val="0"/>
                  <w:marTop w:val="0"/>
                  <w:marBottom w:val="0"/>
                  <w:divBdr>
                    <w:top w:val="none" w:sz="0" w:space="0" w:color="auto"/>
                    <w:left w:val="none" w:sz="0" w:space="0" w:color="auto"/>
                    <w:bottom w:val="none" w:sz="0" w:space="0" w:color="auto"/>
                    <w:right w:val="none" w:sz="0" w:space="0" w:color="auto"/>
                  </w:divBdr>
                  <w:divsChild>
                    <w:div w:id="9976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50379">
          <w:marLeft w:val="0"/>
          <w:marRight w:val="0"/>
          <w:marTop w:val="0"/>
          <w:marBottom w:val="0"/>
          <w:divBdr>
            <w:top w:val="none" w:sz="0" w:space="0" w:color="auto"/>
            <w:left w:val="none" w:sz="0" w:space="0" w:color="auto"/>
            <w:bottom w:val="none" w:sz="0" w:space="0" w:color="auto"/>
            <w:right w:val="none" w:sz="0" w:space="0" w:color="auto"/>
          </w:divBdr>
          <w:divsChild>
            <w:div w:id="252084137">
              <w:marLeft w:val="1200"/>
              <w:marRight w:val="0"/>
              <w:marTop w:val="240"/>
              <w:marBottom w:val="240"/>
              <w:divBdr>
                <w:top w:val="none" w:sz="0" w:space="0" w:color="auto"/>
                <w:left w:val="none" w:sz="0" w:space="0" w:color="auto"/>
                <w:bottom w:val="none" w:sz="0" w:space="0" w:color="auto"/>
                <w:right w:val="none" w:sz="0" w:space="0" w:color="auto"/>
              </w:divBdr>
            </w:div>
            <w:div w:id="446774865">
              <w:marLeft w:val="1200"/>
              <w:marRight w:val="0"/>
              <w:marTop w:val="240"/>
              <w:marBottom w:val="240"/>
              <w:divBdr>
                <w:top w:val="none" w:sz="0" w:space="0" w:color="auto"/>
                <w:left w:val="none" w:sz="0" w:space="0" w:color="auto"/>
                <w:bottom w:val="none" w:sz="0" w:space="0" w:color="auto"/>
                <w:right w:val="none" w:sz="0" w:space="0" w:color="auto"/>
              </w:divBdr>
            </w:div>
            <w:div w:id="1257326480">
              <w:marLeft w:val="1200"/>
              <w:marRight w:val="0"/>
              <w:marTop w:val="240"/>
              <w:marBottom w:val="240"/>
              <w:divBdr>
                <w:top w:val="none" w:sz="0" w:space="0" w:color="auto"/>
                <w:left w:val="none" w:sz="0" w:space="0" w:color="auto"/>
                <w:bottom w:val="none" w:sz="0" w:space="0" w:color="auto"/>
                <w:right w:val="none" w:sz="0" w:space="0" w:color="auto"/>
              </w:divBdr>
            </w:div>
          </w:divsChild>
        </w:div>
        <w:div w:id="1194226608">
          <w:marLeft w:val="0"/>
          <w:marRight w:val="0"/>
          <w:marTop w:val="0"/>
          <w:marBottom w:val="0"/>
          <w:divBdr>
            <w:top w:val="none" w:sz="0" w:space="0" w:color="auto"/>
            <w:left w:val="none" w:sz="0" w:space="0" w:color="auto"/>
            <w:bottom w:val="none" w:sz="0" w:space="0" w:color="auto"/>
            <w:right w:val="none" w:sz="0" w:space="0" w:color="auto"/>
          </w:divBdr>
          <w:divsChild>
            <w:div w:id="1722363710">
              <w:marLeft w:val="1200"/>
              <w:marRight w:val="0"/>
              <w:marTop w:val="240"/>
              <w:marBottom w:val="240"/>
              <w:divBdr>
                <w:top w:val="none" w:sz="0" w:space="0" w:color="auto"/>
                <w:left w:val="none" w:sz="0" w:space="0" w:color="auto"/>
                <w:bottom w:val="none" w:sz="0" w:space="0" w:color="auto"/>
                <w:right w:val="none" w:sz="0" w:space="0" w:color="auto"/>
              </w:divBdr>
            </w:div>
            <w:div w:id="24336899">
              <w:marLeft w:val="1200"/>
              <w:marRight w:val="0"/>
              <w:marTop w:val="240"/>
              <w:marBottom w:val="240"/>
              <w:divBdr>
                <w:top w:val="none" w:sz="0" w:space="0" w:color="auto"/>
                <w:left w:val="none" w:sz="0" w:space="0" w:color="auto"/>
                <w:bottom w:val="none" w:sz="0" w:space="0" w:color="auto"/>
                <w:right w:val="none" w:sz="0" w:space="0" w:color="auto"/>
              </w:divBdr>
            </w:div>
          </w:divsChild>
        </w:div>
      </w:divsChild>
    </w:div>
    <w:div w:id="1853646875">
      <w:bodyDiv w:val="1"/>
      <w:marLeft w:val="0"/>
      <w:marRight w:val="0"/>
      <w:marTop w:val="0"/>
      <w:marBottom w:val="0"/>
      <w:divBdr>
        <w:top w:val="none" w:sz="0" w:space="0" w:color="auto"/>
        <w:left w:val="none" w:sz="0" w:space="0" w:color="auto"/>
        <w:bottom w:val="none" w:sz="0" w:space="0" w:color="auto"/>
        <w:right w:val="none" w:sz="0" w:space="0" w:color="auto"/>
      </w:divBdr>
      <w:divsChild>
        <w:div w:id="1312127995">
          <w:marLeft w:val="0"/>
          <w:marRight w:val="0"/>
          <w:marTop w:val="0"/>
          <w:marBottom w:val="0"/>
          <w:divBdr>
            <w:top w:val="none" w:sz="0" w:space="0" w:color="auto"/>
            <w:left w:val="none" w:sz="0" w:space="0" w:color="auto"/>
            <w:bottom w:val="none" w:sz="0" w:space="0" w:color="auto"/>
            <w:right w:val="none" w:sz="0" w:space="0" w:color="auto"/>
          </w:divBdr>
          <w:divsChild>
            <w:div w:id="1119107491">
              <w:marLeft w:val="0"/>
              <w:marRight w:val="0"/>
              <w:marTop w:val="0"/>
              <w:marBottom w:val="0"/>
              <w:divBdr>
                <w:top w:val="none" w:sz="0" w:space="0" w:color="auto"/>
                <w:left w:val="none" w:sz="0" w:space="0" w:color="auto"/>
                <w:bottom w:val="none" w:sz="0" w:space="0" w:color="auto"/>
                <w:right w:val="none" w:sz="0" w:space="0" w:color="auto"/>
              </w:divBdr>
            </w:div>
          </w:divsChild>
        </w:div>
        <w:div w:id="140510060">
          <w:marLeft w:val="0"/>
          <w:marRight w:val="0"/>
          <w:marTop w:val="0"/>
          <w:marBottom w:val="0"/>
          <w:divBdr>
            <w:top w:val="none" w:sz="0" w:space="0" w:color="auto"/>
            <w:left w:val="none" w:sz="0" w:space="0" w:color="auto"/>
            <w:bottom w:val="none" w:sz="0" w:space="0" w:color="auto"/>
            <w:right w:val="none" w:sz="0" w:space="0" w:color="auto"/>
          </w:divBdr>
          <w:divsChild>
            <w:div w:id="1037200765">
              <w:marLeft w:val="0"/>
              <w:marRight w:val="0"/>
              <w:marTop w:val="0"/>
              <w:marBottom w:val="0"/>
              <w:divBdr>
                <w:top w:val="none" w:sz="0" w:space="0" w:color="auto"/>
                <w:left w:val="none" w:sz="0" w:space="0" w:color="auto"/>
                <w:bottom w:val="none" w:sz="0" w:space="0" w:color="auto"/>
                <w:right w:val="none" w:sz="0" w:space="0" w:color="auto"/>
              </w:divBdr>
              <w:divsChild>
                <w:div w:id="909660337">
                  <w:marLeft w:val="0"/>
                  <w:marRight w:val="0"/>
                  <w:marTop w:val="0"/>
                  <w:marBottom w:val="0"/>
                  <w:divBdr>
                    <w:top w:val="none" w:sz="0" w:space="0" w:color="auto"/>
                    <w:left w:val="none" w:sz="0" w:space="0" w:color="auto"/>
                    <w:bottom w:val="none" w:sz="0" w:space="0" w:color="auto"/>
                    <w:right w:val="none" w:sz="0" w:space="0" w:color="auto"/>
                  </w:divBdr>
                  <w:divsChild>
                    <w:div w:id="10959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56049">
          <w:marLeft w:val="0"/>
          <w:marRight w:val="0"/>
          <w:marTop w:val="0"/>
          <w:marBottom w:val="0"/>
          <w:divBdr>
            <w:top w:val="none" w:sz="0" w:space="0" w:color="auto"/>
            <w:left w:val="none" w:sz="0" w:space="0" w:color="auto"/>
            <w:bottom w:val="none" w:sz="0" w:space="0" w:color="auto"/>
            <w:right w:val="none" w:sz="0" w:space="0" w:color="auto"/>
          </w:divBdr>
          <w:divsChild>
            <w:div w:id="1157652877">
              <w:marLeft w:val="1200"/>
              <w:marRight w:val="0"/>
              <w:marTop w:val="240"/>
              <w:marBottom w:val="240"/>
              <w:divBdr>
                <w:top w:val="none" w:sz="0" w:space="0" w:color="auto"/>
                <w:left w:val="none" w:sz="0" w:space="0" w:color="auto"/>
                <w:bottom w:val="none" w:sz="0" w:space="0" w:color="auto"/>
                <w:right w:val="none" w:sz="0" w:space="0" w:color="auto"/>
              </w:divBdr>
            </w:div>
            <w:div w:id="56361542">
              <w:marLeft w:val="1200"/>
              <w:marRight w:val="0"/>
              <w:marTop w:val="240"/>
              <w:marBottom w:val="240"/>
              <w:divBdr>
                <w:top w:val="none" w:sz="0" w:space="0" w:color="auto"/>
                <w:left w:val="none" w:sz="0" w:space="0" w:color="auto"/>
                <w:bottom w:val="none" w:sz="0" w:space="0" w:color="auto"/>
                <w:right w:val="none" w:sz="0" w:space="0" w:color="auto"/>
              </w:divBdr>
            </w:div>
            <w:div w:id="1166245157">
              <w:marLeft w:val="1200"/>
              <w:marRight w:val="0"/>
              <w:marTop w:val="240"/>
              <w:marBottom w:val="240"/>
              <w:divBdr>
                <w:top w:val="none" w:sz="0" w:space="0" w:color="auto"/>
                <w:left w:val="none" w:sz="0" w:space="0" w:color="auto"/>
                <w:bottom w:val="none" w:sz="0" w:space="0" w:color="auto"/>
                <w:right w:val="none" w:sz="0" w:space="0" w:color="auto"/>
              </w:divBdr>
            </w:div>
          </w:divsChild>
        </w:div>
        <w:div w:id="1863088583">
          <w:marLeft w:val="0"/>
          <w:marRight w:val="0"/>
          <w:marTop w:val="0"/>
          <w:marBottom w:val="0"/>
          <w:divBdr>
            <w:top w:val="none" w:sz="0" w:space="0" w:color="auto"/>
            <w:left w:val="none" w:sz="0" w:space="0" w:color="auto"/>
            <w:bottom w:val="none" w:sz="0" w:space="0" w:color="auto"/>
            <w:right w:val="none" w:sz="0" w:space="0" w:color="auto"/>
          </w:divBdr>
          <w:divsChild>
            <w:div w:id="855923335">
              <w:marLeft w:val="1200"/>
              <w:marRight w:val="0"/>
              <w:marTop w:val="240"/>
              <w:marBottom w:val="240"/>
              <w:divBdr>
                <w:top w:val="none" w:sz="0" w:space="0" w:color="auto"/>
                <w:left w:val="none" w:sz="0" w:space="0" w:color="auto"/>
                <w:bottom w:val="none" w:sz="0" w:space="0" w:color="auto"/>
                <w:right w:val="none" w:sz="0" w:space="0" w:color="auto"/>
              </w:divBdr>
            </w:div>
            <w:div w:id="196165839">
              <w:marLeft w:val="120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3618</Words>
  <Characters>20626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1</cp:revision>
  <dcterms:created xsi:type="dcterms:W3CDTF">2024-12-16T08:54:00Z</dcterms:created>
  <dcterms:modified xsi:type="dcterms:W3CDTF">2024-12-19T18:14:00Z</dcterms:modified>
</cp:coreProperties>
</file>