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1143002"/>
        <w:docPartObj>
          <w:docPartGallery w:val="Cover Pages"/>
          <w:docPartUnique/>
        </w:docPartObj>
      </w:sdtPr>
      <w:sdtContent>
        <w:p w14:paraId="46C44C5A" w14:textId="0918C3A7" w:rsidR="00B10B17" w:rsidRDefault="00B10B17">
          <w:r>
            <w:rPr>
              <w:noProof/>
            </w:rPr>
            <mc:AlternateContent>
              <mc:Choice Requires="wps">
                <w:drawing>
                  <wp:anchor distT="0" distB="0" distL="114300" distR="114300" simplePos="0" relativeHeight="251659264" behindDoc="0" locked="0" layoutInCell="1" allowOverlap="1" wp14:anchorId="17DA9E57" wp14:editId="50111BB1">
                    <wp:simplePos x="0" y="0"/>
                    <wp:positionH relativeFrom="page">
                      <wp:posOffset>381000</wp:posOffset>
                    </wp:positionH>
                    <wp:positionV relativeFrom="page">
                      <wp:posOffset>844550</wp:posOffset>
                    </wp:positionV>
                    <wp:extent cx="7181850" cy="9423400"/>
                    <wp:effectExtent l="0" t="0" r="0" b="6350"/>
                    <wp:wrapNone/>
                    <wp:docPr id="138" name="Text Box 139"/>
                    <wp:cNvGraphicFramePr/>
                    <a:graphic xmlns:a="http://schemas.openxmlformats.org/drawingml/2006/main">
                      <a:graphicData uri="http://schemas.microsoft.com/office/word/2010/wordprocessingShape">
                        <wps:wsp>
                          <wps:cNvSpPr txBox="1"/>
                          <wps:spPr>
                            <a:xfrm>
                              <a:off x="0" y="0"/>
                              <a:ext cx="7181850" cy="9423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EB1F953" w14:textId="78F49422" w:rsidR="00B10B17" w:rsidRDefault="00CA3C8A">
                                <w:r>
                                  <w:rPr>
                                    <w:noProof/>
                                  </w:rPr>
                                  <w:drawing>
                                    <wp:inline distT="0" distB="0" distL="0" distR="0" wp14:anchorId="7040B8DA" wp14:editId="45B994E8">
                                      <wp:extent cx="6845300" cy="9537700"/>
                                      <wp:effectExtent l="0" t="0" r="0" b="6350"/>
                                      <wp:docPr id="1882522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5300" cy="953770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7DA9E57" id="_x0000_t202" coordsize="21600,21600" o:spt="202" path="m,l,21600r21600,l21600,xe">
                    <v:stroke joinstyle="miter"/>
                    <v:path gradientshapeok="t" o:connecttype="rect"/>
                  </v:shapetype>
                  <v:shape id="Text Box 139" o:spid="_x0000_s1026" type="#_x0000_t202" style="position:absolute;margin-left:30pt;margin-top:66.5pt;width:565.5pt;height:74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" fillcolor="white [3201]" stroked="f" strokeweight=".5pt">
                    <v:textbox inset="0,0,0,0">
                      <w:txbxContent>
                        <w:p w14:paraId="2EB1F953" w14:textId="78F49422" w:rsidR="00B10B17" w:rsidRDefault="00CA3C8A">
                          <w:r>
                            <w:rPr>
                              <w:noProof/>
                            </w:rPr>
                            <w:drawing>
                              <wp:inline distT="0" distB="0" distL="0" distR="0" wp14:anchorId="7040B8DA" wp14:editId="45B994E8">
                                <wp:extent cx="6845300" cy="9537700"/>
                                <wp:effectExtent l="0" t="0" r="0" b="6350"/>
                                <wp:docPr id="1882522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5300" cy="9537700"/>
                                        </a:xfrm>
                                        <a:prstGeom prst="rect">
                                          <a:avLst/>
                                        </a:prstGeom>
                                        <a:noFill/>
                                        <a:ln>
                                          <a:noFill/>
                                        </a:ln>
                                      </pic:spPr>
                                    </pic:pic>
                                  </a:graphicData>
                                </a:graphic>
                              </wp:inline>
                            </w:drawing>
                          </w:r>
                        </w:p>
                      </w:txbxContent>
                    </v:textbox>
                    <w10:wrap anchorx="page" anchory="page"/>
                  </v:shape>
                </w:pict>
              </mc:Fallback>
            </mc:AlternateContent>
          </w:r>
          <w:r>
            <w:br w:type="page"/>
          </w:r>
        </w:p>
      </w:sdtContent>
    </w:sdt>
    <w:p w14:paraId="5D64D49B" w14:textId="77777777" w:rsidR="00B10B17" w:rsidRPr="00B10B17" w:rsidRDefault="00B10B17" w:rsidP="00B10B17">
      <w:pPr>
        <w:rPr>
          <w:b/>
          <w:bCs/>
        </w:rPr>
      </w:pPr>
      <w:r w:rsidRPr="00B10B17">
        <w:rPr>
          <w:b/>
          <w:bCs/>
        </w:rPr>
        <w:lastRenderedPageBreak/>
        <w:t>Page content:</w:t>
      </w:r>
    </w:p>
    <w:p w14:paraId="003D262A" w14:textId="77777777" w:rsidR="00B10B17" w:rsidRPr="00B10B17" w:rsidRDefault="00B10B17" w:rsidP="00B10B17"/>
    <w:p w14:paraId="44EDC34B" w14:textId="70A591F1" w:rsidR="00B10B17" w:rsidRPr="00B10B17" w:rsidRDefault="003B640A" w:rsidP="00B10B17">
      <w:pPr>
        <w:rPr>
          <w:b/>
          <w:bCs/>
        </w:rPr>
      </w:pPr>
      <w:bookmarkStart w:id="0" w:name="_Hlk192761082"/>
      <w:r>
        <w:rPr>
          <w:b/>
          <w:bCs/>
        </w:rPr>
        <w:t xml:space="preserve">Video critique                                </w:t>
      </w:r>
      <w:r w:rsidR="00B10B17" w:rsidRPr="00B10B17">
        <w:rPr>
          <w:b/>
          <w:bCs/>
        </w:rPr>
        <w:t xml:space="preserve">             </w:t>
      </w:r>
      <w:bookmarkEnd w:id="0"/>
      <w:r w:rsidR="00B10B17" w:rsidRPr="00B10B17">
        <w:rPr>
          <w:b/>
          <w:bCs/>
        </w:rPr>
        <w:t>…………………………………</w:t>
      </w:r>
      <w:r w:rsidR="00C70F82">
        <w:rPr>
          <w:b/>
          <w:bCs/>
        </w:rPr>
        <w:t xml:space="preserve">.. </w:t>
      </w:r>
      <w:r w:rsidR="00B10B17" w:rsidRPr="00B10B17">
        <w:rPr>
          <w:b/>
          <w:bCs/>
        </w:rPr>
        <w:t xml:space="preserve"> pp. 2-</w:t>
      </w:r>
      <w:r w:rsidR="00EC282C">
        <w:rPr>
          <w:b/>
          <w:bCs/>
        </w:rPr>
        <w:t>4</w:t>
      </w:r>
    </w:p>
    <w:p w14:paraId="7069EA43" w14:textId="27A09320" w:rsidR="00B10B17" w:rsidRPr="00B10B17" w:rsidRDefault="003B640A" w:rsidP="00B10B17">
      <w:pPr>
        <w:rPr>
          <w:b/>
          <w:bCs/>
        </w:rPr>
      </w:pPr>
      <w:bookmarkStart w:id="1" w:name="_Hlk192761661"/>
      <w:r>
        <w:rPr>
          <w:b/>
          <w:bCs/>
        </w:rPr>
        <w:t>Poster</w:t>
      </w:r>
      <w:r w:rsidR="00B10B17" w:rsidRPr="00B10B17">
        <w:rPr>
          <w:b/>
          <w:bCs/>
        </w:rPr>
        <w:t xml:space="preserve">       </w:t>
      </w:r>
      <w:bookmarkEnd w:id="1"/>
      <w:r>
        <w:rPr>
          <w:b/>
          <w:bCs/>
        </w:rPr>
        <w:t xml:space="preserve">                                                      </w:t>
      </w:r>
      <w:r w:rsidR="00B10B17" w:rsidRPr="00B10B17">
        <w:rPr>
          <w:b/>
          <w:bCs/>
        </w:rPr>
        <w:t>…………………………………… pp. 5</w:t>
      </w:r>
    </w:p>
    <w:p w14:paraId="2A4D08A6" w14:textId="3830B0DE" w:rsidR="00B10B17" w:rsidRPr="00B10B17" w:rsidRDefault="003B640A" w:rsidP="00B10B17">
      <w:pPr>
        <w:rPr>
          <w:b/>
          <w:bCs/>
        </w:rPr>
      </w:pPr>
      <w:bookmarkStart w:id="2" w:name="_Hlk192762205"/>
      <w:r>
        <w:rPr>
          <w:b/>
          <w:bCs/>
        </w:rPr>
        <w:t xml:space="preserve">Blogs                                           </w:t>
      </w:r>
      <w:r w:rsidR="00B10B17" w:rsidRPr="00B10B17">
        <w:rPr>
          <w:b/>
          <w:bCs/>
        </w:rPr>
        <w:t xml:space="preserve">                     </w:t>
      </w:r>
      <w:bookmarkEnd w:id="2"/>
      <w:r w:rsidR="00B10B17" w:rsidRPr="00B10B17">
        <w:rPr>
          <w:b/>
          <w:bCs/>
        </w:rPr>
        <w:t xml:space="preserve">…………………………………… pp. </w:t>
      </w:r>
      <w:r w:rsidR="00EC282C">
        <w:rPr>
          <w:b/>
          <w:bCs/>
        </w:rPr>
        <w:t>6</w:t>
      </w:r>
      <w:r w:rsidR="00B10B17" w:rsidRPr="00B10B17">
        <w:rPr>
          <w:b/>
          <w:bCs/>
        </w:rPr>
        <w:t>-</w:t>
      </w:r>
      <w:r w:rsidR="00EC282C">
        <w:rPr>
          <w:b/>
          <w:bCs/>
        </w:rPr>
        <w:t>9</w:t>
      </w:r>
    </w:p>
    <w:p w14:paraId="685188F7" w14:textId="25F20930" w:rsidR="00B10B17" w:rsidRPr="00B10B17" w:rsidRDefault="00C70F82" w:rsidP="00B10B17">
      <w:pPr>
        <w:rPr>
          <w:b/>
          <w:bCs/>
        </w:rPr>
      </w:pPr>
      <w:bookmarkStart w:id="3" w:name="_Hlk192763190"/>
      <w:r>
        <w:rPr>
          <w:b/>
          <w:bCs/>
        </w:rPr>
        <w:t>Legislation Timeline</w:t>
      </w:r>
      <w:bookmarkEnd w:id="3"/>
      <w:r>
        <w:rPr>
          <w:b/>
          <w:bCs/>
        </w:rPr>
        <w:t xml:space="preserve">                               </w:t>
      </w:r>
      <w:r w:rsidR="00B10B17" w:rsidRPr="00B10B17">
        <w:rPr>
          <w:b/>
          <w:bCs/>
        </w:rPr>
        <w:t xml:space="preserve">…………………………………… pp. </w:t>
      </w:r>
      <w:r w:rsidR="00EC282C">
        <w:rPr>
          <w:b/>
          <w:bCs/>
        </w:rPr>
        <w:t>9</w:t>
      </w:r>
      <w:r w:rsidR="00B10B17" w:rsidRPr="00B10B17">
        <w:rPr>
          <w:b/>
          <w:bCs/>
        </w:rPr>
        <w:t>-1</w:t>
      </w:r>
      <w:r w:rsidR="00EC282C">
        <w:rPr>
          <w:b/>
          <w:bCs/>
        </w:rPr>
        <w:t>2</w:t>
      </w:r>
    </w:p>
    <w:p w14:paraId="78D231A9" w14:textId="297FAFD4" w:rsidR="00B10B17" w:rsidRPr="00B10B17" w:rsidRDefault="00B10B17" w:rsidP="00B10B17">
      <w:pPr>
        <w:rPr>
          <w:b/>
          <w:bCs/>
        </w:rPr>
      </w:pPr>
      <w:r w:rsidRPr="00B10B17">
        <w:rPr>
          <w:b/>
          <w:bCs/>
        </w:rPr>
        <w:t xml:space="preserve">References List                                         …………………………………… pp. </w:t>
      </w:r>
      <w:r w:rsidR="00EC282C">
        <w:rPr>
          <w:b/>
          <w:bCs/>
        </w:rPr>
        <w:t>12</w:t>
      </w:r>
      <w:r w:rsidRPr="00B10B17">
        <w:rPr>
          <w:b/>
          <w:bCs/>
        </w:rPr>
        <w:t>-</w:t>
      </w:r>
      <w:r w:rsidR="00EC282C">
        <w:rPr>
          <w:b/>
          <w:bCs/>
        </w:rPr>
        <w:t>18</w:t>
      </w:r>
    </w:p>
    <w:p w14:paraId="3BC2ED36" w14:textId="77777777" w:rsidR="00E326FC" w:rsidRDefault="00E326FC"/>
    <w:p w14:paraId="160301F8" w14:textId="77777777" w:rsidR="003B640A" w:rsidRDefault="003B640A"/>
    <w:p w14:paraId="25F25900" w14:textId="77777777" w:rsidR="003B640A" w:rsidRDefault="003B640A"/>
    <w:p w14:paraId="733354FC" w14:textId="77777777" w:rsidR="003B640A" w:rsidRDefault="003B640A"/>
    <w:p w14:paraId="0798BCA0" w14:textId="77777777" w:rsidR="003B640A" w:rsidRDefault="003B640A"/>
    <w:p w14:paraId="661BC348" w14:textId="77777777" w:rsidR="003B640A" w:rsidRDefault="003B640A"/>
    <w:p w14:paraId="1DCF6E06" w14:textId="77777777" w:rsidR="003B640A" w:rsidRDefault="003B640A"/>
    <w:p w14:paraId="16609DD9" w14:textId="77777777" w:rsidR="003B640A" w:rsidRDefault="003B640A"/>
    <w:p w14:paraId="3918EB31" w14:textId="77777777" w:rsidR="003B640A" w:rsidRDefault="003B640A"/>
    <w:p w14:paraId="7ECB2104" w14:textId="77777777" w:rsidR="003B640A" w:rsidRDefault="003B640A"/>
    <w:p w14:paraId="164AAC81" w14:textId="77777777" w:rsidR="003B640A" w:rsidRDefault="003B640A"/>
    <w:p w14:paraId="2E8C5821" w14:textId="77777777" w:rsidR="003B640A" w:rsidRDefault="003B640A"/>
    <w:p w14:paraId="648CDD98" w14:textId="77777777" w:rsidR="003B640A" w:rsidRDefault="003B640A"/>
    <w:p w14:paraId="16D125CE" w14:textId="77777777" w:rsidR="003B640A" w:rsidRDefault="003B640A"/>
    <w:p w14:paraId="5EAFCAC7" w14:textId="77777777" w:rsidR="003B640A" w:rsidRDefault="003B640A"/>
    <w:p w14:paraId="264A7421" w14:textId="77777777" w:rsidR="003B640A" w:rsidRDefault="003B640A"/>
    <w:p w14:paraId="23B9E4EC" w14:textId="77777777" w:rsidR="003B640A" w:rsidRDefault="003B640A"/>
    <w:p w14:paraId="056D0DE1" w14:textId="77777777" w:rsidR="003B640A" w:rsidRDefault="003B640A"/>
    <w:p w14:paraId="552EF91F" w14:textId="77777777" w:rsidR="003B640A" w:rsidRDefault="003B640A"/>
    <w:p w14:paraId="5EF3E703" w14:textId="77777777" w:rsidR="003B640A" w:rsidRDefault="003B640A"/>
    <w:p w14:paraId="7B99149C" w14:textId="77777777" w:rsidR="003B640A" w:rsidRDefault="003B640A"/>
    <w:p w14:paraId="69AD89CD" w14:textId="77777777" w:rsidR="003B640A" w:rsidRDefault="003B640A" w:rsidP="003B640A">
      <w:pPr>
        <w:rPr>
          <w:rFonts w:ascii="Arial" w:hAnsi="Arial" w:cs="Arial"/>
          <w:b/>
          <w:bCs/>
        </w:rPr>
      </w:pPr>
      <w:r>
        <w:rPr>
          <w:rFonts w:ascii="Arial" w:hAnsi="Arial" w:cs="Arial"/>
          <w:b/>
          <w:bCs/>
        </w:rPr>
        <w:lastRenderedPageBreak/>
        <w:t>Critique of the Child and Adolescent Mental Health Service (CAMHS) Video</w:t>
      </w:r>
      <w:r>
        <w:rPr>
          <w:rFonts w:ascii="Arial" w:hAnsi="Arial" w:cs="Arial"/>
          <w:b/>
          <w:bCs/>
        </w:rPr>
        <w:br/>
      </w:r>
    </w:p>
    <w:p w14:paraId="418C7DE6" w14:textId="77777777" w:rsidR="003B640A" w:rsidRPr="006728A3" w:rsidRDefault="003B640A" w:rsidP="003B640A">
      <w:pPr>
        <w:rPr>
          <w:rFonts w:ascii="Arial" w:hAnsi="Arial" w:cs="Arial"/>
        </w:rPr>
      </w:pPr>
      <w:r w:rsidRPr="006728A3">
        <w:rPr>
          <w:rFonts w:ascii="Arial" w:hAnsi="Arial" w:cs="Arial"/>
        </w:rPr>
        <w:t>The Child and Adolescent Mental Health Service (CAMHS) provides essential support for the mental health needs of children and adolescents in the United Kingdom. The video under critique, produced by Humber Teaching NHS Foundation Trust (2020) and hosted on YouTube, offers an overview of how young people typically navigate through CAMHS—from referral</w:t>
      </w:r>
      <w:r>
        <w:rPr>
          <w:rFonts w:ascii="Arial" w:hAnsi="Arial" w:cs="Arial"/>
        </w:rPr>
        <w:t xml:space="preserve"> through a set number of therapy sessions</w:t>
      </w:r>
      <w:r w:rsidRPr="006728A3">
        <w:rPr>
          <w:rFonts w:ascii="Arial" w:hAnsi="Arial" w:cs="Arial"/>
        </w:rPr>
        <w:t xml:space="preserve"> to discharge. While this resource serves as an informative introduction to the service, a closer examination reveals both its strengths and weaknesses, along with the systemic challenges that can affect the overall effectiveness of CAMHS. This critique will analyse key aspects of the referral stages, explore the service structure and interventions described, and briefly look into how CAMHS operates in Wales. In </w:t>
      </w:r>
      <w:r>
        <w:rPr>
          <w:rFonts w:ascii="Arial" w:hAnsi="Arial" w:cs="Arial"/>
        </w:rPr>
        <w:t>doing so, it will consider how improvements can</w:t>
      </w:r>
      <w:r w:rsidRPr="006728A3">
        <w:rPr>
          <w:rFonts w:ascii="Arial" w:hAnsi="Arial" w:cs="Arial"/>
        </w:rPr>
        <w:t xml:space="preserve"> be made to enhance the </w:t>
      </w:r>
      <w:r>
        <w:rPr>
          <w:rFonts w:ascii="Arial" w:hAnsi="Arial" w:cs="Arial"/>
        </w:rPr>
        <w:t>well-being</w:t>
      </w:r>
      <w:r w:rsidRPr="006728A3">
        <w:rPr>
          <w:rFonts w:ascii="Arial" w:hAnsi="Arial" w:cs="Arial"/>
        </w:rPr>
        <w:t xml:space="preserve"> of children and adolescents accessing these services.</w:t>
      </w:r>
    </w:p>
    <w:p w14:paraId="45C6C722" w14:textId="77777777" w:rsidR="003B640A" w:rsidRDefault="003B640A" w:rsidP="003B640A">
      <w:pPr>
        <w:rPr>
          <w:rFonts w:ascii="Arial" w:hAnsi="Arial" w:cs="Arial"/>
          <w:b/>
          <w:bCs/>
        </w:rPr>
      </w:pPr>
      <w:r>
        <w:rPr>
          <w:rFonts w:ascii="Arial" w:hAnsi="Arial" w:cs="Arial"/>
          <w:b/>
          <w:bCs/>
        </w:rPr>
        <w:t>Referral Stages and Implications</w:t>
      </w:r>
    </w:p>
    <w:p w14:paraId="75D23060" w14:textId="018A2697" w:rsidR="003B640A" w:rsidRPr="006728A3" w:rsidRDefault="003B640A" w:rsidP="003B640A">
      <w:pPr>
        <w:rPr>
          <w:rFonts w:ascii="Arial" w:hAnsi="Arial" w:cs="Arial"/>
        </w:rPr>
      </w:pPr>
      <w:r w:rsidRPr="006728A3">
        <w:rPr>
          <w:rFonts w:ascii="Arial" w:hAnsi="Arial" w:cs="Arial"/>
        </w:rPr>
        <w:t xml:space="preserve">The video </w:t>
      </w:r>
      <w:r w:rsidR="00956837">
        <w:rPr>
          <w:rFonts w:ascii="Arial" w:hAnsi="Arial" w:cs="Arial"/>
        </w:rPr>
        <w:t>describes</w:t>
      </w:r>
      <w:r w:rsidRPr="006728A3">
        <w:rPr>
          <w:rFonts w:ascii="Arial" w:hAnsi="Arial" w:cs="Arial"/>
        </w:rPr>
        <w:t xml:space="preserve"> how most referrals come from General Practitioners (GPs), school counsellors, or social care professionals. It acknowledges that the waiting time from referral to the first CAMHS appointment can extend over several weeks or even months, depending on local demand and resource availability. This delay is a significant concern, as waiting for an </w:t>
      </w:r>
      <w:r w:rsidR="00956837" w:rsidRPr="006728A3">
        <w:rPr>
          <w:rFonts w:ascii="Arial" w:hAnsi="Arial" w:cs="Arial"/>
        </w:rPr>
        <w:t xml:space="preserve">initial assessment </w:t>
      </w:r>
      <w:r w:rsidR="00956837">
        <w:rPr>
          <w:rFonts w:ascii="Arial" w:hAnsi="Arial" w:cs="Arial"/>
        </w:rPr>
        <w:t>risk</w:t>
      </w:r>
      <w:r w:rsidRPr="006728A3">
        <w:rPr>
          <w:rFonts w:ascii="Arial" w:hAnsi="Arial" w:cs="Arial"/>
        </w:rPr>
        <w:t xml:space="preserve"> exacerbating distress and prolonging untreated mental health issues (Fonagy </w:t>
      </w:r>
      <w:r w:rsidRPr="002779C2">
        <w:rPr>
          <w:rFonts w:ascii="Arial" w:hAnsi="Arial" w:cs="Arial"/>
          <w:i/>
          <w:iCs/>
        </w:rPr>
        <w:t>et al</w:t>
      </w:r>
      <w:r w:rsidRPr="006728A3">
        <w:rPr>
          <w:rFonts w:ascii="Arial" w:hAnsi="Arial" w:cs="Arial"/>
        </w:rPr>
        <w:t>., 2020). Early intervention is widely regarded as best practice (NICE, 2021), so protracted waiting periods can undermine timely care and lead to a deterioration in a young person’s condition.</w:t>
      </w:r>
      <w:r w:rsidRPr="006728A3">
        <w:rPr>
          <w:rFonts w:ascii="Arial" w:hAnsi="Arial" w:cs="Arial"/>
        </w:rPr>
        <w:br/>
        <w:t xml:space="preserve">Once a referral is accepted, the video outlines an initial assessment stage to determine appropriate treatment plans. The clarity in explaining this process is a strength, as transparent communication is vital for fostering trust with families (Lidchi and Wiener, 2021). However, the video does not address comprehensive, multi-agency assessments involving educational psychologists, social workers, or community paediatricians, often necessary for complex cases (Laver-Bradbury </w:t>
      </w:r>
      <w:r w:rsidRPr="002779C2">
        <w:rPr>
          <w:rFonts w:ascii="Arial" w:hAnsi="Arial" w:cs="Arial"/>
          <w:i/>
          <w:iCs/>
        </w:rPr>
        <w:t>et al</w:t>
      </w:r>
      <w:r w:rsidRPr="006728A3">
        <w:rPr>
          <w:rFonts w:ascii="Arial" w:hAnsi="Arial" w:cs="Arial"/>
        </w:rPr>
        <w:t>., 2021). Such interdisciplinary involvement can be crucial for accurate diagnoses and ensuring the most suitable interventions, especially when conditions such as autism or significant social factors are present (McCool, 2023).</w:t>
      </w:r>
    </w:p>
    <w:p w14:paraId="1B96C897" w14:textId="77777777" w:rsidR="003B640A" w:rsidRDefault="003B640A" w:rsidP="003B640A">
      <w:pPr>
        <w:rPr>
          <w:rFonts w:ascii="Arial" w:hAnsi="Arial" w:cs="Arial"/>
          <w:b/>
          <w:bCs/>
        </w:rPr>
      </w:pPr>
      <w:r>
        <w:rPr>
          <w:rFonts w:ascii="Arial" w:hAnsi="Arial" w:cs="Arial"/>
          <w:b/>
          <w:bCs/>
        </w:rPr>
        <w:t>Strengths and Weaknesses</w:t>
      </w:r>
    </w:p>
    <w:p w14:paraId="029A0A1F" w14:textId="264355DA" w:rsidR="003B640A" w:rsidRPr="006728A3" w:rsidRDefault="003B640A" w:rsidP="003B640A">
      <w:pPr>
        <w:rPr>
          <w:rFonts w:ascii="Arial" w:hAnsi="Arial" w:cs="Arial"/>
        </w:rPr>
      </w:pPr>
      <w:r w:rsidRPr="006728A3">
        <w:rPr>
          <w:rFonts w:ascii="Arial" w:hAnsi="Arial" w:cs="Arial"/>
        </w:rPr>
        <w:t xml:space="preserve">One significant strength highlighted in the video is that CAMHS seems to operate within a structured framework: children usually receive a specified number of sessions—typically six—to tackle mild to moderate mental health challenges. This provision allows families to have clear expectations regarding the nature and duration of therapy (Grimm </w:t>
      </w:r>
      <w:r w:rsidRPr="002779C2">
        <w:rPr>
          <w:rFonts w:ascii="Arial" w:hAnsi="Arial" w:cs="Arial"/>
          <w:i/>
          <w:iCs/>
        </w:rPr>
        <w:t>et al</w:t>
      </w:r>
      <w:r w:rsidRPr="006728A3">
        <w:rPr>
          <w:rFonts w:ascii="Arial" w:hAnsi="Arial" w:cs="Arial"/>
        </w:rPr>
        <w:t xml:space="preserve">., 2022). Targeted, brief interventions can prove remarkably effective for certain conditions, prompting young individuals and therapists to concentrate on measurable outcomes (Carrier </w:t>
      </w:r>
      <w:r w:rsidRPr="002779C2">
        <w:rPr>
          <w:rFonts w:ascii="Arial" w:hAnsi="Arial" w:cs="Arial"/>
          <w:i/>
          <w:iCs/>
        </w:rPr>
        <w:t>et al</w:t>
      </w:r>
      <w:r w:rsidRPr="006728A3">
        <w:rPr>
          <w:rFonts w:ascii="Arial" w:hAnsi="Arial" w:cs="Arial"/>
        </w:rPr>
        <w:t>., 2024).</w:t>
      </w:r>
      <w:r w:rsidRPr="006728A3">
        <w:rPr>
          <w:rFonts w:ascii="Arial" w:hAnsi="Arial" w:cs="Arial"/>
        </w:rPr>
        <w:br/>
      </w:r>
      <w:r w:rsidRPr="006728A3">
        <w:rPr>
          <w:rFonts w:ascii="Arial" w:hAnsi="Arial" w:cs="Arial"/>
        </w:rPr>
        <w:lastRenderedPageBreak/>
        <w:t xml:space="preserve">Nevertheless, a notable limitation is that six sessions may be inadequate for those experiencing more entrenched or complex difficulties. The video </w:t>
      </w:r>
      <w:r w:rsidR="00956837">
        <w:rPr>
          <w:rFonts w:ascii="Arial" w:hAnsi="Arial" w:cs="Arial"/>
        </w:rPr>
        <w:t>highlights</w:t>
      </w:r>
      <w:r w:rsidRPr="006728A3">
        <w:rPr>
          <w:rFonts w:ascii="Arial" w:hAnsi="Arial" w:cs="Arial"/>
        </w:rPr>
        <w:t xml:space="preserve"> the necessity for a new referral if additional treatment is required, which could lead to another extended waiting period (Cooper, Evans and </w:t>
      </w:r>
      <w:proofErr w:type="spellStart"/>
      <w:r w:rsidRPr="006728A3">
        <w:rPr>
          <w:rFonts w:ascii="Arial" w:hAnsi="Arial" w:cs="Arial"/>
        </w:rPr>
        <w:t>Pybis</w:t>
      </w:r>
      <w:proofErr w:type="spellEnd"/>
      <w:r w:rsidRPr="006728A3">
        <w:rPr>
          <w:rFonts w:ascii="Arial" w:hAnsi="Arial" w:cs="Arial"/>
        </w:rPr>
        <w:t xml:space="preserve">, 2020). This structure disrupts therapeutic continuity and poses a risk of symptom relapse during the interval between referral cycles. Enhancing flexibility in service delivery—for example, by instituting ongoing reviews to extend or modify therapy according to clinical need—could alleviate this issue (Fonagy </w:t>
      </w:r>
      <w:r w:rsidRPr="002779C2">
        <w:rPr>
          <w:rFonts w:ascii="Arial" w:hAnsi="Arial" w:cs="Arial"/>
          <w:i/>
          <w:iCs/>
        </w:rPr>
        <w:t>et al</w:t>
      </w:r>
      <w:r w:rsidRPr="006728A3">
        <w:rPr>
          <w:rFonts w:ascii="Arial" w:hAnsi="Arial" w:cs="Arial"/>
        </w:rPr>
        <w:t>., 2020).</w:t>
      </w:r>
      <w:r w:rsidRPr="006728A3">
        <w:rPr>
          <w:rFonts w:ascii="Arial" w:hAnsi="Arial" w:cs="Arial"/>
        </w:rPr>
        <w:br/>
        <w:t xml:space="preserve">The inclusion of family members presents another strength referenced in the video. Engaging family promotes </w:t>
      </w:r>
      <w:r w:rsidR="00956837">
        <w:rPr>
          <w:rFonts w:ascii="Arial" w:hAnsi="Arial" w:cs="Arial"/>
        </w:rPr>
        <w:t>treatment adherence</w:t>
      </w:r>
      <w:r w:rsidRPr="006728A3">
        <w:rPr>
          <w:rFonts w:ascii="Arial" w:hAnsi="Arial" w:cs="Arial"/>
        </w:rPr>
        <w:t xml:space="preserve"> and supports a more comprehensive approach, given that many child and adolescent issues are profoundly affected by the home environment (Cortina </w:t>
      </w:r>
      <w:r w:rsidRPr="002779C2">
        <w:rPr>
          <w:rFonts w:ascii="Arial" w:hAnsi="Arial" w:cs="Arial"/>
          <w:i/>
          <w:iCs/>
        </w:rPr>
        <w:t>et al</w:t>
      </w:r>
      <w:r w:rsidRPr="006728A3">
        <w:rPr>
          <w:rFonts w:ascii="Arial" w:hAnsi="Arial" w:cs="Arial"/>
        </w:rPr>
        <w:t xml:space="preserve">., 2020). However, the video provides little insight into how parents might receive continual psychoeducational support or training to reinforce therapeutic strategies at home (Thompson and Gale, 2021). When families lack the means to maintain and integrate treatment into daily life, the benefits of therapy can diminish swiftly after sessions conclude (Carrier </w:t>
      </w:r>
      <w:r w:rsidRPr="002779C2">
        <w:rPr>
          <w:rFonts w:ascii="Arial" w:hAnsi="Arial" w:cs="Arial"/>
          <w:i/>
          <w:iCs/>
        </w:rPr>
        <w:t>et al</w:t>
      </w:r>
      <w:r w:rsidRPr="006728A3">
        <w:rPr>
          <w:rFonts w:ascii="Arial" w:hAnsi="Arial" w:cs="Arial"/>
        </w:rPr>
        <w:t>., 2024).</w:t>
      </w:r>
    </w:p>
    <w:p w14:paraId="6A8302C1" w14:textId="77777777" w:rsidR="003B640A" w:rsidRDefault="003B640A" w:rsidP="003B640A">
      <w:pPr>
        <w:rPr>
          <w:rFonts w:ascii="Arial" w:hAnsi="Arial" w:cs="Arial"/>
          <w:b/>
          <w:bCs/>
        </w:rPr>
      </w:pPr>
      <w:r>
        <w:rPr>
          <w:rFonts w:ascii="Arial" w:hAnsi="Arial" w:cs="Arial"/>
          <w:b/>
          <w:bCs/>
        </w:rPr>
        <w:t>Impact of Approaches and Interventions on Child Wellbeing</w:t>
      </w:r>
    </w:p>
    <w:p w14:paraId="3F0D887F" w14:textId="431D9D1F" w:rsidR="003B640A" w:rsidRPr="006728A3" w:rsidRDefault="003B640A" w:rsidP="003B640A">
      <w:pPr>
        <w:rPr>
          <w:rFonts w:ascii="Arial" w:hAnsi="Arial" w:cs="Arial"/>
        </w:rPr>
      </w:pPr>
      <w:r w:rsidRPr="006728A3">
        <w:rPr>
          <w:rFonts w:ascii="Arial" w:hAnsi="Arial" w:cs="Arial"/>
        </w:rPr>
        <w:t xml:space="preserve">The video discusses </w:t>
      </w:r>
      <w:r w:rsidR="00956837">
        <w:rPr>
          <w:rFonts w:ascii="Arial" w:hAnsi="Arial" w:cs="Arial"/>
        </w:rPr>
        <w:t>individual and group-based methods within CAMHS, which align</w:t>
      </w:r>
      <w:r w:rsidRPr="006728A3">
        <w:rPr>
          <w:rFonts w:ascii="Arial" w:hAnsi="Arial" w:cs="Arial"/>
        </w:rPr>
        <w:t xml:space="preserve"> with commonly utilised therapeutic modalities like Cognitive Behavioural Therapy (CBT), play therapy, or family systems therapy (McCool, 2023). All of these can effectively address a variety of mental health issues, from anxiety to conduct disorders. </w:t>
      </w:r>
      <w:r w:rsidR="00956837">
        <w:rPr>
          <w:rFonts w:ascii="Arial" w:hAnsi="Arial" w:cs="Arial"/>
        </w:rPr>
        <w:t>However, the succinct format of the video</w:t>
      </w:r>
      <w:r w:rsidRPr="006728A3">
        <w:rPr>
          <w:rFonts w:ascii="Arial" w:hAnsi="Arial" w:cs="Arial"/>
        </w:rPr>
        <w:t xml:space="preserve"> does not explore how these interventions are adapted to cultural contexts or diverse developmental needs. Tailored and culturally competent care is vital, as it ensures interventions resonate more strongly with the child’s lived experiences (Lidchi and Wiener, 2021).</w:t>
      </w:r>
      <w:r w:rsidRPr="006728A3">
        <w:rPr>
          <w:rFonts w:ascii="Arial" w:hAnsi="Arial" w:cs="Arial"/>
        </w:rPr>
        <w:br/>
        <w:t xml:space="preserve">Another element that remains insufficiently discussed in the video is the thorough implementation of outcome measures—such as standardised questionnaires or observational tools—to assess a child’s progress. Regular monitoring of outcomes is considered best practice to guide clinical decisions, modify treatment goals, and </w:t>
      </w:r>
      <w:r>
        <w:rPr>
          <w:rFonts w:ascii="Arial" w:hAnsi="Arial" w:cs="Arial"/>
        </w:rPr>
        <w:t>assessing</w:t>
      </w:r>
      <w:r w:rsidRPr="006728A3">
        <w:rPr>
          <w:rFonts w:ascii="Arial" w:hAnsi="Arial" w:cs="Arial"/>
        </w:rPr>
        <w:t xml:space="preserve"> readiness for discharge (Fonagy </w:t>
      </w:r>
      <w:r w:rsidRPr="002779C2">
        <w:rPr>
          <w:rFonts w:ascii="Arial" w:hAnsi="Arial" w:cs="Arial"/>
          <w:i/>
          <w:iCs/>
        </w:rPr>
        <w:t>et al</w:t>
      </w:r>
      <w:r w:rsidRPr="006728A3">
        <w:rPr>
          <w:rFonts w:ascii="Arial" w:hAnsi="Arial" w:cs="Arial"/>
        </w:rPr>
        <w:t>., 2020). Its absence in the video may cause viewers to undervalue the significance of such monitoring in guaranteeing that children receive effective and adaptable care.</w:t>
      </w:r>
    </w:p>
    <w:p w14:paraId="053A4D94" w14:textId="77777777" w:rsidR="003B640A" w:rsidRDefault="003B640A" w:rsidP="003B640A">
      <w:pPr>
        <w:rPr>
          <w:rFonts w:ascii="Arial" w:hAnsi="Arial" w:cs="Arial"/>
          <w:b/>
          <w:bCs/>
        </w:rPr>
      </w:pPr>
      <w:r>
        <w:rPr>
          <w:rFonts w:ascii="Arial" w:hAnsi="Arial" w:cs="Arial"/>
          <w:b/>
          <w:bCs/>
        </w:rPr>
        <w:t>CAMHS in Wales</w:t>
      </w:r>
    </w:p>
    <w:p w14:paraId="28BEC749" w14:textId="1600B826" w:rsidR="003B640A" w:rsidRPr="00EB0C5C" w:rsidRDefault="003B640A" w:rsidP="003B640A">
      <w:pPr>
        <w:rPr>
          <w:rFonts w:ascii="Arial" w:hAnsi="Arial" w:cs="Arial"/>
        </w:rPr>
      </w:pPr>
      <w:r w:rsidRPr="00EB0C5C">
        <w:rPr>
          <w:rFonts w:ascii="Arial" w:hAnsi="Arial" w:cs="Arial"/>
        </w:rPr>
        <w:t>The context of CAMHS in Wales closely resembles that of England</w:t>
      </w:r>
      <w:r>
        <w:rPr>
          <w:rFonts w:ascii="Arial" w:hAnsi="Arial" w:cs="Arial"/>
        </w:rPr>
        <w:t>. Still, it is</w:t>
      </w:r>
      <w:r w:rsidRPr="00EB0C5C">
        <w:rPr>
          <w:rFonts w:ascii="Arial" w:hAnsi="Arial" w:cs="Arial"/>
        </w:rPr>
        <w:t xml:space="preserve"> influenced by specific policies and frameworks established under the Welsh Government, including the “Together for Children and Young People Programme” (Welsh Government, 2020). This initiative emphasises the significance of early intervention, specialised support, and collaborative efforts among agencies to streamline care pathways. Nonetheless, waiting times </w:t>
      </w:r>
      <w:r w:rsidR="00956837">
        <w:rPr>
          <w:rFonts w:ascii="Arial" w:hAnsi="Arial" w:cs="Arial"/>
        </w:rPr>
        <w:t>remain</w:t>
      </w:r>
      <w:r w:rsidRPr="00EB0C5C">
        <w:rPr>
          <w:rFonts w:ascii="Arial" w:hAnsi="Arial" w:cs="Arial"/>
        </w:rPr>
        <w:t xml:space="preserve"> a significant concern, particularly in rural areas of Wales where specialised resources are less accessible (Cortina </w:t>
      </w:r>
      <w:r w:rsidRPr="002779C2">
        <w:rPr>
          <w:rFonts w:ascii="Arial" w:hAnsi="Arial" w:cs="Arial"/>
          <w:i/>
          <w:iCs/>
        </w:rPr>
        <w:t>et al</w:t>
      </w:r>
      <w:r w:rsidRPr="00EB0C5C">
        <w:rPr>
          <w:rFonts w:ascii="Arial" w:hAnsi="Arial" w:cs="Arial"/>
        </w:rPr>
        <w:t xml:space="preserve">., 2020). Recent initiatives have </w:t>
      </w:r>
      <w:r w:rsidR="00956837">
        <w:rPr>
          <w:rFonts w:ascii="Arial" w:hAnsi="Arial" w:cs="Arial"/>
        </w:rPr>
        <w:t>bolstered</w:t>
      </w:r>
      <w:r w:rsidRPr="00EB0C5C">
        <w:rPr>
          <w:rFonts w:ascii="Arial" w:hAnsi="Arial" w:cs="Arial"/>
        </w:rPr>
        <w:t xml:space="preserve"> multi-agency integration—</w:t>
      </w:r>
      <w:r w:rsidRPr="00EB0C5C">
        <w:rPr>
          <w:rFonts w:ascii="Arial" w:hAnsi="Arial" w:cs="Arial"/>
        </w:rPr>
        <w:lastRenderedPageBreak/>
        <w:t>connecting primary care, schools, and social services—to reduce unnecessary referral loops. However, the central challenges mentioned in the video, such as limited session offerings and prolonged waits for re-referral, still resonate within Welsh CAMHS settings.</w:t>
      </w:r>
    </w:p>
    <w:p w14:paraId="39F00EEA" w14:textId="77777777" w:rsidR="003B640A" w:rsidRDefault="003B640A" w:rsidP="003B640A">
      <w:pPr>
        <w:rPr>
          <w:rFonts w:ascii="Arial" w:hAnsi="Arial" w:cs="Arial"/>
          <w:b/>
          <w:bCs/>
        </w:rPr>
      </w:pPr>
      <w:r>
        <w:rPr>
          <w:rFonts w:ascii="Arial" w:hAnsi="Arial" w:cs="Arial"/>
          <w:b/>
          <w:bCs/>
        </w:rPr>
        <w:t>Conclusion</w:t>
      </w:r>
    </w:p>
    <w:p w14:paraId="49790737" w14:textId="77777777" w:rsidR="003B640A" w:rsidRPr="006728A3" w:rsidRDefault="003B640A" w:rsidP="003B640A">
      <w:pPr>
        <w:rPr>
          <w:rFonts w:ascii="Arial" w:hAnsi="Arial" w:cs="Arial"/>
        </w:rPr>
      </w:pPr>
      <w:r w:rsidRPr="00EB0C5C">
        <w:rPr>
          <w:rFonts w:ascii="Arial" w:hAnsi="Arial" w:cs="Arial"/>
        </w:rPr>
        <w:t>In conclusion, the CAMHS video highlights essential processes</w:t>
      </w:r>
      <w:r>
        <w:rPr>
          <w:rFonts w:ascii="Arial" w:hAnsi="Arial" w:cs="Arial"/>
        </w:rPr>
        <w:t>, including how young individuals enter the system, what initial therapy entails, and the conditions under which they may</w:t>
      </w:r>
      <w:r w:rsidRPr="00EB0C5C">
        <w:rPr>
          <w:rFonts w:ascii="Arial" w:hAnsi="Arial" w:cs="Arial"/>
        </w:rPr>
        <w:t xml:space="preserve"> be discharged or re-referred. Its transparent approach effectively navigates viewers through the service pathway and underlines the significance of family involvement. However, it also exposes systemic weaknesses, such as prolonged waiting periods, rigid session allocations, and inadequate interagency collaborations (Lidchi and Wiener, 2021). These factors may compromise the timely and comprehensive delivery of mental health care, risking deterioration in a child’s condition during gaps in the treatment process. Indeed, as McCool (2023) </w:t>
      </w:r>
      <w:r>
        <w:rPr>
          <w:rFonts w:ascii="Arial" w:hAnsi="Arial" w:cs="Arial"/>
        </w:rPr>
        <w:t>notes, consistent and integrated strategies across multiple professional domains are essential for achieving</w:t>
      </w:r>
      <w:r w:rsidRPr="00EB0C5C">
        <w:rPr>
          <w:rFonts w:ascii="Arial" w:hAnsi="Arial" w:cs="Arial"/>
        </w:rPr>
        <w:t xml:space="preserve"> successful outcomes. Ultimately, while the video acts as a valuable introduction, the reality on the ground is complex, necessitating flexible, outcome-oriented interventions to genuinely address the multifaceted mental health requirements of children and adolescents.</w:t>
      </w:r>
    </w:p>
    <w:p w14:paraId="4316AB83" w14:textId="77777777" w:rsidR="003B640A" w:rsidRPr="006728A3" w:rsidRDefault="003B640A" w:rsidP="003B640A">
      <w:pPr>
        <w:rPr>
          <w:rFonts w:ascii="Arial" w:hAnsi="Arial" w:cs="Arial"/>
        </w:rPr>
      </w:pPr>
    </w:p>
    <w:p w14:paraId="57BE94F5" w14:textId="6EF0BC86" w:rsidR="003B640A" w:rsidRPr="006728A3" w:rsidRDefault="003B640A" w:rsidP="003B640A">
      <w:pPr>
        <w:rPr>
          <w:rFonts w:ascii="Arial" w:hAnsi="Arial" w:cs="Arial"/>
          <w:b/>
          <w:bCs/>
        </w:rPr>
      </w:pPr>
      <w:r w:rsidRPr="006728A3">
        <w:rPr>
          <w:rFonts w:ascii="Arial" w:hAnsi="Arial" w:cs="Arial"/>
          <w:b/>
          <w:bCs/>
        </w:rPr>
        <w:t xml:space="preserve"> </w:t>
      </w:r>
    </w:p>
    <w:p w14:paraId="3698A980" w14:textId="77777777" w:rsidR="003B640A" w:rsidRDefault="003B640A" w:rsidP="003B640A">
      <w:pPr>
        <w:rPr>
          <w:rFonts w:ascii="Arial" w:hAnsi="Arial" w:cs="Arial"/>
        </w:rPr>
      </w:pPr>
    </w:p>
    <w:p w14:paraId="5E0A913F" w14:textId="77777777" w:rsidR="003B640A" w:rsidRDefault="003B640A" w:rsidP="003B640A">
      <w:pPr>
        <w:rPr>
          <w:rFonts w:ascii="Arial" w:hAnsi="Arial" w:cs="Arial"/>
        </w:rPr>
      </w:pPr>
    </w:p>
    <w:p w14:paraId="326875AA" w14:textId="77777777" w:rsidR="003B640A" w:rsidRDefault="003B640A" w:rsidP="003B640A">
      <w:pPr>
        <w:rPr>
          <w:rFonts w:ascii="Arial" w:hAnsi="Arial" w:cs="Arial"/>
        </w:rPr>
      </w:pPr>
    </w:p>
    <w:p w14:paraId="262E3E9A" w14:textId="77777777" w:rsidR="003B640A" w:rsidRDefault="003B640A" w:rsidP="003B640A">
      <w:pPr>
        <w:rPr>
          <w:rFonts w:ascii="Arial" w:hAnsi="Arial" w:cs="Arial"/>
        </w:rPr>
      </w:pPr>
    </w:p>
    <w:p w14:paraId="57CBAC00" w14:textId="77777777" w:rsidR="003B640A" w:rsidRDefault="003B640A" w:rsidP="003B640A">
      <w:pPr>
        <w:rPr>
          <w:rFonts w:ascii="Arial" w:hAnsi="Arial" w:cs="Arial"/>
        </w:rPr>
      </w:pPr>
    </w:p>
    <w:p w14:paraId="79BA1657" w14:textId="0D9B7B2F" w:rsidR="003B640A" w:rsidRDefault="003B640A" w:rsidP="003B640A">
      <w:pPr>
        <w:rPr>
          <w:rFonts w:ascii="Arial" w:hAnsi="Arial" w:cs="Arial"/>
        </w:rPr>
      </w:pPr>
      <w:r>
        <w:rPr>
          <w:rFonts w:ascii="Arial" w:hAnsi="Arial" w:cs="Arial"/>
          <w:noProof/>
        </w:rPr>
        <w:lastRenderedPageBreak/>
        <w:drawing>
          <wp:inline distT="0" distB="0" distL="0" distR="0" wp14:anchorId="37F06CBD" wp14:editId="48CD81A2">
            <wp:extent cx="6487308" cy="8737600"/>
            <wp:effectExtent l="0" t="0" r="8890" b="6350"/>
            <wp:docPr id="1609189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06857" cy="8763931"/>
                    </a:xfrm>
                    <a:prstGeom prst="rect">
                      <a:avLst/>
                    </a:prstGeom>
                    <a:noFill/>
                    <a:ln>
                      <a:noFill/>
                    </a:ln>
                  </pic:spPr>
                </pic:pic>
              </a:graphicData>
            </a:graphic>
          </wp:inline>
        </w:drawing>
      </w:r>
    </w:p>
    <w:p w14:paraId="7AA796B6" w14:textId="77777777" w:rsidR="004B2CE5" w:rsidRDefault="004B2CE5" w:rsidP="003B640A">
      <w:pPr>
        <w:rPr>
          <w:rFonts w:ascii="Arial" w:hAnsi="Arial" w:cs="Arial"/>
        </w:rPr>
      </w:pPr>
    </w:p>
    <w:p w14:paraId="76401C24" w14:textId="77777777" w:rsidR="004B2CE5" w:rsidRPr="004B2CE5" w:rsidRDefault="004B2CE5" w:rsidP="004B2CE5">
      <w:pPr>
        <w:rPr>
          <w:rFonts w:ascii="Arial" w:hAnsi="Arial" w:cs="Arial"/>
          <w:b/>
          <w:bCs/>
        </w:rPr>
      </w:pPr>
      <w:r w:rsidRPr="004B2CE5">
        <w:rPr>
          <w:rFonts w:ascii="Arial" w:hAnsi="Arial" w:cs="Arial"/>
          <w:b/>
          <w:bCs/>
        </w:rPr>
        <w:t>Blog 1: From Silence to Strength: How Article 13 Turns Children’s Expression into Public Health</w:t>
      </w:r>
    </w:p>
    <w:p w14:paraId="148497A7" w14:textId="5CCB3F64" w:rsidR="004B2CE5" w:rsidRPr="004B2CE5" w:rsidRDefault="004B2CE5" w:rsidP="004B2CE5">
      <w:pPr>
        <w:rPr>
          <w:rFonts w:ascii="Arial" w:hAnsi="Arial" w:cs="Arial"/>
        </w:rPr>
      </w:pPr>
      <w:r w:rsidRPr="004B2CE5">
        <w:rPr>
          <w:rFonts w:ascii="Arial" w:hAnsi="Arial" w:cs="Arial"/>
        </w:rPr>
        <w:t xml:space="preserve">Imagine an </w:t>
      </w:r>
      <w:r w:rsidR="00956837">
        <w:rPr>
          <w:rFonts w:ascii="Arial" w:hAnsi="Arial" w:cs="Arial"/>
        </w:rPr>
        <w:t>eight-year-old crafting her first protest placard: at that instant,</w:t>
      </w:r>
      <w:r w:rsidRPr="004B2CE5">
        <w:rPr>
          <w:rFonts w:ascii="Arial" w:hAnsi="Arial" w:cs="Arial"/>
        </w:rPr>
        <w:t xml:space="preserve"> Article</w:t>
      </w:r>
      <w:r>
        <w:rPr>
          <w:rFonts w:ascii="Arial" w:hAnsi="Arial" w:cs="Arial"/>
        </w:rPr>
        <w:t xml:space="preserve"> </w:t>
      </w:r>
      <w:r w:rsidRPr="004B2CE5">
        <w:rPr>
          <w:rFonts w:ascii="Arial" w:hAnsi="Arial" w:cs="Arial"/>
        </w:rPr>
        <w:t>13 of the UN Convention on the Rights of the Child turns into public</w:t>
      </w:r>
      <w:r w:rsidRPr="004B2CE5">
        <w:rPr>
          <w:rFonts w:ascii="Arial" w:hAnsi="Arial" w:cs="Arial"/>
        </w:rPr>
        <w:noBreakHyphen/>
        <w:t xml:space="preserve">health policy. </w:t>
      </w:r>
      <w:r w:rsidR="00B02A5C" w:rsidRPr="00B02A5C">
        <w:rPr>
          <w:rFonts w:ascii="Arial" w:hAnsi="Arial" w:cs="Arial"/>
        </w:rPr>
        <w:t xml:space="preserve">The freedom to "seek, receive, and impart information" plays a vital role in developing young people's confidence in their thinking. </w:t>
      </w:r>
      <w:r w:rsidR="00956837">
        <w:rPr>
          <w:rFonts w:ascii="Arial" w:hAnsi="Arial" w:cs="Arial"/>
        </w:rPr>
        <w:t>Accessing and sharing</w:t>
      </w:r>
      <w:r w:rsidR="00B02A5C" w:rsidRPr="00B02A5C">
        <w:rPr>
          <w:rFonts w:ascii="Arial" w:hAnsi="Arial" w:cs="Arial"/>
        </w:rPr>
        <w:t xml:space="preserve"> knowledge helps build cognitive independence, which has been shown to lower anxiety levels and strengthen </w:t>
      </w:r>
      <w:r w:rsidR="00956837">
        <w:rPr>
          <w:rFonts w:ascii="Arial" w:hAnsi="Arial" w:cs="Arial"/>
        </w:rPr>
        <w:t>essential</w:t>
      </w:r>
      <w:r w:rsidR="00B02A5C" w:rsidRPr="00B02A5C">
        <w:rPr>
          <w:rFonts w:ascii="Arial" w:hAnsi="Arial" w:cs="Arial"/>
        </w:rPr>
        <w:t xml:space="preserve"> skills like planning, focus, and emotional control among children and young people in the UK (Laver-Bradbury </w:t>
      </w:r>
      <w:r w:rsidR="00B02A5C" w:rsidRPr="00B02A5C">
        <w:rPr>
          <w:rFonts w:ascii="Arial" w:hAnsi="Arial" w:cs="Arial"/>
          <w:i/>
          <w:iCs/>
        </w:rPr>
        <w:t>et al</w:t>
      </w:r>
      <w:r w:rsidR="00B02A5C" w:rsidRPr="00B02A5C">
        <w:rPr>
          <w:rFonts w:ascii="Arial" w:hAnsi="Arial" w:cs="Arial"/>
        </w:rPr>
        <w:t xml:space="preserve">., 2021). When young people feel empowered to explore information openly, they </w:t>
      </w:r>
      <w:r w:rsidR="00956837">
        <w:rPr>
          <w:rFonts w:ascii="Arial" w:hAnsi="Arial" w:cs="Arial"/>
        </w:rPr>
        <w:t>can better</w:t>
      </w:r>
      <w:r w:rsidR="00B02A5C" w:rsidRPr="00B02A5C">
        <w:rPr>
          <w:rFonts w:ascii="Arial" w:hAnsi="Arial" w:cs="Arial"/>
        </w:rPr>
        <w:t xml:space="preserve"> manage challenges, make thoughtful decisions, and support their overall mental wellbeing.</w:t>
      </w:r>
    </w:p>
    <w:p w14:paraId="3DBA9DD6" w14:textId="145A906E" w:rsidR="004B2CE5" w:rsidRDefault="004B2CE5" w:rsidP="004B2CE5">
      <w:pPr>
        <w:rPr>
          <w:rFonts w:ascii="Arial" w:hAnsi="Arial" w:cs="Arial"/>
        </w:rPr>
      </w:pPr>
      <w:r w:rsidRPr="004B2CE5">
        <w:rPr>
          <w:rFonts w:ascii="Arial" w:hAnsi="Arial" w:cs="Arial"/>
        </w:rPr>
        <w:t xml:space="preserve">Expressive capacity is fragile. </w:t>
      </w:r>
      <w:r w:rsidR="00DC6078" w:rsidRPr="00DC6078">
        <w:rPr>
          <w:rFonts w:ascii="Arial" w:hAnsi="Arial" w:cs="Arial"/>
        </w:rPr>
        <w:t>A 2022 systematic review by Berger et al. shows that many young people</w:t>
      </w:r>
      <w:r w:rsidR="00DC6078" w:rsidRPr="00DC6078">
        <w:rPr>
          <w:rFonts w:ascii="Arial" w:hAnsi="Arial" w:cs="Arial"/>
        </w:rPr>
        <w:t xml:space="preserve">, </w:t>
      </w:r>
      <w:r w:rsidR="00DC6078" w:rsidRPr="00DC6078">
        <w:rPr>
          <w:rFonts w:ascii="Arial" w:hAnsi="Arial" w:cs="Arial"/>
        </w:rPr>
        <w:t>particularly those in vulnerable identity groups</w:t>
      </w:r>
      <w:r w:rsidR="00DC6078" w:rsidRPr="00DC6078">
        <w:rPr>
          <w:rFonts w:ascii="Arial" w:hAnsi="Arial" w:cs="Arial"/>
        </w:rPr>
        <w:t xml:space="preserve">, </w:t>
      </w:r>
      <w:r w:rsidR="00DC6078" w:rsidRPr="00DC6078">
        <w:rPr>
          <w:rFonts w:ascii="Arial" w:hAnsi="Arial" w:cs="Arial"/>
        </w:rPr>
        <w:t xml:space="preserve">engage in self-censorship online due to fears of </w:t>
      </w:r>
      <w:r w:rsidR="00DC6078" w:rsidRPr="00DC6078">
        <w:rPr>
          <w:rFonts w:ascii="Arial" w:hAnsi="Arial" w:cs="Arial"/>
        </w:rPr>
        <w:t>judgment</w:t>
      </w:r>
      <w:r w:rsidR="00DC6078" w:rsidRPr="00DC6078">
        <w:rPr>
          <w:rFonts w:ascii="Arial" w:hAnsi="Arial" w:cs="Arial"/>
        </w:rPr>
        <w:t xml:space="preserve">, profiling, or being misinterpreted, leading to stress-related symptoms like sleep disruption and emotional withdrawal (Berger </w:t>
      </w:r>
      <w:r w:rsidR="00DC6078" w:rsidRPr="00DC6078">
        <w:rPr>
          <w:rFonts w:ascii="Arial" w:hAnsi="Arial" w:cs="Arial"/>
          <w:i/>
          <w:iCs/>
        </w:rPr>
        <w:t>et al</w:t>
      </w:r>
      <w:r w:rsidR="00DC6078" w:rsidRPr="00DC6078">
        <w:rPr>
          <w:rFonts w:ascii="Arial" w:hAnsi="Arial" w:cs="Arial"/>
        </w:rPr>
        <w:t>., 2022).</w:t>
      </w:r>
      <w:r w:rsidR="00DC6078">
        <w:rPr>
          <w:rFonts w:ascii="Arial" w:hAnsi="Arial" w:cs="Arial"/>
        </w:rPr>
        <w:t xml:space="preserve"> </w:t>
      </w:r>
      <w:r w:rsidRPr="004B2CE5">
        <w:rPr>
          <w:rFonts w:ascii="Arial" w:hAnsi="Arial" w:cs="Arial"/>
        </w:rPr>
        <w:t>The Online Safety Act 2023 forces high-risk platforms to run child</w:t>
      </w:r>
      <w:r w:rsidRPr="004B2CE5">
        <w:rPr>
          <w:rFonts w:ascii="Arial" w:hAnsi="Arial" w:cs="Arial"/>
        </w:rPr>
        <w:noBreakHyphen/>
        <w:t xml:space="preserve">rights impact assessments before censoring speech, translating Article 13 into an algorithmic duty of care (HM Government, 2023). </w:t>
      </w:r>
      <w:r w:rsidR="006D5B6A" w:rsidRPr="006D5B6A">
        <w:rPr>
          <w:rFonts w:ascii="Arial" w:hAnsi="Arial" w:cs="Arial"/>
        </w:rPr>
        <w:t>At the same time, guidance from the Department for Education on political impartiality encourages schools to facilitate balanced, age-appropriate discussions</w:t>
      </w:r>
      <w:r w:rsidR="006D5B6A" w:rsidRPr="006D5B6A">
        <w:rPr>
          <w:rFonts w:ascii="Arial" w:hAnsi="Arial" w:cs="Arial"/>
        </w:rPr>
        <w:t xml:space="preserve">, </w:t>
      </w:r>
      <w:r w:rsidR="006D5B6A" w:rsidRPr="006D5B6A">
        <w:rPr>
          <w:rFonts w:ascii="Arial" w:hAnsi="Arial" w:cs="Arial"/>
        </w:rPr>
        <w:t>providing a form of “psychological ventilation” that has been linked to reduced exclusion rates and improved school attendance (Department for Education, 2022).</w:t>
      </w:r>
    </w:p>
    <w:p w14:paraId="089BEBC0" w14:textId="02F116EE" w:rsidR="00351680" w:rsidRPr="004B2CE5" w:rsidRDefault="00351680" w:rsidP="004B2CE5">
      <w:pPr>
        <w:rPr>
          <w:rFonts w:ascii="Arial" w:hAnsi="Arial" w:cs="Arial"/>
        </w:rPr>
      </w:pPr>
      <w:r w:rsidRPr="00351680">
        <w:rPr>
          <w:rFonts w:ascii="Arial" w:hAnsi="Arial" w:cs="Arial"/>
        </w:rPr>
        <w:t xml:space="preserve">Design—not doctrine—ultimately shapes outcomes. The 5Rights Foundation’s </w:t>
      </w:r>
      <w:r w:rsidRPr="00351680">
        <w:rPr>
          <w:rFonts w:ascii="Arial" w:hAnsi="Arial" w:cs="Arial"/>
          <w:i/>
          <w:iCs/>
        </w:rPr>
        <w:t>Digital Childhood</w:t>
      </w:r>
      <w:r w:rsidRPr="00351680">
        <w:rPr>
          <w:rFonts w:ascii="Arial" w:hAnsi="Arial" w:cs="Arial"/>
        </w:rPr>
        <w:t xml:space="preserve"> review highlights how privacy-by-default settings, introduced through the </w:t>
      </w:r>
      <w:r w:rsidR="00956837" w:rsidRPr="00351680">
        <w:rPr>
          <w:rFonts w:ascii="Arial" w:hAnsi="Arial" w:cs="Arial"/>
        </w:rPr>
        <w:t>Age-Appropriate</w:t>
      </w:r>
      <w:r w:rsidRPr="00351680">
        <w:rPr>
          <w:rFonts w:ascii="Arial" w:hAnsi="Arial" w:cs="Arial"/>
        </w:rPr>
        <w:t xml:space="preserve"> Design Code, led to a marked reduction in children’s night-time screen use, indirectly improving sleep quality, immunity, and emotional wellbeing (Kidron and Rudkin, 2023). In clinical settings, adopting rights-based, child-led consultation styles—where health professionals begin by listening to the child’s experience—has been associated with better outcomes for children experiencing functional health problems. For instance, participatory, trauma-informed models of care have been shown to improve recovery and reduce stress-related symptoms in paediatric populations (Hynes, Connolly and Durán, 2022).</w:t>
      </w:r>
    </w:p>
    <w:p w14:paraId="776A64D7" w14:textId="7980CD36" w:rsidR="004B2CE5" w:rsidRPr="004B2CE5" w:rsidRDefault="00BE1D57" w:rsidP="004B2CE5">
      <w:pPr>
        <w:rPr>
          <w:rFonts w:ascii="Arial" w:hAnsi="Arial" w:cs="Arial"/>
        </w:rPr>
      </w:pPr>
      <w:r w:rsidRPr="00BE1D57">
        <w:rPr>
          <w:rFonts w:ascii="Arial" w:hAnsi="Arial" w:cs="Arial"/>
        </w:rPr>
        <w:t xml:space="preserve">Struthers and Brittle (2025) argue that safeguarding frameworks must </w:t>
      </w:r>
      <w:r>
        <w:rPr>
          <w:rFonts w:ascii="Arial" w:hAnsi="Arial" w:cs="Arial"/>
        </w:rPr>
        <w:t>reduce harm and</w:t>
      </w:r>
      <w:r w:rsidRPr="00BE1D57">
        <w:rPr>
          <w:rFonts w:ascii="Arial" w:hAnsi="Arial" w:cs="Arial"/>
        </w:rPr>
        <w:t xml:space="preserve"> actively elevate children’s voices, reinforcing Article 13 as a catalyst for wellbeing and democratic inclusion.</w:t>
      </w:r>
    </w:p>
    <w:p w14:paraId="565F2DA1" w14:textId="77777777" w:rsidR="004B2CE5" w:rsidRPr="004B2CE5" w:rsidRDefault="004B2CE5" w:rsidP="004B2CE5">
      <w:pPr>
        <w:rPr>
          <w:rFonts w:ascii="Arial" w:hAnsi="Arial" w:cs="Arial"/>
        </w:rPr>
      </w:pPr>
    </w:p>
    <w:p w14:paraId="1C6669A9" w14:textId="77777777" w:rsidR="004B2CE5" w:rsidRPr="004B2CE5" w:rsidRDefault="004B2CE5" w:rsidP="004B2CE5">
      <w:pPr>
        <w:rPr>
          <w:rFonts w:ascii="Arial" w:hAnsi="Arial" w:cs="Arial"/>
          <w:b/>
          <w:bCs/>
        </w:rPr>
      </w:pPr>
      <w:r w:rsidRPr="004B2CE5">
        <w:rPr>
          <w:rFonts w:ascii="Arial" w:hAnsi="Arial" w:cs="Arial"/>
          <w:b/>
          <w:bCs/>
        </w:rPr>
        <w:t>Blog 2: From Trauma to Triumph: Article 39’s Blueprint for Child Rehabilitation in the UK</w:t>
      </w:r>
    </w:p>
    <w:p w14:paraId="1FF028A7" w14:textId="77777777" w:rsidR="004B2CE5" w:rsidRPr="004B2CE5" w:rsidRDefault="004B2CE5" w:rsidP="004B2CE5">
      <w:pPr>
        <w:rPr>
          <w:rFonts w:ascii="Arial" w:hAnsi="Arial" w:cs="Arial"/>
        </w:rPr>
      </w:pPr>
      <w:r w:rsidRPr="004B2CE5">
        <w:rPr>
          <w:rFonts w:ascii="Arial" w:hAnsi="Arial" w:cs="Arial"/>
        </w:rPr>
        <w:lastRenderedPageBreak/>
        <w:t>Picture a nine-year-old emerging from domestic violence: Article 39 of the UN Convention on the Rights of the Child obliges the state to engineer her psychological recovery and social reintegration. Specialist trauma therapy such as NSPCC’s </w:t>
      </w:r>
      <w:r w:rsidRPr="004B2CE5">
        <w:rPr>
          <w:rFonts w:ascii="Arial" w:hAnsi="Arial" w:cs="Arial"/>
          <w:i/>
          <w:iCs/>
        </w:rPr>
        <w:t>Letting the Future In</w:t>
      </w:r>
      <w:r w:rsidRPr="004B2CE5">
        <w:rPr>
          <w:rFonts w:ascii="Arial" w:hAnsi="Arial" w:cs="Arial"/>
        </w:rPr>
        <w:t xml:space="preserve"> reduces clinically significant distress by 40 % after six months (National Society for the Prevention of Cruelty to Children, NSPCC Learning, 2024).</w:t>
      </w:r>
    </w:p>
    <w:p w14:paraId="5B54413E" w14:textId="395CDAF8" w:rsidR="004B2CE5" w:rsidRPr="004B2CE5" w:rsidRDefault="00EB4581" w:rsidP="004B2CE5">
      <w:pPr>
        <w:rPr>
          <w:rFonts w:ascii="Arial" w:hAnsi="Arial" w:cs="Arial"/>
        </w:rPr>
      </w:pPr>
      <w:r w:rsidRPr="00EB4581">
        <w:rPr>
          <w:rFonts w:ascii="Arial" w:hAnsi="Arial" w:cs="Arial"/>
        </w:rPr>
        <w:t>Recovery is rarely straightforward. Without proper support, nearly half of child victims report feeling “alone and confused” as their criminal cases move forward (Children’s Commissioner, 2024).</w:t>
      </w:r>
      <w:r>
        <w:rPr>
          <w:rFonts w:ascii="Arial" w:hAnsi="Arial" w:cs="Arial"/>
        </w:rPr>
        <w:t xml:space="preserve"> </w:t>
      </w:r>
      <w:r w:rsidR="004B2CE5" w:rsidRPr="004B2CE5">
        <w:rPr>
          <w:rFonts w:ascii="Arial" w:hAnsi="Arial" w:cs="Arial"/>
        </w:rPr>
        <w:t>Article 39, therefore, mandates wrap-around systems. Statutory guidance now backs that imperative:</w:t>
      </w:r>
      <w:r>
        <w:rPr>
          <w:rFonts w:ascii="Arial" w:hAnsi="Arial" w:cs="Arial"/>
        </w:rPr>
        <w:t xml:space="preserve"> </w:t>
      </w:r>
      <w:r w:rsidR="004B2CE5" w:rsidRPr="004B2CE5">
        <w:rPr>
          <w:rFonts w:ascii="Arial" w:hAnsi="Arial" w:cs="Arial"/>
        </w:rPr>
        <w:t>Working Together to Safeguard Children 2023 tasks health, social care, and police with co-designing rehabilitation plans from day one of disclosure (Department for Education, 2023).</w:t>
      </w:r>
    </w:p>
    <w:p w14:paraId="4A57D8AA" w14:textId="77777777" w:rsidR="004B2CE5" w:rsidRPr="004B2CE5" w:rsidRDefault="004B2CE5" w:rsidP="004B2CE5">
      <w:pPr>
        <w:rPr>
          <w:rFonts w:ascii="Arial" w:hAnsi="Arial" w:cs="Arial"/>
        </w:rPr>
      </w:pPr>
      <w:r w:rsidRPr="004B2CE5">
        <w:rPr>
          <w:rFonts w:ascii="Arial" w:hAnsi="Arial" w:cs="Arial"/>
        </w:rPr>
        <w:t>Inside those plans, trauma-informed pedagogy is pivotal. Embedding attachment-aware routines—calm corners, predictable schedules, restorative language—improves attention and attendance, offering the “ordinary magic” that drives social reintegration (Knight, 2025). NHS England’s 2024 Safeguarding Framework echoes this, urging integrated care boards to commission pathways that pair therapy with educational stability (NHS England, 2024).</w:t>
      </w:r>
    </w:p>
    <w:p w14:paraId="271FD63D" w14:textId="0C97C54A" w:rsidR="004B2CE5" w:rsidRPr="004B2CE5" w:rsidRDefault="004B2CE5" w:rsidP="004B2CE5">
      <w:pPr>
        <w:rPr>
          <w:rFonts w:ascii="Arial" w:hAnsi="Arial" w:cs="Arial"/>
        </w:rPr>
      </w:pPr>
      <w:r w:rsidRPr="004B2CE5">
        <w:rPr>
          <w:rFonts w:ascii="Arial" w:hAnsi="Arial" w:cs="Arial"/>
        </w:rPr>
        <w:t xml:space="preserve">Agency accelerates healing, too: </w:t>
      </w:r>
      <w:r w:rsidR="00EB4581">
        <w:rPr>
          <w:rFonts w:ascii="Arial" w:hAnsi="Arial" w:cs="Arial"/>
        </w:rPr>
        <w:t>Shared decision-making models give children a voice in</w:t>
      </w:r>
      <w:r w:rsidRPr="004B2CE5">
        <w:rPr>
          <w:rFonts w:ascii="Arial" w:hAnsi="Arial" w:cs="Arial"/>
        </w:rPr>
        <w:t xml:space="preserve"> intervention goals and therapy modalities, boosting adherence and family satisfaction (Jacobs </w:t>
      </w:r>
      <w:r w:rsidRPr="004B2CE5">
        <w:rPr>
          <w:rFonts w:ascii="Arial" w:hAnsi="Arial" w:cs="Arial"/>
          <w:i/>
          <w:iCs/>
        </w:rPr>
        <w:t>et al</w:t>
      </w:r>
      <w:r w:rsidRPr="004B2CE5">
        <w:rPr>
          <w:rFonts w:ascii="Arial" w:hAnsi="Arial" w:cs="Arial"/>
        </w:rPr>
        <w:t>., 2023).</w:t>
      </w:r>
    </w:p>
    <w:p w14:paraId="0B6AABE5" w14:textId="77777777" w:rsidR="004B2CE5" w:rsidRPr="004B2CE5" w:rsidRDefault="004B2CE5" w:rsidP="004B2CE5">
      <w:pPr>
        <w:rPr>
          <w:rFonts w:ascii="Arial" w:hAnsi="Arial" w:cs="Arial"/>
        </w:rPr>
      </w:pPr>
      <w:r w:rsidRPr="004B2CE5">
        <w:rPr>
          <w:rFonts w:ascii="Arial" w:hAnsi="Arial" w:cs="Arial"/>
        </w:rPr>
        <w:t>Article 39 thus reframes rehabilitation as reparative justice: when services collaborate to restore dignity, children move from victimhood to citizenship, their well-being reaffirmed in both body and community.</w:t>
      </w:r>
    </w:p>
    <w:p w14:paraId="1651197B" w14:textId="77777777" w:rsidR="004B2CE5" w:rsidRPr="004B2CE5" w:rsidRDefault="004B2CE5" w:rsidP="004B2CE5">
      <w:pPr>
        <w:rPr>
          <w:rFonts w:ascii="Arial" w:hAnsi="Arial" w:cs="Arial"/>
        </w:rPr>
      </w:pPr>
    </w:p>
    <w:p w14:paraId="404B3A62" w14:textId="75A6B88B" w:rsidR="004B2CE5" w:rsidRPr="004B2CE5" w:rsidRDefault="004B2CE5" w:rsidP="004B2CE5">
      <w:pPr>
        <w:rPr>
          <w:rFonts w:ascii="Arial" w:hAnsi="Arial" w:cs="Arial"/>
          <w:b/>
          <w:bCs/>
        </w:rPr>
      </w:pPr>
    </w:p>
    <w:p w14:paraId="17436677" w14:textId="77777777" w:rsidR="004B2CE5" w:rsidRPr="004B2CE5" w:rsidRDefault="004B2CE5" w:rsidP="004B2CE5">
      <w:pPr>
        <w:rPr>
          <w:rFonts w:ascii="Arial" w:hAnsi="Arial" w:cs="Arial"/>
          <w:b/>
          <w:bCs/>
        </w:rPr>
      </w:pPr>
    </w:p>
    <w:p w14:paraId="0FBEA685" w14:textId="77777777" w:rsidR="004B2CE5" w:rsidRPr="004B2CE5" w:rsidRDefault="004B2CE5" w:rsidP="004B2CE5">
      <w:pPr>
        <w:rPr>
          <w:rFonts w:ascii="Arial" w:hAnsi="Arial" w:cs="Arial"/>
          <w:b/>
          <w:bCs/>
        </w:rPr>
      </w:pPr>
      <w:r w:rsidRPr="004B2CE5">
        <w:rPr>
          <w:rFonts w:ascii="Arial" w:hAnsi="Arial" w:cs="Arial"/>
          <w:b/>
          <w:bCs/>
        </w:rPr>
        <w:t>Blog 3: Early</w:t>
      </w:r>
      <w:r w:rsidRPr="004B2CE5">
        <w:rPr>
          <w:rFonts w:ascii="Arial" w:hAnsi="Arial" w:cs="Arial"/>
          <w:b/>
          <w:bCs/>
        </w:rPr>
        <w:noBreakHyphen/>
        <w:t>Warning Shields: Activating Article 19 to Prevent Violence Against Children in the UK</w:t>
      </w:r>
    </w:p>
    <w:p w14:paraId="2006F424" w14:textId="77777777" w:rsidR="004B2CE5" w:rsidRPr="004B2CE5" w:rsidRDefault="004B2CE5" w:rsidP="004B2CE5">
      <w:pPr>
        <w:rPr>
          <w:rFonts w:ascii="Arial" w:hAnsi="Arial" w:cs="Arial"/>
        </w:rPr>
      </w:pPr>
      <w:r w:rsidRPr="004B2CE5">
        <w:rPr>
          <w:rFonts w:ascii="Arial" w:hAnsi="Arial" w:cs="Arial"/>
        </w:rPr>
        <w:t>A child’s right to “be protected from all forms of physical or mental violence” under Article 19 of the UNCRC can sound abstract until statistics land: 330 serious</w:t>
      </w:r>
      <w:r w:rsidRPr="004B2CE5">
        <w:rPr>
          <w:rFonts w:ascii="Arial" w:hAnsi="Arial" w:cs="Arial"/>
        </w:rPr>
        <w:noBreakHyphen/>
        <w:t>harm notifications were filed in England between April 2023 and March 2024 (Child Safeguarding Practice Review Panel, 2024). Each alert represents trauma with lifelong sequelae—heightened cortisol, impaired immunity and a doubled risk of adult depression (</w:t>
      </w:r>
      <w:proofErr w:type="spellStart"/>
      <w:r w:rsidRPr="004B2CE5">
        <w:rPr>
          <w:rFonts w:ascii="Arial" w:hAnsi="Arial" w:cs="Arial"/>
        </w:rPr>
        <w:t>Baginsky</w:t>
      </w:r>
      <w:proofErr w:type="spellEnd"/>
      <w:r w:rsidRPr="004B2CE5">
        <w:rPr>
          <w:rFonts w:ascii="Arial" w:hAnsi="Arial" w:cs="Arial"/>
        </w:rPr>
        <w:t> </w:t>
      </w:r>
      <w:r w:rsidRPr="004B2CE5">
        <w:rPr>
          <w:rFonts w:ascii="Arial" w:hAnsi="Arial" w:cs="Arial"/>
          <w:i/>
          <w:iCs/>
        </w:rPr>
        <w:t>et al</w:t>
      </w:r>
      <w:r w:rsidRPr="004B2CE5">
        <w:rPr>
          <w:rFonts w:ascii="Arial" w:hAnsi="Arial" w:cs="Arial"/>
        </w:rPr>
        <w:t>., 2022).</w:t>
      </w:r>
    </w:p>
    <w:p w14:paraId="45D0C8EB" w14:textId="77777777" w:rsidR="004B2CE5" w:rsidRPr="004B2CE5" w:rsidRDefault="004B2CE5" w:rsidP="004B2CE5">
      <w:pPr>
        <w:rPr>
          <w:rFonts w:ascii="Arial" w:hAnsi="Arial" w:cs="Arial"/>
        </w:rPr>
      </w:pPr>
      <w:r w:rsidRPr="004B2CE5">
        <w:rPr>
          <w:rFonts w:ascii="Arial" w:hAnsi="Arial" w:cs="Arial"/>
        </w:rPr>
        <w:t xml:space="preserve">Article 19 converts epidemiology into a preventive duty. The Home Office’s </w:t>
      </w:r>
      <w:r w:rsidRPr="004B2CE5">
        <w:rPr>
          <w:rFonts w:ascii="Arial" w:hAnsi="Arial" w:cs="Arial"/>
          <w:i/>
          <w:iCs/>
        </w:rPr>
        <w:t>Tackling Domestic Abuse Plan</w:t>
      </w:r>
      <w:r w:rsidRPr="004B2CE5">
        <w:rPr>
          <w:rFonts w:ascii="Arial" w:hAnsi="Arial" w:cs="Arial"/>
        </w:rPr>
        <w:t xml:space="preserve"> reclassifies children who witness abuse as direct </w:t>
      </w:r>
      <w:r w:rsidRPr="004B2CE5">
        <w:rPr>
          <w:rFonts w:ascii="Arial" w:hAnsi="Arial" w:cs="Arial"/>
        </w:rPr>
        <w:lastRenderedPageBreak/>
        <w:t>victims, unlocking accommodation and therapeutic support (Home Office, 2022). Schools are pivotal delivery hubs: multi-agency case pathways piloted in 2022 show that when teachers share concerns early, re-referral rates drop by 17 % (</w:t>
      </w:r>
      <w:proofErr w:type="spellStart"/>
      <w:r w:rsidRPr="004B2CE5">
        <w:rPr>
          <w:rFonts w:ascii="Arial" w:hAnsi="Arial" w:cs="Arial"/>
        </w:rPr>
        <w:t>Baginsky</w:t>
      </w:r>
      <w:proofErr w:type="spellEnd"/>
      <w:r w:rsidRPr="004B2CE5">
        <w:rPr>
          <w:rFonts w:ascii="Arial" w:hAnsi="Arial" w:cs="Arial"/>
        </w:rPr>
        <w:t> </w:t>
      </w:r>
      <w:r w:rsidRPr="004B2CE5">
        <w:rPr>
          <w:rFonts w:ascii="Arial" w:hAnsi="Arial" w:cs="Arial"/>
          <w:i/>
          <w:iCs/>
        </w:rPr>
        <w:t>et al</w:t>
      </w:r>
      <w:r w:rsidRPr="004B2CE5">
        <w:rPr>
          <w:rFonts w:ascii="Arial" w:hAnsi="Arial" w:cs="Arial"/>
        </w:rPr>
        <w:t>., 2022).</w:t>
      </w:r>
    </w:p>
    <w:p w14:paraId="75B8AFEB" w14:textId="77777777" w:rsidR="004B2CE5" w:rsidRPr="004B2CE5" w:rsidRDefault="004B2CE5" w:rsidP="004B2CE5">
      <w:pPr>
        <w:rPr>
          <w:rFonts w:ascii="Arial" w:hAnsi="Arial" w:cs="Arial"/>
        </w:rPr>
      </w:pPr>
      <w:r w:rsidRPr="004B2CE5">
        <w:rPr>
          <w:rFonts w:ascii="Arial" w:hAnsi="Arial" w:cs="Arial"/>
        </w:rPr>
        <w:t>Peer landscapes matter, too. Firmin, Barter and Roesch</w:t>
      </w:r>
      <w:r w:rsidRPr="004B2CE5">
        <w:rPr>
          <w:rFonts w:ascii="Cambria Math" w:hAnsi="Cambria Math" w:cs="Cambria Math"/>
        </w:rPr>
        <w:t>‐</w:t>
      </w:r>
      <w:r w:rsidRPr="004B2CE5">
        <w:rPr>
          <w:rFonts w:ascii="Arial" w:hAnsi="Arial" w:cs="Arial"/>
        </w:rPr>
        <w:t>Marsh’s study of 2,000 UK adolescents found that friends are the first disclosure point for 61 % of violence victims, yet only a third trust adults to act (Firmin, Barter and Roesch</w:t>
      </w:r>
      <w:r w:rsidRPr="004B2CE5">
        <w:rPr>
          <w:rFonts w:ascii="Cambria Math" w:hAnsi="Cambria Math" w:cs="Cambria Math"/>
        </w:rPr>
        <w:t>‐</w:t>
      </w:r>
      <w:r w:rsidRPr="004B2CE5">
        <w:rPr>
          <w:rFonts w:ascii="Arial" w:hAnsi="Arial" w:cs="Arial"/>
        </w:rPr>
        <w:t>Marsh, 2023). Embedding peer-led safety programmes—scripted scenario discussions and anonymous reporting apps—doubled help-seeking in trial schools (Firmin, Barter and Roesch</w:t>
      </w:r>
      <w:r w:rsidRPr="004B2CE5">
        <w:rPr>
          <w:rFonts w:ascii="Cambria Math" w:hAnsi="Cambria Math" w:cs="Cambria Math"/>
        </w:rPr>
        <w:t>‐</w:t>
      </w:r>
      <w:r w:rsidRPr="004B2CE5">
        <w:rPr>
          <w:rFonts w:ascii="Arial" w:hAnsi="Arial" w:cs="Arial"/>
        </w:rPr>
        <w:t>Marsh, 2023).</w:t>
      </w:r>
    </w:p>
    <w:p w14:paraId="4941AE53" w14:textId="77777777" w:rsidR="004B2CE5" w:rsidRPr="004B2CE5" w:rsidRDefault="004B2CE5" w:rsidP="004B2CE5">
      <w:pPr>
        <w:rPr>
          <w:rFonts w:ascii="Arial" w:hAnsi="Arial" w:cs="Arial"/>
        </w:rPr>
      </w:pPr>
      <w:r w:rsidRPr="004B2CE5">
        <w:rPr>
          <w:rFonts w:ascii="Arial" w:hAnsi="Arial" w:cs="Arial"/>
        </w:rPr>
        <w:t>Article 19 also demands perpetrator-focused prevention. The Domestic Abuse Act-driven behaviour</w:t>
      </w:r>
      <w:r w:rsidRPr="004B2CE5">
        <w:rPr>
          <w:rFonts w:ascii="Arial" w:hAnsi="Arial" w:cs="Arial"/>
        </w:rPr>
        <w:noBreakHyphen/>
        <w:t>change and electronic</w:t>
      </w:r>
      <w:r w:rsidRPr="004B2CE5">
        <w:rPr>
          <w:rFonts w:ascii="Arial" w:hAnsi="Arial" w:cs="Arial"/>
        </w:rPr>
        <w:noBreakHyphen/>
        <w:t>monitoring measures outlined in the Plan aim to cut repeat offences by 25 % (Home Office, 2022).</w:t>
      </w:r>
    </w:p>
    <w:p w14:paraId="0A0BF042" w14:textId="3C611ABF" w:rsidR="004B2CE5" w:rsidRPr="004B2CE5" w:rsidRDefault="004E2DF4" w:rsidP="004B2CE5">
      <w:pPr>
        <w:rPr>
          <w:rFonts w:ascii="Arial" w:hAnsi="Arial" w:cs="Arial"/>
        </w:rPr>
      </w:pPr>
      <w:r w:rsidRPr="004E2DF4">
        <w:rPr>
          <w:rFonts w:ascii="Arial" w:hAnsi="Arial" w:cs="Arial"/>
        </w:rPr>
        <w:t>Article 19 redefines protection as public health prevention</w:t>
      </w:r>
      <w:r w:rsidRPr="004E2DF4">
        <w:rPr>
          <w:rFonts w:ascii="Arial" w:hAnsi="Arial" w:cs="Arial"/>
        </w:rPr>
        <w:t xml:space="preserve">, </w:t>
      </w:r>
      <w:r w:rsidRPr="004E2DF4">
        <w:rPr>
          <w:rFonts w:ascii="Arial" w:hAnsi="Arial" w:cs="Arial"/>
        </w:rPr>
        <w:t>where coordinated support across home, school, and community acts as an early warning system to stop harm before it becomes lasting trauma. As Bekaert et al. (2023) highlight, turning this promise into practice requires sustained investment in early, cross-sector safeguarding.</w:t>
      </w:r>
    </w:p>
    <w:p w14:paraId="070CBFF7" w14:textId="1553B5ED" w:rsidR="004B2CE5" w:rsidRPr="004B2CE5" w:rsidRDefault="004B2CE5" w:rsidP="004B2CE5">
      <w:pPr>
        <w:rPr>
          <w:rFonts w:ascii="Arial" w:hAnsi="Arial" w:cs="Arial"/>
          <w:b/>
          <w:bCs/>
        </w:rPr>
      </w:pPr>
    </w:p>
    <w:p w14:paraId="038FA8C2" w14:textId="77777777" w:rsidR="004B2CE5" w:rsidRPr="004B2CE5" w:rsidRDefault="004B2CE5" w:rsidP="004B2CE5">
      <w:pPr>
        <w:rPr>
          <w:rFonts w:ascii="Arial" w:hAnsi="Arial" w:cs="Arial"/>
        </w:rPr>
      </w:pPr>
    </w:p>
    <w:p w14:paraId="45F3B03B" w14:textId="77777777" w:rsidR="005A7B7F" w:rsidRPr="005A7B7F" w:rsidRDefault="005A7B7F" w:rsidP="005A7B7F">
      <w:pPr>
        <w:rPr>
          <w:rFonts w:ascii="Arial" w:hAnsi="Arial" w:cs="Arial"/>
          <w:b/>
          <w:bCs/>
        </w:rPr>
      </w:pPr>
      <w:r w:rsidRPr="005A7B7F">
        <w:rPr>
          <w:rFonts w:ascii="Arial" w:hAnsi="Arial" w:cs="Arial"/>
          <w:b/>
          <w:bCs/>
        </w:rPr>
        <w:t>Blog 4: Data Shadows and Safe Spaces — Article 16 as a Mental Health Shield for UK Youth</w:t>
      </w:r>
    </w:p>
    <w:p w14:paraId="30BCA34C" w14:textId="77777777" w:rsidR="005A7B7F" w:rsidRPr="005A7B7F" w:rsidRDefault="005A7B7F" w:rsidP="005A7B7F">
      <w:pPr>
        <w:rPr>
          <w:rFonts w:ascii="Arial" w:hAnsi="Arial" w:cs="Arial"/>
        </w:rPr>
      </w:pPr>
      <w:r w:rsidRPr="005A7B7F">
        <w:rPr>
          <w:rFonts w:ascii="Arial" w:hAnsi="Arial" w:cs="Arial"/>
        </w:rPr>
        <w:t>Picture a teenager’s heartbeat quickening at the buzz of a notification: in that moment, Article 16 of the UN Convention on the Rights of the Child—every child’s right to privacy, honour, and reputation—is either upheld or compromised. Intrusive data surveillance is linked to increased anxiety and disrupted sleep (Ofcom, 2024), while platforms that prioritise “privacy by default” support greater digital confidence and fewer depressive symptoms (Information Commissioner’s Office, 2023).</w:t>
      </w:r>
    </w:p>
    <w:p w14:paraId="4FD1689C" w14:textId="11F6D2E1" w:rsidR="005A7B7F" w:rsidRPr="005A7B7F" w:rsidRDefault="005A7B7F" w:rsidP="005A7B7F">
      <w:pPr>
        <w:rPr>
          <w:rFonts w:ascii="Arial" w:hAnsi="Arial" w:cs="Arial"/>
        </w:rPr>
      </w:pPr>
      <w:r w:rsidRPr="005A7B7F">
        <w:rPr>
          <w:rFonts w:ascii="Arial" w:hAnsi="Arial" w:cs="Arial"/>
        </w:rPr>
        <w:t xml:space="preserve">This mental health gain is why the </w:t>
      </w:r>
      <w:r w:rsidRPr="005A7B7F">
        <w:rPr>
          <w:rFonts w:ascii="Arial" w:hAnsi="Arial" w:cs="Arial"/>
        </w:rPr>
        <w:t>Age-Appropriate</w:t>
      </w:r>
      <w:r w:rsidRPr="005A7B7F">
        <w:rPr>
          <w:rFonts w:ascii="Arial" w:hAnsi="Arial" w:cs="Arial"/>
        </w:rPr>
        <w:t xml:space="preserve"> Design Code (AADC) has </w:t>
      </w:r>
      <w:r>
        <w:rPr>
          <w:rFonts w:ascii="Arial" w:hAnsi="Arial" w:cs="Arial"/>
        </w:rPr>
        <w:t>served</w:t>
      </w:r>
      <w:r w:rsidRPr="005A7B7F">
        <w:rPr>
          <w:rFonts w:ascii="Arial" w:hAnsi="Arial" w:cs="Arial"/>
        </w:rPr>
        <w:t xml:space="preserve"> as both a data protection framework and a public health intervention. Within three years, 95% of major platforms had disabled geolocation for under-18s and reduced night-time push alerts (5Rights Foundation, 2024). The Information Commissioner's Office attributes these changes to declines in cyberbullying and coercive digital contact (ICO, 2023).</w:t>
      </w:r>
    </w:p>
    <w:p w14:paraId="2FA705E2" w14:textId="4504BCEF" w:rsidR="005A7B7F" w:rsidRPr="005A7B7F" w:rsidRDefault="005A7B7F" w:rsidP="005A7B7F">
      <w:pPr>
        <w:rPr>
          <w:rFonts w:ascii="Arial" w:hAnsi="Arial" w:cs="Arial"/>
        </w:rPr>
      </w:pPr>
      <w:r w:rsidRPr="005A7B7F">
        <w:rPr>
          <w:rFonts w:ascii="Arial" w:hAnsi="Arial" w:cs="Arial"/>
        </w:rPr>
        <w:t xml:space="preserve">Schools play a vital role in this shift. Trauma-informed digital literacy programmes that uncover students’ “data shadows” foster a stronger sense of control and correlate with improved school attendance. This aligns with what Dimopoulos (2022) calls “decisional privacy”—a foundation for personal autonomy. Young people are actively engaging too: a 2024 study of Welsh 10–11-year-olds found that awareness </w:t>
      </w:r>
      <w:r w:rsidRPr="005A7B7F">
        <w:rPr>
          <w:rFonts w:ascii="Arial" w:hAnsi="Arial" w:cs="Arial"/>
        </w:rPr>
        <w:lastRenderedPageBreak/>
        <w:t>of surveillance doubled the likelihood that children would adjust their privacy settings (</w:t>
      </w:r>
      <w:proofErr w:type="spellStart"/>
      <w:r w:rsidRPr="005A7B7F">
        <w:rPr>
          <w:rFonts w:ascii="Arial" w:hAnsi="Arial" w:cs="Arial"/>
        </w:rPr>
        <w:t>Pescott</w:t>
      </w:r>
      <w:proofErr w:type="spellEnd"/>
      <w:r w:rsidRPr="005A7B7F">
        <w:rPr>
          <w:rFonts w:ascii="Arial" w:hAnsi="Arial" w:cs="Arial"/>
        </w:rPr>
        <w:t>, 2024).</w:t>
      </w:r>
    </w:p>
    <w:p w14:paraId="35998771" w14:textId="081176E4" w:rsidR="005A7B7F" w:rsidRPr="005A7B7F" w:rsidRDefault="005A7B7F" w:rsidP="005A7B7F">
      <w:pPr>
        <w:rPr>
          <w:rFonts w:ascii="Arial" w:hAnsi="Arial" w:cs="Arial"/>
        </w:rPr>
      </w:pPr>
      <w:r w:rsidRPr="005A7B7F">
        <w:rPr>
          <w:rFonts w:ascii="Arial" w:hAnsi="Arial" w:cs="Arial"/>
        </w:rPr>
        <w:t>In this emerging privacy landscape, Article 16 acts as a neuroprotective layer</w:t>
      </w:r>
      <w:r>
        <w:rPr>
          <w:rFonts w:ascii="Arial" w:hAnsi="Arial" w:cs="Arial"/>
        </w:rPr>
        <w:t>, reducing stress by limiting profiling and supporting identity through reputational dignity. The next challenge is algorithmic enforcement because in 2025, a single data trace can tip the balance between harm and well-being</w:t>
      </w:r>
      <w:r w:rsidRPr="005A7B7F">
        <w:rPr>
          <w:rFonts w:ascii="Arial" w:hAnsi="Arial" w:cs="Arial"/>
        </w:rPr>
        <w:t>.</w:t>
      </w:r>
    </w:p>
    <w:p w14:paraId="5445562C" w14:textId="77777777" w:rsidR="004B2CE5" w:rsidRPr="004B2CE5" w:rsidRDefault="004B2CE5" w:rsidP="004B2CE5">
      <w:pPr>
        <w:rPr>
          <w:rFonts w:ascii="Arial" w:hAnsi="Arial" w:cs="Arial"/>
        </w:rPr>
      </w:pPr>
    </w:p>
    <w:p w14:paraId="0307CA34" w14:textId="579DFE2E" w:rsidR="004B2CE5" w:rsidRPr="004B2CE5" w:rsidRDefault="004B2CE5" w:rsidP="004B2CE5">
      <w:pPr>
        <w:rPr>
          <w:rFonts w:ascii="Arial" w:hAnsi="Arial" w:cs="Arial"/>
          <w:b/>
          <w:bCs/>
        </w:rPr>
      </w:pPr>
    </w:p>
    <w:p w14:paraId="690073D2" w14:textId="77777777" w:rsidR="004B2CE5" w:rsidRDefault="004B2CE5" w:rsidP="004B2CE5">
      <w:pPr>
        <w:rPr>
          <w:rFonts w:ascii="Arial" w:hAnsi="Arial" w:cs="Arial"/>
        </w:rPr>
      </w:pPr>
    </w:p>
    <w:p w14:paraId="018C247F" w14:textId="77777777" w:rsidR="004B2CE5" w:rsidRPr="001132B0" w:rsidRDefault="004B2CE5" w:rsidP="004B2CE5">
      <w:pPr>
        <w:rPr>
          <w:rFonts w:ascii="Arial" w:hAnsi="Arial" w:cs="Arial"/>
          <w:b/>
          <w:bCs/>
          <w:sz w:val="28"/>
          <w:szCs w:val="28"/>
        </w:rPr>
      </w:pPr>
      <w:bookmarkStart w:id="4" w:name="_Hlk196726214"/>
      <w:r w:rsidRPr="001132B0">
        <w:rPr>
          <w:rFonts w:ascii="Arial" w:hAnsi="Arial" w:cs="Arial"/>
          <w:b/>
          <w:bCs/>
          <w:sz w:val="28"/>
          <w:szCs w:val="28"/>
        </w:rPr>
        <w:t>A Legislative Timeline on Safeguarding: From Protection to Prevention</w:t>
      </w:r>
    </w:p>
    <w:p w14:paraId="652460DF" w14:textId="77777777" w:rsidR="001132B0" w:rsidRDefault="001132B0" w:rsidP="004B2CE5">
      <w:pPr>
        <w:rPr>
          <w:rFonts w:ascii="Arial" w:hAnsi="Arial" w:cs="Arial"/>
          <w:b/>
          <w:bCs/>
        </w:rPr>
      </w:pPr>
    </w:p>
    <w:p w14:paraId="3C649441" w14:textId="79985C93" w:rsidR="001132B0" w:rsidRDefault="004B2CE5" w:rsidP="004B2CE5">
      <w:pPr>
        <w:rPr>
          <w:rFonts w:ascii="Arial" w:hAnsi="Arial" w:cs="Arial"/>
          <w:sz w:val="28"/>
          <w:szCs w:val="28"/>
        </w:rPr>
      </w:pPr>
      <w:r w:rsidRPr="001132B0">
        <w:rPr>
          <w:rFonts w:ascii="Arial" w:hAnsi="Arial" w:cs="Arial"/>
          <w:b/>
          <w:bCs/>
          <w:sz w:val="28"/>
          <w:szCs w:val="28"/>
        </w:rPr>
        <w:t>Introduction</w:t>
      </w:r>
      <w:r w:rsidRPr="001132B0">
        <w:rPr>
          <w:rFonts w:ascii="Arial" w:hAnsi="Arial" w:cs="Arial"/>
          <w:sz w:val="28"/>
          <w:szCs w:val="28"/>
        </w:rPr>
        <w:br/>
      </w:r>
    </w:p>
    <w:p w14:paraId="5870AAD8" w14:textId="72C3EA87" w:rsidR="00341F56" w:rsidRPr="001132B0" w:rsidRDefault="004B2CE5" w:rsidP="004B2CE5">
      <w:pPr>
        <w:rPr>
          <w:rFonts w:ascii="Arial" w:hAnsi="Arial" w:cs="Arial"/>
          <w:sz w:val="28"/>
          <w:szCs w:val="28"/>
        </w:rPr>
      </w:pPr>
      <w:r w:rsidRPr="004B2CE5">
        <w:rPr>
          <w:rFonts w:ascii="Arial" w:hAnsi="Arial" w:cs="Arial"/>
        </w:rPr>
        <w:t xml:space="preserve">Safeguarding legislation for children and young people in the UK and Wales has radically evolved over the past sixty years. From punitive responses in the 1960s to </w:t>
      </w:r>
      <w:r w:rsidR="00BC60B3">
        <w:rPr>
          <w:rFonts w:ascii="Arial" w:hAnsi="Arial" w:cs="Arial"/>
        </w:rPr>
        <w:t>today's trauma-informed and rights-based protections</w:t>
      </w:r>
      <w:r w:rsidRPr="004B2CE5">
        <w:rPr>
          <w:rFonts w:ascii="Arial" w:hAnsi="Arial" w:cs="Arial"/>
        </w:rPr>
        <w:t>, each legislative intervention has marked a shift in how society views and supports its youngest members (Parton and Otway, 2021).</w:t>
      </w:r>
      <w:r w:rsidRPr="004B2CE5">
        <w:rPr>
          <w:rFonts w:ascii="Arial" w:hAnsi="Arial" w:cs="Arial"/>
        </w:rPr>
        <w:br/>
      </w:r>
    </w:p>
    <w:p w14:paraId="3AC6F533" w14:textId="708FD1CD" w:rsidR="004B2CE5" w:rsidRPr="004B2CE5" w:rsidRDefault="004B2CE5" w:rsidP="004B2CE5">
      <w:pPr>
        <w:rPr>
          <w:rFonts w:ascii="Arial" w:hAnsi="Arial" w:cs="Arial"/>
        </w:rPr>
      </w:pPr>
      <w:r w:rsidRPr="004B2CE5">
        <w:rPr>
          <w:rFonts w:ascii="Arial" w:hAnsi="Arial" w:cs="Arial"/>
        </w:rPr>
        <w:t xml:space="preserve">The timeline began with foundational laws like the </w:t>
      </w:r>
      <w:r w:rsidRPr="004B2CE5">
        <w:rPr>
          <w:rFonts w:ascii="Arial" w:hAnsi="Arial" w:cs="Arial"/>
          <w:b/>
          <w:bCs/>
        </w:rPr>
        <w:t>Children and Young Persons Act 1969</w:t>
      </w:r>
      <w:r w:rsidRPr="004B2CE5">
        <w:rPr>
          <w:rFonts w:ascii="Arial" w:hAnsi="Arial" w:cs="Arial"/>
        </w:rPr>
        <w:t>, which aimed to reform youth justice by shifting from custodial sentences toward care-based interventions. However, as Sen and Kerr (2023) note, this Act failed to fully address mental health concerns, focusing instead on behavioural correction.</w:t>
      </w:r>
      <w:r w:rsidRPr="004B2CE5">
        <w:rPr>
          <w:rFonts w:ascii="Arial" w:hAnsi="Arial" w:cs="Arial"/>
        </w:rPr>
        <w:br/>
      </w:r>
    </w:p>
    <w:p w14:paraId="7DB96A3C" w14:textId="77777777" w:rsidR="004B2CE5" w:rsidRPr="004B2CE5" w:rsidRDefault="004B2CE5" w:rsidP="004B2CE5">
      <w:pPr>
        <w:rPr>
          <w:rFonts w:ascii="Arial" w:hAnsi="Arial" w:cs="Arial"/>
        </w:rPr>
      </w:pPr>
      <w:r w:rsidRPr="004B2CE5">
        <w:rPr>
          <w:rFonts w:ascii="Arial" w:hAnsi="Arial" w:cs="Arial"/>
        </w:rPr>
        <w:t xml:space="preserve">In 1989, the landmark </w:t>
      </w:r>
      <w:r w:rsidRPr="004B2CE5">
        <w:rPr>
          <w:rFonts w:ascii="Arial" w:hAnsi="Arial" w:cs="Arial"/>
          <w:b/>
          <w:bCs/>
        </w:rPr>
        <w:t>Children Act</w:t>
      </w:r>
      <w:r w:rsidRPr="004B2CE5">
        <w:rPr>
          <w:rFonts w:ascii="Arial" w:hAnsi="Arial" w:cs="Arial"/>
        </w:rPr>
        <w:t xml:space="preserve"> codified the principle that the child’s welfare is paramount, introducing a holistic framework for social care. While this law transformed child protection and family proceedings, it fell short in recognising the role of emotional wellbeing and mental health in safeguarding (Kelly and Chisnell, 2019).</w:t>
      </w:r>
      <w:r w:rsidRPr="004B2CE5">
        <w:rPr>
          <w:rFonts w:ascii="Arial" w:hAnsi="Arial" w:cs="Arial"/>
        </w:rPr>
        <w:br/>
      </w:r>
    </w:p>
    <w:p w14:paraId="4D2D6F4A" w14:textId="77777777" w:rsidR="004B2CE5" w:rsidRPr="004B2CE5" w:rsidRDefault="004B2CE5" w:rsidP="004B2CE5">
      <w:pPr>
        <w:rPr>
          <w:rFonts w:ascii="Arial" w:hAnsi="Arial" w:cs="Arial"/>
        </w:rPr>
      </w:pPr>
      <w:r w:rsidRPr="004B2CE5">
        <w:rPr>
          <w:rFonts w:ascii="Arial" w:hAnsi="Arial" w:cs="Arial"/>
        </w:rPr>
        <w:t xml:space="preserve">The </w:t>
      </w:r>
      <w:r w:rsidRPr="004B2CE5">
        <w:rPr>
          <w:rFonts w:ascii="Arial" w:hAnsi="Arial" w:cs="Arial"/>
          <w:b/>
          <w:bCs/>
        </w:rPr>
        <w:t>Adoption and Children Act 2002</w:t>
      </w:r>
      <w:r w:rsidRPr="004B2CE5">
        <w:rPr>
          <w:rFonts w:ascii="Arial" w:hAnsi="Arial" w:cs="Arial"/>
        </w:rPr>
        <w:t xml:space="preserve"> and the </w:t>
      </w:r>
      <w:r w:rsidRPr="004B2CE5">
        <w:rPr>
          <w:rFonts w:ascii="Arial" w:hAnsi="Arial" w:cs="Arial"/>
          <w:b/>
          <w:bCs/>
        </w:rPr>
        <w:t>Children Act 2004</w:t>
      </w:r>
      <w:r w:rsidRPr="004B2CE5">
        <w:rPr>
          <w:rFonts w:ascii="Arial" w:hAnsi="Arial" w:cs="Arial"/>
        </w:rPr>
        <w:t xml:space="preserve"> built on this legacy by integrating child protection with multi-agency working, especially in response to high-profile failures like the Victoria Climbié case. These laws brought much-needed coordination but were still heavily reactive, addressing harm only once </w:t>
      </w:r>
      <w:r w:rsidRPr="004B2CE5">
        <w:rPr>
          <w:rFonts w:ascii="Arial" w:hAnsi="Arial" w:cs="Arial"/>
        </w:rPr>
        <w:lastRenderedPageBreak/>
        <w:t>it had occurred (Turbett, 2024).</w:t>
      </w:r>
      <w:r w:rsidRPr="004B2CE5">
        <w:rPr>
          <w:rFonts w:ascii="Arial" w:hAnsi="Arial" w:cs="Arial"/>
        </w:rPr>
        <w:br/>
      </w:r>
    </w:p>
    <w:p w14:paraId="63134E82" w14:textId="77777777" w:rsidR="004B2CE5" w:rsidRPr="004B2CE5" w:rsidRDefault="004B2CE5" w:rsidP="004B2CE5">
      <w:pPr>
        <w:rPr>
          <w:rFonts w:ascii="Arial" w:hAnsi="Arial" w:cs="Arial"/>
        </w:rPr>
      </w:pPr>
      <w:r w:rsidRPr="004B2CE5">
        <w:rPr>
          <w:rFonts w:ascii="Arial" w:hAnsi="Arial" w:cs="Arial"/>
        </w:rPr>
        <w:t xml:space="preserve">The </w:t>
      </w:r>
      <w:r w:rsidRPr="004B2CE5">
        <w:rPr>
          <w:rFonts w:ascii="Arial" w:hAnsi="Arial" w:cs="Arial"/>
          <w:b/>
          <w:bCs/>
        </w:rPr>
        <w:t xml:space="preserve">Children and Families Act </w:t>
      </w:r>
      <w:proofErr w:type="gramStart"/>
      <w:r w:rsidRPr="004B2CE5">
        <w:rPr>
          <w:rFonts w:ascii="Arial" w:hAnsi="Arial" w:cs="Arial"/>
          <w:b/>
          <w:bCs/>
        </w:rPr>
        <w:t>2014</w:t>
      </w:r>
      <w:proofErr w:type="gramEnd"/>
      <w:r w:rsidRPr="004B2CE5">
        <w:rPr>
          <w:rFonts w:ascii="Arial" w:hAnsi="Arial" w:cs="Arial"/>
        </w:rPr>
        <w:t xml:space="preserve"> and the </w:t>
      </w:r>
      <w:r w:rsidRPr="004B2CE5">
        <w:rPr>
          <w:rFonts w:ascii="Arial" w:hAnsi="Arial" w:cs="Arial"/>
          <w:b/>
          <w:bCs/>
        </w:rPr>
        <w:t xml:space="preserve">Social Services and Well-being (Wales) Act 2014 </w:t>
      </w:r>
      <w:r w:rsidRPr="004B2CE5">
        <w:rPr>
          <w:rFonts w:ascii="Arial" w:hAnsi="Arial" w:cs="Arial"/>
        </w:rPr>
        <w:t>expanded the focus toward additional needs and early intervention. According to Thomas and Winter (2024), these Acts were among the first to embed emotional wellbeing into the statutory duties of educational and health bodies.</w:t>
      </w:r>
      <w:r w:rsidRPr="004B2CE5">
        <w:rPr>
          <w:rFonts w:ascii="Arial" w:hAnsi="Arial" w:cs="Arial"/>
        </w:rPr>
        <w:br/>
      </w:r>
    </w:p>
    <w:p w14:paraId="76B7CF41" w14:textId="3965B84F" w:rsidR="004B2CE5" w:rsidRPr="004B2CE5" w:rsidRDefault="004B2CE5" w:rsidP="004B2CE5">
      <w:pPr>
        <w:rPr>
          <w:rFonts w:ascii="Arial" w:hAnsi="Arial" w:cs="Arial"/>
        </w:rPr>
      </w:pPr>
      <w:r w:rsidRPr="004B2CE5">
        <w:rPr>
          <w:rFonts w:ascii="Arial" w:hAnsi="Arial" w:cs="Arial"/>
        </w:rPr>
        <w:t xml:space="preserve">Amid these developments, three more recent legislative efforts—the </w:t>
      </w:r>
      <w:r w:rsidRPr="004B2CE5">
        <w:rPr>
          <w:rFonts w:ascii="Arial" w:hAnsi="Arial" w:cs="Arial"/>
          <w:b/>
          <w:bCs/>
        </w:rPr>
        <w:t xml:space="preserve">abolition of corporal punishment in Wales (2020), </w:t>
      </w:r>
      <w:r w:rsidRPr="004B2CE5">
        <w:rPr>
          <w:rFonts w:ascii="Arial" w:hAnsi="Arial" w:cs="Arial"/>
        </w:rPr>
        <w:t xml:space="preserve">the </w:t>
      </w:r>
      <w:r w:rsidRPr="004B2CE5">
        <w:rPr>
          <w:rFonts w:ascii="Arial" w:hAnsi="Arial" w:cs="Arial"/>
          <w:b/>
          <w:bCs/>
        </w:rPr>
        <w:t>Online Safety Act (2023),</w:t>
      </w:r>
      <w:r w:rsidRPr="004B2CE5">
        <w:rPr>
          <w:rFonts w:ascii="Arial" w:hAnsi="Arial" w:cs="Arial"/>
        </w:rPr>
        <w:t xml:space="preserve"> and the upcoming </w:t>
      </w:r>
      <w:r w:rsidRPr="004B2CE5">
        <w:rPr>
          <w:rFonts w:ascii="Arial" w:hAnsi="Arial" w:cs="Arial"/>
          <w:b/>
          <w:bCs/>
        </w:rPr>
        <w:t>Protecting Children Bill (2025</w:t>
      </w:r>
      <w:r w:rsidRPr="004B2CE5">
        <w:rPr>
          <w:rFonts w:ascii="Arial" w:hAnsi="Arial" w:cs="Arial"/>
        </w:rPr>
        <w:t xml:space="preserve">)- mark a decisive pivot. These laws represent a bold new phase: treating mental health not as an auxiliary issue but as a central </w:t>
      </w:r>
      <w:r w:rsidR="00BC60B3">
        <w:rPr>
          <w:rFonts w:ascii="Arial" w:hAnsi="Arial" w:cs="Arial"/>
        </w:rPr>
        <w:t>safeguard pillar</w:t>
      </w:r>
      <w:r w:rsidRPr="004B2CE5">
        <w:rPr>
          <w:rFonts w:ascii="Arial" w:hAnsi="Arial" w:cs="Arial"/>
        </w:rPr>
        <w:t xml:space="preserve"> (Children’s Commissioner for Wales, 2023).</w:t>
      </w:r>
    </w:p>
    <w:p w14:paraId="0496DE63" w14:textId="77777777" w:rsidR="004B2CE5" w:rsidRPr="004B2CE5" w:rsidRDefault="004B2CE5" w:rsidP="004B2CE5">
      <w:pPr>
        <w:rPr>
          <w:rFonts w:ascii="Arial" w:hAnsi="Arial" w:cs="Arial"/>
          <w:b/>
          <w:bCs/>
        </w:rPr>
      </w:pPr>
    </w:p>
    <w:p w14:paraId="64778FB1" w14:textId="77777777" w:rsidR="004B2CE5" w:rsidRPr="001132B0" w:rsidRDefault="004B2CE5" w:rsidP="004B2CE5">
      <w:pPr>
        <w:rPr>
          <w:rFonts w:ascii="Arial" w:hAnsi="Arial" w:cs="Arial"/>
          <w:b/>
          <w:bCs/>
          <w:sz w:val="28"/>
          <w:szCs w:val="28"/>
        </w:rPr>
      </w:pPr>
      <w:r w:rsidRPr="001132B0">
        <w:rPr>
          <w:rFonts w:ascii="Arial" w:hAnsi="Arial" w:cs="Arial"/>
          <w:b/>
          <w:bCs/>
          <w:sz w:val="28"/>
          <w:szCs w:val="28"/>
        </w:rPr>
        <w:t>Focusing on Mental Health in the Law (2020–2025)</w:t>
      </w:r>
    </w:p>
    <w:p w14:paraId="1D0772C1" w14:textId="77777777" w:rsidR="00DD4DC2" w:rsidRDefault="00DD4DC2" w:rsidP="004B2CE5">
      <w:pPr>
        <w:rPr>
          <w:rFonts w:ascii="Arial" w:hAnsi="Arial" w:cs="Arial"/>
          <w:b/>
          <w:bCs/>
        </w:rPr>
      </w:pPr>
    </w:p>
    <w:p w14:paraId="295CEEE1" w14:textId="5E527961" w:rsidR="004B2CE5" w:rsidRPr="004B2CE5" w:rsidRDefault="004B2CE5" w:rsidP="004B2CE5">
      <w:pPr>
        <w:rPr>
          <w:rFonts w:ascii="Arial" w:hAnsi="Arial" w:cs="Arial"/>
        </w:rPr>
      </w:pPr>
      <w:r w:rsidRPr="004B2CE5">
        <w:rPr>
          <w:rFonts w:ascii="Arial" w:hAnsi="Arial" w:cs="Arial"/>
          <w:b/>
          <w:bCs/>
        </w:rPr>
        <w:t>Children (Abolition of Defence of Reasonable Punishment) (Wales) Act 2020</w:t>
      </w:r>
      <w:r w:rsidRPr="004B2CE5">
        <w:rPr>
          <w:rFonts w:ascii="Arial" w:hAnsi="Arial" w:cs="Arial"/>
        </w:rPr>
        <w:br/>
      </w:r>
    </w:p>
    <w:p w14:paraId="6D44F990" w14:textId="77777777" w:rsidR="004B2CE5" w:rsidRPr="004B2CE5" w:rsidRDefault="004B2CE5" w:rsidP="004B2CE5">
      <w:pPr>
        <w:rPr>
          <w:rFonts w:ascii="Arial" w:hAnsi="Arial" w:cs="Arial"/>
        </w:rPr>
      </w:pPr>
      <w:r w:rsidRPr="004B2CE5">
        <w:rPr>
          <w:rFonts w:ascii="Arial" w:hAnsi="Arial" w:cs="Arial"/>
        </w:rPr>
        <w:t>This Act made Wales the first UK nation to ban all physical punishment of children, aligning with the United Nations Convention on the Rights of the Child. Welsh Government (2022) explains that physical punishment can undermine the emotional security of children and contribute to long-term psychological distress, including depression and anxiety. The law sets a legal foundation for trauma-sensitive educational environments. Teachers, no longer navigating grey areas about acceptable discipline at home, are better positioned to support children consistently in school. Rowland et al. (2025) found that exposure to corporal punishment—even in domestic settings—can negatively influence behaviour in classrooms due to heightened fear responses and emotional dysregulation.</w:t>
      </w:r>
      <w:r w:rsidRPr="004B2CE5">
        <w:rPr>
          <w:rFonts w:ascii="Arial" w:hAnsi="Arial" w:cs="Arial"/>
        </w:rPr>
        <w:br/>
      </w:r>
    </w:p>
    <w:p w14:paraId="0A2702A0" w14:textId="4985A5A2" w:rsidR="004B2CE5" w:rsidRPr="004B2CE5" w:rsidRDefault="004B2CE5" w:rsidP="004B2CE5">
      <w:pPr>
        <w:rPr>
          <w:rFonts w:ascii="Arial" w:hAnsi="Arial" w:cs="Arial"/>
        </w:rPr>
      </w:pPr>
      <w:r w:rsidRPr="004B2CE5">
        <w:rPr>
          <w:rFonts w:ascii="Arial" w:hAnsi="Arial" w:cs="Arial"/>
        </w:rPr>
        <w:t xml:space="preserve">The law redefines acceptable parenting norms and reinforces the child’s right to emotional security. </w:t>
      </w:r>
      <w:r w:rsidR="00BC60B3" w:rsidRPr="00BC60B3">
        <w:rPr>
          <w:rFonts w:ascii="Arial" w:hAnsi="Arial" w:cs="Arial"/>
        </w:rPr>
        <w:t xml:space="preserve">Hughes et al. (2022) emphasise that while legislative bans on physical punishment shift cultural perceptions and </w:t>
      </w:r>
      <w:r w:rsidR="00BC60B3">
        <w:rPr>
          <w:rFonts w:ascii="Arial" w:hAnsi="Arial" w:cs="Arial"/>
        </w:rPr>
        <w:t>strengthen</w:t>
      </w:r>
      <w:r w:rsidR="00BC60B3" w:rsidRPr="00BC60B3">
        <w:rPr>
          <w:rFonts w:ascii="Arial" w:hAnsi="Arial" w:cs="Arial"/>
        </w:rPr>
        <w:t xml:space="preserve"> children’s emotional rights, they must be accompanied by targeted parenting support to avoid marginalising families</w:t>
      </w:r>
      <w:r w:rsidR="00BC60B3">
        <w:rPr>
          <w:rFonts w:ascii="Arial" w:hAnsi="Arial" w:cs="Arial"/>
        </w:rPr>
        <w:t xml:space="preserve">, </w:t>
      </w:r>
      <w:r w:rsidR="00BC60B3" w:rsidRPr="00BC60B3">
        <w:rPr>
          <w:rFonts w:ascii="Arial" w:hAnsi="Arial" w:cs="Arial"/>
        </w:rPr>
        <w:t>especially in socio-economically deprived areas where implementation may be more complex.</w:t>
      </w:r>
    </w:p>
    <w:p w14:paraId="159C6A9A" w14:textId="77777777" w:rsidR="004B2CE5" w:rsidRPr="004B2CE5" w:rsidRDefault="004B2CE5" w:rsidP="004B2CE5">
      <w:pPr>
        <w:rPr>
          <w:rFonts w:ascii="Arial" w:hAnsi="Arial" w:cs="Arial"/>
          <w:b/>
          <w:bCs/>
        </w:rPr>
      </w:pPr>
    </w:p>
    <w:p w14:paraId="2CB24B72" w14:textId="77777777" w:rsidR="004B2CE5" w:rsidRPr="004B2CE5" w:rsidRDefault="004B2CE5" w:rsidP="004B2CE5">
      <w:pPr>
        <w:rPr>
          <w:rFonts w:ascii="Arial" w:hAnsi="Arial" w:cs="Arial"/>
        </w:rPr>
      </w:pPr>
      <w:r w:rsidRPr="004B2CE5">
        <w:rPr>
          <w:rFonts w:ascii="Arial" w:hAnsi="Arial" w:cs="Arial"/>
          <w:b/>
          <w:bCs/>
        </w:rPr>
        <w:t>Online Safety Act 2023</w:t>
      </w:r>
      <w:r w:rsidRPr="004B2CE5">
        <w:rPr>
          <w:rFonts w:ascii="Arial" w:hAnsi="Arial" w:cs="Arial"/>
        </w:rPr>
        <w:br/>
      </w:r>
    </w:p>
    <w:p w14:paraId="4F05226A" w14:textId="77777777" w:rsidR="004B2CE5" w:rsidRPr="004B2CE5" w:rsidRDefault="004B2CE5" w:rsidP="004B2CE5">
      <w:pPr>
        <w:rPr>
          <w:rFonts w:ascii="Arial" w:hAnsi="Arial" w:cs="Arial"/>
          <w:b/>
          <w:bCs/>
        </w:rPr>
      </w:pPr>
      <w:r w:rsidRPr="004B2CE5">
        <w:rPr>
          <w:rFonts w:ascii="Arial" w:hAnsi="Arial" w:cs="Arial"/>
        </w:rPr>
        <w:lastRenderedPageBreak/>
        <w:t>The growing influence of digital environments on children's well-being prompted this legislation, which holds tech platforms legally accountable for protecting young users from harmful content. Ofcom (2024) argues that digital spaces are now integral to children's psychosocial development, and inadequate regulation can expose them to body-image issues, self-harm, and abuse. The Act has implications for children’s digital literacy education. Mandating tech accountability legitimises school-based programmes that empower youth to navigate online environments critically.</w:t>
      </w:r>
      <w:r w:rsidRPr="004B2CE5">
        <w:rPr>
          <w:rFonts w:ascii="Arial" w:hAnsi="Arial" w:cs="Arial"/>
        </w:rPr>
        <w:br/>
      </w:r>
    </w:p>
    <w:p w14:paraId="130619B9" w14:textId="51674EAD" w:rsidR="004B2CE5" w:rsidRPr="004B2CE5" w:rsidRDefault="004B2CE5" w:rsidP="004B2CE5">
      <w:pPr>
        <w:rPr>
          <w:rFonts w:ascii="Arial" w:hAnsi="Arial" w:cs="Arial"/>
        </w:rPr>
      </w:pPr>
      <w:r w:rsidRPr="004B2CE5">
        <w:rPr>
          <w:rFonts w:ascii="Arial" w:hAnsi="Arial" w:cs="Arial"/>
        </w:rPr>
        <w:t>Marder and Forde (2022) highlight that digital-safety laws function best with educational efforts, allowing children to develop critical thinking and resilience in virtual spaces. Additionally, the Royal College of Psychiatrists (2020) reported a rise in depression and anxiety among adolescents linked to unregulated screen time and social media. This Act forces platforms to assess risk proactively, flag and remove harmful content, and cooperate with regulators.</w:t>
      </w:r>
      <w:r w:rsidRPr="004B2CE5">
        <w:rPr>
          <w:rFonts w:ascii="Arial" w:hAnsi="Arial" w:cs="Arial"/>
        </w:rPr>
        <w:br/>
      </w:r>
    </w:p>
    <w:p w14:paraId="6C15802F" w14:textId="77777777" w:rsidR="004B2CE5" w:rsidRPr="004B2CE5" w:rsidRDefault="004B2CE5" w:rsidP="004B2CE5">
      <w:pPr>
        <w:rPr>
          <w:rFonts w:ascii="Arial" w:hAnsi="Arial" w:cs="Arial"/>
        </w:rPr>
      </w:pPr>
      <w:r w:rsidRPr="004B2CE5">
        <w:rPr>
          <w:rFonts w:ascii="Arial" w:hAnsi="Arial" w:cs="Arial"/>
        </w:rPr>
        <w:t>The Act is pioneering in ambition but faces barriers in enforcement. Youth voices must be included in risk assessments for genuine impact, and effective oversight remains challenging.</w:t>
      </w:r>
    </w:p>
    <w:p w14:paraId="0FE36AD6" w14:textId="77777777" w:rsidR="004B2CE5" w:rsidRPr="004B2CE5" w:rsidRDefault="004B2CE5" w:rsidP="004B2CE5">
      <w:pPr>
        <w:rPr>
          <w:rFonts w:ascii="Arial" w:hAnsi="Arial" w:cs="Arial"/>
          <w:b/>
          <w:bCs/>
        </w:rPr>
      </w:pPr>
    </w:p>
    <w:p w14:paraId="22864C9D" w14:textId="77777777" w:rsidR="004B2CE5" w:rsidRPr="004B2CE5" w:rsidRDefault="004B2CE5" w:rsidP="004B2CE5">
      <w:pPr>
        <w:rPr>
          <w:rFonts w:ascii="Arial" w:hAnsi="Arial" w:cs="Arial"/>
        </w:rPr>
      </w:pPr>
      <w:r w:rsidRPr="004B2CE5">
        <w:rPr>
          <w:rFonts w:ascii="Arial" w:hAnsi="Arial" w:cs="Arial"/>
          <w:b/>
          <w:bCs/>
        </w:rPr>
        <w:t>Protecting Children Bill (Expected 2025)</w:t>
      </w:r>
      <w:r w:rsidRPr="004B2CE5">
        <w:rPr>
          <w:rFonts w:ascii="Arial" w:hAnsi="Arial" w:cs="Arial"/>
        </w:rPr>
        <w:br/>
      </w:r>
    </w:p>
    <w:p w14:paraId="1535F7B5" w14:textId="77777777" w:rsidR="004B2CE5" w:rsidRPr="004B2CE5" w:rsidRDefault="004B2CE5" w:rsidP="004B2CE5">
      <w:pPr>
        <w:rPr>
          <w:rFonts w:ascii="Arial" w:hAnsi="Arial" w:cs="Arial"/>
        </w:rPr>
      </w:pPr>
      <w:r w:rsidRPr="004B2CE5">
        <w:rPr>
          <w:rFonts w:ascii="Arial" w:hAnsi="Arial" w:cs="Arial"/>
        </w:rPr>
        <w:t>This anticipated legislation proposes a technologically integrated, trauma-informed safeguarding system. The Bill will mandate real-time data sharing between schools, social services, and mental health providers, facilitating early interventions for at-risk youth. According to Bodfield and Culshaw (2024), trauma-informed environments in schools can significantly improve young people’s mental health outcomes.</w:t>
      </w:r>
      <w:r w:rsidRPr="004B2CE5">
        <w:rPr>
          <w:rFonts w:ascii="Arial" w:hAnsi="Arial" w:cs="Arial"/>
        </w:rPr>
        <w:br/>
      </w:r>
    </w:p>
    <w:p w14:paraId="526C97F8" w14:textId="21D92D46" w:rsidR="004B2CE5" w:rsidRPr="004B2CE5" w:rsidRDefault="00BD1A97" w:rsidP="004B2CE5">
      <w:pPr>
        <w:rPr>
          <w:rFonts w:ascii="Arial" w:hAnsi="Arial" w:cs="Arial"/>
        </w:rPr>
      </w:pPr>
      <w:proofErr w:type="spellStart"/>
      <w:r>
        <w:rPr>
          <w:rFonts w:ascii="Arial" w:hAnsi="Arial" w:cs="Arial"/>
        </w:rPr>
        <w:t>Tedam</w:t>
      </w:r>
      <w:proofErr w:type="spellEnd"/>
      <w:r>
        <w:rPr>
          <w:rFonts w:ascii="Arial" w:hAnsi="Arial" w:cs="Arial"/>
        </w:rPr>
        <w:t xml:space="preserve"> and Mano</w:t>
      </w:r>
      <w:r w:rsidR="004B2CE5" w:rsidRPr="004B2CE5">
        <w:rPr>
          <w:rFonts w:ascii="Arial" w:hAnsi="Arial" w:cs="Arial"/>
        </w:rPr>
        <w:t xml:space="preserve"> (202</w:t>
      </w:r>
      <w:r>
        <w:rPr>
          <w:rFonts w:ascii="Arial" w:hAnsi="Arial" w:cs="Arial"/>
        </w:rPr>
        <w:t>4</w:t>
      </w:r>
      <w:r w:rsidR="004B2CE5" w:rsidRPr="004B2CE5">
        <w:rPr>
          <w:rFonts w:ascii="Arial" w:hAnsi="Arial" w:cs="Arial"/>
        </w:rPr>
        <w:t xml:space="preserve">) add that embedding mental-health specialists in education enhances detection and response to mental distress. The Bill proposes to make such inter-agency coordination a statutory duty. It also proposes </w:t>
      </w:r>
      <w:r>
        <w:rPr>
          <w:rFonts w:ascii="Arial" w:hAnsi="Arial" w:cs="Arial"/>
        </w:rPr>
        <w:t>integrating</w:t>
      </w:r>
      <w:r w:rsidR="004B2CE5" w:rsidRPr="004B2CE5">
        <w:rPr>
          <w:rFonts w:ascii="Arial" w:hAnsi="Arial" w:cs="Arial"/>
        </w:rPr>
        <w:t xml:space="preserve"> mental health outcome tracking into national safeguarding audits, encouraging evidence-based policymaking. This would ensure future reforms are not only compassionate but also </w:t>
      </w:r>
      <w:proofErr w:type="gramStart"/>
      <w:r w:rsidR="00BC60B3" w:rsidRPr="004B2CE5">
        <w:rPr>
          <w:rFonts w:ascii="Arial" w:hAnsi="Arial" w:cs="Arial"/>
        </w:rPr>
        <w:t>data-driven</w:t>
      </w:r>
      <w:proofErr w:type="gramEnd"/>
      <w:r w:rsidR="004B2CE5" w:rsidRPr="004B2CE5">
        <w:rPr>
          <w:rFonts w:ascii="Arial" w:hAnsi="Arial" w:cs="Arial"/>
        </w:rPr>
        <w:t>. NHS England (2021) argues that embedding routine outcome monitoring in youth services improves accountability and enables personalised intervention strategies.</w:t>
      </w:r>
      <w:r w:rsidR="004B2CE5" w:rsidRPr="004B2CE5">
        <w:rPr>
          <w:rFonts w:ascii="Arial" w:hAnsi="Arial" w:cs="Arial"/>
        </w:rPr>
        <w:br/>
      </w:r>
    </w:p>
    <w:p w14:paraId="2B0EEE4B" w14:textId="77777777" w:rsidR="004B2CE5" w:rsidRPr="004B2CE5" w:rsidRDefault="004B2CE5" w:rsidP="004B2CE5">
      <w:pPr>
        <w:rPr>
          <w:rFonts w:ascii="Arial" w:hAnsi="Arial" w:cs="Arial"/>
        </w:rPr>
      </w:pPr>
      <w:r w:rsidRPr="004B2CE5">
        <w:rPr>
          <w:rFonts w:ascii="Arial" w:hAnsi="Arial" w:cs="Arial"/>
        </w:rPr>
        <w:t>While promising, the Bill faces challenges in data privacy, funding and workforce training. Without robust infrastructure, it risks becoming aspirational rather than actionable.</w:t>
      </w:r>
    </w:p>
    <w:p w14:paraId="76D88DFB" w14:textId="77777777" w:rsidR="004B2CE5" w:rsidRPr="004B2CE5" w:rsidRDefault="004B2CE5" w:rsidP="004B2CE5">
      <w:pPr>
        <w:rPr>
          <w:rFonts w:ascii="Arial" w:hAnsi="Arial" w:cs="Arial"/>
          <w:b/>
          <w:bCs/>
        </w:rPr>
      </w:pPr>
    </w:p>
    <w:p w14:paraId="6CCBD51C" w14:textId="77777777" w:rsidR="004B2CE5" w:rsidRPr="004B2CE5" w:rsidRDefault="004B2CE5" w:rsidP="004B2CE5">
      <w:pPr>
        <w:rPr>
          <w:rFonts w:ascii="Arial" w:hAnsi="Arial" w:cs="Arial"/>
          <w:b/>
          <w:bCs/>
        </w:rPr>
      </w:pPr>
      <w:r w:rsidRPr="004B2CE5">
        <w:rPr>
          <w:rFonts w:ascii="Arial" w:hAnsi="Arial" w:cs="Arial"/>
          <w:b/>
          <w:bCs/>
        </w:rPr>
        <w:t>Why These Three Laws Matter</w:t>
      </w:r>
    </w:p>
    <w:p w14:paraId="62BB87FC" w14:textId="65187FB2" w:rsidR="004B2CE5" w:rsidRPr="004B2CE5" w:rsidRDefault="004B2CE5" w:rsidP="004B2CE5">
      <w:pPr>
        <w:rPr>
          <w:rFonts w:ascii="Arial" w:hAnsi="Arial" w:cs="Arial"/>
        </w:rPr>
      </w:pPr>
      <w:r w:rsidRPr="004B2CE5">
        <w:rPr>
          <w:rFonts w:ascii="Arial" w:hAnsi="Arial" w:cs="Arial"/>
        </w:rPr>
        <w:t xml:space="preserve">These three Acts and Bills stand apart because they explicitly centre mental and emotional health within the legal concept of safeguarding. They reflect a transition from a </w:t>
      </w:r>
      <w:r w:rsidR="00EC282C">
        <w:rPr>
          <w:rFonts w:ascii="Arial" w:hAnsi="Arial" w:cs="Arial"/>
        </w:rPr>
        <w:t>safeguarding model</w:t>
      </w:r>
      <w:r w:rsidRPr="004B2CE5">
        <w:rPr>
          <w:rFonts w:ascii="Arial" w:hAnsi="Arial" w:cs="Arial"/>
        </w:rPr>
        <w:t xml:space="preserve"> based solely on physical harm to one that acknowledges emotional neglect, online influence and inter-agency failure as equal threats to wellbeing (Wood Review, 2023).</w:t>
      </w:r>
      <w:r w:rsidRPr="004B2CE5">
        <w:rPr>
          <w:rFonts w:ascii="Arial" w:hAnsi="Arial" w:cs="Arial"/>
        </w:rPr>
        <w:br/>
      </w:r>
    </w:p>
    <w:p w14:paraId="4F5CAF47" w14:textId="77777777" w:rsidR="004B2CE5" w:rsidRPr="004B2CE5" w:rsidRDefault="004B2CE5" w:rsidP="004B2CE5">
      <w:pPr>
        <w:rPr>
          <w:rFonts w:ascii="Arial" w:hAnsi="Arial" w:cs="Arial"/>
        </w:rPr>
      </w:pPr>
      <w:r w:rsidRPr="004B2CE5">
        <w:rPr>
          <w:rFonts w:ascii="Arial" w:hAnsi="Arial" w:cs="Arial"/>
        </w:rPr>
        <w:t>Crucially, they suggest that safeguarding is no longer just a matter for social workers or courts, but a responsibility shared across digital platforms, schools, families and public services. As society’s understanding of trauma deepens, these laws create space for children and young people to be seen not only as vulnerable but as complex beings in need of holistic support (Children’s Commissioner for England, 2023).</w:t>
      </w:r>
      <w:r w:rsidRPr="004B2CE5">
        <w:rPr>
          <w:rFonts w:ascii="Arial" w:hAnsi="Arial" w:cs="Arial"/>
        </w:rPr>
        <w:br/>
      </w:r>
    </w:p>
    <w:p w14:paraId="31BD23BD" w14:textId="77777777" w:rsidR="004B2CE5" w:rsidRPr="004B2CE5" w:rsidRDefault="004B2CE5" w:rsidP="004B2CE5">
      <w:pPr>
        <w:rPr>
          <w:rFonts w:ascii="Arial" w:hAnsi="Arial" w:cs="Arial"/>
        </w:rPr>
      </w:pPr>
      <w:r w:rsidRPr="004B2CE5">
        <w:rPr>
          <w:rFonts w:ascii="Arial" w:hAnsi="Arial" w:cs="Arial"/>
        </w:rPr>
        <w:t>Together, these developments represent a generational reset of safeguarding that finally puts mental health where it belongs: at the heart of every policy, platform and practice.</w:t>
      </w:r>
    </w:p>
    <w:p w14:paraId="4010E78C" w14:textId="77777777" w:rsidR="004B2CE5" w:rsidRPr="004B2CE5" w:rsidRDefault="004B2CE5" w:rsidP="004B2CE5">
      <w:pPr>
        <w:rPr>
          <w:rFonts w:ascii="Arial" w:hAnsi="Arial" w:cs="Arial"/>
        </w:rPr>
      </w:pPr>
    </w:p>
    <w:p w14:paraId="638FB030" w14:textId="77777777" w:rsidR="004B2CE5" w:rsidRPr="004B2CE5" w:rsidRDefault="004B2CE5" w:rsidP="004B2CE5">
      <w:pPr>
        <w:rPr>
          <w:rFonts w:ascii="Arial" w:hAnsi="Arial" w:cs="Arial"/>
          <w:b/>
          <w:bCs/>
        </w:rPr>
      </w:pPr>
    </w:p>
    <w:p w14:paraId="1A670279" w14:textId="77777777" w:rsidR="004B2CE5" w:rsidRPr="004B2CE5" w:rsidRDefault="004B2CE5" w:rsidP="004B2CE5">
      <w:pPr>
        <w:rPr>
          <w:rFonts w:ascii="Arial" w:hAnsi="Arial" w:cs="Arial"/>
          <w:b/>
          <w:bCs/>
        </w:rPr>
      </w:pPr>
    </w:p>
    <w:p w14:paraId="7CD6980C" w14:textId="77777777" w:rsidR="004B2CE5" w:rsidRPr="004B2CE5" w:rsidRDefault="004B2CE5" w:rsidP="004B2CE5">
      <w:pPr>
        <w:rPr>
          <w:rFonts w:ascii="Arial" w:hAnsi="Arial" w:cs="Arial"/>
          <w:b/>
          <w:bCs/>
        </w:rPr>
      </w:pPr>
      <w:r w:rsidRPr="004B2CE5">
        <w:rPr>
          <w:rFonts w:ascii="Arial" w:hAnsi="Arial" w:cs="Arial"/>
          <w:b/>
          <w:bCs/>
        </w:rPr>
        <w:t xml:space="preserve">REFERENCES: </w:t>
      </w:r>
    </w:p>
    <w:p w14:paraId="4F93F81F" w14:textId="77777777" w:rsidR="004B2CE5" w:rsidRPr="004B2CE5" w:rsidRDefault="004B2CE5" w:rsidP="004B2CE5">
      <w:pPr>
        <w:rPr>
          <w:rFonts w:ascii="Arial" w:hAnsi="Arial" w:cs="Arial"/>
        </w:rPr>
      </w:pPr>
    </w:p>
    <w:bookmarkEnd w:id="4"/>
    <w:p w14:paraId="56FEB196" w14:textId="77777777" w:rsidR="00CC2D47" w:rsidRDefault="00CC2D47" w:rsidP="00233460">
      <w:pPr>
        <w:rPr>
          <w:rFonts w:ascii="Arial" w:hAnsi="Arial" w:cs="Arial"/>
        </w:rPr>
      </w:pPr>
      <w:r w:rsidRPr="004B2CE5">
        <w:rPr>
          <w:rFonts w:ascii="Arial" w:hAnsi="Arial" w:cs="Arial"/>
        </w:rPr>
        <w:t>5Rights Foundation (2024) ‘Celebrating three years of the Age</w:t>
      </w:r>
      <w:r w:rsidRPr="004B2CE5">
        <w:rPr>
          <w:rFonts w:ascii="Arial" w:hAnsi="Arial" w:cs="Arial"/>
        </w:rPr>
        <w:noBreakHyphen/>
        <w:t xml:space="preserve">Appropriate Design Code’. London: 5Rights Foundation. Available at: </w:t>
      </w:r>
      <w:hyperlink r:id="rId9" w:history="1">
        <w:r w:rsidRPr="004B2CE5">
          <w:rPr>
            <w:rStyle w:val="Hyperlink"/>
            <w:rFonts w:ascii="Arial" w:hAnsi="Arial" w:cs="Arial"/>
          </w:rPr>
          <w:t>https://5rightsfoundation.com/celebrating-3-years-of-the-age-appropriate-design-code/</w:t>
        </w:r>
      </w:hyperlink>
      <w:r w:rsidRPr="004B2CE5">
        <w:rPr>
          <w:rFonts w:ascii="Arial" w:hAnsi="Arial" w:cs="Arial"/>
        </w:rPr>
        <w:t>.  (Accessed 12 April 2025).</w:t>
      </w:r>
    </w:p>
    <w:p w14:paraId="03EFAB60" w14:textId="77777777" w:rsidR="00CC2D47" w:rsidRPr="004B2CE5" w:rsidRDefault="00CC2D47" w:rsidP="004B2CE5">
      <w:pPr>
        <w:rPr>
          <w:rFonts w:ascii="Arial" w:hAnsi="Arial" w:cs="Arial"/>
        </w:rPr>
      </w:pPr>
      <w:proofErr w:type="spellStart"/>
      <w:r w:rsidRPr="004B2CE5">
        <w:rPr>
          <w:rFonts w:ascii="Arial" w:hAnsi="Arial" w:cs="Arial"/>
        </w:rPr>
        <w:t>Baginsky</w:t>
      </w:r>
      <w:proofErr w:type="spellEnd"/>
      <w:r w:rsidRPr="004B2CE5">
        <w:rPr>
          <w:rFonts w:ascii="Arial" w:hAnsi="Arial" w:cs="Arial"/>
        </w:rPr>
        <w:t xml:space="preserve">, M., Driscoll, J., Purcell, C., Manthorpe, J. and Hickman, B. (2022) </w:t>
      </w:r>
      <w:r w:rsidRPr="004B2CE5">
        <w:rPr>
          <w:rFonts w:ascii="Arial" w:hAnsi="Arial" w:cs="Arial"/>
          <w:i/>
          <w:iCs/>
        </w:rPr>
        <w:t>Protecting and Safeguarding Children in Schools: A Multi</w:t>
      </w:r>
      <w:r w:rsidRPr="004B2CE5">
        <w:rPr>
          <w:rFonts w:ascii="Arial" w:hAnsi="Arial" w:cs="Arial"/>
          <w:i/>
          <w:iCs/>
        </w:rPr>
        <w:noBreakHyphen/>
        <w:t>Agency Approach</w:t>
      </w:r>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Bristol: Policy Press.</w:t>
      </w:r>
    </w:p>
    <w:p w14:paraId="1C8E3A39" w14:textId="77777777" w:rsidR="00CC2D47" w:rsidRDefault="00CC2D47" w:rsidP="00233460">
      <w:pPr>
        <w:rPr>
          <w:rFonts w:ascii="Arial" w:hAnsi="Arial" w:cs="Arial"/>
        </w:rPr>
      </w:pPr>
      <w:r w:rsidRPr="00233460">
        <w:rPr>
          <w:rFonts w:ascii="Arial" w:hAnsi="Arial" w:cs="Arial"/>
        </w:rPr>
        <w:t xml:space="preserve">Barnardo’s (2024) </w:t>
      </w:r>
      <w:r w:rsidRPr="009A5FBA">
        <w:rPr>
          <w:rFonts w:ascii="Arial" w:hAnsi="Arial" w:cs="Arial"/>
          <w:i/>
          <w:iCs/>
        </w:rPr>
        <w:t>Community Wellbeing Services</w:t>
      </w:r>
      <w:r w:rsidRPr="00233460">
        <w:rPr>
          <w:rFonts w:ascii="Arial" w:hAnsi="Arial" w:cs="Arial"/>
        </w:rPr>
        <w:t xml:space="preserve">. London: Barnardo’s. Available at: </w:t>
      </w:r>
      <w:hyperlink r:id="rId10" w:history="1">
        <w:r w:rsidRPr="00AF0558">
          <w:rPr>
            <w:rStyle w:val="Hyperlink"/>
            <w:rFonts w:ascii="Arial" w:hAnsi="Arial" w:cs="Arial"/>
          </w:rPr>
          <w:t>https://www.barnardos.org.uk/get-support/services/community-wellbeing-team-cwt</w:t>
        </w:r>
      </w:hyperlink>
      <w:r>
        <w:rPr>
          <w:rFonts w:ascii="Arial" w:hAnsi="Arial" w:cs="Arial"/>
        </w:rPr>
        <w:t xml:space="preserve">. </w:t>
      </w:r>
      <w:r w:rsidRPr="00233460">
        <w:rPr>
          <w:rFonts w:ascii="Arial" w:hAnsi="Arial" w:cs="Arial"/>
        </w:rPr>
        <w:t xml:space="preserve"> (Accessed</w:t>
      </w:r>
      <w:r>
        <w:rPr>
          <w:rFonts w:ascii="Arial" w:hAnsi="Arial" w:cs="Arial"/>
        </w:rPr>
        <w:t xml:space="preserve"> 18</w:t>
      </w:r>
      <w:r w:rsidRPr="00233460">
        <w:rPr>
          <w:rFonts w:ascii="Arial" w:hAnsi="Arial" w:cs="Arial"/>
        </w:rPr>
        <w:t xml:space="preserve"> April 2025).</w:t>
      </w:r>
    </w:p>
    <w:p w14:paraId="2185CAFC" w14:textId="06744A4C" w:rsidR="004E2DF4" w:rsidRPr="00233460" w:rsidRDefault="004E2DF4" w:rsidP="00233460">
      <w:pPr>
        <w:rPr>
          <w:rFonts w:ascii="Arial" w:hAnsi="Arial" w:cs="Arial"/>
        </w:rPr>
      </w:pPr>
      <w:r w:rsidRPr="004E2DF4">
        <w:rPr>
          <w:rFonts w:ascii="Arial" w:hAnsi="Arial" w:cs="Arial"/>
        </w:rPr>
        <w:t xml:space="preserve">Bekaert, S., Appleton, J.V., Hucker, J. and </w:t>
      </w:r>
      <w:proofErr w:type="spellStart"/>
      <w:r w:rsidRPr="004E2DF4">
        <w:rPr>
          <w:rFonts w:ascii="Arial" w:hAnsi="Arial" w:cs="Arial"/>
        </w:rPr>
        <w:t>Zlatkute</w:t>
      </w:r>
      <w:proofErr w:type="spellEnd"/>
      <w:r w:rsidRPr="004E2DF4">
        <w:rPr>
          <w:rFonts w:ascii="Arial" w:hAnsi="Arial" w:cs="Arial"/>
        </w:rPr>
        <w:t xml:space="preserve">, G. (2023) ‘A pan-European review of good practices in early intervention safeguarding practice with children, young people and families: evidence gathering to inform a multi-agency framework’, </w:t>
      </w:r>
      <w:r w:rsidRPr="004E2DF4">
        <w:rPr>
          <w:rFonts w:ascii="Arial" w:hAnsi="Arial" w:cs="Arial"/>
          <w:i/>
          <w:iCs/>
        </w:rPr>
        <w:t>International Journal on Child Maltreatment: Research, Policy and Practice</w:t>
      </w:r>
      <w:r w:rsidRPr="004E2DF4">
        <w:rPr>
          <w:rFonts w:ascii="Arial" w:hAnsi="Arial" w:cs="Arial"/>
        </w:rPr>
        <w:t xml:space="preserve">, 6(2), pp. </w:t>
      </w:r>
      <w:r w:rsidRPr="004E2DF4">
        <w:rPr>
          <w:rFonts w:ascii="Arial" w:hAnsi="Arial" w:cs="Arial"/>
        </w:rPr>
        <w:lastRenderedPageBreak/>
        <w:t xml:space="preserve">123–139. Available at: </w:t>
      </w:r>
      <w:hyperlink r:id="rId11" w:tgtFrame="_new" w:history="1">
        <w:r w:rsidRPr="004E2DF4">
          <w:rPr>
            <w:rStyle w:val="Hyperlink"/>
            <w:rFonts w:ascii="Arial" w:hAnsi="Arial" w:cs="Arial"/>
          </w:rPr>
          <w:t>https://link.springer.com/article/10.1007/s42448-022-00132-x</w:t>
        </w:r>
      </w:hyperlink>
      <w:r w:rsidRPr="004E2DF4">
        <w:rPr>
          <w:rFonts w:ascii="Arial" w:hAnsi="Arial" w:cs="Arial"/>
        </w:rPr>
        <w:t xml:space="preserve"> (Accessed </w:t>
      </w:r>
      <w:r>
        <w:rPr>
          <w:rFonts w:ascii="Arial" w:hAnsi="Arial" w:cs="Arial"/>
        </w:rPr>
        <w:t>11</w:t>
      </w:r>
      <w:r w:rsidRPr="004E2DF4">
        <w:rPr>
          <w:rFonts w:ascii="Arial" w:hAnsi="Arial" w:cs="Arial"/>
        </w:rPr>
        <w:t xml:space="preserve"> April 2025).</w:t>
      </w:r>
    </w:p>
    <w:p w14:paraId="175C66F7" w14:textId="77777777" w:rsidR="00CC2D47" w:rsidRDefault="00CC2D47" w:rsidP="004B2CE5">
      <w:pPr>
        <w:rPr>
          <w:rFonts w:ascii="Arial" w:hAnsi="Arial" w:cs="Arial"/>
        </w:rPr>
      </w:pPr>
      <w:r w:rsidRPr="00DC6078">
        <w:rPr>
          <w:rFonts w:ascii="Arial" w:hAnsi="Arial" w:cs="Arial"/>
        </w:rPr>
        <w:t>Berger, M.N., Taba, M., Marino, J.L. and Lim, M.S.C.</w:t>
      </w:r>
      <w:r w:rsidRPr="00DC6078">
        <w:rPr>
          <w:rFonts w:ascii="Arial" w:hAnsi="Arial" w:cs="Arial"/>
          <w:b/>
          <w:bCs/>
        </w:rPr>
        <w:t xml:space="preserve"> (2022)</w:t>
      </w:r>
      <w:r w:rsidRPr="00DC6078">
        <w:rPr>
          <w:rFonts w:ascii="Arial" w:hAnsi="Arial" w:cs="Arial"/>
        </w:rPr>
        <w:t xml:space="preserve"> ‘Social media use and health and well-being of lesbian, gay, bisexual, transgender, and queer youth: Systematic review’, </w:t>
      </w:r>
      <w:r w:rsidRPr="00DC6078">
        <w:rPr>
          <w:rFonts w:ascii="Arial" w:hAnsi="Arial" w:cs="Arial"/>
          <w:i/>
          <w:iCs/>
        </w:rPr>
        <w:t>Journal of Medical Internet Research</w:t>
      </w:r>
      <w:r w:rsidRPr="00DC6078">
        <w:rPr>
          <w:rFonts w:ascii="Arial" w:hAnsi="Arial" w:cs="Arial"/>
        </w:rPr>
        <w:t xml:space="preserve">, 24(9), e38449. Available at: </w:t>
      </w:r>
      <w:hyperlink r:id="rId12" w:tgtFrame="_new" w:history="1">
        <w:r w:rsidRPr="00DC6078">
          <w:rPr>
            <w:rStyle w:val="Hyperlink"/>
            <w:rFonts w:ascii="Arial" w:hAnsi="Arial" w:cs="Arial"/>
          </w:rPr>
          <w:t>https://www.jmir.org/2022/9/e38449/</w:t>
        </w:r>
      </w:hyperlink>
      <w:r w:rsidRPr="00DC6078">
        <w:rPr>
          <w:rFonts w:ascii="Arial" w:hAnsi="Arial" w:cs="Arial"/>
        </w:rPr>
        <w:t xml:space="preserve"> (Accessed </w:t>
      </w:r>
      <w:r>
        <w:rPr>
          <w:rFonts w:ascii="Arial" w:hAnsi="Arial" w:cs="Arial"/>
        </w:rPr>
        <w:t>7</w:t>
      </w:r>
      <w:r w:rsidRPr="00DC6078">
        <w:rPr>
          <w:rFonts w:ascii="Arial" w:hAnsi="Arial" w:cs="Arial"/>
        </w:rPr>
        <w:t xml:space="preserve"> April 2025).</w:t>
      </w:r>
    </w:p>
    <w:p w14:paraId="4EE6C56E" w14:textId="77777777" w:rsidR="00CC2D47" w:rsidRPr="004B2CE5" w:rsidRDefault="00CC2D47" w:rsidP="004B2CE5">
      <w:pPr>
        <w:rPr>
          <w:rFonts w:ascii="Arial" w:hAnsi="Arial" w:cs="Arial"/>
        </w:rPr>
      </w:pPr>
      <w:r w:rsidRPr="004B2CE5">
        <w:rPr>
          <w:rFonts w:ascii="Arial" w:hAnsi="Arial" w:cs="Arial"/>
        </w:rPr>
        <w:t xml:space="preserve">Bodfield, K. and Culshaw, A. (2024) ‘It would be very strange to make an artificial cut off point at 18 that trauma suddenly isn’t relevant’–Perspectives of trauma-informed practice in higher education’, </w:t>
      </w:r>
      <w:r w:rsidRPr="004B2CE5">
        <w:rPr>
          <w:rFonts w:ascii="Arial" w:hAnsi="Arial" w:cs="Arial"/>
          <w:i/>
          <w:iCs/>
        </w:rPr>
        <w:t>Journal of Adult and Continuing Education</w:t>
      </w:r>
      <w:r w:rsidRPr="004B2CE5">
        <w:rPr>
          <w:rFonts w:ascii="Arial" w:hAnsi="Arial" w:cs="Arial"/>
        </w:rPr>
        <w:t>, 30(1), pp. 45–62. Available at:</w:t>
      </w:r>
      <w:hyperlink r:id="rId13" w:history="1">
        <w:r w:rsidRPr="004B2CE5">
          <w:rPr>
            <w:rStyle w:val="Hyperlink"/>
            <w:rFonts w:ascii="Arial" w:hAnsi="Arial" w:cs="Arial"/>
          </w:rPr>
          <w:t>https://doi-org.ezproxy.uwtsd.ac.uk/10.1177/</w:t>
        </w:r>
        <w:r w:rsidRPr="004B2CE5">
          <w:rPr>
            <w:rStyle w:val="Hyperlink"/>
            <w:rFonts w:ascii="Arial" w:hAnsi="Arial" w:cs="Arial"/>
          </w:rPr>
          <w:t>1</w:t>
        </w:r>
        <w:r w:rsidRPr="004B2CE5">
          <w:rPr>
            <w:rStyle w:val="Hyperlink"/>
            <w:rFonts w:ascii="Arial" w:hAnsi="Arial" w:cs="Arial"/>
          </w:rPr>
          <w:t>4779714241308505</w:t>
        </w:r>
      </w:hyperlink>
      <w:r w:rsidRPr="004B2CE5">
        <w:rPr>
          <w:rFonts w:ascii="Arial" w:hAnsi="Arial" w:cs="Arial"/>
        </w:rPr>
        <w:t>. (Accessed 6 April 2025).</w:t>
      </w:r>
    </w:p>
    <w:p w14:paraId="0630F38B" w14:textId="77777777" w:rsidR="00CC2D47" w:rsidRPr="004B2CE5" w:rsidRDefault="00CC2D47" w:rsidP="004B2CE5">
      <w:pPr>
        <w:rPr>
          <w:rFonts w:ascii="Arial" w:hAnsi="Arial" w:cs="Arial"/>
        </w:rPr>
      </w:pPr>
      <w:r w:rsidRPr="004B2CE5">
        <w:rPr>
          <w:rFonts w:ascii="Arial" w:hAnsi="Arial" w:cs="Arial"/>
        </w:rPr>
        <w:t xml:space="preserve">Carrier, J., Edwards, D., Csontos, J., Askey, R., Sharpe, H. and Young, J. (2024) ‘Crisis responses for children and young people–a systematic review of effectiveness, experiences and service organisation’, </w:t>
      </w:r>
      <w:r w:rsidRPr="004B2CE5">
        <w:rPr>
          <w:rFonts w:ascii="Arial" w:hAnsi="Arial" w:cs="Arial"/>
          <w:i/>
          <w:iCs/>
        </w:rPr>
        <w:t>Child and Adolescent Mental Health</w:t>
      </w:r>
      <w:r w:rsidRPr="004B2CE5">
        <w:rPr>
          <w:rFonts w:ascii="Arial" w:hAnsi="Arial" w:cs="Arial"/>
        </w:rPr>
        <w:t xml:space="preserve">, 29(1), pp. 25–34. Available at: </w:t>
      </w:r>
      <w:hyperlink r:id="rId14" w:history="1">
        <w:r w:rsidRPr="004B2CE5">
          <w:rPr>
            <w:rStyle w:val="Hyperlink"/>
            <w:rFonts w:ascii="Arial" w:hAnsi="Arial" w:cs="Arial"/>
          </w:rPr>
          <w:t>https://acamh.onlinelibrary.wiley.com/doi/full/1</w:t>
        </w:r>
        <w:r w:rsidRPr="004B2CE5">
          <w:rPr>
            <w:rStyle w:val="Hyperlink"/>
            <w:rFonts w:ascii="Arial" w:hAnsi="Arial" w:cs="Arial"/>
          </w:rPr>
          <w:t>0</w:t>
        </w:r>
        <w:r w:rsidRPr="004B2CE5">
          <w:rPr>
            <w:rStyle w:val="Hyperlink"/>
            <w:rFonts w:ascii="Arial" w:hAnsi="Arial" w:cs="Arial"/>
          </w:rPr>
          <w:t>.1111/camh.12639</w:t>
        </w:r>
      </w:hyperlink>
      <w:r w:rsidRPr="004B2CE5">
        <w:rPr>
          <w:rFonts w:ascii="Arial" w:hAnsi="Arial" w:cs="Arial"/>
        </w:rPr>
        <w:t xml:space="preserve">. (Accessed 20 March 2025). </w:t>
      </w:r>
    </w:p>
    <w:p w14:paraId="1EFBC229" w14:textId="77777777" w:rsidR="00CC2D47" w:rsidRPr="004B2CE5" w:rsidRDefault="00CC2D47" w:rsidP="004B2CE5">
      <w:pPr>
        <w:rPr>
          <w:rFonts w:ascii="Arial" w:hAnsi="Arial" w:cs="Arial"/>
        </w:rPr>
      </w:pPr>
      <w:r w:rsidRPr="004B2CE5">
        <w:rPr>
          <w:rFonts w:ascii="Arial" w:hAnsi="Arial" w:cs="Arial"/>
        </w:rPr>
        <w:t xml:space="preserve">Child Safeguarding Practice Review Panel (2024) </w:t>
      </w:r>
      <w:r w:rsidRPr="004B2CE5">
        <w:rPr>
          <w:rFonts w:ascii="Arial" w:hAnsi="Arial" w:cs="Arial"/>
          <w:i/>
          <w:iCs/>
        </w:rPr>
        <w:t>Annual Report 2023 to 2024: Patterns in Practice and Key Messages</w:t>
      </w:r>
      <w:r w:rsidRPr="004B2CE5">
        <w:rPr>
          <w:rFonts w:ascii="Arial" w:hAnsi="Arial" w:cs="Arial"/>
        </w:rPr>
        <w:t xml:space="preserve">. London: Department for Education. Available at: </w:t>
      </w:r>
      <w:hyperlink r:id="rId15" w:history="1">
        <w:r w:rsidRPr="004B2CE5">
          <w:rPr>
            <w:rStyle w:val="Hyperlink"/>
            <w:rFonts w:ascii="Arial" w:hAnsi="Arial" w:cs="Arial"/>
          </w:rPr>
          <w:t>https://assets.publishing.service.gov.uk/me</w:t>
        </w:r>
        <w:r w:rsidRPr="004B2CE5">
          <w:rPr>
            <w:rStyle w:val="Hyperlink"/>
            <w:rFonts w:ascii="Arial" w:hAnsi="Arial" w:cs="Arial"/>
          </w:rPr>
          <w:t>d</w:t>
        </w:r>
        <w:r w:rsidRPr="004B2CE5">
          <w:rPr>
            <w:rStyle w:val="Hyperlink"/>
            <w:rFonts w:ascii="Arial" w:hAnsi="Arial" w:cs="Arial"/>
          </w:rPr>
          <w:t>ia/67c97b1dd0fba2f1334cf300/Child_Safeguarding_Practice_Review_Panel_annual_report_2023_to_2024.pdf</w:t>
        </w:r>
      </w:hyperlink>
      <w:r w:rsidRPr="004B2CE5">
        <w:rPr>
          <w:rFonts w:ascii="Arial" w:hAnsi="Arial" w:cs="Arial"/>
        </w:rPr>
        <w:t>.  (Accessed 9 April 2025).</w:t>
      </w:r>
    </w:p>
    <w:p w14:paraId="3B546E3F" w14:textId="77777777" w:rsidR="00CC2D47" w:rsidRPr="004B2CE5" w:rsidRDefault="00CC2D47" w:rsidP="004B2CE5">
      <w:pPr>
        <w:rPr>
          <w:rFonts w:ascii="Arial" w:hAnsi="Arial" w:cs="Arial"/>
        </w:rPr>
      </w:pPr>
      <w:r w:rsidRPr="004B2CE5">
        <w:rPr>
          <w:rFonts w:ascii="Arial" w:hAnsi="Arial" w:cs="Arial"/>
        </w:rPr>
        <w:t xml:space="preserve">Children’s Commissioner for England (2023) </w:t>
      </w:r>
      <w:r w:rsidRPr="004B2CE5">
        <w:rPr>
          <w:rFonts w:ascii="Arial" w:hAnsi="Arial" w:cs="Arial"/>
          <w:i/>
          <w:iCs/>
        </w:rPr>
        <w:t>Pain into Power: Children’s Voices after Abuse</w:t>
      </w:r>
      <w:r w:rsidRPr="004B2CE5">
        <w:rPr>
          <w:rFonts w:ascii="Arial" w:hAnsi="Arial" w:cs="Arial"/>
        </w:rPr>
        <w:t xml:space="preserve">. London: CCE. Available at: </w:t>
      </w:r>
      <w:hyperlink r:id="rId16" w:history="1">
        <w:r w:rsidRPr="004B2CE5">
          <w:rPr>
            <w:rStyle w:val="Hyperlink"/>
            <w:rFonts w:ascii="Arial" w:hAnsi="Arial" w:cs="Arial"/>
          </w:rPr>
          <w:t>https://assets.childrenscommissioner.gov.uk/wpuploads/201</w:t>
        </w:r>
        <w:r w:rsidRPr="004B2CE5">
          <w:rPr>
            <w:rStyle w:val="Hyperlink"/>
            <w:rFonts w:ascii="Arial" w:hAnsi="Arial" w:cs="Arial"/>
          </w:rPr>
          <w:t>7</w:t>
        </w:r>
        <w:r w:rsidRPr="004B2CE5">
          <w:rPr>
            <w:rStyle w:val="Hyperlink"/>
            <w:rFonts w:ascii="Arial" w:hAnsi="Arial" w:cs="Arial"/>
          </w:rPr>
          <w:t>/06/UniBed_MakingNoise-20_4_17-1.pdf</w:t>
        </w:r>
      </w:hyperlink>
      <w:r w:rsidRPr="004B2CE5">
        <w:rPr>
          <w:rFonts w:ascii="Arial" w:hAnsi="Arial" w:cs="Arial"/>
        </w:rPr>
        <w:t>.  (Accessed 5 April 2025).</w:t>
      </w:r>
    </w:p>
    <w:p w14:paraId="31162813" w14:textId="77777777" w:rsidR="00CC2D47" w:rsidRPr="004B2CE5" w:rsidRDefault="00CC2D47" w:rsidP="004B2CE5">
      <w:pPr>
        <w:rPr>
          <w:rFonts w:ascii="Arial" w:hAnsi="Arial" w:cs="Arial"/>
        </w:rPr>
      </w:pPr>
      <w:r w:rsidRPr="004B2CE5">
        <w:rPr>
          <w:rFonts w:ascii="Arial" w:hAnsi="Arial" w:cs="Arial"/>
        </w:rPr>
        <w:t xml:space="preserve">Children’s Commissioner for England (2024) </w:t>
      </w:r>
      <w:r w:rsidRPr="004B2CE5">
        <w:rPr>
          <w:rFonts w:ascii="Arial" w:hAnsi="Arial" w:cs="Arial"/>
          <w:i/>
          <w:iCs/>
        </w:rPr>
        <w:t>Children’s Experiences as Victims of Crime</w:t>
      </w:r>
      <w:r w:rsidRPr="004B2CE5">
        <w:rPr>
          <w:rFonts w:ascii="Arial" w:hAnsi="Arial" w:cs="Arial"/>
        </w:rPr>
        <w:t xml:space="preserve">. London: Children’s Commissioner. Available at: </w:t>
      </w:r>
      <w:hyperlink r:id="rId17" w:history="1">
        <w:r w:rsidRPr="004B2CE5">
          <w:rPr>
            <w:rStyle w:val="Hyperlink"/>
            <w:rFonts w:ascii="Arial" w:hAnsi="Arial" w:cs="Arial"/>
          </w:rPr>
          <w:t>https://assets.childrenscommissi</w:t>
        </w:r>
        <w:r w:rsidRPr="004B2CE5">
          <w:rPr>
            <w:rStyle w:val="Hyperlink"/>
            <w:rFonts w:ascii="Arial" w:hAnsi="Arial" w:cs="Arial"/>
          </w:rPr>
          <w:t>o</w:t>
        </w:r>
        <w:r w:rsidRPr="004B2CE5">
          <w:rPr>
            <w:rStyle w:val="Hyperlink"/>
            <w:rFonts w:ascii="Arial" w:hAnsi="Arial" w:cs="Arial"/>
          </w:rPr>
          <w:t>ner.gov.uk/wpuploads/2024/06/Childrens-experiences-as-victims-of-crime_final.pdf</w:t>
        </w:r>
      </w:hyperlink>
      <w:r w:rsidRPr="004B2CE5">
        <w:rPr>
          <w:rFonts w:ascii="Arial" w:hAnsi="Arial" w:cs="Arial"/>
        </w:rPr>
        <w:t>.  (Accessed 5 April 2025).</w:t>
      </w:r>
    </w:p>
    <w:p w14:paraId="3A0C3BCB" w14:textId="77777777" w:rsidR="00CC2D47" w:rsidRPr="004B2CE5" w:rsidRDefault="00CC2D47" w:rsidP="004B2CE5">
      <w:pPr>
        <w:rPr>
          <w:rFonts w:ascii="Arial" w:hAnsi="Arial" w:cs="Arial"/>
        </w:rPr>
      </w:pPr>
      <w:r w:rsidRPr="004B2CE5">
        <w:rPr>
          <w:rFonts w:ascii="Arial" w:hAnsi="Arial" w:cs="Arial"/>
        </w:rPr>
        <w:t xml:space="preserve">Children’s Commissioner for Wales (2023) </w:t>
      </w:r>
      <w:r w:rsidRPr="004B2CE5">
        <w:rPr>
          <w:rFonts w:ascii="Arial" w:hAnsi="Arial" w:cs="Arial"/>
          <w:i/>
          <w:iCs/>
        </w:rPr>
        <w:t>Ending Physical Punishment: One-Year Progress Report</w:t>
      </w:r>
      <w:r w:rsidRPr="004B2CE5">
        <w:rPr>
          <w:rFonts w:ascii="Arial" w:hAnsi="Arial" w:cs="Arial"/>
        </w:rPr>
        <w:t xml:space="preserve">. Cardiff: </w:t>
      </w:r>
      <w:proofErr w:type="spellStart"/>
      <w:r w:rsidRPr="004B2CE5">
        <w:rPr>
          <w:rFonts w:ascii="Arial" w:hAnsi="Arial" w:cs="Arial"/>
        </w:rPr>
        <w:t>CCfW</w:t>
      </w:r>
      <w:proofErr w:type="spellEnd"/>
      <w:r w:rsidRPr="004B2CE5">
        <w:rPr>
          <w:rFonts w:ascii="Arial" w:hAnsi="Arial" w:cs="Arial"/>
        </w:rPr>
        <w:t xml:space="preserve">. Available at: </w:t>
      </w:r>
      <w:hyperlink r:id="rId18" w:history="1">
        <w:r w:rsidRPr="004B2CE5">
          <w:rPr>
            <w:rStyle w:val="Hyperlink"/>
            <w:rFonts w:ascii="Arial" w:hAnsi="Arial" w:cs="Arial"/>
          </w:rPr>
          <w:t>http</w:t>
        </w:r>
        <w:r w:rsidRPr="004B2CE5">
          <w:rPr>
            <w:rStyle w:val="Hyperlink"/>
            <w:rFonts w:ascii="Arial" w:hAnsi="Arial" w:cs="Arial"/>
          </w:rPr>
          <w:t>s</w:t>
        </w:r>
        <w:r w:rsidRPr="004B2CE5">
          <w:rPr>
            <w:rStyle w:val="Hyperlink"/>
            <w:rFonts w:ascii="Arial" w:hAnsi="Arial" w:cs="Arial"/>
          </w:rPr>
          <w:t>://www.childcomwales.org.uk/wp-content/uploads/2024/10/CCfW_ARA23-24_290924.pdf</w:t>
        </w:r>
      </w:hyperlink>
      <w:r w:rsidRPr="004B2CE5">
        <w:rPr>
          <w:rFonts w:ascii="Arial" w:hAnsi="Arial" w:cs="Arial"/>
        </w:rPr>
        <w:t>.  (Accessed 5 April 2025).</w:t>
      </w:r>
    </w:p>
    <w:p w14:paraId="025E9AE4" w14:textId="77777777" w:rsidR="00CC2D47" w:rsidRPr="004B2CE5" w:rsidRDefault="00CC2D47" w:rsidP="004B2CE5">
      <w:pPr>
        <w:rPr>
          <w:rFonts w:ascii="Arial" w:hAnsi="Arial" w:cs="Arial"/>
        </w:rPr>
      </w:pPr>
      <w:r w:rsidRPr="004B2CE5">
        <w:rPr>
          <w:rFonts w:ascii="Arial" w:hAnsi="Arial" w:cs="Arial"/>
        </w:rPr>
        <w:t xml:space="preserve">Chisnell, C. and Kelly, C. (2019) </w:t>
      </w:r>
      <w:r w:rsidRPr="004B2CE5">
        <w:rPr>
          <w:rFonts w:ascii="Arial" w:hAnsi="Arial" w:cs="Arial"/>
          <w:i/>
          <w:iCs/>
        </w:rPr>
        <w:t>Safeguarding in Social Work Practice: A Lifespan Approach</w:t>
      </w:r>
      <w:r w:rsidRPr="004B2CE5">
        <w:rPr>
          <w:rFonts w:ascii="Arial" w:hAnsi="Arial" w:cs="Arial"/>
        </w:rPr>
        <w:t>. 2</w:t>
      </w:r>
      <w:r w:rsidRPr="004B2CE5">
        <w:rPr>
          <w:rFonts w:ascii="Arial" w:hAnsi="Arial" w:cs="Arial"/>
          <w:vertAlign w:val="superscript"/>
        </w:rPr>
        <w:t>nd</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London: Learning Matters.</w:t>
      </w:r>
    </w:p>
    <w:p w14:paraId="0268BC87" w14:textId="77777777" w:rsidR="00CC2D47" w:rsidRPr="004B2CE5" w:rsidRDefault="00CC2D47" w:rsidP="004B2CE5">
      <w:pPr>
        <w:rPr>
          <w:rFonts w:ascii="Arial" w:hAnsi="Arial" w:cs="Arial"/>
        </w:rPr>
      </w:pPr>
      <w:r w:rsidRPr="004B2CE5">
        <w:rPr>
          <w:rFonts w:ascii="Arial" w:hAnsi="Arial" w:cs="Arial"/>
        </w:rPr>
        <w:t xml:space="preserve">Cooper, M., Evans, Y. and </w:t>
      </w:r>
      <w:proofErr w:type="spellStart"/>
      <w:r w:rsidRPr="004B2CE5">
        <w:rPr>
          <w:rFonts w:ascii="Arial" w:hAnsi="Arial" w:cs="Arial"/>
        </w:rPr>
        <w:t>Pybis</w:t>
      </w:r>
      <w:proofErr w:type="spellEnd"/>
      <w:r w:rsidRPr="004B2CE5">
        <w:rPr>
          <w:rFonts w:ascii="Arial" w:hAnsi="Arial" w:cs="Arial"/>
        </w:rPr>
        <w:t xml:space="preserve">, J. (2020) ‘Interagency collaboration in children and young people’s mental health: A systematic review’, </w:t>
      </w:r>
      <w:r w:rsidRPr="004B2CE5">
        <w:rPr>
          <w:rFonts w:ascii="Arial" w:hAnsi="Arial" w:cs="Arial"/>
          <w:i/>
          <w:iCs/>
        </w:rPr>
        <w:t>Child: Care, Health and Development</w:t>
      </w:r>
      <w:r w:rsidRPr="004B2CE5">
        <w:rPr>
          <w:rFonts w:ascii="Arial" w:hAnsi="Arial" w:cs="Arial"/>
        </w:rPr>
        <w:t xml:space="preserve">, 46(6), pp. 747–758. Available at: </w:t>
      </w:r>
      <w:hyperlink r:id="rId19" w:history="1">
        <w:r w:rsidRPr="004B2CE5">
          <w:rPr>
            <w:rStyle w:val="Hyperlink"/>
            <w:rFonts w:ascii="Arial" w:hAnsi="Arial" w:cs="Arial"/>
          </w:rPr>
          <w:t>https://research-ebsco-</w:t>
        </w:r>
        <w:r w:rsidRPr="004B2CE5">
          <w:rPr>
            <w:rStyle w:val="Hyperlink"/>
            <w:rFonts w:ascii="Arial" w:hAnsi="Arial" w:cs="Arial"/>
          </w:rPr>
          <w:lastRenderedPageBreak/>
          <w:t>com.ezproxy.uwtsd.ac.uk/c/onvpsy/viewer/pdf/yqozxn</w:t>
        </w:r>
        <w:r w:rsidRPr="004B2CE5">
          <w:rPr>
            <w:rStyle w:val="Hyperlink"/>
            <w:rFonts w:ascii="Arial" w:hAnsi="Arial" w:cs="Arial"/>
          </w:rPr>
          <w:t>o</w:t>
        </w:r>
        <w:r w:rsidRPr="004B2CE5">
          <w:rPr>
            <w:rStyle w:val="Hyperlink"/>
            <w:rFonts w:ascii="Arial" w:hAnsi="Arial" w:cs="Arial"/>
          </w:rPr>
          <w:t>kfb</w:t>
        </w:r>
      </w:hyperlink>
      <w:r w:rsidRPr="004B2CE5">
        <w:rPr>
          <w:rFonts w:ascii="Arial" w:hAnsi="Arial" w:cs="Arial"/>
        </w:rPr>
        <w:t xml:space="preserve">. (Accessed 20 March 2025).  </w:t>
      </w:r>
    </w:p>
    <w:p w14:paraId="07153428" w14:textId="77777777" w:rsidR="00CC2D47" w:rsidRDefault="00CC2D47" w:rsidP="004B2CE5">
      <w:pPr>
        <w:rPr>
          <w:rFonts w:ascii="Arial" w:hAnsi="Arial" w:cs="Arial"/>
        </w:rPr>
      </w:pPr>
      <w:r w:rsidRPr="004B2CE5">
        <w:rPr>
          <w:rFonts w:ascii="Arial" w:hAnsi="Arial" w:cs="Arial"/>
        </w:rPr>
        <w:t xml:space="preserve">Cortina, M.A., Shipman, J., Saunders, F., Majeed-Ariss, R., </w:t>
      </w:r>
      <w:proofErr w:type="spellStart"/>
      <w:r w:rsidRPr="004B2CE5">
        <w:rPr>
          <w:rFonts w:ascii="Arial" w:hAnsi="Arial" w:cs="Arial"/>
        </w:rPr>
        <w:t>Fuggle</w:t>
      </w:r>
      <w:proofErr w:type="spellEnd"/>
      <w:r w:rsidRPr="004B2CE5">
        <w:rPr>
          <w:rFonts w:ascii="Arial" w:hAnsi="Arial" w:cs="Arial"/>
        </w:rPr>
        <w:t xml:space="preserve">, P. and Wolpert, M. (2020) ‘Embedding interagency working between schools and mental-health specialists’, </w:t>
      </w:r>
      <w:r w:rsidRPr="004B2CE5">
        <w:rPr>
          <w:rFonts w:ascii="Arial" w:hAnsi="Arial" w:cs="Arial"/>
          <w:i/>
          <w:iCs/>
        </w:rPr>
        <w:t>Clinical Child Psychology and Psychiatry</w:t>
      </w:r>
      <w:r w:rsidRPr="004B2CE5">
        <w:rPr>
          <w:rFonts w:ascii="Arial" w:hAnsi="Arial" w:cs="Arial"/>
        </w:rPr>
        <w:t xml:space="preserve">, 25(1), pp. 103–117. Available at: </w:t>
      </w:r>
      <w:hyperlink r:id="rId20" w:history="1">
        <w:r w:rsidRPr="004B2CE5">
          <w:rPr>
            <w:rStyle w:val="Hyperlink"/>
            <w:rFonts w:ascii="Arial" w:hAnsi="Arial" w:cs="Arial"/>
          </w:rPr>
          <w:t>https://doi-org.ezproxy.uwtsd.ac.uk/10.1</w:t>
        </w:r>
        <w:r w:rsidRPr="004B2CE5">
          <w:rPr>
            <w:rStyle w:val="Hyperlink"/>
            <w:rFonts w:ascii="Arial" w:hAnsi="Arial" w:cs="Arial"/>
          </w:rPr>
          <w:t>1</w:t>
        </w:r>
        <w:r w:rsidRPr="004B2CE5">
          <w:rPr>
            <w:rStyle w:val="Hyperlink"/>
            <w:rFonts w:ascii="Arial" w:hAnsi="Arial" w:cs="Arial"/>
          </w:rPr>
          <w:t>77/1359104519849640</w:t>
        </w:r>
      </w:hyperlink>
      <w:r w:rsidRPr="004B2CE5">
        <w:rPr>
          <w:rFonts w:ascii="Arial" w:hAnsi="Arial" w:cs="Arial"/>
        </w:rPr>
        <w:t>. (Accessed 5 April 2025).</w:t>
      </w:r>
    </w:p>
    <w:p w14:paraId="537E93FA" w14:textId="77777777" w:rsidR="00CC2D47" w:rsidRPr="004B2CE5" w:rsidRDefault="00CC2D47" w:rsidP="004B2CE5">
      <w:pPr>
        <w:rPr>
          <w:rFonts w:ascii="Arial" w:hAnsi="Arial" w:cs="Arial"/>
        </w:rPr>
      </w:pPr>
      <w:r w:rsidRPr="004B2CE5">
        <w:rPr>
          <w:rFonts w:ascii="Arial" w:hAnsi="Arial" w:cs="Arial"/>
        </w:rPr>
        <w:t xml:space="preserve">Department for Education (2023) </w:t>
      </w:r>
      <w:r w:rsidRPr="004B2CE5">
        <w:rPr>
          <w:rFonts w:ascii="Arial" w:hAnsi="Arial" w:cs="Arial"/>
          <w:i/>
          <w:iCs/>
        </w:rPr>
        <w:t>Working Together to Safeguard Children 2023</w:t>
      </w:r>
      <w:r w:rsidRPr="004B2CE5">
        <w:rPr>
          <w:rFonts w:ascii="Arial" w:hAnsi="Arial" w:cs="Arial"/>
        </w:rPr>
        <w:t xml:space="preserve">. London: DfE. Available at: </w:t>
      </w:r>
      <w:hyperlink r:id="rId21" w:history="1">
        <w:r w:rsidRPr="004B2CE5">
          <w:rPr>
            <w:rStyle w:val="Hyperlink"/>
            <w:rFonts w:ascii="Arial" w:hAnsi="Arial" w:cs="Arial"/>
          </w:rPr>
          <w:t>https://assets.publishing.service.gov.uk/media/669e7501ab418ab055592a7b/Working_together_to_safeguard_children_2023.pdf</w:t>
        </w:r>
      </w:hyperlink>
      <w:r w:rsidRPr="004B2CE5">
        <w:rPr>
          <w:rFonts w:ascii="Arial" w:hAnsi="Arial" w:cs="Arial"/>
        </w:rPr>
        <w:t>.  (Accessed 5 April 2025).</w:t>
      </w:r>
    </w:p>
    <w:p w14:paraId="39FFD1E7" w14:textId="77777777" w:rsidR="00CC2D47" w:rsidRPr="004B2CE5" w:rsidRDefault="00CC2D47" w:rsidP="004B2CE5">
      <w:pPr>
        <w:rPr>
          <w:rFonts w:ascii="Arial" w:hAnsi="Arial" w:cs="Arial"/>
        </w:rPr>
      </w:pPr>
      <w:r w:rsidRPr="004B2CE5">
        <w:rPr>
          <w:rFonts w:ascii="Arial" w:hAnsi="Arial" w:cs="Arial"/>
        </w:rPr>
        <w:t xml:space="preserve">Department for Education (DfE) (2022) </w:t>
      </w:r>
      <w:r w:rsidRPr="004B2CE5">
        <w:rPr>
          <w:rFonts w:ascii="Arial" w:hAnsi="Arial" w:cs="Arial"/>
          <w:i/>
          <w:iCs/>
        </w:rPr>
        <w:t>What You Need to Know about Political Impartiality in Schools</w:t>
      </w:r>
      <w:r w:rsidRPr="004B2CE5">
        <w:rPr>
          <w:rFonts w:ascii="Arial" w:hAnsi="Arial" w:cs="Arial"/>
        </w:rPr>
        <w:t xml:space="preserve">. London: DfE. Available at: </w:t>
      </w:r>
      <w:hyperlink r:id="rId22" w:history="1">
        <w:r w:rsidRPr="004B2CE5">
          <w:rPr>
            <w:rStyle w:val="Hyperlink"/>
            <w:rFonts w:ascii="Arial" w:hAnsi="Arial" w:cs="Arial"/>
          </w:rPr>
          <w:t>https://assets.publishing.service.gov.uk/media/61f137688fa8f5058a4b2f44/6.7731_DfE_Political_Impartiality_Guidance_Pamphlet_WEB__004_.pdf</w:t>
        </w:r>
      </w:hyperlink>
      <w:r w:rsidRPr="004B2CE5">
        <w:rPr>
          <w:rFonts w:ascii="Arial" w:hAnsi="Arial" w:cs="Arial"/>
        </w:rPr>
        <w:t>.  (Accessed 3 April 2025).</w:t>
      </w:r>
    </w:p>
    <w:p w14:paraId="26246AC1" w14:textId="77777777" w:rsidR="00CC2D47" w:rsidRPr="004B2CE5" w:rsidRDefault="00CC2D47" w:rsidP="004B2CE5">
      <w:pPr>
        <w:rPr>
          <w:rFonts w:ascii="Arial" w:hAnsi="Arial" w:cs="Arial"/>
        </w:rPr>
      </w:pPr>
      <w:r w:rsidRPr="004B2CE5">
        <w:rPr>
          <w:rFonts w:ascii="Arial" w:hAnsi="Arial" w:cs="Arial"/>
        </w:rPr>
        <w:t xml:space="preserve">Dimopoulos, A. (2022) </w:t>
      </w:r>
      <w:r w:rsidRPr="004B2CE5">
        <w:rPr>
          <w:rFonts w:ascii="Arial" w:hAnsi="Arial" w:cs="Arial"/>
          <w:i/>
          <w:iCs/>
        </w:rPr>
        <w:t>Decisional Privacy and the Rights of the Child</w:t>
      </w:r>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Abingdon: Routledge.</w:t>
      </w:r>
    </w:p>
    <w:p w14:paraId="5E202DCD" w14:textId="77777777" w:rsidR="00CC2D47" w:rsidRPr="004B2CE5" w:rsidRDefault="00CC2D47" w:rsidP="004B2CE5">
      <w:pPr>
        <w:rPr>
          <w:rFonts w:ascii="Arial" w:hAnsi="Arial" w:cs="Arial"/>
        </w:rPr>
      </w:pPr>
      <w:r w:rsidRPr="004B2CE5">
        <w:rPr>
          <w:rFonts w:ascii="Arial" w:hAnsi="Arial" w:cs="Arial"/>
        </w:rPr>
        <w:t xml:space="preserve">Firmin, C., Barter, C., and Roesch-Marsh, A. (2023) ‘Friends, peers and safeguarding’, </w:t>
      </w:r>
      <w:r w:rsidRPr="004B2CE5">
        <w:rPr>
          <w:rFonts w:ascii="Arial" w:hAnsi="Arial" w:cs="Arial"/>
          <w:i/>
          <w:iCs/>
        </w:rPr>
        <w:t>Child Abuse Review</w:t>
      </w:r>
      <w:r w:rsidRPr="004B2CE5">
        <w:rPr>
          <w:rFonts w:ascii="Arial" w:hAnsi="Arial" w:cs="Arial"/>
        </w:rPr>
        <w:t xml:space="preserve">, 32(4), e2826. Available at: </w:t>
      </w:r>
      <w:hyperlink r:id="rId23" w:history="1">
        <w:r w:rsidRPr="004B2CE5">
          <w:rPr>
            <w:rStyle w:val="Hyperlink"/>
            <w:rFonts w:ascii="Arial" w:hAnsi="Arial" w:cs="Arial"/>
          </w:rPr>
          <w:t>https://onlinelibrary.wiley.com/doi/full/10.1002/car.2826</w:t>
        </w:r>
      </w:hyperlink>
      <w:r w:rsidRPr="004B2CE5">
        <w:rPr>
          <w:rFonts w:ascii="Arial" w:hAnsi="Arial" w:cs="Arial"/>
        </w:rPr>
        <w:t>.  (Accessed 9 April 2025).</w:t>
      </w:r>
    </w:p>
    <w:p w14:paraId="1389FA73" w14:textId="77777777" w:rsidR="00CC2D47" w:rsidRPr="004B2CE5" w:rsidRDefault="00CC2D47" w:rsidP="004B2CE5">
      <w:pPr>
        <w:rPr>
          <w:rFonts w:ascii="Arial" w:hAnsi="Arial" w:cs="Arial"/>
        </w:rPr>
      </w:pPr>
      <w:r w:rsidRPr="004B2CE5">
        <w:rPr>
          <w:rFonts w:ascii="Arial" w:hAnsi="Arial" w:cs="Arial"/>
        </w:rPr>
        <w:t xml:space="preserve">Fonagy, P., Moore, A., Simes, E. and Chen, S. (2020) ‘Evaluating CAMHS Transformation Using the </w:t>
      </w:r>
      <w:proofErr w:type="spellStart"/>
      <w:r w:rsidRPr="004B2CE5">
        <w:rPr>
          <w:rFonts w:ascii="Arial" w:hAnsi="Arial" w:cs="Arial"/>
        </w:rPr>
        <w:t>i</w:t>
      </w:r>
      <w:proofErr w:type="spellEnd"/>
      <w:r w:rsidRPr="004B2CE5">
        <w:rPr>
          <w:rFonts w:ascii="Arial" w:hAnsi="Arial" w:cs="Arial"/>
        </w:rPr>
        <w:t>-THRIVE Mode’</w:t>
      </w:r>
      <w:r w:rsidRPr="004B2CE5">
        <w:rPr>
          <w:rFonts w:ascii="Arial" w:hAnsi="Arial" w:cs="Arial"/>
          <w:i/>
          <w:iCs/>
        </w:rPr>
        <w:t>, </w:t>
      </w:r>
      <w:proofErr w:type="spellStart"/>
      <w:r w:rsidRPr="004B2CE5">
        <w:rPr>
          <w:rFonts w:ascii="Arial" w:hAnsi="Arial" w:cs="Arial"/>
          <w:i/>
          <w:iCs/>
        </w:rPr>
        <w:t>PloS</w:t>
      </w:r>
      <w:proofErr w:type="spellEnd"/>
      <w:r w:rsidRPr="004B2CE5">
        <w:rPr>
          <w:rFonts w:ascii="Arial" w:hAnsi="Arial" w:cs="Arial"/>
          <w:i/>
          <w:iCs/>
        </w:rPr>
        <w:t xml:space="preserve"> one, </w:t>
      </w:r>
      <w:r w:rsidRPr="004B2CE5">
        <w:rPr>
          <w:rFonts w:ascii="Arial" w:hAnsi="Arial" w:cs="Arial"/>
        </w:rPr>
        <w:t xml:space="preserve">18(5), pp. e0265782l. Available at: </w:t>
      </w:r>
      <w:hyperlink r:id="rId24" w:history="1">
        <w:r w:rsidRPr="004B2CE5">
          <w:rPr>
            <w:rStyle w:val="Hyperlink"/>
            <w:rFonts w:ascii="Arial" w:hAnsi="Arial" w:cs="Arial"/>
          </w:rPr>
          <w:t>https://research-ebsco-com.ezproxy.uwtsd.ac.uk/linkprocessor/plink?id=a0cca927-4a15-30a4-8953-0a58bd6e6923</w:t>
        </w:r>
      </w:hyperlink>
      <w:r w:rsidRPr="004B2CE5">
        <w:rPr>
          <w:rFonts w:ascii="Arial" w:hAnsi="Arial" w:cs="Arial"/>
        </w:rPr>
        <w:t xml:space="preserve">. (Accessed 18 March 2025). </w:t>
      </w:r>
    </w:p>
    <w:p w14:paraId="2F59D39D" w14:textId="77777777" w:rsidR="00CC2D47" w:rsidRPr="004B2CE5" w:rsidRDefault="00CC2D47" w:rsidP="004B2CE5">
      <w:pPr>
        <w:rPr>
          <w:rFonts w:ascii="Arial" w:hAnsi="Arial" w:cs="Arial"/>
        </w:rPr>
      </w:pPr>
      <w:r w:rsidRPr="004B2CE5">
        <w:rPr>
          <w:rFonts w:ascii="Arial" w:hAnsi="Arial" w:cs="Arial"/>
        </w:rPr>
        <w:t xml:space="preserve">Grimm, F., Alcock, B., Butler, J., Fernandez Crespo, R., Davies, A., </w:t>
      </w:r>
      <w:proofErr w:type="spellStart"/>
      <w:r w:rsidRPr="004B2CE5">
        <w:rPr>
          <w:rFonts w:ascii="Arial" w:hAnsi="Arial" w:cs="Arial"/>
        </w:rPr>
        <w:t>Peytrignet</w:t>
      </w:r>
      <w:proofErr w:type="spellEnd"/>
      <w:r w:rsidRPr="004B2CE5">
        <w:rPr>
          <w:rFonts w:ascii="Arial" w:hAnsi="Arial" w:cs="Arial"/>
        </w:rPr>
        <w:t xml:space="preserve">, S., </w:t>
      </w:r>
      <w:proofErr w:type="spellStart"/>
      <w:r w:rsidRPr="004B2CE5">
        <w:rPr>
          <w:rFonts w:ascii="Arial" w:hAnsi="Arial" w:cs="Arial"/>
        </w:rPr>
        <w:t>Piroddi</w:t>
      </w:r>
      <w:proofErr w:type="spellEnd"/>
      <w:r w:rsidRPr="004B2CE5">
        <w:rPr>
          <w:rFonts w:ascii="Arial" w:hAnsi="Arial" w:cs="Arial"/>
        </w:rPr>
        <w:t xml:space="preserve">, R., </w:t>
      </w:r>
      <w:proofErr w:type="spellStart"/>
      <w:r w:rsidRPr="004B2CE5">
        <w:rPr>
          <w:rFonts w:ascii="Arial" w:hAnsi="Arial" w:cs="Arial"/>
        </w:rPr>
        <w:t>Thorlby</w:t>
      </w:r>
      <w:proofErr w:type="spellEnd"/>
      <w:r w:rsidRPr="004B2CE5">
        <w:rPr>
          <w:rFonts w:ascii="Arial" w:hAnsi="Arial" w:cs="Arial"/>
        </w:rPr>
        <w:t xml:space="preserve">, R. and </w:t>
      </w:r>
      <w:proofErr w:type="spellStart"/>
      <w:r w:rsidRPr="004B2CE5">
        <w:rPr>
          <w:rFonts w:ascii="Arial" w:hAnsi="Arial" w:cs="Arial"/>
        </w:rPr>
        <w:t>Tallack</w:t>
      </w:r>
      <w:proofErr w:type="spellEnd"/>
      <w:r w:rsidRPr="004B2CE5">
        <w:rPr>
          <w:rFonts w:ascii="Arial" w:hAnsi="Arial" w:cs="Arial"/>
        </w:rPr>
        <w:t xml:space="preserve">, C. (2022) </w:t>
      </w:r>
      <w:r w:rsidRPr="004B2CE5">
        <w:rPr>
          <w:rFonts w:ascii="Arial" w:hAnsi="Arial" w:cs="Arial"/>
          <w:i/>
          <w:iCs/>
        </w:rPr>
        <w:t>Improving children and young people’s mental health services</w:t>
      </w:r>
      <w:r w:rsidRPr="004B2CE5">
        <w:rPr>
          <w:rFonts w:ascii="Arial" w:hAnsi="Arial" w:cs="Arial"/>
        </w:rPr>
        <w:t xml:space="preserve">. London: The Health Foundation. Available at: </w:t>
      </w:r>
      <w:hyperlink r:id="rId25" w:history="1">
        <w:r w:rsidRPr="004B2CE5">
          <w:rPr>
            <w:rStyle w:val="Hyperlink"/>
            <w:rFonts w:ascii="Arial" w:hAnsi="Arial" w:cs="Arial"/>
          </w:rPr>
          <w:t>https://www.health.org.uk/publications/reports/improving-children-and-young-peoples-mental-health-services</w:t>
        </w:r>
      </w:hyperlink>
      <w:r w:rsidRPr="004B2CE5">
        <w:rPr>
          <w:rFonts w:ascii="Arial" w:hAnsi="Arial" w:cs="Arial"/>
        </w:rPr>
        <w:t xml:space="preserve">. (Accessed 19 March 2025). </w:t>
      </w:r>
    </w:p>
    <w:p w14:paraId="2417EC9A" w14:textId="77777777" w:rsidR="00CC2D47" w:rsidRPr="004B2CE5" w:rsidRDefault="00CC2D47" w:rsidP="004B2CE5">
      <w:pPr>
        <w:rPr>
          <w:rFonts w:ascii="Arial" w:hAnsi="Arial" w:cs="Arial"/>
        </w:rPr>
      </w:pPr>
      <w:r w:rsidRPr="004B2CE5">
        <w:rPr>
          <w:rFonts w:ascii="Arial" w:hAnsi="Arial" w:cs="Arial"/>
        </w:rPr>
        <w:t xml:space="preserve">HM Government (2023) </w:t>
      </w:r>
      <w:r w:rsidRPr="004B2CE5">
        <w:rPr>
          <w:rFonts w:ascii="Arial" w:hAnsi="Arial" w:cs="Arial"/>
          <w:i/>
          <w:iCs/>
        </w:rPr>
        <w:t>Online Safety Act 2023</w:t>
      </w:r>
      <w:r w:rsidRPr="004B2CE5">
        <w:rPr>
          <w:rFonts w:ascii="Arial" w:hAnsi="Arial" w:cs="Arial"/>
        </w:rPr>
        <w:t xml:space="preserve">. London: The Stationery Office. Available at: </w:t>
      </w:r>
      <w:hyperlink r:id="rId26" w:history="1">
        <w:r w:rsidRPr="004B2CE5">
          <w:rPr>
            <w:rStyle w:val="Hyperlink"/>
            <w:rFonts w:ascii="Arial" w:hAnsi="Arial" w:cs="Arial"/>
          </w:rPr>
          <w:t>https://www.legislation.gov.uk/ukpga/2023/50/pdfs/ukpga_20230050_en.pdf</w:t>
        </w:r>
      </w:hyperlink>
      <w:r w:rsidRPr="004B2CE5">
        <w:rPr>
          <w:rFonts w:ascii="Arial" w:hAnsi="Arial" w:cs="Arial"/>
        </w:rPr>
        <w:t>.  (Accessed 3 April 2025).</w:t>
      </w:r>
    </w:p>
    <w:p w14:paraId="44DC9D1F" w14:textId="77777777" w:rsidR="00CC2D47" w:rsidRDefault="00CC2D47" w:rsidP="004B2CE5">
      <w:pPr>
        <w:rPr>
          <w:rFonts w:ascii="Arial" w:hAnsi="Arial" w:cs="Arial"/>
        </w:rPr>
      </w:pPr>
      <w:r w:rsidRPr="004B2CE5">
        <w:rPr>
          <w:rFonts w:ascii="Arial" w:hAnsi="Arial" w:cs="Arial"/>
        </w:rPr>
        <w:t xml:space="preserve">Home Office (2022) </w:t>
      </w:r>
      <w:r w:rsidRPr="004B2CE5">
        <w:rPr>
          <w:rFonts w:ascii="Arial" w:hAnsi="Arial" w:cs="Arial"/>
          <w:i/>
          <w:iCs/>
        </w:rPr>
        <w:t>Tackling Domestic Abuse Plan</w:t>
      </w:r>
      <w:r w:rsidRPr="004B2CE5">
        <w:rPr>
          <w:rFonts w:ascii="Arial" w:hAnsi="Arial" w:cs="Arial"/>
        </w:rPr>
        <w:t xml:space="preserve">. London: Home Office. Available at: </w:t>
      </w:r>
      <w:hyperlink r:id="rId27" w:history="1">
        <w:r w:rsidRPr="004B2CE5">
          <w:rPr>
            <w:rStyle w:val="Hyperlink"/>
            <w:rFonts w:ascii="Arial" w:hAnsi="Arial" w:cs="Arial"/>
          </w:rPr>
          <w:t>https://assets.publishing.service.gov.uk/media/624422988fa8f527785ed11c/E02735263_Tackling_Domestic_Abuse_CP_639_Elay__002_.pdf</w:t>
        </w:r>
      </w:hyperlink>
      <w:r w:rsidRPr="004B2CE5">
        <w:rPr>
          <w:rFonts w:ascii="Arial" w:hAnsi="Arial" w:cs="Arial"/>
        </w:rPr>
        <w:t>.  (Accessed 9 April 2025).</w:t>
      </w:r>
    </w:p>
    <w:p w14:paraId="79CD48D9" w14:textId="46A5602C" w:rsidR="00BC60B3" w:rsidRDefault="00BC60B3" w:rsidP="004B2CE5">
      <w:pPr>
        <w:rPr>
          <w:rFonts w:ascii="Arial" w:hAnsi="Arial" w:cs="Arial"/>
        </w:rPr>
      </w:pPr>
      <w:r w:rsidRPr="00BC60B3">
        <w:rPr>
          <w:rFonts w:ascii="Arial" w:hAnsi="Arial" w:cs="Arial"/>
        </w:rPr>
        <w:lastRenderedPageBreak/>
        <w:t xml:space="preserve">Hughes, K., Ford, K., Bellis, M.A. and Amos, R. (2022) ‘Parental adverse childhood experiences and perpetration of child physical punishment in Wales’, </w:t>
      </w:r>
      <w:r w:rsidRPr="00BC60B3">
        <w:rPr>
          <w:rFonts w:ascii="Arial" w:hAnsi="Arial" w:cs="Arial"/>
          <w:i/>
          <w:iCs/>
        </w:rPr>
        <w:t>International Journal of Environmental Research and Public Health</w:t>
      </w:r>
      <w:r w:rsidRPr="00BC60B3">
        <w:rPr>
          <w:rFonts w:ascii="Arial" w:hAnsi="Arial" w:cs="Arial"/>
        </w:rPr>
        <w:t xml:space="preserve">, 19(19), 12702. Available at: </w:t>
      </w:r>
      <w:hyperlink r:id="rId28" w:tgtFrame="_new" w:history="1">
        <w:r w:rsidRPr="00BC60B3">
          <w:rPr>
            <w:rStyle w:val="Hyperlink"/>
            <w:rFonts w:ascii="Arial" w:hAnsi="Arial" w:cs="Arial"/>
          </w:rPr>
          <w:t>https://www.mdpi.com/1660-4601/19/19/12702</w:t>
        </w:r>
      </w:hyperlink>
      <w:r w:rsidRPr="00BC60B3">
        <w:rPr>
          <w:rFonts w:ascii="Arial" w:hAnsi="Arial" w:cs="Arial"/>
        </w:rPr>
        <w:t xml:space="preserve"> (Accessed </w:t>
      </w:r>
      <w:r>
        <w:rPr>
          <w:rFonts w:ascii="Arial" w:hAnsi="Arial" w:cs="Arial"/>
        </w:rPr>
        <w:t>3</w:t>
      </w:r>
      <w:r w:rsidRPr="00BC60B3">
        <w:rPr>
          <w:rFonts w:ascii="Arial" w:hAnsi="Arial" w:cs="Arial"/>
        </w:rPr>
        <w:t xml:space="preserve"> April 2025).</w:t>
      </w:r>
    </w:p>
    <w:p w14:paraId="5E848B8C" w14:textId="77777777" w:rsidR="00CC2D47" w:rsidRPr="004B2CE5" w:rsidRDefault="00CC2D47" w:rsidP="004B2CE5">
      <w:pPr>
        <w:rPr>
          <w:rFonts w:ascii="Arial" w:hAnsi="Arial" w:cs="Arial"/>
        </w:rPr>
      </w:pPr>
      <w:r w:rsidRPr="004B2CE5">
        <w:rPr>
          <w:rFonts w:ascii="Arial" w:hAnsi="Arial" w:cs="Arial"/>
        </w:rPr>
        <w:t xml:space="preserve">Humber Teaching NHS Foundation Trust (2020) </w:t>
      </w:r>
      <w:r w:rsidRPr="004B2CE5">
        <w:rPr>
          <w:rFonts w:ascii="Arial" w:hAnsi="Arial" w:cs="Arial"/>
          <w:i/>
          <w:iCs/>
        </w:rPr>
        <w:t>The Child and Adolescent Mental Health Service (CAMHS)</w:t>
      </w:r>
      <w:r w:rsidRPr="004B2CE5">
        <w:rPr>
          <w:rFonts w:ascii="Arial" w:hAnsi="Arial" w:cs="Arial"/>
        </w:rPr>
        <w:t xml:space="preserve">. YouTube. Available at: </w:t>
      </w:r>
      <w:hyperlink r:id="rId29" w:history="1">
        <w:r w:rsidRPr="004B2CE5">
          <w:rPr>
            <w:rStyle w:val="Hyperlink"/>
            <w:rFonts w:ascii="Arial" w:hAnsi="Arial" w:cs="Arial"/>
          </w:rPr>
          <w:t>https://www.youtube.com/watch?v=em1yckn5TJ4</w:t>
        </w:r>
      </w:hyperlink>
      <w:r w:rsidRPr="004B2CE5">
        <w:rPr>
          <w:rFonts w:ascii="Arial" w:hAnsi="Arial" w:cs="Arial"/>
        </w:rPr>
        <w:t xml:space="preserve">. (Accessed 22 March 2025). </w:t>
      </w:r>
    </w:p>
    <w:p w14:paraId="1DEA592C" w14:textId="77777777" w:rsidR="00CC2D47" w:rsidRPr="004B2CE5" w:rsidRDefault="00CC2D47" w:rsidP="004B2CE5">
      <w:pPr>
        <w:rPr>
          <w:rFonts w:ascii="Arial" w:hAnsi="Arial" w:cs="Arial"/>
        </w:rPr>
      </w:pPr>
      <w:r w:rsidRPr="00B22B5E">
        <w:rPr>
          <w:rFonts w:ascii="Arial" w:hAnsi="Arial" w:cs="Arial"/>
        </w:rPr>
        <w:t xml:space="preserve">Hynes, P., Connolly, H. and Durán, L. (2022) </w:t>
      </w:r>
      <w:r w:rsidRPr="00B22B5E">
        <w:rPr>
          <w:rFonts w:ascii="Arial" w:hAnsi="Arial" w:cs="Arial"/>
          <w:i/>
          <w:iCs/>
        </w:rPr>
        <w:t>Creating Stable Futures: Human Trafficking, Participation and Outcomes for Children</w:t>
      </w:r>
      <w:r w:rsidRPr="00B22B5E">
        <w:rPr>
          <w:rFonts w:ascii="Arial" w:hAnsi="Arial" w:cs="Arial"/>
        </w:rPr>
        <w:t xml:space="preserve">. Sheffield: Sheffield Hallam University. Available at: </w:t>
      </w:r>
      <w:hyperlink r:id="rId30" w:tgtFrame="_new" w:history="1">
        <w:r w:rsidRPr="00B22B5E">
          <w:rPr>
            <w:rStyle w:val="Hyperlink"/>
            <w:rFonts w:ascii="Arial" w:hAnsi="Arial" w:cs="Arial"/>
          </w:rPr>
          <w:t>https://shura.shu.ac.uk/30976/1/Creating%20Stable%20Futures%20-%20final%20report.pdf</w:t>
        </w:r>
      </w:hyperlink>
      <w:r>
        <w:rPr>
          <w:rFonts w:ascii="Arial" w:hAnsi="Arial" w:cs="Arial"/>
        </w:rPr>
        <w:t>.</w:t>
      </w:r>
      <w:r w:rsidRPr="00B22B5E">
        <w:rPr>
          <w:rFonts w:ascii="Arial" w:hAnsi="Arial" w:cs="Arial"/>
        </w:rPr>
        <w:t xml:space="preserve"> (Accessed </w:t>
      </w:r>
      <w:r>
        <w:rPr>
          <w:rFonts w:ascii="Arial" w:hAnsi="Arial" w:cs="Arial"/>
        </w:rPr>
        <w:t>5</w:t>
      </w:r>
      <w:r w:rsidRPr="00B22B5E">
        <w:rPr>
          <w:rFonts w:ascii="Arial" w:hAnsi="Arial" w:cs="Arial"/>
        </w:rPr>
        <w:t xml:space="preserve"> April 2025).</w:t>
      </w:r>
    </w:p>
    <w:p w14:paraId="426BA242" w14:textId="77777777" w:rsidR="00CC2D47" w:rsidRPr="004B2CE5" w:rsidRDefault="00CC2D47" w:rsidP="004B2CE5">
      <w:pPr>
        <w:rPr>
          <w:rFonts w:ascii="Arial" w:hAnsi="Arial" w:cs="Arial"/>
        </w:rPr>
      </w:pPr>
      <w:r w:rsidRPr="004B2CE5">
        <w:rPr>
          <w:rFonts w:ascii="Arial" w:hAnsi="Arial" w:cs="Arial"/>
        </w:rPr>
        <w:t xml:space="preserve">Information Commissioner’s Office (ICO) (2023) </w:t>
      </w:r>
      <w:r w:rsidRPr="004B2CE5">
        <w:rPr>
          <w:rFonts w:ascii="Arial" w:hAnsi="Arial" w:cs="Arial"/>
          <w:i/>
          <w:iCs/>
        </w:rPr>
        <w:t>Age-Appropriate Design Code: One-Year Evaluation Report</w:t>
      </w:r>
      <w:r w:rsidRPr="004B2CE5">
        <w:rPr>
          <w:rFonts w:ascii="Arial" w:hAnsi="Arial" w:cs="Arial"/>
        </w:rPr>
        <w:t xml:space="preserve">. London: ICO. Available at: </w:t>
      </w:r>
      <w:hyperlink r:id="rId31" w:history="1">
        <w:r w:rsidRPr="004B2CE5">
          <w:rPr>
            <w:rStyle w:val="Hyperlink"/>
            <w:rFonts w:ascii="Arial" w:hAnsi="Arial" w:cs="Arial"/>
          </w:rPr>
          <w:t>https://ico.org.uk/media/for-organisations/guide-to-data-protection/ico-codes-of-practice/age-appropriate-design-a-code-of-practice-for-online-services-2-1.pdf</w:t>
        </w:r>
      </w:hyperlink>
      <w:r w:rsidRPr="004B2CE5">
        <w:rPr>
          <w:rFonts w:ascii="Arial" w:hAnsi="Arial" w:cs="Arial"/>
        </w:rPr>
        <w:t>.  (Accessed 22 April 2025).</w:t>
      </w:r>
    </w:p>
    <w:p w14:paraId="363C9D70" w14:textId="77777777" w:rsidR="00CC2D47" w:rsidRPr="004B2CE5" w:rsidRDefault="00CC2D47" w:rsidP="004B2CE5">
      <w:pPr>
        <w:rPr>
          <w:rFonts w:ascii="Arial" w:hAnsi="Arial" w:cs="Arial"/>
        </w:rPr>
      </w:pPr>
      <w:r w:rsidRPr="004B2CE5">
        <w:rPr>
          <w:rFonts w:ascii="Arial" w:hAnsi="Arial" w:cs="Arial"/>
        </w:rPr>
        <w:t xml:space="preserve">Information Commissioner’s Office (ICO) (2023) </w:t>
      </w:r>
      <w:r w:rsidRPr="004B2CE5">
        <w:rPr>
          <w:rFonts w:ascii="Arial" w:hAnsi="Arial" w:cs="Arial"/>
          <w:i/>
          <w:iCs/>
        </w:rPr>
        <w:t>Children’s Code Evaluation: Key Messages</w:t>
      </w:r>
      <w:r w:rsidRPr="004B2CE5">
        <w:rPr>
          <w:rFonts w:ascii="Arial" w:hAnsi="Arial" w:cs="Arial"/>
        </w:rPr>
        <w:t xml:space="preserve">. London: ICO. Available at: </w:t>
      </w:r>
      <w:hyperlink r:id="rId32" w:history="1">
        <w:r w:rsidRPr="004B2CE5">
          <w:rPr>
            <w:rStyle w:val="Hyperlink"/>
            <w:rFonts w:ascii="Arial" w:hAnsi="Arial" w:cs="Arial"/>
          </w:rPr>
          <w:t>https://ico.org.uk/media/about-the-ico/documents/4025495/childrens-code-summary-document.pdf</w:t>
        </w:r>
      </w:hyperlink>
      <w:r w:rsidRPr="004B2CE5">
        <w:rPr>
          <w:rFonts w:ascii="Arial" w:hAnsi="Arial" w:cs="Arial"/>
        </w:rPr>
        <w:t>.  (Accessed 12 April 2025).</w:t>
      </w:r>
    </w:p>
    <w:p w14:paraId="4E7094E6" w14:textId="77777777" w:rsidR="00CC2D47" w:rsidRDefault="00CC2D47" w:rsidP="004B2CE5">
      <w:pPr>
        <w:rPr>
          <w:rFonts w:ascii="Arial" w:hAnsi="Arial" w:cs="Arial"/>
        </w:rPr>
      </w:pPr>
      <w:r w:rsidRPr="004B2CE5">
        <w:rPr>
          <w:rFonts w:ascii="Arial" w:hAnsi="Arial" w:cs="Arial"/>
        </w:rPr>
        <w:t>Jacobs, S., Davies, N., Butterick, K.L., Oswell, J.L., Siapka, K. and Smith, C.H. (2023) ‘Shared decision</w:t>
      </w:r>
      <w:r w:rsidRPr="004B2CE5">
        <w:rPr>
          <w:rFonts w:ascii="Arial" w:hAnsi="Arial" w:cs="Arial"/>
        </w:rPr>
        <w:noBreakHyphen/>
        <w:t xml:space="preserve">making for children with medical complexity in community health services: a scoping review’, </w:t>
      </w:r>
      <w:r w:rsidRPr="004B2CE5">
        <w:rPr>
          <w:rFonts w:ascii="Arial" w:hAnsi="Arial" w:cs="Arial"/>
          <w:i/>
          <w:iCs/>
        </w:rPr>
        <w:t>BMJ Paediatrics Open</w:t>
      </w:r>
      <w:r w:rsidRPr="004B2CE5">
        <w:rPr>
          <w:rFonts w:ascii="Arial" w:hAnsi="Arial" w:cs="Arial"/>
        </w:rPr>
        <w:t xml:space="preserve">, 7(1), e001866. Available at: </w:t>
      </w:r>
      <w:bookmarkStart w:id="5" w:name="_Hlk196211197"/>
      <w:r w:rsidRPr="004B2CE5">
        <w:rPr>
          <w:rFonts w:ascii="Arial" w:hAnsi="Arial" w:cs="Arial"/>
        </w:rPr>
        <w:fldChar w:fldCharType="begin"/>
      </w:r>
      <w:r w:rsidRPr="004B2CE5">
        <w:rPr>
          <w:rFonts w:ascii="Arial" w:hAnsi="Arial" w:cs="Arial"/>
        </w:rPr>
        <w:instrText>HYPERLINK "https://www.proquest.com/scholarly-journals/shared-decision-making-children-with-medical/docview/2794135009/se-2"</w:instrText>
      </w:r>
      <w:r w:rsidRPr="004B2CE5">
        <w:rPr>
          <w:rFonts w:ascii="Arial" w:hAnsi="Arial" w:cs="Arial"/>
        </w:rPr>
      </w:r>
      <w:r w:rsidRPr="004B2CE5">
        <w:rPr>
          <w:rFonts w:ascii="Arial" w:hAnsi="Arial" w:cs="Arial"/>
        </w:rPr>
        <w:fldChar w:fldCharType="separate"/>
      </w:r>
      <w:r w:rsidRPr="004B2CE5">
        <w:rPr>
          <w:rStyle w:val="Hyperlink"/>
          <w:rFonts w:ascii="Arial" w:hAnsi="Arial" w:cs="Arial"/>
        </w:rPr>
        <w:t>https://www.proquest.com/scholarly-journals/shared-decision-making-children-with-medical/docview/2794135009/se-2</w:t>
      </w:r>
      <w:r w:rsidRPr="004B2CE5">
        <w:rPr>
          <w:rFonts w:ascii="Arial" w:hAnsi="Arial" w:cs="Arial"/>
        </w:rPr>
        <w:fldChar w:fldCharType="end"/>
      </w:r>
      <w:bookmarkEnd w:id="5"/>
      <w:r w:rsidRPr="004B2CE5">
        <w:rPr>
          <w:rFonts w:ascii="Arial" w:hAnsi="Arial" w:cs="Arial"/>
        </w:rPr>
        <w:t>.   (Accessed 3 April 2025).</w:t>
      </w:r>
    </w:p>
    <w:p w14:paraId="500D12C5" w14:textId="77777777" w:rsidR="00CC2D47" w:rsidRPr="004B2CE5" w:rsidRDefault="00CC2D47" w:rsidP="004B2CE5">
      <w:pPr>
        <w:rPr>
          <w:rFonts w:ascii="Arial" w:hAnsi="Arial" w:cs="Arial"/>
        </w:rPr>
      </w:pPr>
      <w:r w:rsidRPr="004B2CE5">
        <w:rPr>
          <w:rFonts w:ascii="Arial" w:hAnsi="Arial" w:cs="Arial"/>
        </w:rPr>
        <w:t xml:space="preserve">Kidron, B. and Rudkin, A. (2023) </w:t>
      </w:r>
      <w:r w:rsidRPr="004B2CE5">
        <w:rPr>
          <w:rFonts w:ascii="Arial" w:hAnsi="Arial" w:cs="Arial"/>
          <w:i/>
          <w:iCs/>
        </w:rPr>
        <w:t>Digital Childhood: Addressing Childhood Developmental Milestones in the Digital Environment</w:t>
      </w:r>
      <w:r w:rsidRPr="004B2CE5">
        <w:rPr>
          <w:rFonts w:ascii="Arial" w:hAnsi="Arial" w:cs="Arial"/>
        </w:rPr>
        <w:t xml:space="preserve">. London: 5Rights Foundation. Available at: </w:t>
      </w:r>
      <w:hyperlink r:id="rId33" w:tgtFrame="_new" w:history="1">
        <w:r w:rsidRPr="004B2CE5">
          <w:rPr>
            <w:rStyle w:val="Hyperlink"/>
            <w:rFonts w:ascii="Arial" w:hAnsi="Arial" w:cs="Arial"/>
          </w:rPr>
          <w:t>https://5rightsfoundation.com/wp-cont</w:t>
        </w:r>
        <w:r w:rsidRPr="004B2CE5">
          <w:rPr>
            <w:rStyle w:val="Hyperlink"/>
            <w:rFonts w:ascii="Arial" w:hAnsi="Arial" w:cs="Arial"/>
          </w:rPr>
          <w:t>e</w:t>
        </w:r>
        <w:r w:rsidRPr="004B2CE5">
          <w:rPr>
            <w:rStyle w:val="Hyperlink"/>
            <w:rFonts w:ascii="Arial" w:hAnsi="Arial" w:cs="Arial"/>
          </w:rPr>
          <w:t>nt/uploads/2024/08/Digital-Childhood-Report-2023.pdf</w:t>
        </w:r>
      </w:hyperlink>
      <w:r w:rsidRPr="004B2CE5">
        <w:rPr>
          <w:rFonts w:ascii="Arial" w:hAnsi="Arial" w:cs="Arial"/>
        </w:rPr>
        <w:t xml:space="preserve"> (Accessed 3 April 2025).</w:t>
      </w:r>
    </w:p>
    <w:p w14:paraId="2095F9E4" w14:textId="77777777" w:rsidR="00CC2D47" w:rsidRPr="004B2CE5" w:rsidRDefault="00CC2D47" w:rsidP="004B2CE5">
      <w:pPr>
        <w:rPr>
          <w:rFonts w:ascii="Arial" w:hAnsi="Arial" w:cs="Arial"/>
        </w:rPr>
      </w:pPr>
      <w:r w:rsidRPr="004B2CE5">
        <w:rPr>
          <w:rFonts w:ascii="Arial" w:hAnsi="Arial" w:cs="Arial"/>
        </w:rPr>
        <w:t xml:space="preserve">Knight, S. (2025) </w:t>
      </w:r>
      <w:r w:rsidRPr="004B2CE5">
        <w:rPr>
          <w:rFonts w:ascii="Arial" w:hAnsi="Arial" w:cs="Arial"/>
          <w:i/>
          <w:iCs/>
        </w:rPr>
        <w:t>The Therapeutic School Approach: How to Embed Trauma</w:t>
      </w:r>
      <w:r w:rsidRPr="004B2CE5">
        <w:rPr>
          <w:rFonts w:ascii="Arial" w:hAnsi="Arial" w:cs="Arial"/>
          <w:i/>
          <w:iCs/>
        </w:rPr>
        <w:noBreakHyphen/>
        <w:t>Informed, Attachment</w:t>
      </w:r>
      <w:r w:rsidRPr="004B2CE5">
        <w:rPr>
          <w:rFonts w:ascii="Arial" w:hAnsi="Arial" w:cs="Arial"/>
          <w:i/>
          <w:iCs/>
        </w:rPr>
        <w:noBreakHyphen/>
        <w:t>Aware Practices to Improve Outcomes for All Children</w:t>
      </w:r>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London: Routledge.</w:t>
      </w:r>
    </w:p>
    <w:p w14:paraId="34A07001" w14:textId="77777777" w:rsidR="00CC2D47" w:rsidRPr="004B2CE5" w:rsidRDefault="00CC2D47" w:rsidP="004B2CE5">
      <w:pPr>
        <w:rPr>
          <w:rFonts w:ascii="Arial" w:hAnsi="Arial" w:cs="Arial"/>
        </w:rPr>
      </w:pPr>
      <w:r w:rsidRPr="004B2CE5">
        <w:rPr>
          <w:rFonts w:ascii="Arial" w:hAnsi="Arial" w:cs="Arial"/>
        </w:rPr>
        <w:t xml:space="preserve">Laver-Bradbury, C., Thompson, P., Gale, L. and Hooper, R. (2021) </w:t>
      </w:r>
      <w:r w:rsidRPr="004B2CE5">
        <w:rPr>
          <w:rFonts w:ascii="Arial" w:hAnsi="Arial" w:cs="Arial"/>
          <w:i/>
          <w:iCs/>
        </w:rPr>
        <w:t>Child and Adolescent Mental Health: Theory and Practice</w:t>
      </w:r>
      <w:r w:rsidRPr="004B2CE5">
        <w:rPr>
          <w:rFonts w:ascii="Arial" w:hAnsi="Arial" w:cs="Arial"/>
        </w:rPr>
        <w:t>. 2</w:t>
      </w:r>
      <w:r w:rsidRPr="004B2CE5">
        <w:rPr>
          <w:rFonts w:ascii="Arial" w:hAnsi="Arial" w:cs="Arial"/>
          <w:vertAlign w:val="superscript"/>
        </w:rPr>
        <w:t>nd</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xml:space="preserve">. London: Routledge. </w:t>
      </w:r>
    </w:p>
    <w:p w14:paraId="09F5977B" w14:textId="77777777" w:rsidR="00CC2D47" w:rsidRPr="004B2CE5" w:rsidRDefault="00CC2D47" w:rsidP="004B2CE5">
      <w:pPr>
        <w:rPr>
          <w:rFonts w:ascii="Arial" w:hAnsi="Arial" w:cs="Arial"/>
        </w:rPr>
      </w:pPr>
      <w:r w:rsidRPr="004B2CE5">
        <w:rPr>
          <w:rFonts w:ascii="Arial" w:hAnsi="Arial" w:cs="Arial"/>
        </w:rPr>
        <w:t>Laver</w:t>
      </w:r>
      <w:r w:rsidRPr="004B2CE5">
        <w:rPr>
          <w:rFonts w:ascii="Arial" w:hAnsi="Arial" w:cs="Arial"/>
        </w:rPr>
        <w:noBreakHyphen/>
        <w:t xml:space="preserve">Bradbury, C., Thompson, P., Gale, L. and Hooper, R. (2021) </w:t>
      </w:r>
      <w:r w:rsidRPr="004B2CE5">
        <w:rPr>
          <w:rFonts w:ascii="Arial" w:hAnsi="Arial" w:cs="Arial"/>
          <w:i/>
          <w:iCs/>
        </w:rPr>
        <w:t>Child and Adolescent Mental Health: Theory and Practice</w:t>
      </w:r>
      <w:r w:rsidRPr="004B2CE5">
        <w:rPr>
          <w:rFonts w:ascii="Arial" w:hAnsi="Arial" w:cs="Arial"/>
        </w:rPr>
        <w:t>. 2</w:t>
      </w:r>
      <w:r w:rsidRPr="004B2CE5">
        <w:rPr>
          <w:rFonts w:ascii="Arial" w:hAnsi="Arial" w:cs="Arial"/>
          <w:vertAlign w:val="superscript"/>
        </w:rPr>
        <w:t>nd</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London: Routledge.</w:t>
      </w:r>
    </w:p>
    <w:p w14:paraId="2DC0F73E" w14:textId="77777777" w:rsidR="00CC2D47" w:rsidRPr="004B2CE5" w:rsidRDefault="00CC2D47" w:rsidP="004B2CE5">
      <w:pPr>
        <w:rPr>
          <w:rFonts w:ascii="Arial" w:hAnsi="Arial" w:cs="Arial"/>
        </w:rPr>
      </w:pPr>
      <w:r w:rsidRPr="004B2CE5">
        <w:rPr>
          <w:rFonts w:ascii="Arial" w:hAnsi="Arial" w:cs="Arial"/>
        </w:rPr>
        <w:t xml:space="preserve">Lidchi, V. and Wiener, A. (2021) ‘How can services be improved to address the mental health of vulnerable children?’, </w:t>
      </w:r>
      <w:r w:rsidRPr="004B2CE5">
        <w:rPr>
          <w:rFonts w:ascii="Arial" w:hAnsi="Arial" w:cs="Arial"/>
          <w:i/>
          <w:iCs/>
        </w:rPr>
        <w:t>Child Abuse &amp; Neglect</w:t>
      </w:r>
      <w:r w:rsidRPr="004B2CE5">
        <w:rPr>
          <w:rFonts w:ascii="Arial" w:hAnsi="Arial" w:cs="Arial"/>
        </w:rPr>
        <w:t xml:space="preserve">, 115, 104970. </w:t>
      </w:r>
      <w:r w:rsidRPr="004B2CE5">
        <w:rPr>
          <w:rFonts w:ascii="Arial" w:hAnsi="Arial" w:cs="Arial"/>
        </w:rPr>
        <w:lastRenderedPageBreak/>
        <w:t xml:space="preserve">Available at: </w:t>
      </w:r>
      <w:hyperlink r:id="rId34" w:history="1">
        <w:r w:rsidRPr="004B2CE5">
          <w:rPr>
            <w:rStyle w:val="Hyperlink"/>
            <w:rFonts w:ascii="Arial" w:hAnsi="Arial" w:cs="Arial"/>
          </w:rPr>
          <w:t>https://www-sciencedirect-com.ezproxy.uwtsd.ac.uk/science/article/pii/S0145213420303033</w:t>
        </w:r>
      </w:hyperlink>
      <w:r w:rsidRPr="004B2CE5">
        <w:rPr>
          <w:rFonts w:ascii="Arial" w:hAnsi="Arial" w:cs="Arial"/>
        </w:rPr>
        <w:t xml:space="preserve">. (Accessed 21 March 2025). </w:t>
      </w:r>
    </w:p>
    <w:p w14:paraId="5ED9C9C8" w14:textId="77777777" w:rsidR="00CC2D47" w:rsidRPr="004B2CE5" w:rsidRDefault="00CC2D47" w:rsidP="004B2CE5">
      <w:pPr>
        <w:rPr>
          <w:rFonts w:ascii="Arial" w:hAnsi="Arial" w:cs="Arial"/>
        </w:rPr>
      </w:pPr>
      <w:r w:rsidRPr="004B2CE5">
        <w:rPr>
          <w:rFonts w:ascii="Arial" w:hAnsi="Arial" w:cs="Arial"/>
        </w:rPr>
        <w:t xml:space="preserve">Marder, I.D. and Forde, L. (2023) ‘Challenges in the future of restorative youth justice in Ireland: Minimising intervention, maximising participation’, </w:t>
      </w:r>
      <w:r w:rsidRPr="004B2CE5">
        <w:rPr>
          <w:rFonts w:ascii="Arial" w:hAnsi="Arial" w:cs="Arial"/>
          <w:i/>
          <w:iCs/>
        </w:rPr>
        <w:t>Youth Justice</w:t>
      </w:r>
      <w:r w:rsidRPr="004B2CE5">
        <w:rPr>
          <w:rFonts w:ascii="Arial" w:hAnsi="Arial" w:cs="Arial"/>
        </w:rPr>
        <w:t xml:space="preserve">, 23(1), pp. 5–23. Available at: </w:t>
      </w:r>
      <w:hyperlink r:id="rId35" w:history="1">
        <w:r w:rsidRPr="004B2CE5">
          <w:rPr>
            <w:rStyle w:val="Hyperlink"/>
            <w:rFonts w:ascii="Arial" w:hAnsi="Arial" w:cs="Arial"/>
          </w:rPr>
          <w:t>https://doi-org.ezproxy.uwtsd.ac.uk/10.1177/14732254221122568</w:t>
        </w:r>
      </w:hyperlink>
      <w:r w:rsidRPr="004B2CE5">
        <w:rPr>
          <w:rFonts w:ascii="Arial" w:hAnsi="Arial" w:cs="Arial"/>
        </w:rPr>
        <w:t>. (Accessed 7 April 2025).</w:t>
      </w:r>
    </w:p>
    <w:p w14:paraId="641EE9B3" w14:textId="77777777" w:rsidR="00CC2D47" w:rsidRPr="004B2CE5" w:rsidRDefault="00CC2D47" w:rsidP="004B2CE5">
      <w:pPr>
        <w:rPr>
          <w:rFonts w:ascii="Arial" w:hAnsi="Arial" w:cs="Arial"/>
        </w:rPr>
      </w:pPr>
      <w:r w:rsidRPr="004B2CE5">
        <w:rPr>
          <w:rFonts w:ascii="Arial" w:hAnsi="Arial" w:cs="Arial"/>
        </w:rPr>
        <w:t xml:space="preserve">McCool, S. (2023) </w:t>
      </w:r>
      <w:bookmarkStart w:id="6" w:name="_Hlk193711355"/>
      <w:r w:rsidRPr="004B2CE5">
        <w:rPr>
          <w:rFonts w:ascii="Arial" w:hAnsi="Arial" w:cs="Arial"/>
          <w:i/>
          <w:iCs/>
        </w:rPr>
        <w:t>Working with Child and Adolescent Mental Health: The Central Role of Language and Communication</w:t>
      </w:r>
      <w:bookmarkEnd w:id="6"/>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xml:space="preserve">. London: Routledge. </w:t>
      </w:r>
    </w:p>
    <w:p w14:paraId="10F87563" w14:textId="77777777" w:rsidR="00CC2D47" w:rsidRPr="00233460" w:rsidRDefault="00CC2D47" w:rsidP="00233460">
      <w:pPr>
        <w:rPr>
          <w:rFonts w:ascii="Arial" w:hAnsi="Arial" w:cs="Arial"/>
        </w:rPr>
      </w:pPr>
      <w:r w:rsidRPr="00233460">
        <w:rPr>
          <w:rFonts w:ascii="Arial" w:hAnsi="Arial" w:cs="Arial"/>
        </w:rPr>
        <w:t xml:space="preserve">National Lottery Community Fund (2023) </w:t>
      </w:r>
      <w:r w:rsidRPr="009A5FBA">
        <w:rPr>
          <w:rFonts w:ascii="Arial" w:hAnsi="Arial" w:cs="Arial"/>
          <w:i/>
          <w:iCs/>
        </w:rPr>
        <w:t>Bringing People Together: Programme Overview</w:t>
      </w:r>
      <w:r w:rsidRPr="00233460">
        <w:rPr>
          <w:rFonts w:ascii="Arial" w:hAnsi="Arial" w:cs="Arial"/>
        </w:rPr>
        <w:t xml:space="preserve">. London: The National Lottery Community Fund. Available at: </w:t>
      </w:r>
      <w:hyperlink r:id="rId36" w:history="1">
        <w:r w:rsidRPr="009F1391">
          <w:rPr>
            <w:rStyle w:val="Hyperlink"/>
            <w:rFonts w:ascii="Arial" w:hAnsi="Arial" w:cs="Arial"/>
          </w:rPr>
          <w:t>https://www.tnlcommunityfund.org.uk/news/blog/2022-05-11/bringing-people-together-how-projects-are-developing-ways-to-do-just-this</w:t>
        </w:r>
      </w:hyperlink>
      <w:r>
        <w:rPr>
          <w:rFonts w:ascii="Arial" w:hAnsi="Arial" w:cs="Arial"/>
        </w:rPr>
        <w:t xml:space="preserve">. </w:t>
      </w:r>
      <w:r w:rsidRPr="00233460">
        <w:rPr>
          <w:rFonts w:ascii="Arial" w:hAnsi="Arial" w:cs="Arial"/>
        </w:rPr>
        <w:t xml:space="preserve"> (Accessed </w:t>
      </w:r>
      <w:r>
        <w:rPr>
          <w:rFonts w:ascii="Arial" w:hAnsi="Arial" w:cs="Arial"/>
        </w:rPr>
        <w:t>18</w:t>
      </w:r>
      <w:r w:rsidRPr="00233460">
        <w:rPr>
          <w:rFonts w:ascii="Arial" w:hAnsi="Arial" w:cs="Arial"/>
        </w:rPr>
        <w:t xml:space="preserve"> April 2025).</w:t>
      </w:r>
    </w:p>
    <w:p w14:paraId="26BC0606" w14:textId="77777777" w:rsidR="00CC2D47" w:rsidRPr="00A8082F" w:rsidRDefault="00CC2D47" w:rsidP="004B2CE5">
      <w:pPr>
        <w:rPr>
          <w:rFonts w:ascii="Arial" w:hAnsi="Arial" w:cs="Arial"/>
          <w:b/>
          <w:bCs/>
          <w:i/>
          <w:iCs/>
        </w:rPr>
      </w:pPr>
      <w:r w:rsidRPr="004B2CE5">
        <w:rPr>
          <w:rFonts w:ascii="Arial" w:hAnsi="Arial" w:cs="Arial"/>
        </w:rPr>
        <w:t xml:space="preserve">NHS England (2021) </w:t>
      </w:r>
      <w:r w:rsidRPr="00A8082F">
        <w:rPr>
          <w:rFonts w:ascii="Arial" w:hAnsi="Arial" w:cs="Arial"/>
          <w:i/>
          <w:iCs/>
        </w:rPr>
        <w:t>Supporting children and young people with mental health needs: a joined-up approach</w:t>
      </w:r>
      <w:r w:rsidRPr="004B2CE5">
        <w:rPr>
          <w:rFonts w:ascii="Arial" w:hAnsi="Arial" w:cs="Arial"/>
        </w:rPr>
        <w:t xml:space="preserve">. London: NHS England. Available at: </w:t>
      </w:r>
      <w:hyperlink r:id="rId37" w:history="1">
        <w:r w:rsidRPr="009F1391">
          <w:rPr>
            <w:rStyle w:val="Hyperlink"/>
            <w:rFonts w:ascii="Arial" w:hAnsi="Arial" w:cs="Arial"/>
          </w:rPr>
          <w:t>https://www.england.nhs.uk/mental-health/cyp/supporting-children-and-young-people-with-mental-health-needs-a-joined-up-approach/</w:t>
        </w:r>
      </w:hyperlink>
      <w:r w:rsidRPr="00A8082F">
        <w:rPr>
          <w:rFonts w:ascii="Arial" w:hAnsi="Arial" w:cs="Arial"/>
        </w:rPr>
        <w:t>.</w:t>
      </w:r>
      <w:r w:rsidRPr="004B2CE5">
        <w:rPr>
          <w:rFonts w:ascii="Arial" w:hAnsi="Arial" w:cs="Arial"/>
        </w:rPr>
        <w:t xml:space="preserve"> (Accessed 9 April 2025).</w:t>
      </w:r>
    </w:p>
    <w:p w14:paraId="163FCA5B" w14:textId="77777777" w:rsidR="00CC2D47" w:rsidRPr="00A8082F" w:rsidRDefault="00CC2D47" w:rsidP="009A5FBA">
      <w:pPr>
        <w:rPr>
          <w:rFonts w:ascii="Arial" w:hAnsi="Arial" w:cs="Arial"/>
          <w:b/>
          <w:bCs/>
          <w:i/>
          <w:iCs/>
        </w:rPr>
      </w:pPr>
      <w:r w:rsidRPr="00233460">
        <w:rPr>
          <w:rFonts w:ascii="Arial" w:hAnsi="Arial" w:cs="Arial"/>
        </w:rPr>
        <w:t xml:space="preserve">NHS England (2023) </w:t>
      </w:r>
      <w:r w:rsidRPr="00A8082F">
        <w:rPr>
          <w:rFonts w:ascii="Arial" w:hAnsi="Arial" w:cs="Arial"/>
          <w:i/>
          <w:iCs/>
        </w:rPr>
        <w:t>Children and young people community mental health crisis services</w:t>
      </w:r>
      <w:r w:rsidRPr="00233460">
        <w:rPr>
          <w:rFonts w:ascii="Arial" w:hAnsi="Arial" w:cs="Arial"/>
        </w:rPr>
        <w:t>. London: NHS England. Available at:</w:t>
      </w:r>
      <w:r>
        <w:rPr>
          <w:rFonts w:ascii="Arial" w:hAnsi="Arial" w:cs="Arial"/>
        </w:rPr>
        <w:t xml:space="preserve"> </w:t>
      </w:r>
      <w:hyperlink r:id="rId38" w:history="1">
        <w:r w:rsidRPr="009F1391">
          <w:rPr>
            <w:rStyle w:val="Hyperlink"/>
            <w:rFonts w:ascii="Arial" w:hAnsi="Arial" w:cs="Arial"/>
          </w:rPr>
          <w:t>https://www.england.nhs.uk/mental-health/cyp/cyp-community-mental-health-crisis-services-national-implementation-guidance-for-urgent-and-emergency-mental-health-care-for-cyp/</w:t>
        </w:r>
      </w:hyperlink>
      <w:r>
        <w:rPr>
          <w:rFonts w:ascii="Arial" w:hAnsi="Arial" w:cs="Arial"/>
        </w:rPr>
        <w:t xml:space="preserve">. </w:t>
      </w:r>
      <w:r w:rsidRPr="00233460">
        <w:rPr>
          <w:rFonts w:ascii="Arial" w:hAnsi="Arial" w:cs="Arial"/>
        </w:rPr>
        <w:t xml:space="preserve">(Accessed </w:t>
      </w:r>
      <w:r>
        <w:rPr>
          <w:rFonts w:ascii="Arial" w:hAnsi="Arial" w:cs="Arial"/>
        </w:rPr>
        <w:t>17</w:t>
      </w:r>
      <w:r w:rsidRPr="00233460">
        <w:rPr>
          <w:rFonts w:ascii="Arial" w:hAnsi="Arial" w:cs="Arial"/>
        </w:rPr>
        <w:t xml:space="preserve"> April 2025).</w:t>
      </w:r>
    </w:p>
    <w:p w14:paraId="2842C50D" w14:textId="77777777" w:rsidR="00CC2D47" w:rsidRPr="004B2CE5" w:rsidRDefault="00CC2D47" w:rsidP="004B2CE5">
      <w:pPr>
        <w:rPr>
          <w:rFonts w:ascii="Arial" w:hAnsi="Arial" w:cs="Arial"/>
        </w:rPr>
      </w:pPr>
      <w:r w:rsidRPr="004B2CE5">
        <w:rPr>
          <w:rFonts w:ascii="Arial" w:hAnsi="Arial" w:cs="Arial"/>
        </w:rPr>
        <w:t xml:space="preserve">NHS England (2024) </w:t>
      </w:r>
      <w:r w:rsidRPr="004B2CE5">
        <w:rPr>
          <w:rFonts w:ascii="Arial" w:hAnsi="Arial" w:cs="Arial"/>
          <w:i/>
          <w:iCs/>
        </w:rPr>
        <w:t>Safeguarding Children, Young People and Adults at Risk in the NHS: Safeguarding Accountability and Assurance Framework</w:t>
      </w:r>
      <w:r w:rsidRPr="004B2CE5">
        <w:rPr>
          <w:rFonts w:ascii="Arial" w:hAnsi="Arial" w:cs="Arial"/>
        </w:rPr>
        <w:t xml:space="preserve">. London: NHS England. Available at: </w:t>
      </w:r>
      <w:hyperlink r:id="rId39" w:history="1">
        <w:r w:rsidRPr="009F1391">
          <w:rPr>
            <w:rStyle w:val="Hyperlink"/>
            <w:rFonts w:ascii="Arial" w:hAnsi="Arial" w:cs="Arial"/>
          </w:rPr>
          <w:t>https://www.england.nhs.uk/long-read/safeguarding-children-young-people-and-adults-at-risk-in-the-nhs/</w:t>
        </w:r>
      </w:hyperlink>
      <w:r>
        <w:rPr>
          <w:rFonts w:ascii="Arial" w:hAnsi="Arial" w:cs="Arial"/>
        </w:rPr>
        <w:t xml:space="preserve">. </w:t>
      </w:r>
      <w:r w:rsidRPr="004B2CE5">
        <w:rPr>
          <w:rFonts w:ascii="Arial" w:hAnsi="Arial" w:cs="Arial"/>
        </w:rPr>
        <w:t xml:space="preserve"> (Accessed 5 April 2025).</w:t>
      </w:r>
    </w:p>
    <w:p w14:paraId="248E3BD9" w14:textId="77777777" w:rsidR="00CC2D47" w:rsidRPr="004B2CE5" w:rsidRDefault="00CC2D47" w:rsidP="004B2CE5">
      <w:pPr>
        <w:rPr>
          <w:rFonts w:ascii="Arial" w:hAnsi="Arial" w:cs="Arial"/>
        </w:rPr>
      </w:pPr>
      <w:r w:rsidRPr="004B2CE5">
        <w:rPr>
          <w:rFonts w:ascii="Arial" w:hAnsi="Arial" w:cs="Arial"/>
        </w:rPr>
        <w:t xml:space="preserve">NICE (2021) </w:t>
      </w:r>
      <w:r w:rsidRPr="004B2CE5">
        <w:rPr>
          <w:rFonts w:ascii="Arial" w:hAnsi="Arial" w:cs="Arial"/>
          <w:i/>
          <w:iCs/>
        </w:rPr>
        <w:t>Depression in Children and Young People: Identification and Management</w:t>
      </w:r>
      <w:r w:rsidRPr="004B2CE5">
        <w:rPr>
          <w:rFonts w:ascii="Arial" w:hAnsi="Arial" w:cs="Arial"/>
        </w:rPr>
        <w:t xml:space="preserve">. London: National Institute for Health and Care Excellence. Available at: </w:t>
      </w:r>
      <w:hyperlink r:id="rId40" w:history="1">
        <w:r w:rsidRPr="004B2CE5">
          <w:rPr>
            <w:rStyle w:val="Hyperlink"/>
            <w:rFonts w:ascii="Arial" w:hAnsi="Arial" w:cs="Arial"/>
          </w:rPr>
          <w:t>https://www.nice.org.uk</w:t>
        </w:r>
        <w:r w:rsidRPr="004B2CE5">
          <w:rPr>
            <w:rStyle w:val="Hyperlink"/>
            <w:rFonts w:ascii="Arial" w:hAnsi="Arial" w:cs="Arial"/>
          </w:rPr>
          <w:t>/</w:t>
        </w:r>
        <w:r w:rsidRPr="004B2CE5">
          <w:rPr>
            <w:rStyle w:val="Hyperlink"/>
            <w:rFonts w:ascii="Arial" w:hAnsi="Arial" w:cs="Arial"/>
          </w:rPr>
          <w:t>guidance/ng134</w:t>
        </w:r>
      </w:hyperlink>
      <w:r w:rsidRPr="004B2CE5">
        <w:rPr>
          <w:rFonts w:ascii="Arial" w:hAnsi="Arial" w:cs="Arial"/>
        </w:rPr>
        <w:t xml:space="preserve">. (Accessed 22 March 2025). </w:t>
      </w:r>
    </w:p>
    <w:p w14:paraId="7F9AA92D" w14:textId="77777777" w:rsidR="00CC2D47" w:rsidRDefault="00CC2D47" w:rsidP="004B2CE5">
      <w:pPr>
        <w:rPr>
          <w:rFonts w:ascii="Arial" w:hAnsi="Arial" w:cs="Arial"/>
        </w:rPr>
      </w:pPr>
      <w:r w:rsidRPr="004B2CE5">
        <w:rPr>
          <w:rFonts w:ascii="Arial" w:hAnsi="Arial" w:cs="Arial"/>
        </w:rPr>
        <w:t xml:space="preserve">NSPCC Learning (2024) </w:t>
      </w:r>
      <w:r w:rsidRPr="004B2CE5">
        <w:rPr>
          <w:rFonts w:ascii="Arial" w:hAnsi="Arial" w:cs="Arial"/>
          <w:i/>
          <w:iCs/>
        </w:rPr>
        <w:t>Letting the Future In: Helping Children and Young People Recover from Sexual Abuse</w:t>
      </w:r>
      <w:r w:rsidRPr="004B2CE5">
        <w:rPr>
          <w:rFonts w:ascii="Arial" w:hAnsi="Arial" w:cs="Arial"/>
        </w:rPr>
        <w:t xml:space="preserve">. London: NSPCC. Available at: </w:t>
      </w:r>
      <w:hyperlink r:id="rId41" w:history="1">
        <w:r w:rsidRPr="004B2CE5">
          <w:rPr>
            <w:rStyle w:val="Hyperlink"/>
            <w:rFonts w:ascii="Arial" w:hAnsi="Arial" w:cs="Arial"/>
          </w:rPr>
          <w:t>https://learning.nspcc.org.uk/services-children-fami</w:t>
        </w:r>
        <w:r w:rsidRPr="004B2CE5">
          <w:rPr>
            <w:rStyle w:val="Hyperlink"/>
            <w:rFonts w:ascii="Arial" w:hAnsi="Arial" w:cs="Arial"/>
          </w:rPr>
          <w:t>l</w:t>
        </w:r>
        <w:r w:rsidRPr="004B2CE5">
          <w:rPr>
            <w:rStyle w:val="Hyperlink"/>
            <w:rFonts w:ascii="Arial" w:hAnsi="Arial" w:cs="Arial"/>
          </w:rPr>
          <w:t>ies/letting-the-future-in</w:t>
        </w:r>
      </w:hyperlink>
      <w:r w:rsidRPr="004B2CE5">
        <w:rPr>
          <w:rFonts w:ascii="Arial" w:hAnsi="Arial" w:cs="Arial"/>
        </w:rPr>
        <w:t>.  (Accessed 5 April 2025).</w:t>
      </w:r>
    </w:p>
    <w:p w14:paraId="6B593023" w14:textId="77777777" w:rsidR="00CC2D47" w:rsidRPr="004B2CE5" w:rsidRDefault="00CC2D47" w:rsidP="004B2CE5">
      <w:pPr>
        <w:rPr>
          <w:rFonts w:ascii="Arial" w:hAnsi="Arial" w:cs="Arial"/>
        </w:rPr>
      </w:pPr>
      <w:r w:rsidRPr="004B2CE5">
        <w:rPr>
          <w:rFonts w:ascii="Arial" w:hAnsi="Arial" w:cs="Arial"/>
        </w:rPr>
        <w:t xml:space="preserve">Ofcom (2024) </w:t>
      </w:r>
      <w:r w:rsidRPr="004B2CE5">
        <w:rPr>
          <w:rFonts w:ascii="Arial" w:hAnsi="Arial" w:cs="Arial"/>
          <w:i/>
          <w:iCs/>
        </w:rPr>
        <w:t>Children and Parents: Media Use and Attitudes Report 2024</w:t>
      </w:r>
      <w:r w:rsidRPr="004B2CE5">
        <w:rPr>
          <w:rFonts w:ascii="Arial" w:hAnsi="Arial" w:cs="Arial"/>
        </w:rPr>
        <w:t xml:space="preserve">. London: Ofcom. Available at: </w:t>
      </w:r>
      <w:hyperlink r:id="rId42" w:history="1">
        <w:r w:rsidRPr="004B2CE5">
          <w:rPr>
            <w:rStyle w:val="Hyperlink"/>
            <w:rFonts w:ascii="Arial" w:hAnsi="Arial" w:cs="Arial"/>
          </w:rPr>
          <w:t>https://www.ofcom.org.uk/media-use-and-attitudes/media-habits-children/children-and-parents-media-use-and-attitude</w:t>
        </w:r>
        <w:r w:rsidRPr="004B2CE5">
          <w:rPr>
            <w:rStyle w:val="Hyperlink"/>
            <w:rFonts w:ascii="Arial" w:hAnsi="Arial" w:cs="Arial"/>
          </w:rPr>
          <w:t>s</w:t>
        </w:r>
        <w:r w:rsidRPr="004B2CE5">
          <w:rPr>
            <w:rStyle w:val="Hyperlink"/>
            <w:rFonts w:ascii="Arial" w:hAnsi="Arial" w:cs="Arial"/>
          </w:rPr>
          <w:t>-report-2024</w:t>
        </w:r>
      </w:hyperlink>
      <w:r w:rsidRPr="004B2CE5">
        <w:rPr>
          <w:rFonts w:ascii="Arial" w:hAnsi="Arial" w:cs="Arial"/>
        </w:rPr>
        <w:t>.  (Accessed 8 April 2025).</w:t>
      </w:r>
    </w:p>
    <w:p w14:paraId="5798943E" w14:textId="77777777" w:rsidR="00CC2D47" w:rsidRDefault="00CC2D47" w:rsidP="004B2CE5">
      <w:pPr>
        <w:rPr>
          <w:rFonts w:ascii="Arial" w:hAnsi="Arial" w:cs="Arial"/>
        </w:rPr>
      </w:pPr>
      <w:r w:rsidRPr="004B2CE5">
        <w:rPr>
          <w:rFonts w:ascii="Arial" w:hAnsi="Arial" w:cs="Arial"/>
        </w:rPr>
        <w:lastRenderedPageBreak/>
        <w:t xml:space="preserve">Ofcom (2024) </w:t>
      </w:r>
      <w:r w:rsidRPr="009E760A">
        <w:rPr>
          <w:rFonts w:ascii="Arial" w:hAnsi="Arial" w:cs="Arial"/>
          <w:i/>
          <w:iCs/>
        </w:rPr>
        <w:t>Revealing Reality Ethics &amp; Safeguarding Policy</w:t>
      </w:r>
      <w:r w:rsidRPr="004B2CE5">
        <w:rPr>
          <w:rFonts w:ascii="Arial" w:hAnsi="Arial" w:cs="Arial"/>
        </w:rPr>
        <w:t xml:space="preserve">. London: Ofcom. Available at: </w:t>
      </w:r>
      <w:hyperlink r:id="rId43" w:history="1">
        <w:r w:rsidRPr="009F1391">
          <w:rPr>
            <w:rStyle w:val="Hyperlink"/>
            <w:rFonts w:ascii="Arial" w:hAnsi="Arial" w:cs="Arial"/>
          </w:rPr>
          <w:t>https://www.ofcom.org.uk/siteassets/resources/documents/research-and-data/media-literacy-research/children/childrens-media-lives-2023/annex-5-childrens-media-use-and-attitudes-report-2023.pdf?v=329420</w:t>
        </w:r>
      </w:hyperlink>
      <w:r w:rsidRPr="004B2CE5">
        <w:rPr>
          <w:rFonts w:ascii="Arial" w:hAnsi="Arial" w:cs="Arial"/>
        </w:rPr>
        <w:t>. (Accessed 3 April 2025).</w:t>
      </w:r>
    </w:p>
    <w:p w14:paraId="137BED29" w14:textId="77777777" w:rsidR="00CC2D47" w:rsidRPr="00233460" w:rsidRDefault="00CC2D47" w:rsidP="009A5FBA">
      <w:pPr>
        <w:rPr>
          <w:rFonts w:ascii="Arial" w:hAnsi="Arial" w:cs="Arial"/>
        </w:rPr>
      </w:pPr>
      <w:r w:rsidRPr="00233460">
        <w:rPr>
          <w:rFonts w:ascii="Arial" w:hAnsi="Arial" w:cs="Arial"/>
        </w:rPr>
        <w:t xml:space="preserve">Office for Health Improvement and Disparities (OHID) (2022) </w:t>
      </w:r>
      <w:r w:rsidRPr="009A5FBA">
        <w:rPr>
          <w:rFonts w:ascii="Arial" w:hAnsi="Arial" w:cs="Arial"/>
          <w:i/>
          <w:iCs/>
        </w:rPr>
        <w:t>UK Chief Medical Officers’ Physical Activity Guidelines</w:t>
      </w:r>
      <w:r w:rsidRPr="00233460">
        <w:rPr>
          <w:rFonts w:ascii="Arial" w:hAnsi="Arial" w:cs="Arial"/>
        </w:rPr>
        <w:t xml:space="preserve">. London: Department of Health and Social Care. Available at: </w:t>
      </w:r>
      <w:hyperlink r:id="rId44" w:history="1">
        <w:r w:rsidRPr="00FD0402">
          <w:rPr>
            <w:rStyle w:val="Hyperlink"/>
            <w:rFonts w:ascii="Arial" w:hAnsi="Arial" w:cs="Arial"/>
          </w:rPr>
          <w:t>https://www.gov.uk/government/publications/physical-activity-guidelines-uk-chief-medical-officers-re</w:t>
        </w:r>
        <w:r w:rsidRPr="00FD0402">
          <w:rPr>
            <w:rStyle w:val="Hyperlink"/>
            <w:rFonts w:ascii="Arial" w:hAnsi="Arial" w:cs="Arial"/>
          </w:rPr>
          <w:t>p</w:t>
        </w:r>
        <w:r w:rsidRPr="00FD0402">
          <w:rPr>
            <w:rStyle w:val="Hyperlink"/>
            <w:rFonts w:ascii="Arial" w:hAnsi="Arial" w:cs="Arial"/>
          </w:rPr>
          <w:t>ort</w:t>
        </w:r>
      </w:hyperlink>
      <w:r>
        <w:rPr>
          <w:rFonts w:ascii="Arial" w:hAnsi="Arial" w:cs="Arial"/>
        </w:rPr>
        <w:t xml:space="preserve">. </w:t>
      </w:r>
      <w:r w:rsidRPr="00233460">
        <w:rPr>
          <w:rFonts w:ascii="Arial" w:hAnsi="Arial" w:cs="Arial"/>
        </w:rPr>
        <w:t xml:space="preserve"> (Accessed </w:t>
      </w:r>
      <w:r>
        <w:rPr>
          <w:rFonts w:ascii="Arial" w:hAnsi="Arial" w:cs="Arial"/>
        </w:rPr>
        <w:t>15</w:t>
      </w:r>
      <w:r w:rsidRPr="00233460">
        <w:rPr>
          <w:rFonts w:ascii="Arial" w:hAnsi="Arial" w:cs="Arial"/>
        </w:rPr>
        <w:t xml:space="preserve"> April 2025).</w:t>
      </w:r>
    </w:p>
    <w:p w14:paraId="1446012F" w14:textId="77777777" w:rsidR="00CC2D47" w:rsidRPr="004B2CE5" w:rsidRDefault="00CC2D47" w:rsidP="004B2CE5">
      <w:pPr>
        <w:rPr>
          <w:rFonts w:ascii="Arial" w:hAnsi="Arial" w:cs="Arial"/>
        </w:rPr>
      </w:pPr>
      <w:r w:rsidRPr="004B2CE5">
        <w:rPr>
          <w:rFonts w:ascii="Arial" w:hAnsi="Arial" w:cs="Arial"/>
        </w:rPr>
        <w:t>Parton, N. and Otway, O. (2021) 'The contemporary state of child protection policy and practice in England and Wales,' </w:t>
      </w:r>
      <w:r w:rsidRPr="004B2CE5">
        <w:rPr>
          <w:rFonts w:ascii="Arial" w:hAnsi="Arial" w:cs="Arial"/>
          <w:i/>
          <w:iCs/>
        </w:rPr>
        <w:t>Children and Youth Services Review</w:t>
      </w:r>
      <w:r w:rsidRPr="004B2CE5">
        <w:rPr>
          <w:rFonts w:ascii="Arial" w:hAnsi="Arial" w:cs="Arial"/>
        </w:rPr>
        <w:t xml:space="preserve">, 17(5–6), pp. 599–617. Available at: </w:t>
      </w:r>
      <w:hyperlink r:id="rId45" w:history="1">
        <w:r w:rsidRPr="004B2CE5">
          <w:rPr>
            <w:rStyle w:val="Hyperlink"/>
            <w:rFonts w:ascii="Arial" w:hAnsi="Arial" w:cs="Arial"/>
          </w:rPr>
          <w:t>https://www-sciencedirect-com.ezproxy.uwtsd.ac.uk/science/article</w:t>
        </w:r>
        <w:r w:rsidRPr="004B2CE5">
          <w:rPr>
            <w:rStyle w:val="Hyperlink"/>
            <w:rFonts w:ascii="Arial" w:hAnsi="Arial" w:cs="Arial"/>
          </w:rPr>
          <w:t>/</w:t>
        </w:r>
        <w:r w:rsidRPr="004B2CE5">
          <w:rPr>
            <w:rStyle w:val="Hyperlink"/>
            <w:rFonts w:ascii="Arial" w:hAnsi="Arial" w:cs="Arial"/>
          </w:rPr>
          <w:t>pii/019074099500041A</w:t>
        </w:r>
      </w:hyperlink>
      <w:r w:rsidRPr="004B2CE5">
        <w:rPr>
          <w:rFonts w:ascii="Arial" w:hAnsi="Arial" w:cs="Arial"/>
        </w:rPr>
        <w:t xml:space="preserve">.  (Accessed 8 April 2025). </w:t>
      </w:r>
    </w:p>
    <w:p w14:paraId="5CA81FE5" w14:textId="77777777" w:rsidR="00CC2D47" w:rsidRPr="004B2CE5" w:rsidRDefault="00CC2D47" w:rsidP="004B2CE5">
      <w:pPr>
        <w:rPr>
          <w:rFonts w:ascii="Arial" w:hAnsi="Arial" w:cs="Arial"/>
        </w:rPr>
      </w:pPr>
      <w:proofErr w:type="spellStart"/>
      <w:r w:rsidRPr="004B2CE5">
        <w:rPr>
          <w:rFonts w:ascii="Arial" w:hAnsi="Arial" w:cs="Arial"/>
        </w:rPr>
        <w:t>Pescott</w:t>
      </w:r>
      <w:proofErr w:type="spellEnd"/>
      <w:r w:rsidRPr="004B2CE5">
        <w:rPr>
          <w:rFonts w:ascii="Arial" w:hAnsi="Arial" w:cs="Arial"/>
        </w:rPr>
        <w:t xml:space="preserve">, C.K. (2024) ‘“They are watching you do everything online”: Children’s perceptions of social media surveillance’, </w:t>
      </w:r>
      <w:r w:rsidRPr="004B2CE5">
        <w:rPr>
          <w:rFonts w:ascii="Arial" w:hAnsi="Arial" w:cs="Arial"/>
          <w:i/>
          <w:iCs/>
        </w:rPr>
        <w:t>Children &amp; Society</w:t>
      </w:r>
      <w:r w:rsidRPr="004B2CE5">
        <w:rPr>
          <w:rFonts w:ascii="Arial" w:hAnsi="Arial" w:cs="Arial"/>
        </w:rPr>
        <w:t xml:space="preserve">, 38(5), pp. 1730–1748. Available at: </w:t>
      </w:r>
      <w:hyperlink r:id="rId46" w:history="1">
        <w:r w:rsidRPr="004B2CE5">
          <w:rPr>
            <w:rStyle w:val="Hyperlink"/>
            <w:rFonts w:ascii="Arial" w:hAnsi="Arial" w:cs="Arial"/>
          </w:rPr>
          <w:t>https://onlinelibrary.wiley.com/doi/full/10.1111/chso.12835</w:t>
        </w:r>
      </w:hyperlink>
      <w:r w:rsidRPr="004B2CE5">
        <w:rPr>
          <w:rFonts w:ascii="Arial" w:hAnsi="Arial" w:cs="Arial"/>
        </w:rPr>
        <w:t>.  (Accessed 12 April 2025).</w:t>
      </w:r>
    </w:p>
    <w:p w14:paraId="38DC7A65" w14:textId="77777777" w:rsidR="00CC2D47" w:rsidRPr="004B2CE5" w:rsidRDefault="00CC2D47" w:rsidP="004B2CE5">
      <w:pPr>
        <w:rPr>
          <w:rFonts w:ascii="Arial" w:hAnsi="Arial" w:cs="Arial"/>
        </w:rPr>
      </w:pPr>
      <w:r w:rsidRPr="004B2CE5">
        <w:rPr>
          <w:rFonts w:ascii="Arial" w:hAnsi="Arial" w:cs="Arial"/>
        </w:rPr>
        <w:t xml:space="preserve">Rowland, A.G., Fussey, E., Gerry, F. and Herbert, B. (2025) ‘The case for legislative change to prohibit and eliminate all physical punishment of children and to achieve equal protection from assault in England and Northern Ireland’, </w:t>
      </w:r>
      <w:r w:rsidRPr="004B2CE5">
        <w:rPr>
          <w:rFonts w:ascii="Arial" w:hAnsi="Arial" w:cs="Arial"/>
          <w:i/>
          <w:iCs/>
        </w:rPr>
        <w:t>Children and Youth Services Review</w:t>
      </w:r>
      <w:r w:rsidRPr="004B2CE5">
        <w:rPr>
          <w:rFonts w:ascii="Arial" w:hAnsi="Arial" w:cs="Arial"/>
        </w:rPr>
        <w:t xml:space="preserve">, 158, 107124. Available at: </w:t>
      </w:r>
      <w:hyperlink r:id="rId47" w:tgtFrame="_new" w:history="1">
        <w:r w:rsidRPr="004B2CE5">
          <w:rPr>
            <w:rStyle w:val="Hyperlink"/>
            <w:rFonts w:ascii="Arial" w:hAnsi="Arial" w:cs="Arial"/>
          </w:rPr>
          <w:t>https://www.sciencedirect.com/science/article/pii/S0190740925000581</w:t>
        </w:r>
      </w:hyperlink>
      <w:r w:rsidRPr="004B2CE5">
        <w:rPr>
          <w:rFonts w:ascii="Arial" w:hAnsi="Arial" w:cs="Arial"/>
        </w:rPr>
        <w:t>. (Accessed 6 April 2025).</w:t>
      </w:r>
    </w:p>
    <w:p w14:paraId="7D50453C" w14:textId="77777777" w:rsidR="00CC2D47" w:rsidRPr="004B2CE5" w:rsidRDefault="00CC2D47" w:rsidP="004B2CE5">
      <w:pPr>
        <w:rPr>
          <w:rFonts w:ascii="Arial" w:hAnsi="Arial" w:cs="Arial"/>
        </w:rPr>
      </w:pPr>
      <w:r w:rsidRPr="004B2CE5">
        <w:rPr>
          <w:rFonts w:ascii="Arial" w:hAnsi="Arial" w:cs="Arial"/>
        </w:rPr>
        <w:t xml:space="preserve">Royal College of Psychiatrists (2020) </w:t>
      </w:r>
      <w:r w:rsidRPr="004B2CE5">
        <w:rPr>
          <w:rFonts w:ascii="Arial" w:hAnsi="Arial" w:cs="Arial"/>
          <w:i/>
          <w:iCs/>
        </w:rPr>
        <w:t>Technology use and the mental health of children and young people</w:t>
      </w:r>
      <w:r w:rsidRPr="004B2CE5">
        <w:rPr>
          <w:rFonts w:ascii="Arial" w:hAnsi="Arial" w:cs="Arial"/>
        </w:rPr>
        <w:t xml:space="preserve">. London: </w:t>
      </w:r>
      <w:proofErr w:type="spellStart"/>
      <w:r w:rsidRPr="004B2CE5">
        <w:rPr>
          <w:rFonts w:ascii="Arial" w:hAnsi="Arial" w:cs="Arial"/>
        </w:rPr>
        <w:t>RCPsych</w:t>
      </w:r>
      <w:proofErr w:type="spellEnd"/>
      <w:r w:rsidRPr="004B2CE5">
        <w:rPr>
          <w:rFonts w:ascii="Arial" w:hAnsi="Arial" w:cs="Arial"/>
        </w:rPr>
        <w:t xml:space="preserve">. Available at: </w:t>
      </w:r>
      <w:hyperlink r:id="rId48" w:history="1">
        <w:r w:rsidRPr="004B2CE5">
          <w:rPr>
            <w:rStyle w:val="Hyperlink"/>
            <w:rFonts w:ascii="Arial" w:hAnsi="Arial" w:cs="Arial"/>
          </w:rPr>
          <w:t>https://www.rcpsych.ac.uk/docs/default-source/improving-care/better-mh-policy/college-reports/college-report-cr225.pdf</w:t>
        </w:r>
      </w:hyperlink>
      <w:r w:rsidRPr="004B2CE5">
        <w:rPr>
          <w:rFonts w:ascii="Arial" w:hAnsi="Arial" w:cs="Arial"/>
        </w:rPr>
        <w:t>.  (Accessed 10 April 2025).</w:t>
      </w:r>
    </w:p>
    <w:p w14:paraId="0B7D191E" w14:textId="77777777" w:rsidR="00CC2D47" w:rsidRPr="004B2CE5" w:rsidRDefault="00CC2D47" w:rsidP="004B2CE5">
      <w:pPr>
        <w:rPr>
          <w:rFonts w:ascii="Arial" w:hAnsi="Arial" w:cs="Arial"/>
        </w:rPr>
      </w:pPr>
      <w:r w:rsidRPr="004B2CE5">
        <w:rPr>
          <w:rFonts w:ascii="Arial" w:hAnsi="Arial" w:cs="Arial"/>
        </w:rPr>
        <w:t xml:space="preserve">Sen, R. and Kerr, C. (2023) </w:t>
      </w:r>
      <w:r w:rsidRPr="004B2CE5">
        <w:rPr>
          <w:rFonts w:ascii="Arial" w:hAnsi="Arial" w:cs="Arial"/>
          <w:i/>
          <w:iCs/>
        </w:rPr>
        <w:t>The future of children’s care: Critical Perspectives on Children’s Services Reform</w:t>
      </w:r>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xml:space="preserve">. Bristol: Bristol University Press. </w:t>
      </w:r>
    </w:p>
    <w:p w14:paraId="5939535D" w14:textId="77777777" w:rsidR="00CC2D47" w:rsidRDefault="00CC2D47" w:rsidP="009A5FBA">
      <w:pPr>
        <w:rPr>
          <w:rFonts w:ascii="Arial" w:hAnsi="Arial" w:cs="Arial"/>
        </w:rPr>
      </w:pPr>
      <w:r w:rsidRPr="009A5FBA">
        <w:rPr>
          <w:rFonts w:ascii="Arial" w:hAnsi="Arial" w:cs="Arial"/>
        </w:rPr>
        <w:t xml:space="preserve">Sport England (2023) </w:t>
      </w:r>
      <w:r w:rsidRPr="009A5FBA">
        <w:rPr>
          <w:rFonts w:ascii="Arial" w:hAnsi="Arial" w:cs="Arial"/>
          <w:i/>
          <w:iCs/>
        </w:rPr>
        <w:t>Active Lives: Children and Young People Survey 2022-23</w:t>
      </w:r>
      <w:r w:rsidRPr="009A5FBA">
        <w:rPr>
          <w:rFonts w:ascii="Arial" w:hAnsi="Arial" w:cs="Arial"/>
        </w:rPr>
        <w:t xml:space="preserve">. London: Sport England. Available at: </w:t>
      </w:r>
      <w:hyperlink r:id="rId49" w:history="1">
        <w:r w:rsidRPr="00FD0402">
          <w:rPr>
            <w:rStyle w:val="Hyperlink"/>
            <w:rFonts w:ascii="Arial" w:hAnsi="Arial" w:cs="Arial"/>
          </w:rPr>
          <w:t>https://www.sportengland.org/research-and-data/data/active-lives</w:t>
        </w:r>
      </w:hyperlink>
      <w:r>
        <w:rPr>
          <w:rFonts w:ascii="Arial" w:hAnsi="Arial" w:cs="Arial"/>
        </w:rPr>
        <w:t xml:space="preserve">.  </w:t>
      </w:r>
      <w:r w:rsidRPr="009A5FBA">
        <w:rPr>
          <w:rFonts w:ascii="Arial" w:hAnsi="Arial" w:cs="Arial"/>
        </w:rPr>
        <w:t xml:space="preserve"> (Accessed </w:t>
      </w:r>
      <w:r>
        <w:rPr>
          <w:rFonts w:ascii="Arial" w:hAnsi="Arial" w:cs="Arial"/>
        </w:rPr>
        <w:t>16</w:t>
      </w:r>
      <w:r w:rsidRPr="009A5FBA">
        <w:rPr>
          <w:rFonts w:ascii="Arial" w:hAnsi="Arial" w:cs="Arial"/>
        </w:rPr>
        <w:t xml:space="preserve"> April 2025).</w:t>
      </w:r>
    </w:p>
    <w:p w14:paraId="00A03DBC" w14:textId="1A44F644" w:rsidR="00BE1D57" w:rsidRPr="009A5FBA" w:rsidRDefault="00BE1D57" w:rsidP="009A5FBA">
      <w:pPr>
        <w:rPr>
          <w:rFonts w:ascii="Arial" w:hAnsi="Arial" w:cs="Arial"/>
        </w:rPr>
      </w:pPr>
      <w:r w:rsidRPr="00BE1D57">
        <w:rPr>
          <w:rFonts w:ascii="Arial" w:hAnsi="Arial" w:cs="Arial"/>
        </w:rPr>
        <w:t xml:space="preserve">Struthers, A.E.C. and Brittle, R. (2025) ‘Human rights education and safeguarding: perceptions of teaching practices in England and Scotland’, </w:t>
      </w:r>
      <w:r w:rsidRPr="00BE1D57">
        <w:rPr>
          <w:rFonts w:ascii="Arial" w:hAnsi="Arial" w:cs="Arial"/>
          <w:i/>
          <w:iCs/>
        </w:rPr>
        <w:t>Human Rights Education Review</w:t>
      </w:r>
      <w:r w:rsidRPr="00BE1D57">
        <w:rPr>
          <w:rFonts w:ascii="Arial" w:hAnsi="Arial" w:cs="Arial"/>
        </w:rPr>
        <w:t xml:space="preserve">, 8(1), pp. 22–38. Available at: </w:t>
      </w:r>
      <w:hyperlink r:id="rId50" w:tgtFrame="_new" w:history="1">
        <w:r w:rsidRPr="00BE1D57">
          <w:rPr>
            <w:rStyle w:val="Hyperlink"/>
            <w:rFonts w:ascii="Arial" w:hAnsi="Arial" w:cs="Arial"/>
          </w:rPr>
          <w:t>https://www.tandfonline.com/doi/abs/10.1080/25355406.2025.2452120</w:t>
        </w:r>
      </w:hyperlink>
      <w:r w:rsidRPr="00BE1D57">
        <w:rPr>
          <w:rFonts w:ascii="Arial" w:hAnsi="Arial" w:cs="Arial"/>
        </w:rPr>
        <w:t xml:space="preserve"> (Accessed 22 April 2025).</w:t>
      </w:r>
    </w:p>
    <w:p w14:paraId="073FEADC" w14:textId="77777777" w:rsidR="00CC2D47" w:rsidRPr="004B2CE5" w:rsidRDefault="00CC2D47" w:rsidP="004B2CE5">
      <w:pPr>
        <w:rPr>
          <w:rFonts w:ascii="Arial" w:hAnsi="Arial" w:cs="Arial"/>
        </w:rPr>
      </w:pPr>
      <w:proofErr w:type="spellStart"/>
      <w:r w:rsidRPr="00BD1A97">
        <w:rPr>
          <w:rFonts w:ascii="Arial" w:hAnsi="Arial" w:cs="Arial"/>
        </w:rPr>
        <w:lastRenderedPageBreak/>
        <w:t>Tedam</w:t>
      </w:r>
      <w:proofErr w:type="spellEnd"/>
      <w:r w:rsidRPr="00BD1A97">
        <w:rPr>
          <w:rFonts w:ascii="Arial" w:hAnsi="Arial" w:cs="Arial"/>
        </w:rPr>
        <w:t xml:space="preserve">, P. and Mano, I. (2024) ‘Noticing “them things that may have gone amiss otherwise”: Exploring social work placements in schools in England’, </w:t>
      </w:r>
      <w:r w:rsidRPr="00BD1A97">
        <w:rPr>
          <w:rFonts w:ascii="Arial" w:hAnsi="Arial" w:cs="Arial"/>
          <w:i/>
          <w:iCs/>
        </w:rPr>
        <w:t>Social Work Education</w:t>
      </w:r>
      <w:r w:rsidRPr="00BD1A97">
        <w:rPr>
          <w:rFonts w:ascii="Arial" w:hAnsi="Arial" w:cs="Arial"/>
        </w:rPr>
        <w:t xml:space="preserve">, 43(2), pp. 214–229. Available at: </w:t>
      </w:r>
      <w:hyperlink r:id="rId51" w:history="1">
        <w:r w:rsidRPr="009F1391">
          <w:rPr>
            <w:rStyle w:val="Hyperlink"/>
            <w:rFonts w:ascii="Arial" w:hAnsi="Arial" w:cs="Arial"/>
          </w:rPr>
          <w:t>https://doi.org/10.1080/02615479.2024.2361740</w:t>
        </w:r>
      </w:hyperlink>
      <w:r w:rsidRPr="00BD1A97">
        <w:rPr>
          <w:rFonts w:ascii="Arial" w:hAnsi="Arial" w:cs="Arial"/>
        </w:rPr>
        <w:t xml:space="preserve">. (Accessed </w:t>
      </w:r>
      <w:r>
        <w:rPr>
          <w:rFonts w:ascii="Arial" w:hAnsi="Arial" w:cs="Arial"/>
        </w:rPr>
        <w:t>6</w:t>
      </w:r>
      <w:r w:rsidRPr="00BD1A97">
        <w:rPr>
          <w:rFonts w:ascii="Arial" w:hAnsi="Arial" w:cs="Arial"/>
        </w:rPr>
        <w:t xml:space="preserve"> April 2025).</w:t>
      </w:r>
    </w:p>
    <w:p w14:paraId="3A21A5C1" w14:textId="77777777" w:rsidR="00CC2D47" w:rsidRPr="004B2CE5" w:rsidRDefault="00CC2D47" w:rsidP="004B2CE5">
      <w:pPr>
        <w:rPr>
          <w:rFonts w:ascii="Arial" w:hAnsi="Arial" w:cs="Arial"/>
        </w:rPr>
      </w:pPr>
      <w:r w:rsidRPr="004B2CE5">
        <w:rPr>
          <w:rFonts w:ascii="Arial" w:hAnsi="Arial" w:cs="Arial"/>
        </w:rPr>
        <w:t xml:space="preserve">Thomas, N.P. and Winter, K. (2024) </w:t>
      </w:r>
      <w:r w:rsidRPr="004B2CE5">
        <w:rPr>
          <w:rFonts w:ascii="Arial" w:hAnsi="Arial" w:cs="Arial"/>
          <w:i/>
          <w:iCs/>
        </w:rPr>
        <w:t>Social Work with Young People in Care: Looking After Children in Theory and Practice</w:t>
      </w:r>
      <w:r w:rsidRPr="004B2CE5">
        <w:rPr>
          <w:rFonts w:ascii="Arial" w:hAnsi="Arial" w:cs="Arial"/>
        </w:rPr>
        <w:t>. 2</w:t>
      </w:r>
      <w:r w:rsidRPr="004B2CE5">
        <w:rPr>
          <w:rFonts w:ascii="Arial" w:hAnsi="Arial" w:cs="Arial"/>
          <w:vertAlign w:val="superscript"/>
        </w:rPr>
        <w:t>nd</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London: Routledge.</w:t>
      </w:r>
    </w:p>
    <w:p w14:paraId="37E0C0EB" w14:textId="77777777" w:rsidR="00CC2D47" w:rsidRPr="004B2CE5" w:rsidRDefault="00CC2D47" w:rsidP="004B2CE5">
      <w:pPr>
        <w:rPr>
          <w:rFonts w:ascii="Arial" w:hAnsi="Arial" w:cs="Arial"/>
        </w:rPr>
      </w:pPr>
      <w:r w:rsidRPr="004B2CE5">
        <w:rPr>
          <w:rFonts w:ascii="Arial" w:hAnsi="Arial" w:cs="Arial"/>
        </w:rPr>
        <w:t xml:space="preserve">Thompson, P. and Gale, L. (2021) </w:t>
      </w:r>
      <w:r w:rsidRPr="004B2CE5">
        <w:rPr>
          <w:rFonts w:ascii="Arial" w:hAnsi="Arial" w:cs="Arial"/>
          <w:i/>
          <w:iCs/>
        </w:rPr>
        <w:t>Critical Issues in Child and Adolescent Mental Health</w:t>
      </w:r>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xml:space="preserve">. London: Bloomsbury. </w:t>
      </w:r>
    </w:p>
    <w:p w14:paraId="4455CF1D" w14:textId="77777777" w:rsidR="00CC2D47" w:rsidRPr="004B2CE5" w:rsidRDefault="00CC2D47" w:rsidP="004B2CE5">
      <w:pPr>
        <w:rPr>
          <w:rFonts w:ascii="Arial" w:hAnsi="Arial" w:cs="Arial"/>
        </w:rPr>
      </w:pPr>
      <w:r w:rsidRPr="004B2CE5">
        <w:rPr>
          <w:rFonts w:ascii="Arial" w:hAnsi="Arial" w:cs="Arial"/>
        </w:rPr>
        <w:t>Turbett, C. (2024) </w:t>
      </w:r>
      <w:r w:rsidRPr="004B2CE5">
        <w:rPr>
          <w:rFonts w:ascii="Arial" w:hAnsi="Arial" w:cs="Arial"/>
          <w:i/>
          <w:iCs/>
        </w:rPr>
        <w:t>A practical guide to community social work practice in the UK</w:t>
      </w:r>
      <w:r w:rsidRPr="004B2CE5">
        <w:rPr>
          <w:rFonts w:ascii="Arial" w:hAnsi="Arial" w:cs="Arial"/>
        </w:rPr>
        <w:t>. 1</w:t>
      </w:r>
      <w:r w:rsidRPr="004B2CE5">
        <w:rPr>
          <w:rFonts w:ascii="Arial" w:hAnsi="Arial" w:cs="Arial"/>
          <w:vertAlign w:val="superscript"/>
        </w:rPr>
        <w:t>st</w:t>
      </w:r>
      <w:r w:rsidRPr="004B2CE5">
        <w:rPr>
          <w:rFonts w:ascii="Arial" w:hAnsi="Arial" w:cs="Arial"/>
        </w:rPr>
        <w:t xml:space="preserve"> </w:t>
      </w:r>
      <w:proofErr w:type="spellStart"/>
      <w:r w:rsidRPr="004B2CE5">
        <w:rPr>
          <w:rFonts w:ascii="Arial" w:hAnsi="Arial" w:cs="Arial"/>
        </w:rPr>
        <w:t>edn</w:t>
      </w:r>
      <w:proofErr w:type="spellEnd"/>
      <w:r w:rsidRPr="004B2CE5">
        <w:rPr>
          <w:rFonts w:ascii="Arial" w:hAnsi="Arial" w:cs="Arial"/>
        </w:rPr>
        <w:t>. Bristol: Policy Press.</w:t>
      </w:r>
    </w:p>
    <w:p w14:paraId="2AF759E9" w14:textId="77777777" w:rsidR="00CC2D47" w:rsidRPr="004B2CE5" w:rsidRDefault="00CC2D47" w:rsidP="004B2CE5">
      <w:pPr>
        <w:rPr>
          <w:rFonts w:ascii="Arial" w:hAnsi="Arial" w:cs="Arial"/>
        </w:rPr>
      </w:pPr>
      <w:r w:rsidRPr="004B2CE5">
        <w:rPr>
          <w:rFonts w:ascii="Arial" w:hAnsi="Arial" w:cs="Arial"/>
        </w:rPr>
        <w:t xml:space="preserve">Welsh Government (2022) </w:t>
      </w:r>
      <w:r w:rsidRPr="004B2CE5">
        <w:rPr>
          <w:rFonts w:ascii="Arial" w:hAnsi="Arial" w:cs="Arial"/>
          <w:i/>
          <w:iCs/>
        </w:rPr>
        <w:t>Guidance and resources for communicating and engaging on the Children (Abolition of Defence of Reasonable Punishment) (Wales) Act 2020</w:t>
      </w:r>
      <w:r w:rsidRPr="004B2CE5">
        <w:rPr>
          <w:rFonts w:ascii="Arial" w:hAnsi="Arial" w:cs="Arial"/>
        </w:rPr>
        <w:t xml:space="preserve">. Cardiff: Welsh Government. Available at: </w:t>
      </w:r>
      <w:hyperlink r:id="rId52" w:history="1">
        <w:r w:rsidRPr="004B2CE5">
          <w:rPr>
            <w:rStyle w:val="Hyperlink"/>
            <w:rFonts w:ascii="Arial" w:hAnsi="Arial" w:cs="Arial"/>
          </w:rPr>
          <w:t>https://www.gov.wales/sites/default/files/publications/2024-10/ending-physical-punishment-wales-training-practitioners.pdf</w:t>
        </w:r>
      </w:hyperlink>
      <w:r w:rsidRPr="004B2CE5">
        <w:rPr>
          <w:rFonts w:ascii="Arial" w:hAnsi="Arial" w:cs="Arial"/>
        </w:rPr>
        <w:t>.  (Accessed 11 April 2025).</w:t>
      </w:r>
    </w:p>
    <w:p w14:paraId="6E411955" w14:textId="77777777" w:rsidR="00CC2D47" w:rsidRDefault="00CC2D47" w:rsidP="004B2CE5">
      <w:pPr>
        <w:rPr>
          <w:rFonts w:ascii="Arial" w:hAnsi="Arial" w:cs="Arial"/>
        </w:rPr>
      </w:pPr>
      <w:r w:rsidRPr="004B2CE5">
        <w:rPr>
          <w:rFonts w:ascii="Arial" w:hAnsi="Arial" w:cs="Arial"/>
        </w:rPr>
        <w:t xml:space="preserve">Welsh Government and NHS Wales (2022) </w:t>
      </w:r>
      <w:r w:rsidRPr="004B2CE5">
        <w:rPr>
          <w:rFonts w:ascii="Arial" w:hAnsi="Arial" w:cs="Arial"/>
          <w:i/>
          <w:iCs/>
        </w:rPr>
        <w:t>Together for Children and Young People (T4CYP) Programme Overview</w:t>
      </w:r>
      <w:r w:rsidRPr="004B2CE5">
        <w:rPr>
          <w:rFonts w:ascii="Arial" w:hAnsi="Arial" w:cs="Arial"/>
        </w:rPr>
        <w:t xml:space="preserve">. Cardiff: Welsh Government. Available at: </w:t>
      </w:r>
      <w:hyperlink r:id="rId53" w:history="1">
        <w:r w:rsidRPr="009F1391">
          <w:rPr>
            <w:rStyle w:val="Hyperlink"/>
            <w:rFonts w:ascii="Arial" w:hAnsi="Arial" w:cs="Arial"/>
          </w:rPr>
          <w:t>https://executive.nhs.wales/functions/strategic-programme-for-mental-health/together-for-children-and-young-people-2/</w:t>
        </w:r>
      </w:hyperlink>
      <w:r w:rsidRPr="006527BC">
        <w:rPr>
          <w:rFonts w:ascii="Arial" w:hAnsi="Arial" w:cs="Arial"/>
        </w:rPr>
        <w:t>.</w:t>
      </w:r>
      <w:r w:rsidRPr="004B2CE5">
        <w:rPr>
          <w:rFonts w:ascii="Arial" w:hAnsi="Arial" w:cs="Arial"/>
        </w:rPr>
        <w:t xml:space="preserve"> (Accessed 21 March 2025). </w:t>
      </w:r>
    </w:p>
    <w:p w14:paraId="5275BBFA" w14:textId="77777777" w:rsidR="00CC2D47" w:rsidRDefault="00CC2D47" w:rsidP="004B2CE5">
      <w:pPr>
        <w:rPr>
          <w:rFonts w:ascii="Arial" w:hAnsi="Arial" w:cs="Arial"/>
        </w:rPr>
      </w:pPr>
      <w:r w:rsidRPr="004B2CE5">
        <w:rPr>
          <w:rFonts w:ascii="Arial" w:hAnsi="Arial" w:cs="Arial"/>
        </w:rPr>
        <w:t xml:space="preserve">Wood Review (2023) </w:t>
      </w:r>
      <w:r w:rsidRPr="004B2CE5">
        <w:rPr>
          <w:rFonts w:ascii="Arial" w:hAnsi="Arial" w:cs="Arial"/>
          <w:i/>
          <w:iCs/>
        </w:rPr>
        <w:t>National Review of Multi-Agency Child Protection Arrangements in England</w:t>
      </w:r>
      <w:r w:rsidRPr="004B2CE5">
        <w:rPr>
          <w:rFonts w:ascii="Arial" w:hAnsi="Arial" w:cs="Arial"/>
        </w:rPr>
        <w:t xml:space="preserve">. London: Department for Education. Available at: </w:t>
      </w:r>
      <w:hyperlink r:id="rId54" w:history="1">
        <w:r w:rsidRPr="004B2CE5">
          <w:rPr>
            <w:rStyle w:val="Hyperlink"/>
            <w:rFonts w:ascii="Arial" w:hAnsi="Arial" w:cs="Arial"/>
          </w:rPr>
          <w:t>https://www.gov.uk/government/publications/wood-review-of-multi-agency-safeguarding-arrangements</w:t>
        </w:r>
      </w:hyperlink>
      <w:r w:rsidRPr="004B2CE5">
        <w:rPr>
          <w:rFonts w:ascii="Arial" w:hAnsi="Arial" w:cs="Arial"/>
        </w:rPr>
        <w:t>.  (Accessed 22 April 2025).</w:t>
      </w:r>
    </w:p>
    <w:p w14:paraId="09B94775" w14:textId="77777777" w:rsidR="00CC2D47" w:rsidRPr="009A5FBA" w:rsidRDefault="00CC2D47" w:rsidP="009A5FBA">
      <w:pPr>
        <w:rPr>
          <w:rFonts w:ascii="Arial" w:hAnsi="Arial" w:cs="Arial"/>
        </w:rPr>
      </w:pPr>
      <w:r w:rsidRPr="009A5FBA">
        <w:rPr>
          <w:rFonts w:ascii="Arial" w:hAnsi="Arial" w:cs="Arial"/>
        </w:rPr>
        <w:t xml:space="preserve">Young Minds (2022) </w:t>
      </w:r>
      <w:r w:rsidRPr="009A5FBA">
        <w:rPr>
          <w:rFonts w:ascii="Arial" w:hAnsi="Arial" w:cs="Arial"/>
          <w:i/>
          <w:iCs/>
        </w:rPr>
        <w:t>Annual Report and Impact Statement 2022</w:t>
      </w:r>
      <w:r w:rsidRPr="009A5FBA">
        <w:rPr>
          <w:rFonts w:ascii="Arial" w:hAnsi="Arial" w:cs="Arial"/>
        </w:rPr>
        <w:t xml:space="preserve">. London: Young Minds. Available at: </w:t>
      </w:r>
      <w:hyperlink r:id="rId55" w:history="1">
        <w:r w:rsidRPr="009A5FBA">
          <w:rPr>
            <w:rStyle w:val="Hyperlink"/>
            <w:rFonts w:ascii="Arial" w:hAnsi="Arial" w:cs="Arial"/>
          </w:rPr>
          <w:t>https://www.youngminds.org.uk/about-us/reports-and-impact/</w:t>
        </w:r>
      </w:hyperlink>
      <w:r>
        <w:rPr>
          <w:rFonts w:ascii="Arial" w:hAnsi="Arial" w:cs="Arial"/>
        </w:rPr>
        <w:t xml:space="preserve">. </w:t>
      </w:r>
      <w:r w:rsidRPr="009A5FBA">
        <w:rPr>
          <w:rFonts w:ascii="Arial" w:hAnsi="Arial" w:cs="Arial"/>
        </w:rPr>
        <w:t xml:space="preserve"> (Accessed 22 April 2025).</w:t>
      </w:r>
    </w:p>
    <w:p w14:paraId="59D1745C" w14:textId="77777777" w:rsidR="003B640A" w:rsidRDefault="003B640A"/>
    <w:sectPr w:rsidR="003B640A" w:rsidSect="00B10B17">
      <w:footerReference w:type="default" r:id="rId56"/>
      <w:footerReference w:type="firs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2B691" w14:textId="77777777" w:rsidR="003A14AF" w:rsidRDefault="003A14AF" w:rsidP="00B10B17">
      <w:pPr>
        <w:spacing w:after="0" w:line="240" w:lineRule="auto"/>
      </w:pPr>
      <w:r>
        <w:separator/>
      </w:r>
    </w:p>
  </w:endnote>
  <w:endnote w:type="continuationSeparator" w:id="0">
    <w:p w14:paraId="30E3B177" w14:textId="77777777" w:rsidR="003A14AF" w:rsidRDefault="003A14AF" w:rsidP="00B10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090770"/>
      <w:docPartObj>
        <w:docPartGallery w:val="Page Numbers (Bottom of Page)"/>
        <w:docPartUnique/>
      </w:docPartObj>
    </w:sdtPr>
    <w:sdtEndPr>
      <w:rPr>
        <w:noProof/>
      </w:rPr>
    </w:sdtEndPr>
    <w:sdtContent>
      <w:p w14:paraId="685D5CA9" w14:textId="26C12E9D" w:rsidR="003B640A" w:rsidRDefault="003B64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594346" w14:textId="77777777" w:rsidR="003B640A" w:rsidRDefault="003B64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013256"/>
      <w:docPartObj>
        <w:docPartGallery w:val="Page Numbers (Bottom of Page)"/>
        <w:docPartUnique/>
      </w:docPartObj>
    </w:sdtPr>
    <w:sdtEndPr>
      <w:rPr>
        <w:noProof/>
      </w:rPr>
    </w:sdtEndPr>
    <w:sdtContent>
      <w:p w14:paraId="34B966DD" w14:textId="293AFBED" w:rsidR="00B10B17" w:rsidRDefault="00B10B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68DB7F" w14:textId="77777777" w:rsidR="00B10B17" w:rsidRDefault="00B10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70A0DC" w14:textId="77777777" w:rsidR="003A14AF" w:rsidRDefault="003A14AF" w:rsidP="00B10B17">
      <w:pPr>
        <w:spacing w:after="0" w:line="240" w:lineRule="auto"/>
      </w:pPr>
      <w:r>
        <w:separator/>
      </w:r>
    </w:p>
  </w:footnote>
  <w:footnote w:type="continuationSeparator" w:id="0">
    <w:p w14:paraId="0DD566D5" w14:textId="77777777" w:rsidR="003A14AF" w:rsidRDefault="003A14AF" w:rsidP="00B10B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F7AED"/>
    <w:multiLevelType w:val="multilevel"/>
    <w:tmpl w:val="439C2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7097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6FC"/>
    <w:rsid w:val="00101666"/>
    <w:rsid w:val="001132B0"/>
    <w:rsid w:val="002329DA"/>
    <w:rsid w:val="00233460"/>
    <w:rsid w:val="00310331"/>
    <w:rsid w:val="003411C4"/>
    <w:rsid w:val="00341F56"/>
    <w:rsid w:val="00351680"/>
    <w:rsid w:val="003A14AF"/>
    <w:rsid w:val="003B640A"/>
    <w:rsid w:val="004946A7"/>
    <w:rsid w:val="004B2CE5"/>
    <w:rsid w:val="004E2DF4"/>
    <w:rsid w:val="005A7B7F"/>
    <w:rsid w:val="005F30D1"/>
    <w:rsid w:val="00631A79"/>
    <w:rsid w:val="006527BC"/>
    <w:rsid w:val="006D5B6A"/>
    <w:rsid w:val="008559BF"/>
    <w:rsid w:val="00956837"/>
    <w:rsid w:val="009A5FBA"/>
    <w:rsid w:val="009D34FF"/>
    <w:rsid w:val="009E46C9"/>
    <w:rsid w:val="009E760A"/>
    <w:rsid w:val="00A449EA"/>
    <w:rsid w:val="00A8082F"/>
    <w:rsid w:val="00AD7F9E"/>
    <w:rsid w:val="00AF2423"/>
    <w:rsid w:val="00B02A5C"/>
    <w:rsid w:val="00B10B17"/>
    <w:rsid w:val="00B22B5E"/>
    <w:rsid w:val="00BC60B3"/>
    <w:rsid w:val="00BD1A97"/>
    <w:rsid w:val="00BE1D57"/>
    <w:rsid w:val="00C70F82"/>
    <w:rsid w:val="00C86A10"/>
    <w:rsid w:val="00CA3C8A"/>
    <w:rsid w:val="00CC2D47"/>
    <w:rsid w:val="00DC6078"/>
    <w:rsid w:val="00DD4DC2"/>
    <w:rsid w:val="00E326FC"/>
    <w:rsid w:val="00EB4581"/>
    <w:rsid w:val="00EC282C"/>
    <w:rsid w:val="00ED4206"/>
    <w:rsid w:val="00F949D7"/>
    <w:rsid w:val="00FE4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4F5775"/>
  <w15:chartTrackingRefBased/>
  <w15:docId w15:val="{549197F5-D359-4CC7-862E-72CB5F4A5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6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6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6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6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6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6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6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6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6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6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6FC"/>
    <w:rPr>
      <w:rFonts w:eastAsiaTheme="majorEastAsia" w:cstheme="majorBidi"/>
      <w:color w:val="272727" w:themeColor="text1" w:themeTint="D8"/>
    </w:rPr>
  </w:style>
  <w:style w:type="paragraph" w:styleId="Title">
    <w:name w:val="Title"/>
    <w:basedOn w:val="Normal"/>
    <w:next w:val="Normal"/>
    <w:link w:val="TitleChar"/>
    <w:uiPriority w:val="10"/>
    <w:qFormat/>
    <w:rsid w:val="00E32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6FC"/>
    <w:pPr>
      <w:spacing w:before="160"/>
      <w:jc w:val="center"/>
    </w:pPr>
    <w:rPr>
      <w:i/>
      <w:iCs/>
      <w:color w:val="404040" w:themeColor="text1" w:themeTint="BF"/>
    </w:rPr>
  </w:style>
  <w:style w:type="character" w:customStyle="1" w:styleId="QuoteChar">
    <w:name w:val="Quote Char"/>
    <w:basedOn w:val="DefaultParagraphFont"/>
    <w:link w:val="Quote"/>
    <w:uiPriority w:val="29"/>
    <w:rsid w:val="00E326FC"/>
    <w:rPr>
      <w:i/>
      <w:iCs/>
      <w:color w:val="404040" w:themeColor="text1" w:themeTint="BF"/>
    </w:rPr>
  </w:style>
  <w:style w:type="paragraph" w:styleId="ListParagraph">
    <w:name w:val="List Paragraph"/>
    <w:basedOn w:val="Normal"/>
    <w:uiPriority w:val="34"/>
    <w:qFormat/>
    <w:rsid w:val="00E326FC"/>
    <w:pPr>
      <w:ind w:left="720"/>
      <w:contextualSpacing/>
    </w:pPr>
  </w:style>
  <w:style w:type="character" w:styleId="IntenseEmphasis">
    <w:name w:val="Intense Emphasis"/>
    <w:basedOn w:val="DefaultParagraphFont"/>
    <w:uiPriority w:val="21"/>
    <w:qFormat/>
    <w:rsid w:val="00E326FC"/>
    <w:rPr>
      <w:i/>
      <w:iCs/>
      <w:color w:val="0F4761" w:themeColor="accent1" w:themeShade="BF"/>
    </w:rPr>
  </w:style>
  <w:style w:type="paragraph" w:styleId="IntenseQuote">
    <w:name w:val="Intense Quote"/>
    <w:basedOn w:val="Normal"/>
    <w:next w:val="Normal"/>
    <w:link w:val="IntenseQuoteChar"/>
    <w:uiPriority w:val="30"/>
    <w:qFormat/>
    <w:rsid w:val="00E326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6FC"/>
    <w:rPr>
      <w:i/>
      <w:iCs/>
      <w:color w:val="0F4761" w:themeColor="accent1" w:themeShade="BF"/>
    </w:rPr>
  </w:style>
  <w:style w:type="character" w:styleId="IntenseReference">
    <w:name w:val="Intense Reference"/>
    <w:basedOn w:val="DefaultParagraphFont"/>
    <w:uiPriority w:val="32"/>
    <w:qFormat/>
    <w:rsid w:val="00E326FC"/>
    <w:rPr>
      <w:b/>
      <w:bCs/>
      <w:smallCaps/>
      <w:color w:val="0F4761" w:themeColor="accent1" w:themeShade="BF"/>
      <w:spacing w:val="5"/>
    </w:rPr>
  </w:style>
  <w:style w:type="paragraph" w:styleId="NoSpacing">
    <w:name w:val="No Spacing"/>
    <w:link w:val="NoSpacingChar"/>
    <w:uiPriority w:val="1"/>
    <w:qFormat/>
    <w:rsid w:val="00B10B1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10B17"/>
    <w:rPr>
      <w:rFonts w:eastAsiaTheme="minorEastAsia"/>
      <w:kern w:val="0"/>
      <w:sz w:val="22"/>
      <w:szCs w:val="22"/>
      <w:lang w:val="en-US"/>
      <w14:ligatures w14:val="none"/>
    </w:rPr>
  </w:style>
  <w:style w:type="paragraph" w:styleId="Header">
    <w:name w:val="header"/>
    <w:basedOn w:val="Normal"/>
    <w:link w:val="HeaderChar"/>
    <w:uiPriority w:val="99"/>
    <w:unhideWhenUsed/>
    <w:rsid w:val="00B10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B17"/>
  </w:style>
  <w:style w:type="paragraph" w:styleId="Footer">
    <w:name w:val="footer"/>
    <w:basedOn w:val="Normal"/>
    <w:link w:val="FooterChar"/>
    <w:uiPriority w:val="99"/>
    <w:unhideWhenUsed/>
    <w:rsid w:val="00B10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B17"/>
  </w:style>
  <w:style w:type="character" w:styleId="Hyperlink">
    <w:name w:val="Hyperlink"/>
    <w:basedOn w:val="DefaultParagraphFont"/>
    <w:uiPriority w:val="99"/>
    <w:unhideWhenUsed/>
    <w:rsid w:val="003B640A"/>
    <w:rPr>
      <w:color w:val="467886" w:themeColor="hyperlink"/>
      <w:u w:val="single"/>
    </w:rPr>
  </w:style>
  <w:style w:type="character" w:styleId="UnresolvedMention">
    <w:name w:val="Unresolved Mention"/>
    <w:basedOn w:val="DefaultParagraphFont"/>
    <w:uiPriority w:val="99"/>
    <w:semiHidden/>
    <w:unhideWhenUsed/>
    <w:rsid w:val="004B2CE5"/>
    <w:rPr>
      <w:color w:val="605E5C"/>
      <w:shd w:val="clear" w:color="auto" w:fill="E1DFDD"/>
    </w:rPr>
  </w:style>
  <w:style w:type="character" w:styleId="FollowedHyperlink">
    <w:name w:val="FollowedHyperlink"/>
    <w:basedOn w:val="DefaultParagraphFont"/>
    <w:uiPriority w:val="99"/>
    <w:semiHidden/>
    <w:unhideWhenUsed/>
    <w:rsid w:val="009A5F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054163">
      <w:bodyDiv w:val="1"/>
      <w:marLeft w:val="0"/>
      <w:marRight w:val="0"/>
      <w:marTop w:val="0"/>
      <w:marBottom w:val="0"/>
      <w:divBdr>
        <w:top w:val="none" w:sz="0" w:space="0" w:color="auto"/>
        <w:left w:val="none" w:sz="0" w:space="0" w:color="auto"/>
        <w:bottom w:val="none" w:sz="0" w:space="0" w:color="auto"/>
        <w:right w:val="none" w:sz="0" w:space="0" w:color="auto"/>
      </w:divBdr>
    </w:div>
    <w:div w:id="408619851">
      <w:bodyDiv w:val="1"/>
      <w:marLeft w:val="0"/>
      <w:marRight w:val="0"/>
      <w:marTop w:val="0"/>
      <w:marBottom w:val="0"/>
      <w:divBdr>
        <w:top w:val="none" w:sz="0" w:space="0" w:color="auto"/>
        <w:left w:val="none" w:sz="0" w:space="0" w:color="auto"/>
        <w:bottom w:val="none" w:sz="0" w:space="0" w:color="auto"/>
        <w:right w:val="none" w:sz="0" w:space="0" w:color="auto"/>
      </w:divBdr>
    </w:div>
    <w:div w:id="750348861">
      <w:bodyDiv w:val="1"/>
      <w:marLeft w:val="0"/>
      <w:marRight w:val="0"/>
      <w:marTop w:val="0"/>
      <w:marBottom w:val="0"/>
      <w:divBdr>
        <w:top w:val="none" w:sz="0" w:space="0" w:color="auto"/>
        <w:left w:val="none" w:sz="0" w:space="0" w:color="auto"/>
        <w:bottom w:val="none" w:sz="0" w:space="0" w:color="auto"/>
        <w:right w:val="none" w:sz="0" w:space="0" w:color="auto"/>
      </w:divBdr>
    </w:div>
    <w:div w:id="851260243">
      <w:bodyDiv w:val="1"/>
      <w:marLeft w:val="0"/>
      <w:marRight w:val="0"/>
      <w:marTop w:val="0"/>
      <w:marBottom w:val="0"/>
      <w:divBdr>
        <w:top w:val="none" w:sz="0" w:space="0" w:color="auto"/>
        <w:left w:val="none" w:sz="0" w:space="0" w:color="auto"/>
        <w:bottom w:val="none" w:sz="0" w:space="0" w:color="auto"/>
        <w:right w:val="none" w:sz="0" w:space="0" w:color="auto"/>
      </w:divBdr>
    </w:div>
    <w:div w:id="903685531">
      <w:bodyDiv w:val="1"/>
      <w:marLeft w:val="0"/>
      <w:marRight w:val="0"/>
      <w:marTop w:val="0"/>
      <w:marBottom w:val="0"/>
      <w:divBdr>
        <w:top w:val="none" w:sz="0" w:space="0" w:color="auto"/>
        <w:left w:val="none" w:sz="0" w:space="0" w:color="auto"/>
        <w:bottom w:val="none" w:sz="0" w:space="0" w:color="auto"/>
        <w:right w:val="none" w:sz="0" w:space="0" w:color="auto"/>
      </w:divBdr>
    </w:div>
    <w:div w:id="154412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1177/14779714241308505" TargetMode="External"/><Relationship Id="rId18" Type="http://schemas.openxmlformats.org/officeDocument/2006/relationships/hyperlink" Target="https://www.childcomwales.org.uk/wp-content/uploads/2024/10/CCfW_ARA23-24_290924.pdf" TargetMode="External"/><Relationship Id="rId26" Type="http://schemas.openxmlformats.org/officeDocument/2006/relationships/hyperlink" Target="https://www.legislation.gov.uk/ukpga/2023/50/pdfs/ukpga_20230050_en.pdf" TargetMode="External"/><Relationship Id="rId39" Type="http://schemas.openxmlformats.org/officeDocument/2006/relationships/hyperlink" Target="https://www.england.nhs.uk/long-read/safeguarding-children-young-people-and-adults-at-risk-in-the-nhs/" TargetMode="External"/><Relationship Id="rId21" Type="http://schemas.openxmlformats.org/officeDocument/2006/relationships/hyperlink" Target="https://assets.publishing.service.gov.uk/media/669e7501ab418ab055592a7b/Working_together_to_safeguard_children_2023.pdf" TargetMode="External"/><Relationship Id="rId34" Type="http://schemas.openxmlformats.org/officeDocument/2006/relationships/hyperlink" Target="https://www-sciencedirect-com.ezproxy.uwtsd.ac.uk/science/article/pii/S0145213420303033" TargetMode="External"/><Relationship Id="rId42" Type="http://schemas.openxmlformats.org/officeDocument/2006/relationships/hyperlink" Target="https://www.ofcom.org.uk/media-use-and-attitudes/media-habits-children/children-and-parents-media-use-and-attitudes-report-2024" TargetMode="External"/><Relationship Id="rId47" Type="http://schemas.openxmlformats.org/officeDocument/2006/relationships/hyperlink" Target="https://www.sciencedirect.com/science/article/pii/S0190740925000581" TargetMode="External"/><Relationship Id="rId50" Type="http://schemas.openxmlformats.org/officeDocument/2006/relationships/hyperlink" Target="https://www.tandfonline.com/doi/abs/10.1080/25355406.2025.2452120" TargetMode="External"/><Relationship Id="rId55" Type="http://schemas.openxmlformats.org/officeDocument/2006/relationships/hyperlink" Target="https://www.youngminds.org.uk/about-us/reports-and-impac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childrenscommissioner.gov.uk/wpuploads/2017/06/UniBed_MakingNoise-20_4_17-1.pdf" TargetMode="External"/><Relationship Id="rId29" Type="http://schemas.openxmlformats.org/officeDocument/2006/relationships/hyperlink" Target="https://www.youtube.com/watch?v=em1yckn5TJ4" TargetMode="External"/><Relationship Id="rId11" Type="http://schemas.openxmlformats.org/officeDocument/2006/relationships/hyperlink" Target="https://link.springer.com/article/10.1007/s42448-022-00132-x" TargetMode="External"/><Relationship Id="rId24" Type="http://schemas.openxmlformats.org/officeDocument/2006/relationships/hyperlink" Target="https://research-ebsco-com.ezproxy.uwtsd.ac.uk/linkprocessor/plink?id=a0cca927-4a15-30a4-8953-0a58bd6e6923" TargetMode="External"/><Relationship Id="rId32" Type="http://schemas.openxmlformats.org/officeDocument/2006/relationships/hyperlink" Target="https://ico.org.uk/media/about-the-ico/documents/4025495/childrens-code-summary-document.pdf" TargetMode="External"/><Relationship Id="rId37" Type="http://schemas.openxmlformats.org/officeDocument/2006/relationships/hyperlink" Target="https://www.england.nhs.uk/mental-health/cyp/supporting-children-and-young-people-with-mental-health-needs-a-joined-up-approach/" TargetMode="External"/><Relationship Id="rId40" Type="http://schemas.openxmlformats.org/officeDocument/2006/relationships/hyperlink" Target="https://www.nice.org.uk/guidance/ng134" TargetMode="External"/><Relationship Id="rId45" Type="http://schemas.openxmlformats.org/officeDocument/2006/relationships/hyperlink" Target="https://www-sciencedirect-com.ezproxy.uwtsd.ac.uk/science/article/pii/019074099500041A" TargetMode="External"/><Relationship Id="rId53" Type="http://schemas.openxmlformats.org/officeDocument/2006/relationships/hyperlink" Target="https://executive.nhs.wales/functions/strategic-programme-for-mental-health/together-for-children-and-young-people-2/"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research-ebsco-com.ezproxy.uwtsd.ac.uk/c/onvpsy/viewer/pdf/yqozxnokfb" TargetMode="External"/><Relationship Id="rId4" Type="http://schemas.openxmlformats.org/officeDocument/2006/relationships/webSettings" Target="webSettings.xml"/><Relationship Id="rId9" Type="http://schemas.openxmlformats.org/officeDocument/2006/relationships/hyperlink" Target="https://5rightsfoundation.com/celebrating-3-years-of-the-age-appropriate-design-code/" TargetMode="External"/><Relationship Id="rId14" Type="http://schemas.openxmlformats.org/officeDocument/2006/relationships/hyperlink" Target="https://acamh.onlinelibrary.wiley.com/doi/full/10.1111/camh.12639" TargetMode="External"/><Relationship Id="rId22" Type="http://schemas.openxmlformats.org/officeDocument/2006/relationships/hyperlink" Target="https://assets.publishing.service.gov.uk/media/61f137688fa8f5058a4b2f44/6.7731_DfE_Political_Impartiality_Guidance_Pamphlet_WEB__004_.pdf" TargetMode="External"/><Relationship Id="rId27" Type="http://schemas.openxmlformats.org/officeDocument/2006/relationships/hyperlink" Target="https://assets.publishing.service.gov.uk/media/624422988fa8f527785ed11c/E02735263_Tackling_Domestic_Abuse_CP_639_Elay__002_.pdf" TargetMode="External"/><Relationship Id="rId30" Type="http://schemas.openxmlformats.org/officeDocument/2006/relationships/hyperlink" Target="https://shura.shu.ac.uk/30976/1/Creating%20Stable%20Futures%20-%20final%20report.pdf" TargetMode="External"/><Relationship Id="rId35" Type="http://schemas.openxmlformats.org/officeDocument/2006/relationships/hyperlink" Target="https://doi-org.ezproxy.uwtsd.ac.uk/10.1177/14732254221122568" TargetMode="External"/><Relationship Id="rId43" Type="http://schemas.openxmlformats.org/officeDocument/2006/relationships/hyperlink" Target="https://www.ofcom.org.uk/siteassets/resources/documents/research-and-data/media-literacy-research/children/childrens-media-lives-2023/annex-5-childrens-media-use-and-attitudes-report-2023.pdf?v=329420" TargetMode="External"/><Relationship Id="rId48" Type="http://schemas.openxmlformats.org/officeDocument/2006/relationships/hyperlink" Target="https://www.rcpsych.ac.uk/docs/default-source/improving-care/better-mh-policy/college-reports/college-report-cr225.pdf" TargetMode="External"/><Relationship Id="rId56"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hyperlink" Target="https://doi.org/10.1080/02615479.2024.2361740" TargetMode="External"/><Relationship Id="rId3" Type="http://schemas.openxmlformats.org/officeDocument/2006/relationships/settings" Target="settings.xml"/><Relationship Id="rId12" Type="http://schemas.openxmlformats.org/officeDocument/2006/relationships/hyperlink" Target="https://www.jmir.org/2022/9/e38449/" TargetMode="External"/><Relationship Id="rId17" Type="http://schemas.openxmlformats.org/officeDocument/2006/relationships/hyperlink" Target="https://assets.childrenscommissioner.gov.uk/wpuploads/2024/06/Childrens-experiences-as-victims-of-crime_final.pdf" TargetMode="External"/><Relationship Id="rId25" Type="http://schemas.openxmlformats.org/officeDocument/2006/relationships/hyperlink" Target="https://www.health.org.uk/publications/reports/improving-children-and-young-peoples-mental-health-services" TargetMode="External"/><Relationship Id="rId33" Type="http://schemas.openxmlformats.org/officeDocument/2006/relationships/hyperlink" Target="https://5rightsfoundation.com/wp-content/uploads/2024/08/Digital-Childhood-Report-2023.pdf" TargetMode="External"/><Relationship Id="rId38" Type="http://schemas.openxmlformats.org/officeDocument/2006/relationships/hyperlink" Target="https://www.england.nhs.uk/mental-health/cyp/cyp-community-mental-health-crisis-services-national-implementation-guidance-for-urgent-and-emergency-mental-health-care-for-cyp/" TargetMode="External"/><Relationship Id="rId46" Type="http://schemas.openxmlformats.org/officeDocument/2006/relationships/hyperlink" Target="https://onlinelibrary.wiley.com/doi/full/10.1111/chso.12835" TargetMode="External"/><Relationship Id="rId59" Type="http://schemas.openxmlformats.org/officeDocument/2006/relationships/theme" Target="theme/theme1.xml"/><Relationship Id="rId20" Type="http://schemas.openxmlformats.org/officeDocument/2006/relationships/hyperlink" Target="https://doi-org.ezproxy.uwtsd.ac.uk/10.1177/1359104519849640" TargetMode="External"/><Relationship Id="rId41" Type="http://schemas.openxmlformats.org/officeDocument/2006/relationships/hyperlink" Target="https://learning.nspcc.org.uk/services-children-families/letting-the-future-in" TargetMode="External"/><Relationship Id="rId54" Type="http://schemas.openxmlformats.org/officeDocument/2006/relationships/hyperlink" Target="https://www.gov.uk/government/publications/wood-review-of-multi-agency-safeguarding-arrangem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media/67c97b1dd0fba2f1334cf300/Child_Safeguarding_Practice_Review_Panel_annual_report_2023_to_2024.pdf" TargetMode="External"/><Relationship Id="rId23" Type="http://schemas.openxmlformats.org/officeDocument/2006/relationships/hyperlink" Target="https://onlinelibrary.wiley.com/doi/full/10.1002/car.2826" TargetMode="External"/><Relationship Id="rId28" Type="http://schemas.openxmlformats.org/officeDocument/2006/relationships/hyperlink" Target="https://www.mdpi.com/1660-4601/19/19/12702" TargetMode="External"/><Relationship Id="rId36" Type="http://schemas.openxmlformats.org/officeDocument/2006/relationships/hyperlink" Target="https://www.tnlcommunityfund.org.uk/news/blog/2022-05-11/bringing-people-together-how-projects-are-developing-ways-to-do-just-this" TargetMode="External"/><Relationship Id="rId49" Type="http://schemas.openxmlformats.org/officeDocument/2006/relationships/hyperlink" Target="https://www.sportengland.org/research-and-data/data/active-lives" TargetMode="External"/><Relationship Id="rId57" Type="http://schemas.openxmlformats.org/officeDocument/2006/relationships/footer" Target="footer2.xml"/><Relationship Id="rId10" Type="http://schemas.openxmlformats.org/officeDocument/2006/relationships/hyperlink" Target="https://www.barnardos.org.uk/get-support/services/community-wellbeing-team-cwt" TargetMode="External"/><Relationship Id="rId31" Type="http://schemas.openxmlformats.org/officeDocument/2006/relationships/hyperlink" Target="https://ico.org.uk/media/for-organisations/guide-to-data-protection/ico-codes-of-practice/age-appropriate-design-a-code-of-practice-for-online-services-2-1.pdf" TargetMode="External"/><Relationship Id="rId44" Type="http://schemas.openxmlformats.org/officeDocument/2006/relationships/hyperlink" Target="https://www.gov.uk/government/publications/physical-activity-guidelines-uk-chief-medical-officers-report" TargetMode="External"/><Relationship Id="rId52" Type="http://schemas.openxmlformats.org/officeDocument/2006/relationships/hyperlink" Target="https://www.gov.wales/sites/default/files/publications/2024-10/ending-physical-punishment-wales-training-practition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282</TotalTime>
  <Pages>19</Pages>
  <Words>5528</Words>
  <Characters>38422</Characters>
  <Application>Microsoft Office Word</Application>
  <DocSecurity>0</DocSecurity>
  <Lines>724</Lines>
  <Paragraphs>162</Paragraphs>
  <ScaleCrop>false</ScaleCrop>
  <HeadingPairs>
    <vt:vector size="2" baseType="variant">
      <vt:variant>
        <vt:lpstr>Title</vt:lpstr>
      </vt:variant>
      <vt:variant>
        <vt:i4>1</vt:i4>
      </vt:variant>
    </vt:vector>
  </HeadingPairs>
  <TitlesOfParts>
    <vt:vector size="1" baseType="lpstr">
      <vt:lpstr>PORTFOLI</vt:lpstr>
    </vt:vector>
  </TitlesOfParts>
  <Company/>
  <LinksUpToDate>false</LinksUpToDate>
  <CharactersWithSpaces>43788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dc:title>
  <dc:subject>Children and Young People’s Health, Wellbeing and Comunity</dc:subject>
  <dc:creator>Student name:   Paul Cojocaru (2207413)</dc:creator>
  <cp:keywords/>
  <dc:description/>
  <cp:lastModifiedBy>Paul Cojocaru (2207413)</cp:lastModifiedBy>
  <cp:revision>23</cp:revision>
  <dcterms:created xsi:type="dcterms:W3CDTF">2025-04-24T11:15:00Z</dcterms:created>
  <dcterms:modified xsi:type="dcterms:W3CDTF">2025-05-06T10:10:00Z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2af873109910878f4025bb0f1fdcbd12f99382044892039f38d28f52725e551f</vt:lpwstr>
  </property>
</Properties>
</file>