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24880966"/>
        <w:docPartObj>
          <w:docPartGallery w:val="Cover Pages"/>
          <w:docPartUnique/>
        </w:docPartObj>
      </w:sdtPr>
      <w:sdtEndPr>
        <w:rPr>
          <w:rFonts w:ascii="Arial Black" w:hAnsi="Arial Black" w:cs="Arial"/>
          <w:color w:val="45B0E1" w:themeColor="accent1" w:themeTint="99"/>
        </w:rPr>
      </w:sdtEndPr>
      <w:sdtContent>
        <w:p w14:paraId="16761877" w14:textId="60995318" w:rsidR="00023FCA" w:rsidRPr="00023FCA" w:rsidRDefault="00023FCA" w:rsidP="00023FCA">
          <w:pPr>
            <w:rPr>
              <w:rFonts w:ascii="Arial Black" w:hAnsi="Arial Black"/>
              <w:color w:val="45B0E1" w:themeColor="accent1" w:themeTint="99"/>
            </w:rPr>
          </w:pPr>
          <w:r w:rsidRPr="00023FCA">
            <w:rPr>
              <w:rFonts w:ascii="Arial Black" w:hAnsi="Arial Black"/>
              <w:color w:val="45B0E1" w:themeColor="accent1" w:themeTint="99"/>
            </w:rPr>
            <w:t>Student name:</w:t>
          </w:r>
          <w:r w:rsidRPr="00023FCA">
            <w:rPr>
              <w:rFonts w:ascii="Arial Black" w:hAnsi="Arial Black"/>
              <w:color w:val="45B0E1" w:themeColor="accent1" w:themeTint="99"/>
            </w:rPr>
            <w:t xml:space="preserve"> Daniel Radulea </w:t>
          </w:r>
          <w:r w:rsidRPr="00023FCA">
            <w:rPr>
              <w:rFonts w:ascii="Arial Black" w:hAnsi="Arial Black"/>
              <w:color w:val="45B0E1" w:themeColor="accent1" w:themeTint="99"/>
            </w:rPr>
            <w:tab/>
            <w:t xml:space="preserve">     </w:t>
          </w:r>
        </w:p>
        <w:p w14:paraId="4B955E01" w14:textId="0C0C1BC2" w:rsidR="00023FCA" w:rsidRPr="00023FCA" w:rsidRDefault="00023FCA" w:rsidP="00023FCA">
          <w:pPr>
            <w:rPr>
              <w:rFonts w:ascii="Arial Black" w:hAnsi="Arial Black"/>
              <w:color w:val="45B0E1" w:themeColor="accent1" w:themeTint="99"/>
            </w:rPr>
          </w:pPr>
          <w:r w:rsidRPr="00023FCA">
            <w:rPr>
              <w:rFonts w:ascii="Arial Black" w:hAnsi="Arial Black"/>
              <w:color w:val="45B0E1" w:themeColor="accent1" w:themeTint="99"/>
            </w:rPr>
            <w:t>Programme:</w:t>
          </w:r>
          <w:r w:rsidRPr="00023FCA">
            <w:rPr>
              <w:rFonts w:ascii="Arial Black" w:hAnsi="Arial Black"/>
              <w:color w:val="45B0E1" w:themeColor="accent1" w:themeTint="99"/>
            </w:rPr>
            <w:t xml:space="preserve"> </w:t>
          </w:r>
          <w:r w:rsidRPr="00023FCA">
            <w:rPr>
              <w:rFonts w:ascii="Arial Black" w:hAnsi="Arial Black"/>
              <w:color w:val="45B0E1" w:themeColor="accent1" w:themeTint="99"/>
            </w:rPr>
            <w:t>BA/HND Business and Management</w:t>
          </w:r>
        </w:p>
        <w:p w14:paraId="3C441EDC" w14:textId="3C9ABD27" w:rsidR="00023FCA" w:rsidRPr="00023FCA" w:rsidRDefault="00023FCA" w:rsidP="00023FCA">
          <w:pPr>
            <w:rPr>
              <w:rFonts w:ascii="Arial Black" w:hAnsi="Arial Black"/>
              <w:color w:val="45B0E1" w:themeColor="accent1" w:themeTint="99"/>
            </w:rPr>
          </w:pPr>
          <w:r w:rsidRPr="00023FCA">
            <w:rPr>
              <w:rFonts w:ascii="Arial Black" w:hAnsi="Arial Black"/>
              <w:color w:val="45B0E1" w:themeColor="accent1" w:themeTint="99"/>
            </w:rPr>
            <w:t>Module:</w:t>
          </w:r>
          <w:r w:rsidRPr="00023FCA">
            <w:rPr>
              <w:rFonts w:ascii="Arial Black" w:hAnsi="Arial Black"/>
              <w:color w:val="45B0E1" w:themeColor="accent1" w:themeTint="99"/>
            </w:rPr>
            <w:t xml:space="preserve"> </w:t>
          </w:r>
          <w:r w:rsidRPr="00023FCA">
            <w:rPr>
              <w:rFonts w:ascii="Arial Black" w:hAnsi="Arial Black"/>
              <w:color w:val="45B0E1" w:themeColor="accent1" w:themeTint="99"/>
            </w:rPr>
            <w:t xml:space="preserve">Financial Management </w:t>
          </w:r>
          <w:r w:rsidRPr="00023FCA">
            <w:rPr>
              <w:rFonts w:ascii="Arial Black" w:hAnsi="Arial Black"/>
              <w:color w:val="45B0E1" w:themeColor="accent1" w:themeTint="99"/>
            </w:rPr>
            <w:t>for</w:t>
          </w:r>
          <w:r w:rsidRPr="00023FCA">
            <w:rPr>
              <w:rFonts w:ascii="Arial Black" w:hAnsi="Arial Black"/>
              <w:color w:val="45B0E1" w:themeColor="accent1" w:themeTint="99"/>
            </w:rPr>
            <w:t xml:space="preserve"> Business Sustainability</w:t>
          </w:r>
        </w:p>
        <w:p w14:paraId="17B72049" w14:textId="0AA1BCBA" w:rsidR="00023FCA" w:rsidRPr="00023FCA" w:rsidRDefault="00023FCA" w:rsidP="00023FCA">
          <w:pPr>
            <w:rPr>
              <w:rFonts w:ascii="Arial Black" w:hAnsi="Arial Black"/>
              <w:color w:val="45B0E1" w:themeColor="accent1" w:themeTint="99"/>
            </w:rPr>
          </w:pPr>
          <w:r w:rsidRPr="00023FCA">
            <w:rPr>
              <w:rFonts w:ascii="Arial Black" w:hAnsi="Arial Black"/>
              <w:color w:val="45B0E1" w:themeColor="accent1" w:themeTint="99"/>
            </w:rPr>
            <w:t>Module code:</w:t>
          </w:r>
          <w:r w:rsidRPr="00023FCA">
            <w:rPr>
              <w:rFonts w:ascii="Arial Black" w:hAnsi="Arial Black"/>
              <w:color w:val="45B0E1" w:themeColor="accent1" w:themeTint="99"/>
            </w:rPr>
            <w:t xml:space="preserve"> </w:t>
          </w:r>
          <w:r w:rsidRPr="00023FCA">
            <w:rPr>
              <w:rFonts w:ascii="Arial Black" w:hAnsi="Arial Black"/>
              <w:color w:val="45B0E1" w:themeColor="accent1" w:themeTint="99"/>
            </w:rPr>
            <w:t>BMSP4011D</w:t>
          </w:r>
        </w:p>
        <w:p w14:paraId="593EE81C" w14:textId="79D1D441" w:rsidR="00023FCA" w:rsidRDefault="00023FCA">
          <w:pPr>
            <w:rPr>
              <w:rFonts w:ascii="Arial Black" w:hAnsi="Arial Black" w:cs="Arial"/>
              <w:color w:val="45B0E1" w:themeColor="accent1" w:themeTint="99"/>
            </w:rPr>
          </w:pPr>
          <w:r w:rsidRPr="00023FCA">
            <w:rPr>
              <w:rFonts w:ascii="Arial Black" w:hAnsi="Arial Black"/>
              <w:noProof/>
              <w:color w:val="45B0E1" w:themeColor="accent1" w:themeTint="99"/>
            </w:rPr>
            <mc:AlternateContent>
              <mc:Choice Requires="wpg">
                <w:drawing>
                  <wp:anchor distT="0" distB="0" distL="114300" distR="114300" simplePos="0" relativeHeight="251659264" behindDoc="1" locked="0" layoutInCell="1" allowOverlap="1" wp14:anchorId="675E47E4" wp14:editId="44F1AA2A">
                    <wp:simplePos x="0" y="0"/>
                    <wp:positionH relativeFrom="page">
                      <wp:posOffset>444500</wp:posOffset>
                    </wp:positionH>
                    <wp:positionV relativeFrom="page">
                      <wp:posOffset>5213350</wp:posOffset>
                    </wp:positionV>
                    <wp:extent cx="6864350" cy="2176145"/>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350" cy="2176145"/>
                              <a:chOff x="0" y="0"/>
                              <a:chExt cx="6864824" cy="40943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eastAsiaTheme="majorEastAsia" w:hAnsi="Arial Black"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D0AEEC4" w14:textId="1623A031" w:rsidR="00023FCA" w:rsidRPr="00023FCA" w:rsidRDefault="00023FCA">
                                      <w:pPr>
                                        <w:pStyle w:val="NoSpacing"/>
                                        <w:jc w:val="center"/>
                                        <w:rPr>
                                          <w:rFonts w:ascii="Arial Black" w:eastAsiaTheme="majorEastAsia" w:hAnsi="Arial Black" w:cstheme="majorBidi"/>
                                          <w:caps/>
                                          <w:color w:val="156082" w:themeColor="accent1"/>
                                          <w:sz w:val="72"/>
                                          <w:szCs w:val="72"/>
                                        </w:rPr>
                                      </w:pPr>
                                      <w:r w:rsidRPr="00023FCA">
                                        <w:rPr>
                                          <w:rFonts w:ascii="Arial Black" w:eastAsiaTheme="majorEastAsia" w:hAnsi="Arial Black" w:cstheme="majorBidi"/>
                                          <w:caps/>
                                          <w:color w:val="156082" w:themeColor="accent1"/>
                                          <w:sz w:val="72"/>
                                          <w:szCs w:val="72"/>
                                        </w:rPr>
                                        <w:t xml:space="preserve">Amazon Financial Analysis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675E47E4" id="Group 198" o:spid="_x0000_s1026" style="position:absolute;margin-left:35pt;margin-top:410.5pt;width:540.5pt;height:171.35pt;z-index:-251657216;mso-width-percent:882;mso-position-horizontal-relative:page;mso-position-vertical-relative:page;mso-width-percent:882" coordsize="68648,40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shapetype id="_x0000_t202" coordsize="21600,21600" o:spt="202" path="m,l,21600r21600,l21600,xe">
                      <v:stroke joinstyle="miter"/>
                      <v:path gradientshapeok="t" o:connecttype="rect"/>
                    </v:shapetype>
                    <v:shape id="Text Box 196" o:spid="_x0000_s1028"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Black" w:eastAsiaTheme="majorEastAsia" w:hAnsi="Arial Black"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D0AEEC4" w14:textId="1623A031" w:rsidR="00023FCA" w:rsidRPr="00023FCA" w:rsidRDefault="00023FCA">
                                <w:pPr>
                                  <w:pStyle w:val="NoSpacing"/>
                                  <w:jc w:val="center"/>
                                  <w:rPr>
                                    <w:rFonts w:ascii="Arial Black" w:eastAsiaTheme="majorEastAsia" w:hAnsi="Arial Black" w:cstheme="majorBidi"/>
                                    <w:caps/>
                                    <w:color w:val="156082" w:themeColor="accent1"/>
                                    <w:sz w:val="72"/>
                                    <w:szCs w:val="72"/>
                                  </w:rPr>
                                </w:pPr>
                                <w:r w:rsidRPr="00023FCA">
                                  <w:rPr>
                                    <w:rFonts w:ascii="Arial Black" w:eastAsiaTheme="majorEastAsia" w:hAnsi="Arial Black" w:cstheme="majorBidi"/>
                                    <w:caps/>
                                    <w:color w:val="156082" w:themeColor="accent1"/>
                                    <w:sz w:val="72"/>
                                    <w:szCs w:val="72"/>
                                  </w:rPr>
                                  <w:t xml:space="preserve">Amazon Financial Analysis </w:t>
                                </w:r>
                              </w:p>
                            </w:sdtContent>
                          </w:sdt>
                        </w:txbxContent>
                      </v:textbox>
                    </v:shape>
                    <w10:wrap anchorx="page" anchory="page"/>
                  </v:group>
                </w:pict>
              </mc:Fallback>
            </mc:AlternateContent>
          </w:r>
          <w:r>
            <w:rPr>
              <w:rFonts w:ascii="Arial Black" w:hAnsi="Arial Black" w:cs="Arial"/>
              <w:color w:val="45B0E1" w:themeColor="accent1" w:themeTint="99"/>
            </w:rPr>
            <w:br w:type="page"/>
          </w:r>
        </w:p>
      </w:sdtContent>
    </w:sdt>
    <w:p w14:paraId="5DE342B7" w14:textId="229C1784" w:rsidR="00444E78" w:rsidRPr="00444E78" w:rsidRDefault="00444E78" w:rsidP="00444E78">
      <w:pPr>
        <w:spacing w:line="480" w:lineRule="auto"/>
        <w:rPr>
          <w:rFonts w:ascii="Arial Black" w:hAnsi="Arial Black" w:cs="Arial"/>
          <w:color w:val="45B0E1" w:themeColor="accent1" w:themeTint="99"/>
        </w:rPr>
      </w:pPr>
      <w:r w:rsidRPr="00444E78">
        <w:rPr>
          <w:rFonts w:ascii="Arial Black" w:hAnsi="Arial Black" w:cs="Arial"/>
          <w:color w:val="45B0E1" w:themeColor="accent1" w:themeTint="99"/>
        </w:rPr>
        <w:lastRenderedPageBreak/>
        <w:t xml:space="preserve">Introduction </w:t>
      </w:r>
    </w:p>
    <w:p w14:paraId="65A29F9B" w14:textId="349AE92C" w:rsidR="00444E78" w:rsidRPr="00444E78" w:rsidRDefault="00444E78" w:rsidP="00444E78">
      <w:pPr>
        <w:spacing w:line="480" w:lineRule="auto"/>
        <w:rPr>
          <w:rFonts w:ascii="Arial" w:hAnsi="Arial" w:cs="Arial"/>
        </w:rPr>
      </w:pPr>
      <w:r w:rsidRPr="00444E78">
        <w:rPr>
          <w:rFonts w:ascii="Arial" w:hAnsi="Arial" w:cs="Arial"/>
        </w:rPr>
        <w:t>This report presents a full financial ratio analysis of Amazon.com, Inc. for the two years ending on December 31, 2022, and December 31, 2023. The ratios provide measures of profitability (operating/net margins, ROE), liquidity (current and quick ratios), efficiency (asset turnover, inventory turnover, receivables turnover), solvency (debt-to-equity) and cash-flow (FCF, FCF margin) to measure Amazon’s financial and operational performance. These ratios represent performance over time and relative to industry averages. Trends over the time frame mentioned will studied in conjunction with Amazon’s fulfilment growth strategy, AWS innovations and capex reallocations, along with macroeconomic and competitive factors. The findings support recommendations to achieve improved profitability, liquidity, and capital allocation, sustainability goals, and perspective on the value of ratio analysis utility referring to (Amazon.com, Inc, 2022; Amazon.com, Inc, 2023).</w:t>
      </w:r>
    </w:p>
    <w:p w14:paraId="3080D8E0" w14:textId="77777777" w:rsidR="00444E78" w:rsidRPr="00444E78" w:rsidRDefault="00444E78" w:rsidP="00444E78">
      <w:pPr>
        <w:spacing w:line="480" w:lineRule="auto"/>
        <w:rPr>
          <w:rFonts w:ascii="Arial Black" w:hAnsi="Arial Black" w:cs="Arial"/>
          <w:color w:val="45B0E1" w:themeColor="accent1" w:themeTint="99"/>
        </w:rPr>
      </w:pPr>
      <w:r w:rsidRPr="00444E78">
        <w:rPr>
          <w:rFonts w:ascii="Arial Black" w:hAnsi="Arial Black" w:cs="Arial"/>
          <w:color w:val="45B0E1" w:themeColor="accent1" w:themeTint="99"/>
        </w:rPr>
        <w:t xml:space="preserve">Data Sources and Method Used </w:t>
      </w:r>
    </w:p>
    <w:p w14:paraId="14660FF8" w14:textId="62E4B32C" w:rsidR="00444E78" w:rsidRPr="00444E78" w:rsidRDefault="00444E78" w:rsidP="00444E78">
      <w:pPr>
        <w:spacing w:line="480" w:lineRule="auto"/>
        <w:rPr>
          <w:rFonts w:ascii="Arial" w:hAnsi="Arial" w:cs="Arial"/>
        </w:rPr>
      </w:pPr>
      <w:r w:rsidRPr="00444E78">
        <w:rPr>
          <w:rFonts w:ascii="Arial" w:hAnsi="Arial" w:cs="Arial"/>
        </w:rPr>
        <w:t xml:space="preserve">Primary data were used from Amazon’s Consolidated Statements of Operations, Comprehensive Income, Balance Sheet, and Cash Flow reconciliations for the years ended December 31, </w:t>
      </w:r>
      <w:r w:rsidRPr="00444E78">
        <w:rPr>
          <w:rFonts w:ascii="Arial" w:hAnsi="Arial" w:cs="Arial"/>
        </w:rPr>
        <w:t>2022,</w:t>
      </w:r>
      <w:r w:rsidRPr="00444E78">
        <w:rPr>
          <w:rFonts w:ascii="Arial" w:hAnsi="Arial" w:cs="Arial"/>
        </w:rPr>
        <w:t xml:space="preserve"> and 2023. Profitability ratios (operating margin, return on equity), liquidity ratios (current and quick ratios), efficiency ratios (asset turnover, inventory and receivables turnover), and solvency ratios (debt-to-equity) were calculated for 2022 and 2023. Free cash flow (FCF) and FCF margin were also calculated using Amazon’s non-GAAP reconciliations. All figures are expressed in U.S. dollars (millions).</w:t>
      </w:r>
    </w:p>
    <w:p w14:paraId="24C958C6" w14:textId="77777777" w:rsidR="00444E78" w:rsidRDefault="00444E78" w:rsidP="00444E78">
      <w:pPr>
        <w:spacing w:line="480" w:lineRule="auto"/>
        <w:rPr>
          <w:rFonts w:ascii="Arial" w:hAnsi="Arial" w:cs="Arial"/>
        </w:rPr>
      </w:pPr>
    </w:p>
    <w:p w14:paraId="27E35BE4" w14:textId="77777777" w:rsidR="00154B54" w:rsidRPr="00154B54" w:rsidRDefault="00154B54" w:rsidP="00154B54">
      <w:pPr>
        <w:spacing w:line="480" w:lineRule="auto"/>
        <w:rPr>
          <w:rFonts w:ascii="Arial Black" w:hAnsi="Arial Black" w:cs="Arial"/>
          <w:color w:val="45B0E1" w:themeColor="accent1" w:themeTint="99"/>
        </w:rPr>
      </w:pPr>
      <w:r w:rsidRPr="00154B54">
        <w:rPr>
          <w:rFonts w:ascii="Arial Black" w:hAnsi="Arial Black" w:cs="Arial"/>
          <w:color w:val="45B0E1" w:themeColor="accent1" w:themeTint="99"/>
        </w:rPr>
        <w:lastRenderedPageBreak/>
        <w:t>Ratio Analysis and Comparative Performance</w:t>
      </w:r>
    </w:p>
    <w:p w14:paraId="58490AE6" w14:textId="08F4F37B" w:rsidR="00154B54" w:rsidRPr="00154B54" w:rsidRDefault="00154B54" w:rsidP="00154B54">
      <w:pPr>
        <w:pStyle w:val="ListParagraph"/>
        <w:numPr>
          <w:ilvl w:val="0"/>
          <w:numId w:val="3"/>
        </w:numPr>
        <w:spacing w:line="480" w:lineRule="auto"/>
        <w:rPr>
          <w:rFonts w:ascii="Arial Black" w:hAnsi="Arial Black" w:cs="Arial"/>
          <w:color w:val="45B0E1" w:themeColor="accent1" w:themeTint="99"/>
        </w:rPr>
      </w:pPr>
      <w:r w:rsidRPr="00154B54">
        <w:rPr>
          <w:rFonts w:ascii="Arial Black" w:hAnsi="Arial Black" w:cs="Arial"/>
          <w:color w:val="45B0E1" w:themeColor="accent1" w:themeTint="99"/>
        </w:rPr>
        <w:t>Revenue Growth</w:t>
      </w:r>
    </w:p>
    <w:p w14:paraId="053407EE"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2022: $513,983</w:t>
      </w:r>
    </w:p>
    <w:p w14:paraId="5F088E37"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2023: $574,785</w:t>
      </w:r>
    </w:p>
    <w:p w14:paraId="75F22A42" w14:textId="2FC6DA46"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Growth of 11.8% YoY reflects continued expansion in North America (12%) and AWS (13%)</w:t>
      </w:r>
      <w:r w:rsidRPr="001B2C81">
        <w:rPr>
          <w:rFonts w:ascii="Arial" w:hAnsi="Arial" w:cs="Arial"/>
          <w:color w:val="000000" w:themeColor="text1"/>
        </w:rPr>
        <w:t>.</w:t>
      </w:r>
    </w:p>
    <w:p w14:paraId="0F56876F" w14:textId="1EC86199" w:rsidR="00154B54" w:rsidRPr="00154B54" w:rsidRDefault="00154B54" w:rsidP="00154B54">
      <w:pPr>
        <w:pStyle w:val="ListParagraph"/>
        <w:numPr>
          <w:ilvl w:val="0"/>
          <w:numId w:val="3"/>
        </w:numPr>
        <w:spacing w:line="480" w:lineRule="auto"/>
        <w:rPr>
          <w:rFonts w:ascii="Arial Black" w:hAnsi="Arial Black" w:cs="Arial"/>
          <w:color w:val="45B0E1" w:themeColor="accent1" w:themeTint="99"/>
        </w:rPr>
      </w:pPr>
      <w:r w:rsidRPr="00154B54">
        <w:rPr>
          <w:rFonts w:ascii="Arial Black" w:hAnsi="Arial Black" w:cs="Arial"/>
          <w:color w:val="45B0E1" w:themeColor="accent1" w:themeTint="99"/>
        </w:rPr>
        <w:t>Profitability</w:t>
      </w:r>
    </w:p>
    <w:p w14:paraId="059664A0"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Operating Margin:</w:t>
      </w:r>
    </w:p>
    <w:p w14:paraId="7057FF41"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2022: $12,248 / $513,983 = 2.38%</w:t>
      </w:r>
    </w:p>
    <w:p w14:paraId="3B36B8F5"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2023: $36,852 / $574,785 = 6.41%</w:t>
      </w:r>
    </w:p>
    <w:p w14:paraId="1FA13E95"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 xml:space="preserve">The </w:t>
      </w:r>
      <w:r w:rsidRPr="001B2C81">
        <w:rPr>
          <w:rFonts w:ascii="Arial" w:hAnsi="Arial" w:cs="Arial"/>
          <w:color w:val="000000" w:themeColor="text1"/>
        </w:rPr>
        <w:t xml:space="preserve">approximative </w:t>
      </w:r>
      <w:r w:rsidRPr="001B2C81">
        <w:rPr>
          <w:rFonts w:ascii="Arial" w:hAnsi="Arial" w:cs="Arial"/>
          <w:color w:val="000000" w:themeColor="text1"/>
        </w:rPr>
        <w:t>4 percentage-point uplift signals improved cost structure and high-margin segment mix, notably AWS and advertising.</w:t>
      </w:r>
    </w:p>
    <w:p w14:paraId="31FE8C9D" w14:textId="31B59EFE"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Return on Equity (ROE):</w:t>
      </w:r>
    </w:p>
    <w:p w14:paraId="7EAC7CC0"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2022: –$2,722 / [($138,245 + $146,043)/2] = –1.9%</w:t>
      </w:r>
    </w:p>
    <w:p w14:paraId="7FBD368E"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2023: $30,425 / [($146,043 + $201,875)/2] = 17.5%</w:t>
      </w:r>
    </w:p>
    <w:p w14:paraId="694679B1" w14:textId="337D70DB"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The swing from negative to robust ROE underscores Amazon’s return to profitability and efficient equity utili</w:t>
      </w:r>
      <w:r w:rsidR="001B2C81" w:rsidRPr="001B2C81">
        <w:rPr>
          <w:rFonts w:ascii="Arial" w:hAnsi="Arial" w:cs="Arial"/>
          <w:color w:val="000000" w:themeColor="text1"/>
        </w:rPr>
        <w:t>s</w:t>
      </w:r>
      <w:r w:rsidRPr="001B2C81">
        <w:rPr>
          <w:rFonts w:ascii="Arial" w:hAnsi="Arial" w:cs="Arial"/>
          <w:color w:val="000000" w:themeColor="text1"/>
        </w:rPr>
        <w:t>ation.</w:t>
      </w:r>
    </w:p>
    <w:p w14:paraId="30F033FF" w14:textId="77777777" w:rsidR="001B2C81" w:rsidRDefault="001B2C81" w:rsidP="00154B54">
      <w:pPr>
        <w:spacing w:line="480" w:lineRule="auto"/>
        <w:rPr>
          <w:rFonts w:ascii="Arial Black" w:hAnsi="Arial Black" w:cs="Arial"/>
          <w:color w:val="45B0E1" w:themeColor="accent1" w:themeTint="99"/>
        </w:rPr>
      </w:pPr>
    </w:p>
    <w:p w14:paraId="5B93AB4F" w14:textId="77777777" w:rsidR="001B2C81" w:rsidRDefault="001B2C81" w:rsidP="00154B54">
      <w:pPr>
        <w:spacing w:line="480" w:lineRule="auto"/>
        <w:rPr>
          <w:rFonts w:ascii="Arial Black" w:hAnsi="Arial Black" w:cs="Arial"/>
          <w:color w:val="45B0E1" w:themeColor="accent1" w:themeTint="99"/>
        </w:rPr>
      </w:pPr>
    </w:p>
    <w:p w14:paraId="487ACA0B" w14:textId="25968CB6" w:rsidR="00154B54" w:rsidRPr="001B2C81" w:rsidRDefault="00154B54" w:rsidP="001B2C81">
      <w:pPr>
        <w:pStyle w:val="ListParagraph"/>
        <w:numPr>
          <w:ilvl w:val="0"/>
          <w:numId w:val="3"/>
        </w:numPr>
        <w:spacing w:line="480" w:lineRule="auto"/>
        <w:rPr>
          <w:rFonts w:ascii="Arial Black" w:hAnsi="Arial Black" w:cs="Arial"/>
          <w:color w:val="45B0E1" w:themeColor="accent1" w:themeTint="99"/>
        </w:rPr>
      </w:pPr>
      <w:r w:rsidRPr="001B2C81">
        <w:rPr>
          <w:rFonts w:ascii="Arial Black" w:hAnsi="Arial Black" w:cs="Arial"/>
          <w:color w:val="45B0E1" w:themeColor="accent1" w:themeTint="99"/>
        </w:rPr>
        <w:lastRenderedPageBreak/>
        <w:t>Cash Flow Efficiency</w:t>
      </w:r>
    </w:p>
    <w:p w14:paraId="4F6CE392" w14:textId="77777777" w:rsidR="001B2C81"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Free Cash Flow (FCF):</w:t>
      </w:r>
    </w:p>
    <w:p w14:paraId="4D5B7A34" w14:textId="26D834C3"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2022: –$11,569 (FCF)</w:t>
      </w:r>
    </w:p>
    <w:p w14:paraId="4C332922"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2023: $36,813 (FCF)</w:t>
      </w:r>
    </w:p>
    <w:p w14:paraId="4C28D6A2" w14:textId="04B3BCEB"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Yields FCF margins of –2.25% and 6.4%, respectively, reflecting a shift from heavy capex to positive operational cash generation.</w:t>
      </w:r>
    </w:p>
    <w:p w14:paraId="19493D42" w14:textId="641C03E8" w:rsidR="00154B54" w:rsidRPr="001B2C81" w:rsidRDefault="00154B54" w:rsidP="001B2C81">
      <w:pPr>
        <w:pStyle w:val="ListParagraph"/>
        <w:numPr>
          <w:ilvl w:val="0"/>
          <w:numId w:val="3"/>
        </w:numPr>
        <w:spacing w:line="480" w:lineRule="auto"/>
        <w:rPr>
          <w:rFonts w:ascii="Arial Black" w:hAnsi="Arial Black" w:cs="Arial"/>
          <w:color w:val="45B0E1" w:themeColor="accent1" w:themeTint="99"/>
        </w:rPr>
      </w:pPr>
      <w:r w:rsidRPr="001B2C81">
        <w:rPr>
          <w:rFonts w:ascii="Arial Black" w:hAnsi="Arial Black" w:cs="Arial"/>
          <w:color w:val="45B0E1" w:themeColor="accent1" w:themeTint="99"/>
        </w:rPr>
        <w:t>Liquidity</w:t>
      </w:r>
    </w:p>
    <w:p w14:paraId="29BFB930"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Current Ratio (Current Assets / Current Liabilities):</w:t>
      </w:r>
    </w:p>
    <w:p w14:paraId="40562C8F"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2022: $146,791 / $155,393 = 0.95</w:t>
      </w:r>
    </w:p>
    <w:p w14:paraId="01DD7E9D"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2023: $172,351 / $164,917 = 1.05</w:t>
      </w:r>
    </w:p>
    <w:p w14:paraId="55524498"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Quick Ratio [(Current Assets – Inventories) / Current Liabilities]:</w:t>
      </w:r>
    </w:p>
    <w:p w14:paraId="36981349"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2022: ($146,791–$34,405) / $155,393 = 0.72</w:t>
      </w:r>
    </w:p>
    <w:p w14:paraId="4AE6CB11"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2023: ($172,351–$33,318) / $164,917 = 0.84</w:t>
      </w:r>
    </w:p>
    <w:p w14:paraId="638174BC" w14:textId="3085ADF5"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Improvements indicate stronger near-term solvency.</w:t>
      </w:r>
    </w:p>
    <w:p w14:paraId="5210B0C3" w14:textId="0ED456A3" w:rsidR="00154B54" w:rsidRPr="001B2C81" w:rsidRDefault="00154B54" w:rsidP="001B2C81">
      <w:pPr>
        <w:pStyle w:val="ListParagraph"/>
        <w:numPr>
          <w:ilvl w:val="0"/>
          <w:numId w:val="3"/>
        </w:numPr>
        <w:spacing w:line="480" w:lineRule="auto"/>
        <w:rPr>
          <w:rFonts w:ascii="Arial Black" w:hAnsi="Arial Black" w:cs="Arial"/>
          <w:color w:val="45B0E1" w:themeColor="accent1" w:themeTint="99"/>
        </w:rPr>
      </w:pPr>
      <w:r w:rsidRPr="001B2C81">
        <w:rPr>
          <w:rFonts w:ascii="Arial Black" w:hAnsi="Arial Black" w:cs="Arial"/>
          <w:color w:val="45B0E1" w:themeColor="accent1" w:themeTint="99"/>
        </w:rPr>
        <w:t>Operating Efficiency</w:t>
      </w:r>
    </w:p>
    <w:p w14:paraId="655A0513"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Asset Turnover (Revenue / Total Assets):</w:t>
      </w:r>
    </w:p>
    <w:p w14:paraId="0C1A59FF"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2022: $513,983 / $462,675 = 1.11</w:t>
      </w:r>
    </w:p>
    <w:p w14:paraId="66BF6C8F"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2023: $574,785 / $527,854 = 1.09</w:t>
      </w:r>
    </w:p>
    <w:p w14:paraId="58B49518" w14:textId="77777777" w:rsidR="00154B54" w:rsidRPr="001B2C81" w:rsidRDefault="00154B54" w:rsidP="00154B54">
      <w:pPr>
        <w:spacing w:line="480" w:lineRule="auto"/>
        <w:rPr>
          <w:rFonts w:ascii="Arial" w:hAnsi="Arial" w:cs="Arial"/>
          <w:color w:val="000000" w:themeColor="text1"/>
        </w:rPr>
      </w:pPr>
    </w:p>
    <w:p w14:paraId="22C8B02F"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lastRenderedPageBreak/>
        <w:t>Inventory Turnover (Cost of Sales / Inventories):</w:t>
      </w:r>
    </w:p>
    <w:p w14:paraId="2A03FD63" w14:textId="0BA0F932"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2022: $288,831 / $34,405 = 8.39</w:t>
      </w:r>
      <w:r w:rsidR="00023FCA">
        <w:rPr>
          <w:rFonts w:ascii="Arial" w:hAnsi="Arial" w:cs="Arial"/>
          <w:color w:val="000000" w:themeColor="text1"/>
        </w:rPr>
        <w:t>x</w:t>
      </w:r>
    </w:p>
    <w:p w14:paraId="3ED4AE67" w14:textId="2EFD0123"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2023: $304,739 / $33,318 = 9.14</w:t>
      </w:r>
      <w:r w:rsidR="00023FCA">
        <w:rPr>
          <w:rFonts w:ascii="Arial" w:hAnsi="Arial" w:cs="Arial"/>
          <w:color w:val="000000" w:themeColor="text1"/>
        </w:rPr>
        <w:t>x</w:t>
      </w:r>
    </w:p>
    <w:p w14:paraId="4F923C15"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Receivables Turnover (Revenue / AR):</w:t>
      </w:r>
    </w:p>
    <w:p w14:paraId="06527EB9" w14:textId="0A04442A"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2022: $513,983 / $42,360 = 12.13</w:t>
      </w:r>
      <w:r w:rsidR="00023FCA">
        <w:rPr>
          <w:rFonts w:ascii="Arial" w:hAnsi="Arial" w:cs="Arial"/>
          <w:color w:val="000000" w:themeColor="text1"/>
        </w:rPr>
        <w:t>x</w:t>
      </w:r>
    </w:p>
    <w:p w14:paraId="56B50BBF" w14:textId="011FF5AE"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2023: $574,785 / $52,253 = 11.00</w:t>
      </w:r>
      <w:r w:rsidR="00023FCA">
        <w:rPr>
          <w:rFonts w:ascii="Arial" w:hAnsi="Arial" w:cs="Arial"/>
          <w:color w:val="000000" w:themeColor="text1"/>
        </w:rPr>
        <w:t>x</w:t>
      </w:r>
    </w:p>
    <w:p w14:paraId="7A90924C" w14:textId="521B332E"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Enhanced inventory turnover reflects better inventory management, while a modest dip in receivables turnover highlights growth in deferred revenue (e.g., AWS, Prime)</w:t>
      </w:r>
      <w:r w:rsidR="001B2C81">
        <w:rPr>
          <w:rFonts w:ascii="Arial" w:hAnsi="Arial" w:cs="Arial"/>
          <w:color w:val="000000" w:themeColor="text1"/>
        </w:rPr>
        <w:t>.</w:t>
      </w:r>
      <w:r w:rsidRPr="001B2C81">
        <w:rPr>
          <w:rFonts w:ascii="Arial" w:hAnsi="Arial" w:cs="Arial"/>
          <w:color w:val="000000" w:themeColor="text1"/>
        </w:rPr>
        <w:t xml:space="preserve"> </w:t>
      </w:r>
    </w:p>
    <w:p w14:paraId="44176464" w14:textId="6E37AB3C" w:rsidR="00154B54" w:rsidRPr="001B2C81" w:rsidRDefault="00154B54" w:rsidP="001B2C81">
      <w:pPr>
        <w:pStyle w:val="ListParagraph"/>
        <w:numPr>
          <w:ilvl w:val="0"/>
          <w:numId w:val="3"/>
        </w:numPr>
        <w:spacing w:line="480" w:lineRule="auto"/>
        <w:rPr>
          <w:rFonts w:ascii="Arial Black" w:hAnsi="Arial Black" w:cs="Arial"/>
          <w:color w:val="45B0E1" w:themeColor="accent1" w:themeTint="99"/>
        </w:rPr>
      </w:pPr>
      <w:r w:rsidRPr="001B2C81">
        <w:rPr>
          <w:rFonts w:ascii="Arial Black" w:hAnsi="Arial Black" w:cs="Arial"/>
          <w:color w:val="45B0E1" w:themeColor="accent1" w:themeTint="99"/>
        </w:rPr>
        <w:t>Solvency</w:t>
      </w:r>
    </w:p>
    <w:p w14:paraId="50732E4A"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Debt-to-Equity (Total Liabilities / Equity):</w:t>
      </w:r>
    </w:p>
    <w:p w14:paraId="049827A0"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2022: $316,632 / $146,043 = 2.17</w:t>
      </w:r>
    </w:p>
    <w:p w14:paraId="73BF4E18" w14:textId="77777777"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2023: $325,979 / $201,875 = 1.62</w:t>
      </w:r>
    </w:p>
    <w:p w14:paraId="1646EE94" w14:textId="02F88A04" w:rsidR="00154B54" w:rsidRPr="001B2C81" w:rsidRDefault="00154B54" w:rsidP="00154B54">
      <w:pPr>
        <w:spacing w:line="480" w:lineRule="auto"/>
        <w:rPr>
          <w:rFonts w:ascii="Arial" w:hAnsi="Arial" w:cs="Arial"/>
          <w:color w:val="000000" w:themeColor="text1"/>
        </w:rPr>
      </w:pPr>
      <w:r w:rsidRPr="001B2C81">
        <w:rPr>
          <w:rFonts w:ascii="Arial" w:hAnsi="Arial" w:cs="Arial"/>
          <w:color w:val="000000" w:themeColor="text1"/>
        </w:rPr>
        <w:t>The reduction indicates a healthier capital structure with greater equity backing.</w:t>
      </w:r>
    </w:p>
    <w:p w14:paraId="52799965" w14:textId="77777777" w:rsidR="002F7FE9" w:rsidRDefault="002F7FE9" w:rsidP="00444E78">
      <w:pPr>
        <w:spacing w:line="480" w:lineRule="auto"/>
        <w:rPr>
          <w:rFonts w:ascii="Arial Black" w:hAnsi="Arial Black" w:cs="Arial"/>
          <w:color w:val="45B0E1" w:themeColor="accent1" w:themeTint="99"/>
        </w:rPr>
      </w:pPr>
    </w:p>
    <w:p w14:paraId="75E57CA3" w14:textId="77777777" w:rsidR="00154B54" w:rsidRDefault="00154B54" w:rsidP="00444E78">
      <w:pPr>
        <w:spacing w:line="480" w:lineRule="auto"/>
        <w:rPr>
          <w:rFonts w:ascii="Arial Black" w:hAnsi="Arial Black" w:cs="Arial"/>
          <w:color w:val="45B0E1" w:themeColor="accent1" w:themeTint="99"/>
        </w:rPr>
      </w:pPr>
    </w:p>
    <w:p w14:paraId="083908A3" w14:textId="77777777" w:rsidR="00154B54" w:rsidRDefault="00154B54" w:rsidP="00444E78">
      <w:pPr>
        <w:spacing w:line="480" w:lineRule="auto"/>
        <w:rPr>
          <w:rFonts w:ascii="Arial Black" w:hAnsi="Arial Black" w:cs="Arial"/>
          <w:color w:val="45B0E1" w:themeColor="accent1" w:themeTint="99"/>
        </w:rPr>
      </w:pPr>
    </w:p>
    <w:p w14:paraId="04356768" w14:textId="77777777" w:rsidR="00154B54" w:rsidRDefault="00154B54" w:rsidP="00444E78">
      <w:pPr>
        <w:spacing w:line="480" w:lineRule="auto"/>
        <w:rPr>
          <w:rFonts w:ascii="Arial Black" w:hAnsi="Arial Black" w:cs="Arial"/>
          <w:color w:val="45B0E1" w:themeColor="accent1" w:themeTint="99"/>
        </w:rPr>
      </w:pPr>
    </w:p>
    <w:p w14:paraId="38BF3595" w14:textId="77777777" w:rsidR="00154B54" w:rsidRDefault="00154B54" w:rsidP="00444E78">
      <w:pPr>
        <w:spacing w:line="480" w:lineRule="auto"/>
        <w:rPr>
          <w:rFonts w:ascii="Arial Black" w:hAnsi="Arial Black" w:cs="Arial"/>
          <w:color w:val="45B0E1" w:themeColor="accent1" w:themeTint="99"/>
        </w:rPr>
      </w:pPr>
    </w:p>
    <w:p w14:paraId="29F76B4C" w14:textId="77777777" w:rsidR="001B2C81" w:rsidRDefault="001B2C81" w:rsidP="00444E78">
      <w:pPr>
        <w:spacing w:line="480" w:lineRule="auto"/>
        <w:rPr>
          <w:rFonts w:ascii="Arial Black" w:hAnsi="Arial Black" w:cs="Arial"/>
          <w:color w:val="45B0E1" w:themeColor="accent1" w:themeTint="99"/>
        </w:rPr>
      </w:pPr>
    </w:p>
    <w:p w14:paraId="4A194077" w14:textId="69A2E9FD" w:rsidR="002F7FE9" w:rsidRDefault="002F7FE9" w:rsidP="00444E78">
      <w:pPr>
        <w:spacing w:line="480" w:lineRule="auto"/>
        <w:rPr>
          <w:rFonts w:ascii="Arial Black" w:hAnsi="Arial Black" w:cs="Arial"/>
          <w:color w:val="45B0E1" w:themeColor="accent1" w:themeTint="99"/>
        </w:rPr>
      </w:pPr>
      <w:r w:rsidRPr="002F7FE9">
        <w:rPr>
          <w:rFonts w:ascii="Arial Black" w:hAnsi="Arial Black" w:cs="Arial"/>
          <w:color w:val="45B0E1" w:themeColor="accent1" w:themeTint="99"/>
        </w:rPr>
        <w:lastRenderedPageBreak/>
        <w:t>Analysis of Influencing Factors</w:t>
      </w:r>
    </w:p>
    <w:p w14:paraId="7C6C9373" w14:textId="12162F0E" w:rsidR="00444E78" w:rsidRPr="002F7FE9" w:rsidRDefault="00444E78" w:rsidP="002F7FE9">
      <w:pPr>
        <w:pStyle w:val="ListParagraph"/>
        <w:numPr>
          <w:ilvl w:val="0"/>
          <w:numId w:val="1"/>
        </w:numPr>
        <w:spacing w:line="480" w:lineRule="auto"/>
        <w:rPr>
          <w:rFonts w:ascii="Arial Black" w:hAnsi="Arial Black" w:cs="Arial"/>
          <w:color w:val="45B0E1" w:themeColor="accent1" w:themeTint="99"/>
        </w:rPr>
      </w:pPr>
      <w:r w:rsidRPr="002F7FE9">
        <w:rPr>
          <w:rFonts w:ascii="Arial Black" w:hAnsi="Arial Black" w:cs="Arial"/>
          <w:color w:val="45B0E1" w:themeColor="accent1" w:themeTint="99"/>
        </w:rPr>
        <w:t>Conversion Satisfaction &amp; Cost Efficiencies</w:t>
      </w:r>
    </w:p>
    <w:p w14:paraId="43981BF7" w14:textId="4D380FFC" w:rsidR="002F7FE9" w:rsidRDefault="00444E78" w:rsidP="00444E78">
      <w:pPr>
        <w:spacing w:line="480" w:lineRule="auto"/>
        <w:rPr>
          <w:rFonts w:ascii="Arial" w:hAnsi="Arial" w:cs="Arial"/>
        </w:rPr>
      </w:pPr>
      <w:r w:rsidRPr="00444E78">
        <w:rPr>
          <w:rFonts w:ascii="Arial" w:hAnsi="Arial" w:cs="Arial"/>
        </w:rPr>
        <w:t xml:space="preserve">Amazon's structural changes to its fulfilment system are arguably the main contributor to margin improvement. For example, by developing its network into eight separate regions, Amazon was able to lower average distance for last-mile delivery by approximately 10%, which resulted in a measurable drop in transportation costs per unit delivered (Charles &amp; </w:t>
      </w:r>
      <w:proofErr w:type="spellStart"/>
      <w:r w:rsidRPr="00444E78">
        <w:rPr>
          <w:rFonts w:ascii="Arial" w:hAnsi="Arial" w:cs="Arial"/>
        </w:rPr>
        <w:t>Uford</w:t>
      </w:r>
      <w:proofErr w:type="spellEnd"/>
      <w:r w:rsidRPr="00444E78">
        <w:rPr>
          <w:rFonts w:ascii="Arial" w:hAnsi="Arial" w:cs="Arial"/>
        </w:rPr>
        <w:t>, 2023). In addition, the regionali</w:t>
      </w:r>
      <w:r w:rsidR="002F7FE9">
        <w:rPr>
          <w:rFonts w:ascii="Arial" w:hAnsi="Arial" w:cs="Arial"/>
        </w:rPr>
        <w:t>s</w:t>
      </w:r>
      <w:r w:rsidRPr="00444E78">
        <w:rPr>
          <w:rFonts w:ascii="Arial" w:hAnsi="Arial" w:cs="Arial"/>
        </w:rPr>
        <w:t xml:space="preserve">ation allowed for more densified inventory locations closer to end-customers which also lowered faster shipping premiums, and subsequently associated carbon </w:t>
      </w:r>
      <w:r w:rsidR="00023FCA" w:rsidRPr="00444E78">
        <w:rPr>
          <w:rFonts w:ascii="Arial" w:hAnsi="Arial" w:cs="Arial"/>
        </w:rPr>
        <w:t>emissions</w:t>
      </w:r>
      <w:r w:rsidR="00023FCA">
        <w:rPr>
          <w:rFonts w:ascii="Arial" w:hAnsi="Arial" w:cs="Arial"/>
        </w:rPr>
        <w:t>.</w:t>
      </w:r>
    </w:p>
    <w:p w14:paraId="3E4B9BEA" w14:textId="77777777" w:rsidR="002F7FE9" w:rsidRDefault="00444E78" w:rsidP="00444E78">
      <w:pPr>
        <w:spacing w:line="480" w:lineRule="auto"/>
        <w:rPr>
          <w:rFonts w:ascii="Arial" w:hAnsi="Arial" w:cs="Arial"/>
        </w:rPr>
      </w:pPr>
      <w:r w:rsidRPr="00444E78">
        <w:rPr>
          <w:rFonts w:ascii="Arial" w:hAnsi="Arial" w:cs="Arial"/>
        </w:rPr>
        <w:t xml:space="preserve">Much of the derived cost efficiencies were supported by investment in automation, and robotics. In 2023, Amazon utilized 50,000+ machine vision guided </w:t>
      </w:r>
      <w:r w:rsidR="002F7FE9" w:rsidRPr="00444E78">
        <w:rPr>
          <w:rFonts w:ascii="Arial" w:hAnsi="Arial" w:cs="Arial"/>
        </w:rPr>
        <w:t>robots’</w:t>
      </w:r>
      <w:r w:rsidRPr="00444E78">
        <w:rPr>
          <w:rFonts w:ascii="Arial" w:hAnsi="Arial" w:cs="Arial"/>
        </w:rPr>
        <w:t xml:space="preserve"> throughput their wholistic fulfilment centres which allowed for an estimated reduction of 15% in the amount of manual pick-and-pack labour hours undertaken, and 20% improvement in error rates (Umar, 2022). Those gains produced labour-cost efficiencies as well as faster order </w:t>
      </w:r>
      <w:r w:rsidR="002F7FE9" w:rsidRPr="00444E78">
        <w:rPr>
          <w:rFonts w:ascii="Arial" w:hAnsi="Arial" w:cs="Arial"/>
        </w:rPr>
        <w:t>fulfilment</w:t>
      </w:r>
      <w:r w:rsidRPr="00444E78">
        <w:rPr>
          <w:rFonts w:ascii="Arial" w:hAnsi="Arial" w:cs="Arial"/>
        </w:rPr>
        <w:t xml:space="preserve"> which ultimately translated into higher end-customer satisfaction and repeated purchase rates (Umar, 2022).</w:t>
      </w:r>
    </w:p>
    <w:p w14:paraId="783B6550" w14:textId="77777777" w:rsidR="002F7FE9" w:rsidRDefault="00444E78" w:rsidP="00444E78">
      <w:pPr>
        <w:spacing w:line="480" w:lineRule="auto"/>
        <w:rPr>
          <w:rFonts w:ascii="Arial" w:hAnsi="Arial" w:cs="Arial"/>
        </w:rPr>
      </w:pPr>
      <w:r w:rsidRPr="00444E78">
        <w:rPr>
          <w:rFonts w:ascii="Arial" w:hAnsi="Arial" w:cs="Arial"/>
        </w:rPr>
        <w:t>Higher margin segments- mainly AWS- will continue to grow profit. AWS has launched instances purposely built for compute speciali</w:t>
      </w:r>
      <w:r w:rsidR="002F7FE9">
        <w:rPr>
          <w:rFonts w:ascii="Arial" w:hAnsi="Arial" w:cs="Arial"/>
        </w:rPr>
        <w:t>s</w:t>
      </w:r>
      <w:r w:rsidRPr="00444E78">
        <w:rPr>
          <w:rFonts w:ascii="Arial" w:hAnsi="Arial" w:cs="Arial"/>
        </w:rPr>
        <w:t>ation (Graviton3) and GenAI services in 2023, and the same utility and maximum-pricing structure will be applied as well.</w:t>
      </w:r>
      <w:r w:rsidR="002F7FE9">
        <w:rPr>
          <w:rFonts w:ascii="Arial" w:hAnsi="Arial" w:cs="Arial"/>
        </w:rPr>
        <w:t xml:space="preserve"> </w:t>
      </w:r>
      <w:r w:rsidRPr="00444E78">
        <w:rPr>
          <w:rFonts w:ascii="Arial" w:hAnsi="Arial" w:cs="Arial"/>
        </w:rPr>
        <w:t>Consequently, AWS cooperatives increased to over 30% margins, as compared to mid-single digits with its core retail business (Cruz Lopez, 2023). Additionally, the digital services transition operates using economies of scale: incremental revenues incurred very little incremental costs, hence amplifying operating leverage.</w:t>
      </w:r>
    </w:p>
    <w:p w14:paraId="53894B75" w14:textId="46859BA7" w:rsidR="00444E78" w:rsidRPr="002F7FE9" w:rsidRDefault="00444E78" w:rsidP="002F7FE9">
      <w:pPr>
        <w:pStyle w:val="ListParagraph"/>
        <w:numPr>
          <w:ilvl w:val="0"/>
          <w:numId w:val="1"/>
        </w:numPr>
        <w:spacing w:line="480" w:lineRule="auto"/>
        <w:rPr>
          <w:rFonts w:ascii="Arial Black" w:hAnsi="Arial Black" w:cs="Arial"/>
          <w:color w:val="45B0E1" w:themeColor="accent1" w:themeTint="99"/>
        </w:rPr>
      </w:pPr>
      <w:r w:rsidRPr="002F7FE9">
        <w:rPr>
          <w:rFonts w:ascii="Arial Black" w:hAnsi="Arial Black" w:cs="Arial"/>
          <w:color w:val="45B0E1" w:themeColor="accent1" w:themeTint="99"/>
        </w:rPr>
        <w:lastRenderedPageBreak/>
        <w:t>Macroeconomic &amp; Competitive Dynamics</w:t>
      </w:r>
    </w:p>
    <w:p w14:paraId="20EBE7AA" w14:textId="77777777" w:rsidR="002F7FE9" w:rsidRDefault="00444E78" w:rsidP="00444E78">
      <w:pPr>
        <w:spacing w:line="480" w:lineRule="auto"/>
        <w:rPr>
          <w:rFonts w:ascii="Arial" w:hAnsi="Arial" w:cs="Arial"/>
        </w:rPr>
      </w:pPr>
      <w:r w:rsidRPr="00444E78">
        <w:rPr>
          <w:rFonts w:ascii="Arial" w:hAnsi="Arial" w:cs="Arial"/>
        </w:rPr>
        <w:t>While 2022 was largely characteri</w:t>
      </w:r>
      <w:r w:rsidR="002F7FE9">
        <w:rPr>
          <w:rFonts w:ascii="Arial" w:hAnsi="Arial" w:cs="Arial"/>
        </w:rPr>
        <w:t>s</w:t>
      </w:r>
      <w:r w:rsidRPr="00444E78">
        <w:rPr>
          <w:rFonts w:ascii="Arial" w:hAnsi="Arial" w:cs="Arial"/>
        </w:rPr>
        <w:t>ed by inflation</w:t>
      </w:r>
      <w:r w:rsidR="002F7FE9">
        <w:rPr>
          <w:rFonts w:ascii="Arial" w:hAnsi="Arial" w:cs="Arial"/>
        </w:rPr>
        <w:t xml:space="preserve">, </w:t>
      </w:r>
      <w:r w:rsidRPr="00444E78">
        <w:rPr>
          <w:rFonts w:ascii="Arial" w:hAnsi="Arial" w:cs="Arial"/>
        </w:rPr>
        <w:t>increasing wages, shipping rates, and energy prices</w:t>
      </w:r>
      <w:r w:rsidR="002F7FE9">
        <w:rPr>
          <w:rFonts w:ascii="Arial" w:hAnsi="Arial" w:cs="Arial"/>
        </w:rPr>
        <w:t xml:space="preserve">, </w:t>
      </w:r>
      <w:r w:rsidRPr="00444E78">
        <w:rPr>
          <w:rFonts w:ascii="Arial" w:hAnsi="Arial" w:cs="Arial"/>
        </w:rPr>
        <w:t>2023 began a process of normali</w:t>
      </w:r>
      <w:r w:rsidR="002F7FE9">
        <w:rPr>
          <w:rFonts w:ascii="Arial" w:hAnsi="Arial" w:cs="Arial"/>
        </w:rPr>
        <w:t>s</w:t>
      </w:r>
      <w:r w:rsidRPr="00444E78">
        <w:rPr>
          <w:rFonts w:ascii="Arial" w:hAnsi="Arial" w:cs="Arial"/>
        </w:rPr>
        <w:t>ing input prices, which would ease margins (Kothari, 2001). Moreover, Amazon began hedging fuel surcharges and multi-year agreements with logistics providers to ultimately smooth cost of goods sold and create predictability (Kothari, 2001).</w:t>
      </w:r>
    </w:p>
    <w:p w14:paraId="545F687F" w14:textId="352B8511" w:rsidR="00444E78" w:rsidRPr="00444E78" w:rsidRDefault="00444E78" w:rsidP="00444E78">
      <w:pPr>
        <w:spacing w:line="480" w:lineRule="auto"/>
        <w:rPr>
          <w:rFonts w:ascii="Arial" w:hAnsi="Arial" w:cs="Arial"/>
        </w:rPr>
      </w:pPr>
      <w:r w:rsidRPr="00444E78">
        <w:rPr>
          <w:rFonts w:ascii="Arial" w:hAnsi="Arial" w:cs="Arial"/>
        </w:rPr>
        <w:t xml:space="preserve">E-commerce and cloud competition were pressuring pricing and service levels. In retail, Walmart and Alibaba increased omnichannel </w:t>
      </w:r>
      <w:r w:rsidR="002F7FE9" w:rsidRPr="00444E78">
        <w:rPr>
          <w:rFonts w:ascii="Arial" w:hAnsi="Arial" w:cs="Arial"/>
        </w:rPr>
        <w:t>fulfilment</w:t>
      </w:r>
      <w:r w:rsidRPr="00444E78">
        <w:rPr>
          <w:rFonts w:ascii="Arial" w:hAnsi="Arial" w:cs="Arial"/>
        </w:rPr>
        <w:t xml:space="preserve"> and </w:t>
      </w:r>
      <w:r w:rsidR="002F7FE9" w:rsidRPr="00444E78">
        <w:rPr>
          <w:rFonts w:ascii="Arial" w:hAnsi="Arial" w:cs="Arial"/>
        </w:rPr>
        <w:t>curb side</w:t>
      </w:r>
      <w:r w:rsidRPr="00444E78">
        <w:rPr>
          <w:rFonts w:ascii="Arial" w:hAnsi="Arial" w:cs="Arial"/>
        </w:rPr>
        <w:t xml:space="preserve"> delivery capacity that forced Amazon to invest in mobile lockers and robotics for same-day delivery and continue to deliver convenience (Ohlson, 1995). In cloud, Google Cloud and Microsoft Azure aggressively discounted multi-year commitments resulting ultimately AWS to develop tiered volume-discount pricing models which did apply a slight reduction in per-unit </w:t>
      </w:r>
      <w:r w:rsidR="002F7FE9" w:rsidRPr="00444E78">
        <w:rPr>
          <w:rFonts w:ascii="Arial" w:hAnsi="Arial" w:cs="Arial"/>
        </w:rPr>
        <w:t>pricing but</w:t>
      </w:r>
      <w:r w:rsidRPr="00444E78">
        <w:rPr>
          <w:rFonts w:ascii="Arial" w:hAnsi="Arial" w:cs="Arial"/>
        </w:rPr>
        <w:t xml:space="preserve"> generated larger enterprise commitments and stickier customers (Weetman, 2016).</w:t>
      </w:r>
    </w:p>
    <w:p w14:paraId="7B16A85F" w14:textId="5DD6E38F" w:rsidR="00444E78" w:rsidRPr="002F7FE9" w:rsidRDefault="00444E78" w:rsidP="002F7FE9">
      <w:pPr>
        <w:pStyle w:val="ListParagraph"/>
        <w:numPr>
          <w:ilvl w:val="0"/>
          <w:numId w:val="1"/>
        </w:numPr>
        <w:spacing w:line="480" w:lineRule="auto"/>
        <w:rPr>
          <w:rFonts w:ascii="Arial Black" w:hAnsi="Arial Black" w:cs="Arial"/>
          <w:color w:val="45B0E1" w:themeColor="accent1" w:themeTint="99"/>
        </w:rPr>
      </w:pPr>
      <w:r w:rsidRPr="002F7FE9">
        <w:rPr>
          <w:rFonts w:ascii="Arial Black" w:hAnsi="Arial Black" w:cs="Arial"/>
          <w:color w:val="45B0E1" w:themeColor="accent1" w:themeTint="99"/>
        </w:rPr>
        <w:t>Sustainability &amp; Governance</w:t>
      </w:r>
    </w:p>
    <w:p w14:paraId="2F464ADC" w14:textId="41745A80" w:rsidR="00444E78" w:rsidRPr="00444E78" w:rsidRDefault="00444E78" w:rsidP="00444E78">
      <w:pPr>
        <w:spacing w:line="480" w:lineRule="auto"/>
        <w:rPr>
          <w:rFonts w:ascii="Arial" w:hAnsi="Arial" w:cs="Arial"/>
        </w:rPr>
      </w:pPr>
      <w:r w:rsidRPr="00444E78">
        <w:rPr>
          <w:rFonts w:ascii="Arial" w:hAnsi="Arial" w:cs="Arial"/>
        </w:rPr>
        <w:t xml:space="preserve">Sustainability at Amazon transitioned from a compliance approach to a key priority to develop cost savings, brand equity, and long-term viability. The 2040 "Shipment Zero" commitment will reach net-zero carbon in its operations ten years before the Paris Agreement's </w:t>
      </w:r>
      <w:r w:rsidR="002F7FE9" w:rsidRPr="00444E78">
        <w:rPr>
          <w:rFonts w:ascii="Arial" w:hAnsi="Arial" w:cs="Arial"/>
        </w:rPr>
        <w:t>targets. By</w:t>
      </w:r>
      <w:r w:rsidRPr="00444E78">
        <w:rPr>
          <w:rFonts w:ascii="Arial" w:hAnsi="Arial" w:cs="Arial"/>
        </w:rPr>
        <w:t xml:space="preserve"> 2023, over 50% of Amazon’s energy consumption came from renewable projects, up from 40% in 2022, through power-purchase agreements for solar and wind projects (Walls et al., 2012). These contracts have the dual benefit of mitigating greenhouse-gas exposure, while also fixing energy prices so Amazon can shield itself from the future inflation of utility costs.</w:t>
      </w:r>
    </w:p>
    <w:p w14:paraId="36B2A7A0" w14:textId="77777777" w:rsidR="00444E78" w:rsidRPr="00444E78" w:rsidRDefault="00444E78" w:rsidP="00444E78">
      <w:pPr>
        <w:spacing w:line="480" w:lineRule="auto"/>
        <w:rPr>
          <w:rFonts w:ascii="Arial" w:hAnsi="Arial" w:cs="Arial"/>
        </w:rPr>
      </w:pPr>
      <w:r w:rsidRPr="00444E78">
        <w:rPr>
          <w:rFonts w:ascii="Arial" w:hAnsi="Arial" w:cs="Arial"/>
        </w:rPr>
        <w:lastRenderedPageBreak/>
        <w:t>From a supply chain perspective, Amazon required Scope 3 supplier emissions disclosures from the top 500 (by revenue) first-tier suppliers. This has quickened the pace of electric vehicle adoption and solar-powered warehousing across the network (Walls et al., 2012). Packaging innovations, like the development of 100% curb-side recyclable mailers and the use of lightweight fulfilment boxes, have reduced packaging weight per unit by 15%, which has helped reduce transportation emissions and material costs (Walls et al., 2012).</w:t>
      </w:r>
    </w:p>
    <w:p w14:paraId="7BE27EE6" w14:textId="77777777" w:rsidR="002F7FE9" w:rsidRDefault="00444E78" w:rsidP="00444E78">
      <w:pPr>
        <w:spacing w:line="480" w:lineRule="auto"/>
        <w:rPr>
          <w:rFonts w:ascii="Arial" w:hAnsi="Arial" w:cs="Arial"/>
        </w:rPr>
      </w:pPr>
      <w:r w:rsidRPr="00444E78">
        <w:rPr>
          <w:rFonts w:ascii="Arial" w:hAnsi="Arial" w:cs="Arial"/>
        </w:rPr>
        <w:t>Improvements in corporate governance have been an accompaniment to Amazon’s environmental behaviours. Amazon expanded its sustainability and corporate responsibility (SCR) team and included ESG metrics in the executive compensation plan to ensure leadership accountability (Walls et al., 2012). The inclusion of non-financial KPIs in performance appraisals safeguards the possibilities of long-term thinking and reduces the likelihood of greenwashing. Academic research has established that strong governance-ESG alignment lower the cost of capital therefore Amazon’s active position means stronger investor perceptions and lower borrowing rates may be feasible (Walls et al., 2012).</w:t>
      </w:r>
    </w:p>
    <w:p w14:paraId="7ED56675" w14:textId="280FA966" w:rsidR="00444E78" w:rsidRPr="002F7FE9" w:rsidRDefault="00444E78" w:rsidP="00444E78">
      <w:pPr>
        <w:spacing w:line="480" w:lineRule="auto"/>
        <w:rPr>
          <w:rFonts w:ascii="Arial Black" w:hAnsi="Arial Black" w:cs="Arial"/>
          <w:color w:val="45B0E1" w:themeColor="accent1" w:themeTint="99"/>
        </w:rPr>
      </w:pPr>
      <w:r w:rsidRPr="002F7FE9">
        <w:rPr>
          <w:rFonts w:ascii="Arial Black" w:hAnsi="Arial Black" w:cs="Arial"/>
          <w:color w:val="45B0E1" w:themeColor="accent1" w:themeTint="99"/>
        </w:rPr>
        <w:t>Recommendations for Future Improvement</w:t>
      </w:r>
    </w:p>
    <w:p w14:paraId="3B8955A3" w14:textId="188B3691" w:rsidR="00444E78" w:rsidRPr="002F7FE9" w:rsidRDefault="00444E78" w:rsidP="002F7FE9">
      <w:pPr>
        <w:pStyle w:val="ListParagraph"/>
        <w:numPr>
          <w:ilvl w:val="0"/>
          <w:numId w:val="2"/>
        </w:numPr>
        <w:spacing w:line="480" w:lineRule="auto"/>
        <w:rPr>
          <w:rFonts w:ascii="Arial Black" w:hAnsi="Arial Black" w:cs="Arial"/>
          <w:color w:val="45B0E1" w:themeColor="accent1" w:themeTint="99"/>
        </w:rPr>
      </w:pPr>
      <w:r w:rsidRPr="002F7FE9">
        <w:rPr>
          <w:rFonts w:ascii="Arial Black" w:hAnsi="Arial Black" w:cs="Arial"/>
          <w:color w:val="45B0E1" w:themeColor="accent1" w:themeTint="99"/>
        </w:rPr>
        <w:t>Ramp Up AI-Focused Automation</w:t>
      </w:r>
    </w:p>
    <w:p w14:paraId="1EA71BFE" w14:textId="691F8552" w:rsidR="00444E78" w:rsidRPr="00444E78" w:rsidRDefault="00444E78" w:rsidP="00444E78">
      <w:pPr>
        <w:spacing w:line="480" w:lineRule="auto"/>
        <w:rPr>
          <w:rFonts w:ascii="Arial" w:hAnsi="Arial" w:cs="Arial"/>
        </w:rPr>
      </w:pPr>
      <w:r w:rsidRPr="00444E78">
        <w:rPr>
          <w:rFonts w:ascii="Arial" w:hAnsi="Arial" w:cs="Arial"/>
        </w:rPr>
        <w:t>Utili</w:t>
      </w:r>
      <w:r w:rsidR="002F7FE9">
        <w:rPr>
          <w:rFonts w:ascii="Arial" w:hAnsi="Arial" w:cs="Arial"/>
        </w:rPr>
        <w:t>s</w:t>
      </w:r>
      <w:r w:rsidRPr="00444E78">
        <w:rPr>
          <w:rFonts w:ascii="Arial" w:hAnsi="Arial" w:cs="Arial"/>
        </w:rPr>
        <w:t xml:space="preserve">ing existing robotics technologies, Amazon should implement cutting-edge autonomous mobile robots (AMRs), with onboard artificial intelligence (AI) mapping to support dynamic path-planning in fulfilment centres. This will further reduce labour reliance and allow for continual operational efficiencies with predictive maintenance, lessening downtimes (Umar, 2022). </w:t>
      </w:r>
    </w:p>
    <w:p w14:paraId="1DCEBD79" w14:textId="5943450C" w:rsidR="00444E78" w:rsidRPr="00154B54" w:rsidRDefault="00444E78" w:rsidP="00154B54">
      <w:pPr>
        <w:pStyle w:val="ListParagraph"/>
        <w:numPr>
          <w:ilvl w:val="0"/>
          <w:numId w:val="2"/>
        </w:numPr>
        <w:spacing w:line="480" w:lineRule="auto"/>
        <w:rPr>
          <w:rFonts w:ascii="Arial Black" w:hAnsi="Arial Black" w:cs="Arial"/>
          <w:color w:val="45B0E1" w:themeColor="accent1" w:themeTint="99"/>
        </w:rPr>
      </w:pPr>
      <w:r w:rsidRPr="00154B54">
        <w:rPr>
          <w:rFonts w:ascii="Arial Black" w:hAnsi="Arial Black" w:cs="Arial"/>
          <w:color w:val="45B0E1" w:themeColor="accent1" w:themeTint="99"/>
        </w:rPr>
        <w:lastRenderedPageBreak/>
        <w:t>Widen Micro-</w:t>
      </w:r>
      <w:r w:rsidR="00154B54" w:rsidRPr="00154B54">
        <w:rPr>
          <w:rFonts w:ascii="Arial Black" w:hAnsi="Arial Black" w:cs="Arial"/>
          <w:color w:val="45B0E1" w:themeColor="accent1" w:themeTint="99"/>
        </w:rPr>
        <w:t>Fulfilment</w:t>
      </w:r>
      <w:r w:rsidRPr="00154B54">
        <w:rPr>
          <w:rFonts w:ascii="Arial Black" w:hAnsi="Arial Black" w:cs="Arial"/>
          <w:color w:val="45B0E1" w:themeColor="accent1" w:themeTint="99"/>
        </w:rPr>
        <w:t xml:space="preserve"> Footprint</w:t>
      </w:r>
    </w:p>
    <w:p w14:paraId="1F47833B" w14:textId="77777777" w:rsidR="00444E78" w:rsidRPr="00444E78" w:rsidRDefault="00444E78" w:rsidP="00444E78">
      <w:pPr>
        <w:spacing w:line="480" w:lineRule="auto"/>
        <w:rPr>
          <w:rFonts w:ascii="Arial" w:hAnsi="Arial" w:cs="Arial"/>
        </w:rPr>
      </w:pPr>
      <w:r w:rsidRPr="00444E78">
        <w:rPr>
          <w:rFonts w:ascii="Arial" w:hAnsi="Arial" w:cs="Arial"/>
        </w:rPr>
        <w:t xml:space="preserve">Establishing modular, highly automated micro-fulfilment centres within urban “last-mile” sectors can reduce average delivery radius to under 5 miles, decreasing average transport emissions and cost-to-serve (Charles &amp; </w:t>
      </w:r>
      <w:proofErr w:type="spellStart"/>
      <w:r w:rsidRPr="00444E78">
        <w:rPr>
          <w:rFonts w:ascii="Arial" w:hAnsi="Arial" w:cs="Arial"/>
        </w:rPr>
        <w:t>Uford</w:t>
      </w:r>
      <w:proofErr w:type="spellEnd"/>
      <w:r w:rsidRPr="00444E78">
        <w:rPr>
          <w:rFonts w:ascii="Arial" w:hAnsi="Arial" w:cs="Arial"/>
        </w:rPr>
        <w:t>, 2023) by an estimated 12%. Smaller footprints reduce facility capital requirements and allow for a fast-tracked roll-out.</w:t>
      </w:r>
    </w:p>
    <w:p w14:paraId="3EBA3E07" w14:textId="5888CEBF" w:rsidR="00444E78" w:rsidRPr="00154B54" w:rsidRDefault="00444E78" w:rsidP="00154B54">
      <w:pPr>
        <w:pStyle w:val="ListParagraph"/>
        <w:numPr>
          <w:ilvl w:val="0"/>
          <w:numId w:val="2"/>
        </w:numPr>
        <w:spacing w:line="480" w:lineRule="auto"/>
        <w:rPr>
          <w:rFonts w:ascii="Arial Black" w:hAnsi="Arial Black" w:cs="Arial"/>
          <w:color w:val="45B0E1" w:themeColor="accent1" w:themeTint="99"/>
        </w:rPr>
      </w:pPr>
      <w:r w:rsidRPr="00154B54">
        <w:rPr>
          <w:rFonts w:ascii="Arial Black" w:hAnsi="Arial Black" w:cs="Arial"/>
          <w:color w:val="45B0E1" w:themeColor="accent1" w:themeTint="99"/>
        </w:rPr>
        <w:t>Scale AWS Specialized Offerings</w:t>
      </w:r>
    </w:p>
    <w:p w14:paraId="09EA78C0" w14:textId="77777777" w:rsidR="00444E78" w:rsidRPr="00444E78" w:rsidRDefault="00444E78" w:rsidP="00444E78">
      <w:pPr>
        <w:spacing w:line="480" w:lineRule="auto"/>
        <w:rPr>
          <w:rFonts w:ascii="Arial" w:hAnsi="Arial" w:cs="Arial"/>
        </w:rPr>
      </w:pPr>
      <w:r w:rsidRPr="00444E78">
        <w:rPr>
          <w:rFonts w:ascii="Arial" w:hAnsi="Arial" w:cs="Arial"/>
        </w:rPr>
        <w:t>Increase investment into proprietary AI chips (</w:t>
      </w:r>
      <w:proofErr w:type="spellStart"/>
      <w:r w:rsidRPr="00444E78">
        <w:rPr>
          <w:rFonts w:ascii="Arial" w:hAnsi="Arial" w:cs="Arial"/>
        </w:rPr>
        <w:t>Trainium</w:t>
      </w:r>
      <w:proofErr w:type="spellEnd"/>
      <w:r w:rsidRPr="00444E78">
        <w:rPr>
          <w:rFonts w:ascii="Arial" w:hAnsi="Arial" w:cs="Arial"/>
        </w:rPr>
        <w:t>) and serverless GenAI pipelines to differentiate AWS from competition, while gaining share of rapidly developing enterprise AI workloads. Amazon should consider usage-based, outcome-based pricing models better aligned with customer value-creation while locking in multi-year contracts (Jin, 2023).</w:t>
      </w:r>
    </w:p>
    <w:p w14:paraId="0B683FC8" w14:textId="27F35A86" w:rsidR="00444E78" w:rsidRPr="00154B54" w:rsidRDefault="00444E78" w:rsidP="00154B54">
      <w:pPr>
        <w:pStyle w:val="ListParagraph"/>
        <w:numPr>
          <w:ilvl w:val="0"/>
          <w:numId w:val="2"/>
        </w:numPr>
        <w:spacing w:line="480" w:lineRule="auto"/>
        <w:rPr>
          <w:rFonts w:ascii="Arial Black" w:hAnsi="Arial Black" w:cs="Arial"/>
          <w:color w:val="45B0E1" w:themeColor="accent1" w:themeTint="99"/>
        </w:rPr>
      </w:pPr>
      <w:r w:rsidRPr="00154B54">
        <w:rPr>
          <w:rFonts w:ascii="Arial Black" w:hAnsi="Arial Black" w:cs="Arial"/>
          <w:color w:val="45B0E1" w:themeColor="accent1" w:themeTint="99"/>
        </w:rPr>
        <w:t>Maximi</w:t>
      </w:r>
      <w:r w:rsidR="00154B54" w:rsidRPr="00154B54">
        <w:rPr>
          <w:rFonts w:ascii="Arial Black" w:hAnsi="Arial Black" w:cs="Arial"/>
          <w:color w:val="45B0E1" w:themeColor="accent1" w:themeTint="99"/>
        </w:rPr>
        <w:t>s</w:t>
      </w:r>
      <w:r w:rsidRPr="00154B54">
        <w:rPr>
          <w:rFonts w:ascii="Arial Black" w:hAnsi="Arial Black" w:cs="Arial"/>
          <w:color w:val="45B0E1" w:themeColor="accent1" w:themeTint="99"/>
        </w:rPr>
        <w:t>e Working Capital &amp; Circularity</w:t>
      </w:r>
    </w:p>
    <w:p w14:paraId="3D3D1F96" w14:textId="5C2B7BED" w:rsidR="00444E78" w:rsidRPr="00444E78" w:rsidRDefault="00444E78" w:rsidP="00444E78">
      <w:pPr>
        <w:spacing w:line="480" w:lineRule="auto"/>
        <w:rPr>
          <w:rFonts w:ascii="Arial" w:hAnsi="Arial" w:cs="Arial"/>
        </w:rPr>
      </w:pPr>
      <w:r w:rsidRPr="00444E78">
        <w:rPr>
          <w:rFonts w:ascii="Arial" w:hAnsi="Arial" w:cs="Arial"/>
        </w:rPr>
        <w:t xml:space="preserve">Vendor financing arrangements should be implemented to extend vendor payables without harming vendor liquidity, </w:t>
      </w:r>
      <w:r w:rsidR="00154B54" w:rsidRPr="00444E78">
        <w:rPr>
          <w:rFonts w:ascii="Arial" w:hAnsi="Arial" w:cs="Arial"/>
        </w:rPr>
        <w:t>and</w:t>
      </w:r>
      <w:r w:rsidRPr="00444E78">
        <w:rPr>
          <w:rFonts w:ascii="Arial" w:hAnsi="Arial" w:cs="Arial"/>
        </w:rPr>
        <w:t xml:space="preserve"> consignment inventory arrangements to support reduced inventory holding costs. At the same time, consideration can be given to investing in a circular packaging program whereby return packaging is reclaimed through sanitising and reuse while also helping lower material procurement costs (Weetman, 2016).</w:t>
      </w:r>
    </w:p>
    <w:p w14:paraId="6CF17F94" w14:textId="79F4199D" w:rsidR="00444E78" w:rsidRPr="00154B54" w:rsidRDefault="00444E78" w:rsidP="00154B54">
      <w:pPr>
        <w:pStyle w:val="ListParagraph"/>
        <w:numPr>
          <w:ilvl w:val="0"/>
          <w:numId w:val="2"/>
        </w:numPr>
        <w:spacing w:line="480" w:lineRule="auto"/>
        <w:rPr>
          <w:rFonts w:ascii="Arial" w:hAnsi="Arial" w:cs="Arial"/>
        </w:rPr>
      </w:pPr>
      <w:r w:rsidRPr="00154B54">
        <w:rPr>
          <w:rFonts w:ascii="Arial Black" w:hAnsi="Arial Black" w:cs="Arial"/>
          <w:color w:val="45B0E1" w:themeColor="accent1" w:themeTint="99"/>
        </w:rPr>
        <w:t>Scale from Renewable Energy Portfolio</w:t>
      </w:r>
      <w:r w:rsidRPr="00154B54">
        <w:rPr>
          <w:rFonts w:ascii="Arial" w:hAnsi="Arial" w:cs="Arial"/>
        </w:rPr>
        <w:t xml:space="preserve"> </w:t>
      </w:r>
    </w:p>
    <w:p w14:paraId="07B8328D" w14:textId="77777777" w:rsidR="00444E78" w:rsidRPr="00444E78" w:rsidRDefault="00444E78" w:rsidP="00444E78">
      <w:pPr>
        <w:spacing w:line="480" w:lineRule="auto"/>
        <w:rPr>
          <w:rFonts w:ascii="Arial" w:hAnsi="Arial" w:cs="Arial"/>
        </w:rPr>
      </w:pPr>
      <w:r w:rsidRPr="00444E78">
        <w:rPr>
          <w:rFonts w:ascii="Arial" w:hAnsi="Arial" w:cs="Arial"/>
        </w:rPr>
        <w:t xml:space="preserve">Aim for 75% renewable energy portfolio mix by the end of 2025, sourced from hybrid solar-storage projects and measured on-site generation capacities at larger fulfilment </w:t>
      </w:r>
      <w:r w:rsidRPr="00444E78">
        <w:rPr>
          <w:rFonts w:ascii="Arial" w:hAnsi="Arial" w:cs="Arial"/>
        </w:rPr>
        <w:lastRenderedPageBreak/>
        <w:t xml:space="preserve">hubs. Accessing battery storage sites will allow variability in renewable supply to be smoothed out whilst achieving cost savings on peak demand (Walls et al., 2012). </w:t>
      </w:r>
    </w:p>
    <w:p w14:paraId="56B227DA" w14:textId="14715880" w:rsidR="00444E78" w:rsidRPr="00154B54" w:rsidRDefault="00444E78" w:rsidP="00154B54">
      <w:pPr>
        <w:pStyle w:val="ListParagraph"/>
        <w:numPr>
          <w:ilvl w:val="0"/>
          <w:numId w:val="2"/>
        </w:numPr>
        <w:spacing w:line="480" w:lineRule="auto"/>
        <w:rPr>
          <w:rFonts w:ascii="Arial Black" w:hAnsi="Arial Black" w:cs="Arial"/>
          <w:color w:val="45B0E1" w:themeColor="accent1" w:themeTint="99"/>
        </w:rPr>
      </w:pPr>
      <w:r w:rsidRPr="00154B54">
        <w:rPr>
          <w:rFonts w:ascii="Arial Black" w:hAnsi="Arial Black" w:cs="Arial"/>
          <w:color w:val="45B0E1" w:themeColor="accent1" w:themeTint="99"/>
        </w:rPr>
        <w:t>Improve-On ESG Integration</w:t>
      </w:r>
    </w:p>
    <w:p w14:paraId="0BAFC804" w14:textId="7E8E65A5" w:rsidR="00444E78" w:rsidRPr="00444E78" w:rsidRDefault="00444E78" w:rsidP="00444E78">
      <w:pPr>
        <w:spacing w:line="480" w:lineRule="auto"/>
        <w:rPr>
          <w:rFonts w:ascii="Arial" w:hAnsi="Arial" w:cs="Arial"/>
        </w:rPr>
      </w:pPr>
      <w:r w:rsidRPr="00444E78">
        <w:rPr>
          <w:rFonts w:ascii="Arial" w:hAnsi="Arial" w:cs="Arial"/>
        </w:rPr>
        <w:t>Expand Scope 3 reporting to complaining secondary sources where necessary, along with developing water usage and circular-economy metrics within</w:t>
      </w:r>
      <w:r w:rsidR="00154B54">
        <w:rPr>
          <w:rFonts w:ascii="Arial" w:hAnsi="Arial" w:cs="Arial"/>
        </w:rPr>
        <w:t xml:space="preserve"> </w:t>
      </w:r>
      <w:r w:rsidRPr="00444E78">
        <w:rPr>
          <w:rFonts w:ascii="Arial" w:hAnsi="Arial" w:cs="Arial"/>
        </w:rPr>
        <w:t xml:space="preserve">current sustainability dashboards. Tying in another tranche of executive compensation to delivery of these targets, will help execute management discussions for responsibly managing emissions against longer-term environmental performance (Walls et al., 2012). </w:t>
      </w:r>
    </w:p>
    <w:p w14:paraId="628EB0BC" w14:textId="77777777" w:rsidR="00154B54" w:rsidRDefault="00444E78" w:rsidP="00444E78">
      <w:pPr>
        <w:spacing w:line="480" w:lineRule="auto"/>
        <w:rPr>
          <w:rFonts w:ascii="Arial Black" w:hAnsi="Arial Black" w:cs="Arial"/>
          <w:color w:val="45B0E1" w:themeColor="accent1" w:themeTint="99"/>
        </w:rPr>
      </w:pPr>
      <w:r w:rsidRPr="00154B54">
        <w:rPr>
          <w:rFonts w:ascii="Arial Black" w:hAnsi="Arial Black" w:cs="Arial"/>
          <w:color w:val="45B0E1" w:themeColor="accent1" w:themeTint="99"/>
        </w:rPr>
        <w:t xml:space="preserve">Conclusion </w:t>
      </w:r>
    </w:p>
    <w:p w14:paraId="26488EF6" w14:textId="77777777" w:rsidR="00023FCA" w:rsidRDefault="00444E78" w:rsidP="00444E78">
      <w:pPr>
        <w:spacing w:line="480" w:lineRule="auto"/>
        <w:rPr>
          <w:rFonts w:ascii="Arial" w:hAnsi="Arial" w:cs="Arial"/>
        </w:rPr>
      </w:pPr>
      <w:r w:rsidRPr="00444E78">
        <w:rPr>
          <w:rFonts w:ascii="Arial" w:hAnsi="Arial" w:cs="Arial"/>
        </w:rPr>
        <w:t xml:space="preserve">In the last financial year, financial success was made between 2022 and 2023: Operating margin rose from 2.38% to 6.41%, Net margin increased from –0.53% to 5.29% and ROE heightened from –1.92% to 17.49%, while Free cash flow margin swung from (–2.25) per cent to a 6.40 positive free cash flow margin. Debt-to-equity ratio also reduced from 2.17× to 1.61× ratios.  Sustainability has change is success from risk mitigation to cost reduction for the direction of renewable energy, supply-chain decarbonisation and then circular packaging program. Setting ESG metrics in governance has helpful align longer term value creation with stakeholders’ expectations. Ratios analysis helps to provide standardised performance measurement - showing performance on AWS </w:t>
      </w:r>
      <w:r w:rsidR="001B2C81" w:rsidRPr="00444E78">
        <w:rPr>
          <w:rFonts w:ascii="Arial" w:hAnsi="Arial" w:cs="Arial"/>
        </w:rPr>
        <w:t>and inventory</w:t>
      </w:r>
      <w:r w:rsidRPr="00444E78">
        <w:rPr>
          <w:rFonts w:ascii="Arial" w:hAnsi="Arial" w:cs="Arial"/>
        </w:rPr>
        <w:t>-cycle challenges, while giving evidence to set actionable recommendations. Future success for Amazon is contingent on continuing to design with automation, investment capital allocation and sustainability at the forefront of this overall vision.</w:t>
      </w:r>
    </w:p>
    <w:p w14:paraId="4BB0FB38" w14:textId="7932A09D" w:rsidR="001B2C81" w:rsidRPr="00023FCA" w:rsidRDefault="001B2C81" w:rsidP="00444E78">
      <w:pPr>
        <w:spacing w:line="480" w:lineRule="auto"/>
        <w:rPr>
          <w:rFonts w:ascii="Arial" w:hAnsi="Arial" w:cs="Arial"/>
        </w:rPr>
      </w:pPr>
      <w:r w:rsidRPr="001B2C81">
        <w:rPr>
          <w:rFonts w:ascii="Arial Black" w:hAnsi="Arial Black" w:cs="Arial"/>
          <w:color w:val="45B0E1" w:themeColor="accent1" w:themeTint="99"/>
        </w:rPr>
        <w:lastRenderedPageBreak/>
        <w:t xml:space="preserve">References </w:t>
      </w:r>
    </w:p>
    <w:p w14:paraId="4E8F0B0A" w14:textId="0A06C82D" w:rsidR="001B2C81" w:rsidRPr="001B2C81" w:rsidRDefault="001B2C81" w:rsidP="001B2C81">
      <w:pPr>
        <w:spacing w:line="480" w:lineRule="auto"/>
        <w:rPr>
          <w:rFonts w:ascii="Arial" w:hAnsi="Arial" w:cs="Arial"/>
          <w:color w:val="000000" w:themeColor="text1"/>
        </w:rPr>
      </w:pPr>
      <w:r w:rsidRPr="001B2C81">
        <w:rPr>
          <w:rFonts w:ascii="Arial" w:hAnsi="Arial" w:cs="Arial"/>
          <w:color w:val="000000" w:themeColor="text1"/>
        </w:rPr>
        <w:t xml:space="preserve">Amazon.com, Inc. (2022). </w:t>
      </w:r>
      <w:r w:rsidRPr="001B2C81">
        <w:rPr>
          <w:rFonts w:ascii="Arial" w:hAnsi="Arial" w:cs="Arial"/>
          <w:i/>
          <w:iCs/>
          <w:color w:val="000000" w:themeColor="text1"/>
        </w:rPr>
        <w:t>Annual Report 2022</w:t>
      </w:r>
      <w:r w:rsidRPr="001B2C81">
        <w:rPr>
          <w:rFonts w:ascii="Arial" w:hAnsi="Arial" w:cs="Arial"/>
          <w:color w:val="000000" w:themeColor="text1"/>
        </w:rPr>
        <w:t xml:space="preserve">. Amazon.com, Inc. Retrieved from </w:t>
      </w:r>
      <w:hyperlink r:id="rId7" w:history="1">
        <w:r w:rsidRPr="007672A4">
          <w:rPr>
            <w:rStyle w:val="Hyperlink"/>
            <w:rFonts w:ascii="Arial" w:hAnsi="Arial" w:cs="Arial"/>
          </w:rPr>
          <w:t>https://s2.q4cdn.com/299287126/files/doc_financials/2023/ar/Amazon-2022-Annual-Report.pdf</w:t>
        </w:r>
      </w:hyperlink>
      <w:r>
        <w:rPr>
          <w:rFonts w:ascii="Arial" w:hAnsi="Arial" w:cs="Arial"/>
          <w:color w:val="000000" w:themeColor="text1"/>
        </w:rPr>
        <w:t xml:space="preserve">  </w:t>
      </w:r>
      <w:r w:rsidRPr="001B2C81">
        <w:rPr>
          <w:rFonts w:ascii="Arial" w:hAnsi="Arial" w:cs="Arial"/>
          <w:color w:val="000000" w:themeColor="text1"/>
        </w:rPr>
        <w:t xml:space="preserve"> </w:t>
      </w:r>
    </w:p>
    <w:p w14:paraId="60A766A2" w14:textId="4634E943" w:rsidR="001B2C81" w:rsidRPr="001B2C81" w:rsidRDefault="001B2C81" w:rsidP="001B2C81">
      <w:pPr>
        <w:spacing w:line="480" w:lineRule="auto"/>
        <w:rPr>
          <w:rFonts w:ascii="Arial" w:hAnsi="Arial" w:cs="Arial"/>
          <w:color w:val="000000" w:themeColor="text1"/>
        </w:rPr>
      </w:pPr>
      <w:r w:rsidRPr="001B2C81">
        <w:rPr>
          <w:rFonts w:ascii="Arial" w:hAnsi="Arial" w:cs="Arial"/>
          <w:color w:val="000000" w:themeColor="text1"/>
        </w:rPr>
        <w:t xml:space="preserve">Amazon.com, Inc. (2023). </w:t>
      </w:r>
      <w:r w:rsidRPr="001B2C81">
        <w:rPr>
          <w:rFonts w:ascii="Arial" w:hAnsi="Arial" w:cs="Arial"/>
          <w:i/>
          <w:iCs/>
          <w:color w:val="000000" w:themeColor="text1"/>
        </w:rPr>
        <w:t>Annual Report 2023</w:t>
      </w:r>
      <w:r w:rsidRPr="001B2C81">
        <w:rPr>
          <w:rFonts w:ascii="Arial" w:hAnsi="Arial" w:cs="Arial"/>
          <w:color w:val="000000" w:themeColor="text1"/>
        </w:rPr>
        <w:t xml:space="preserve">. Amazon.com, Inc. Retrieved from </w:t>
      </w:r>
      <w:hyperlink r:id="rId8" w:history="1">
        <w:r w:rsidRPr="007672A4">
          <w:rPr>
            <w:rStyle w:val="Hyperlink"/>
            <w:rFonts w:ascii="Arial" w:hAnsi="Arial" w:cs="Arial"/>
          </w:rPr>
          <w:t>https://s2.q4cdn.com/299287126/files/doc_financials/2024/ar/Amazon-com-Inc-2023-Annual-Report.pdf</w:t>
        </w:r>
      </w:hyperlink>
      <w:r>
        <w:rPr>
          <w:rFonts w:ascii="Arial" w:hAnsi="Arial" w:cs="Arial"/>
          <w:color w:val="000000" w:themeColor="text1"/>
        </w:rPr>
        <w:t xml:space="preserve"> </w:t>
      </w:r>
      <w:r w:rsidRPr="001B2C81">
        <w:rPr>
          <w:rFonts w:ascii="Arial" w:hAnsi="Arial" w:cs="Arial"/>
          <w:color w:val="000000" w:themeColor="text1"/>
        </w:rPr>
        <w:t xml:space="preserve"> </w:t>
      </w:r>
    </w:p>
    <w:p w14:paraId="11193331" w14:textId="77777777" w:rsidR="001B2C81" w:rsidRPr="001B2C81" w:rsidRDefault="001B2C81" w:rsidP="001B2C81">
      <w:pPr>
        <w:spacing w:line="480" w:lineRule="auto"/>
        <w:rPr>
          <w:rFonts w:ascii="Arial" w:hAnsi="Arial" w:cs="Arial"/>
          <w:color w:val="000000" w:themeColor="text1"/>
        </w:rPr>
      </w:pPr>
      <w:r w:rsidRPr="001B2C81">
        <w:rPr>
          <w:rFonts w:ascii="Arial" w:hAnsi="Arial" w:cs="Arial"/>
          <w:color w:val="000000" w:themeColor="text1"/>
        </w:rPr>
        <w:t xml:space="preserve">Charles, I. I., &amp; </w:t>
      </w:r>
      <w:proofErr w:type="spellStart"/>
      <w:r w:rsidRPr="001B2C81">
        <w:rPr>
          <w:rFonts w:ascii="Arial" w:hAnsi="Arial" w:cs="Arial"/>
          <w:color w:val="000000" w:themeColor="text1"/>
        </w:rPr>
        <w:t>Uford</w:t>
      </w:r>
      <w:proofErr w:type="spellEnd"/>
      <w:r w:rsidRPr="001B2C81">
        <w:rPr>
          <w:rFonts w:ascii="Arial" w:hAnsi="Arial" w:cs="Arial"/>
          <w:color w:val="000000" w:themeColor="text1"/>
        </w:rPr>
        <w:t>, I. C. (2023). Comparative analysis and evaluation of business and financial performance of Amazon.com: A three-year period critical review of exceptional success.</w:t>
      </w:r>
      <w:r w:rsidRPr="001B2C81">
        <w:rPr>
          <w:rFonts w:ascii="Arial" w:hAnsi="Arial" w:cs="Arial"/>
          <w:i/>
          <w:iCs/>
          <w:color w:val="000000" w:themeColor="text1"/>
        </w:rPr>
        <w:t> European Journal of Business, Economics and Accountancy, 11(</w:t>
      </w:r>
      <w:r w:rsidRPr="001B2C81">
        <w:rPr>
          <w:rFonts w:ascii="Arial" w:hAnsi="Arial" w:cs="Arial"/>
          <w:color w:val="000000" w:themeColor="text1"/>
        </w:rPr>
        <w:t>2), 69–92.</w:t>
      </w:r>
    </w:p>
    <w:p w14:paraId="0ECD8637" w14:textId="2658AB67" w:rsidR="001B2C81" w:rsidRPr="001B2C81" w:rsidRDefault="001B2C81" w:rsidP="001B2C81">
      <w:pPr>
        <w:spacing w:line="480" w:lineRule="auto"/>
        <w:rPr>
          <w:rFonts w:ascii="Arial" w:hAnsi="Arial" w:cs="Arial"/>
          <w:color w:val="000000" w:themeColor="text1"/>
        </w:rPr>
      </w:pPr>
      <w:r w:rsidRPr="001B2C81">
        <w:rPr>
          <w:rFonts w:ascii="Arial" w:hAnsi="Arial" w:cs="Arial"/>
          <w:color w:val="000000" w:themeColor="text1"/>
        </w:rPr>
        <w:t xml:space="preserve">Cruz Lopez, D. E. (2023). </w:t>
      </w:r>
      <w:r w:rsidRPr="001B2C81">
        <w:rPr>
          <w:rFonts w:ascii="Arial" w:hAnsi="Arial" w:cs="Arial"/>
          <w:i/>
          <w:iCs/>
          <w:color w:val="000000" w:themeColor="text1"/>
        </w:rPr>
        <w:t>Amazon corporate analysis</w:t>
      </w:r>
      <w:r w:rsidRPr="001B2C81">
        <w:rPr>
          <w:rFonts w:ascii="Arial" w:hAnsi="Arial" w:cs="Arial"/>
          <w:color w:val="000000" w:themeColor="text1"/>
        </w:rPr>
        <w:t xml:space="preserve">. SSRN. </w:t>
      </w:r>
      <w:hyperlink r:id="rId9" w:history="1">
        <w:r w:rsidRPr="007672A4">
          <w:rPr>
            <w:rStyle w:val="Hyperlink"/>
            <w:rFonts w:ascii="Arial" w:hAnsi="Arial" w:cs="Arial"/>
          </w:rPr>
          <w:t>https://ssrn.com/abstract=4656587</w:t>
        </w:r>
      </w:hyperlink>
      <w:r>
        <w:rPr>
          <w:rFonts w:ascii="Arial" w:hAnsi="Arial" w:cs="Arial"/>
          <w:color w:val="000000" w:themeColor="text1"/>
        </w:rPr>
        <w:t xml:space="preserve"> </w:t>
      </w:r>
      <w:r w:rsidRPr="001B2C81">
        <w:rPr>
          <w:rFonts w:ascii="Arial" w:hAnsi="Arial" w:cs="Arial"/>
          <w:color w:val="000000" w:themeColor="text1"/>
        </w:rPr>
        <w:t xml:space="preserve"> </w:t>
      </w:r>
    </w:p>
    <w:p w14:paraId="7DA2B448" w14:textId="77777777" w:rsidR="001B2C81" w:rsidRPr="001B2C81" w:rsidRDefault="001B2C81" w:rsidP="001B2C81">
      <w:pPr>
        <w:spacing w:line="480" w:lineRule="auto"/>
        <w:rPr>
          <w:rFonts w:ascii="Arial" w:hAnsi="Arial" w:cs="Arial"/>
          <w:color w:val="000000" w:themeColor="text1"/>
        </w:rPr>
      </w:pPr>
      <w:r w:rsidRPr="001B2C81">
        <w:rPr>
          <w:rFonts w:ascii="Arial" w:hAnsi="Arial" w:cs="Arial"/>
          <w:color w:val="000000" w:themeColor="text1"/>
        </w:rPr>
        <w:t>Dyson, J. R. (2010).</w:t>
      </w:r>
      <w:r w:rsidRPr="001B2C81">
        <w:rPr>
          <w:rFonts w:ascii="Arial" w:hAnsi="Arial" w:cs="Arial"/>
          <w:i/>
          <w:iCs/>
          <w:color w:val="000000" w:themeColor="text1"/>
        </w:rPr>
        <w:t> Accounting for non</w:t>
      </w:r>
      <w:r w:rsidRPr="001B2C81">
        <w:rPr>
          <w:rFonts w:ascii="Cambria Math" w:hAnsi="Cambria Math" w:cs="Cambria Math"/>
          <w:i/>
          <w:iCs/>
          <w:color w:val="000000" w:themeColor="text1"/>
        </w:rPr>
        <w:t>‐</w:t>
      </w:r>
      <w:r w:rsidRPr="001B2C81">
        <w:rPr>
          <w:rFonts w:ascii="Arial" w:hAnsi="Arial" w:cs="Arial"/>
          <w:i/>
          <w:iCs/>
          <w:color w:val="000000" w:themeColor="text1"/>
        </w:rPr>
        <w:t>accounting students</w:t>
      </w:r>
      <w:r w:rsidRPr="001B2C81">
        <w:rPr>
          <w:rFonts w:ascii="Arial" w:hAnsi="Arial" w:cs="Arial"/>
          <w:color w:val="000000" w:themeColor="text1"/>
        </w:rPr>
        <w:t xml:space="preserve"> (8th ed.). Pearson.</w:t>
      </w:r>
    </w:p>
    <w:p w14:paraId="65EB3939" w14:textId="77777777" w:rsidR="001B2C81" w:rsidRPr="001B2C81" w:rsidRDefault="001B2C81" w:rsidP="001B2C81">
      <w:pPr>
        <w:spacing w:line="480" w:lineRule="auto"/>
        <w:rPr>
          <w:rFonts w:ascii="Arial" w:hAnsi="Arial" w:cs="Arial"/>
          <w:color w:val="000000" w:themeColor="text1"/>
        </w:rPr>
      </w:pPr>
      <w:r w:rsidRPr="001B2C81">
        <w:rPr>
          <w:rFonts w:ascii="Arial" w:hAnsi="Arial" w:cs="Arial"/>
          <w:color w:val="000000" w:themeColor="text1"/>
        </w:rPr>
        <w:t>Jin, Y. (2023). Stock valuation and analysis of Amazon, Alibaba, Baidu, and Alphabet.</w:t>
      </w:r>
      <w:r w:rsidRPr="001B2C81">
        <w:rPr>
          <w:rFonts w:ascii="Arial" w:hAnsi="Arial" w:cs="Arial"/>
          <w:i/>
          <w:iCs/>
          <w:color w:val="000000" w:themeColor="text1"/>
        </w:rPr>
        <w:t> Advances in Economics and Management Research, 6(</w:t>
      </w:r>
      <w:r w:rsidRPr="001B2C81">
        <w:rPr>
          <w:rFonts w:ascii="Arial" w:hAnsi="Arial" w:cs="Arial"/>
          <w:color w:val="000000" w:themeColor="text1"/>
        </w:rPr>
        <w:t>1), 609–609.</w:t>
      </w:r>
    </w:p>
    <w:p w14:paraId="0BFF1E58" w14:textId="77777777" w:rsidR="001B2C81" w:rsidRDefault="001B2C81" w:rsidP="001B2C81">
      <w:pPr>
        <w:spacing w:line="480" w:lineRule="auto"/>
        <w:rPr>
          <w:rFonts w:ascii="Arial" w:hAnsi="Arial" w:cs="Arial"/>
          <w:color w:val="000000" w:themeColor="text1"/>
        </w:rPr>
      </w:pPr>
      <w:r w:rsidRPr="001B2C81">
        <w:rPr>
          <w:rFonts w:ascii="Arial" w:hAnsi="Arial" w:cs="Arial"/>
          <w:color w:val="000000" w:themeColor="text1"/>
        </w:rPr>
        <w:t>Kothari, S. P. (2001). Capital markets research in accounting.</w:t>
      </w:r>
      <w:r w:rsidRPr="001B2C81">
        <w:rPr>
          <w:rFonts w:ascii="Arial" w:hAnsi="Arial" w:cs="Arial"/>
          <w:i/>
          <w:iCs/>
          <w:color w:val="000000" w:themeColor="text1"/>
        </w:rPr>
        <w:t> Journal of Accounting and Economics, 31(</w:t>
      </w:r>
      <w:r w:rsidRPr="001B2C81">
        <w:rPr>
          <w:rFonts w:ascii="Arial" w:hAnsi="Arial" w:cs="Arial"/>
          <w:color w:val="000000" w:themeColor="text1"/>
        </w:rPr>
        <w:t>1–3), 105–253.</w:t>
      </w:r>
    </w:p>
    <w:p w14:paraId="27130A23" w14:textId="7C4EAD8E" w:rsidR="00023FCA" w:rsidRPr="001B2C81" w:rsidRDefault="00023FCA" w:rsidP="001B2C81">
      <w:pPr>
        <w:spacing w:line="480" w:lineRule="auto"/>
        <w:rPr>
          <w:rFonts w:ascii="Arial" w:hAnsi="Arial" w:cs="Arial"/>
          <w:color w:val="000000" w:themeColor="text1"/>
        </w:rPr>
      </w:pPr>
      <w:r w:rsidRPr="00023FCA">
        <w:rPr>
          <w:rFonts w:ascii="Arial" w:hAnsi="Arial" w:cs="Arial"/>
          <w:color w:val="000000" w:themeColor="text1"/>
        </w:rPr>
        <w:t xml:space="preserve">Li, W. (2023). Critical Analysis of Sustainable Development Goal 13 Climate Action: A Case Study of Amazon. </w:t>
      </w:r>
      <w:r w:rsidRPr="00023FCA">
        <w:rPr>
          <w:rFonts w:ascii="Arial" w:hAnsi="Arial" w:cs="Arial"/>
          <w:i/>
          <w:iCs/>
          <w:color w:val="000000" w:themeColor="text1"/>
        </w:rPr>
        <w:t>The Frontiers of Society, Science and Technology, 5(</w:t>
      </w:r>
      <w:r w:rsidRPr="00023FCA">
        <w:rPr>
          <w:rFonts w:ascii="Arial" w:hAnsi="Arial" w:cs="Arial"/>
          <w:color w:val="000000" w:themeColor="text1"/>
        </w:rPr>
        <w:t>1).</w:t>
      </w:r>
    </w:p>
    <w:p w14:paraId="553BD941" w14:textId="77777777" w:rsidR="001B2C81" w:rsidRPr="001B2C81" w:rsidRDefault="001B2C81" w:rsidP="001B2C81">
      <w:pPr>
        <w:spacing w:line="480" w:lineRule="auto"/>
        <w:rPr>
          <w:rFonts w:ascii="Arial" w:hAnsi="Arial" w:cs="Arial"/>
          <w:color w:val="000000" w:themeColor="text1"/>
        </w:rPr>
      </w:pPr>
      <w:r w:rsidRPr="001B2C81">
        <w:rPr>
          <w:rFonts w:ascii="Arial" w:hAnsi="Arial" w:cs="Arial"/>
          <w:color w:val="000000" w:themeColor="text1"/>
        </w:rPr>
        <w:t>Ohlson, J. A. (1995). Earnings, book values and dividends in equity valuation.</w:t>
      </w:r>
      <w:r w:rsidRPr="001B2C81">
        <w:rPr>
          <w:rFonts w:ascii="Arial" w:hAnsi="Arial" w:cs="Arial"/>
          <w:i/>
          <w:iCs/>
          <w:color w:val="000000" w:themeColor="text1"/>
        </w:rPr>
        <w:t> Contemporary Accounting Research, 11(</w:t>
      </w:r>
      <w:r w:rsidRPr="001B2C81">
        <w:rPr>
          <w:rFonts w:ascii="Arial" w:hAnsi="Arial" w:cs="Arial"/>
          <w:color w:val="000000" w:themeColor="text1"/>
        </w:rPr>
        <w:t>2), 661–688.</w:t>
      </w:r>
    </w:p>
    <w:p w14:paraId="740A70CC" w14:textId="77777777" w:rsidR="001B2C81" w:rsidRPr="001B2C81" w:rsidRDefault="001B2C81" w:rsidP="001B2C81">
      <w:pPr>
        <w:spacing w:line="480" w:lineRule="auto"/>
        <w:rPr>
          <w:rFonts w:ascii="Arial" w:hAnsi="Arial" w:cs="Arial"/>
          <w:color w:val="000000" w:themeColor="text1"/>
        </w:rPr>
      </w:pPr>
      <w:r w:rsidRPr="001B2C81">
        <w:rPr>
          <w:rFonts w:ascii="Arial" w:hAnsi="Arial" w:cs="Arial"/>
          <w:color w:val="000000" w:themeColor="text1"/>
        </w:rPr>
        <w:lastRenderedPageBreak/>
        <w:t xml:space="preserve">Umar, A. (2022). </w:t>
      </w:r>
      <w:r w:rsidRPr="001B2C81">
        <w:rPr>
          <w:rFonts w:ascii="Arial" w:hAnsi="Arial" w:cs="Arial"/>
          <w:i/>
          <w:iCs/>
          <w:color w:val="000000" w:themeColor="text1"/>
        </w:rPr>
        <w:t>Evaluation of management effectiveness in the organization</w:t>
      </w:r>
      <w:r w:rsidRPr="001B2C81">
        <w:rPr>
          <w:rFonts w:ascii="Arial" w:hAnsi="Arial" w:cs="Arial"/>
          <w:color w:val="000000" w:themeColor="text1"/>
        </w:rPr>
        <w:t xml:space="preserve"> (On the basis of Amazon Inc.) [Doctoral dissertation, Ukrainian American Concordia University].</w:t>
      </w:r>
    </w:p>
    <w:p w14:paraId="4F962850" w14:textId="77777777" w:rsidR="001B2C81" w:rsidRPr="001B2C81" w:rsidRDefault="001B2C81" w:rsidP="001B2C81">
      <w:pPr>
        <w:spacing w:line="480" w:lineRule="auto"/>
        <w:rPr>
          <w:rFonts w:ascii="Arial" w:hAnsi="Arial" w:cs="Arial"/>
          <w:color w:val="000000" w:themeColor="text1"/>
        </w:rPr>
      </w:pPr>
      <w:r w:rsidRPr="001B2C81">
        <w:rPr>
          <w:rFonts w:ascii="Arial" w:hAnsi="Arial" w:cs="Arial"/>
          <w:color w:val="000000" w:themeColor="text1"/>
        </w:rPr>
        <w:t>Walls, J. L., Berrone, P., &amp; Phan, P. H. (2012). Corporate governance and environmental performance: Is there really a link?</w:t>
      </w:r>
      <w:r w:rsidRPr="001B2C81">
        <w:rPr>
          <w:rFonts w:ascii="Arial" w:hAnsi="Arial" w:cs="Arial"/>
          <w:i/>
          <w:iCs/>
          <w:color w:val="000000" w:themeColor="text1"/>
        </w:rPr>
        <w:t> Strategic Management Journal, 33(</w:t>
      </w:r>
      <w:r w:rsidRPr="001B2C81">
        <w:rPr>
          <w:rFonts w:ascii="Arial" w:hAnsi="Arial" w:cs="Arial"/>
          <w:color w:val="000000" w:themeColor="text1"/>
        </w:rPr>
        <w:t>8), 885–913.</w:t>
      </w:r>
    </w:p>
    <w:p w14:paraId="2F2B4F7A" w14:textId="4E95559C" w:rsidR="001B2C81" w:rsidRDefault="001B2C81" w:rsidP="001B2C81">
      <w:pPr>
        <w:spacing w:line="480" w:lineRule="auto"/>
        <w:rPr>
          <w:rFonts w:ascii="Arial" w:hAnsi="Arial" w:cs="Arial"/>
          <w:color w:val="000000" w:themeColor="text1"/>
        </w:rPr>
      </w:pPr>
      <w:r w:rsidRPr="001B2C81">
        <w:rPr>
          <w:rFonts w:ascii="Arial" w:hAnsi="Arial" w:cs="Arial"/>
          <w:color w:val="000000" w:themeColor="text1"/>
        </w:rPr>
        <w:t>Weetman, P. (2016).</w:t>
      </w:r>
      <w:r w:rsidRPr="00023FCA">
        <w:rPr>
          <w:rFonts w:ascii="Arial" w:hAnsi="Arial" w:cs="Arial"/>
          <w:i/>
          <w:iCs/>
          <w:color w:val="000000" w:themeColor="text1"/>
        </w:rPr>
        <w:t> Financial accounting: An introduction</w:t>
      </w:r>
      <w:r w:rsidRPr="001B2C81">
        <w:rPr>
          <w:rFonts w:ascii="Arial" w:hAnsi="Arial" w:cs="Arial"/>
          <w:color w:val="000000" w:themeColor="text1"/>
        </w:rPr>
        <w:t xml:space="preserve"> (7th ed.). Pearson.</w:t>
      </w:r>
    </w:p>
    <w:p w14:paraId="11E2D4EA" w14:textId="5173A270" w:rsidR="00023FCA" w:rsidRPr="001B2C81" w:rsidRDefault="00023FCA" w:rsidP="001B2C81">
      <w:pPr>
        <w:spacing w:line="480" w:lineRule="auto"/>
        <w:rPr>
          <w:rFonts w:ascii="Arial" w:hAnsi="Arial" w:cs="Arial"/>
          <w:color w:val="000000" w:themeColor="text1"/>
        </w:rPr>
      </w:pPr>
      <w:r w:rsidRPr="00023FCA">
        <w:rPr>
          <w:rFonts w:ascii="Arial" w:hAnsi="Arial" w:cs="Arial"/>
          <w:color w:val="000000" w:themeColor="text1"/>
        </w:rPr>
        <w:t xml:space="preserve">Yu, W., Hassan, A., &amp; </w:t>
      </w:r>
      <w:proofErr w:type="spellStart"/>
      <w:r w:rsidRPr="00023FCA">
        <w:rPr>
          <w:rFonts w:ascii="Arial" w:hAnsi="Arial" w:cs="Arial"/>
          <w:color w:val="000000" w:themeColor="text1"/>
        </w:rPr>
        <w:t>Adhikariparajuli</w:t>
      </w:r>
      <w:proofErr w:type="spellEnd"/>
      <w:r w:rsidRPr="00023FCA">
        <w:rPr>
          <w:rFonts w:ascii="Arial" w:hAnsi="Arial" w:cs="Arial"/>
          <w:color w:val="000000" w:themeColor="text1"/>
        </w:rPr>
        <w:t>, M. (2022). How did Amazon achieve CSR and some sustainable development goals (SDGs)</w:t>
      </w:r>
      <w:r>
        <w:rPr>
          <w:rFonts w:ascii="Arial" w:hAnsi="Arial" w:cs="Arial"/>
          <w:color w:val="000000" w:themeColor="text1"/>
        </w:rPr>
        <w:t>-</w:t>
      </w:r>
      <w:r w:rsidRPr="00023FCA">
        <w:rPr>
          <w:rFonts w:ascii="Arial" w:hAnsi="Arial" w:cs="Arial"/>
          <w:color w:val="000000" w:themeColor="text1"/>
        </w:rPr>
        <w:t>climate change, circular economy, water resources and employee rights during COVID-</w:t>
      </w:r>
      <w:r w:rsidRPr="00023FCA">
        <w:rPr>
          <w:rFonts w:ascii="Arial" w:hAnsi="Arial" w:cs="Arial"/>
          <w:color w:val="000000" w:themeColor="text1"/>
        </w:rPr>
        <w:t>19?</w:t>
      </w:r>
      <w:r w:rsidRPr="00023FCA">
        <w:rPr>
          <w:rFonts w:ascii="Arial" w:hAnsi="Arial" w:cs="Arial"/>
          <w:color w:val="000000" w:themeColor="text1"/>
        </w:rPr>
        <w:t xml:space="preserve"> </w:t>
      </w:r>
      <w:r w:rsidRPr="00023FCA">
        <w:rPr>
          <w:rFonts w:ascii="Arial" w:hAnsi="Arial" w:cs="Arial"/>
          <w:i/>
          <w:iCs/>
          <w:color w:val="000000" w:themeColor="text1"/>
        </w:rPr>
        <w:t>Journal of Risk and Financial Management, 15(</w:t>
      </w:r>
      <w:r w:rsidRPr="00023FCA">
        <w:rPr>
          <w:rFonts w:ascii="Arial" w:hAnsi="Arial" w:cs="Arial"/>
          <w:color w:val="000000" w:themeColor="text1"/>
        </w:rPr>
        <w:t>8), 364.</w:t>
      </w:r>
    </w:p>
    <w:sectPr w:rsidR="00023FCA" w:rsidRPr="001B2C81" w:rsidSect="00023FCA">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42BE4" w14:textId="77777777" w:rsidR="00F8741E" w:rsidRDefault="00F8741E" w:rsidP="00444E78">
      <w:pPr>
        <w:spacing w:after="0" w:line="240" w:lineRule="auto"/>
      </w:pPr>
      <w:r>
        <w:separator/>
      </w:r>
    </w:p>
  </w:endnote>
  <w:endnote w:type="continuationSeparator" w:id="0">
    <w:p w14:paraId="32E99A4F" w14:textId="77777777" w:rsidR="00F8741E" w:rsidRDefault="00F8741E" w:rsidP="00444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Black">
    <w:panose1 w:val="020B0A04020102020204"/>
    <w:charset w:val="00"/>
    <w:family w:val="swiss"/>
    <w:pitch w:val="variable"/>
    <w:sig w:usb0="A00002AF" w:usb1="400078F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4268759"/>
      <w:docPartObj>
        <w:docPartGallery w:val="Page Numbers (Bottom of Page)"/>
        <w:docPartUnique/>
      </w:docPartObj>
    </w:sdtPr>
    <w:sdtEndPr>
      <w:rPr>
        <w:color w:val="7F7F7F" w:themeColor="background1" w:themeShade="7F"/>
        <w:spacing w:val="60"/>
      </w:rPr>
    </w:sdtEndPr>
    <w:sdtContent>
      <w:p w14:paraId="432790B5" w14:textId="44DCF676" w:rsidR="00444E78" w:rsidRDefault="00444E7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5753095" w14:textId="77777777" w:rsidR="00444E78" w:rsidRDefault="00444E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F43F9" w14:textId="77777777" w:rsidR="00F8741E" w:rsidRDefault="00F8741E" w:rsidP="00444E78">
      <w:pPr>
        <w:spacing w:after="0" w:line="240" w:lineRule="auto"/>
      </w:pPr>
      <w:r>
        <w:separator/>
      </w:r>
    </w:p>
  </w:footnote>
  <w:footnote w:type="continuationSeparator" w:id="0">
    <w:p w14:paraId="60266334" w14:textId="77777777" w:rsidR="00F8741E" w:rsidRDefault="00F8741E" w:rsidP="00444E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83194"/>
    <w:multiLevelType w:val="hybridMultilevel"/>
    <w:tmpl w:val="CF465040"/>
    <w:lvl w:ilvl="0" w:tplc="173010A6">
      <w:start w:val="1"/>
      <w:numFmt w:val="decimal"/>
      <w:lvlText w:val="%1."/>
      <w:lvlJc w:val="left"/>
      <w:pPr>
        <w:ind w:left="720" w:hanging="360"/>
      </w:pPr>
      <w:rPr>
        <w:rFonts w:ascii="Arial Black" w:hAnsi="Arial Black" w:hint="default"/>
        <w:color w:val="45B0E1" w:themeColor="accent1" w:themeTint="9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1647DF"/>
    <w:multiLevelType w:val="hybridMultilevel"/>
    <w:tmpl w:val="15301E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CD4A29"/>
    <w:multiLevelType w:val="hybridMultilevel"/>
    <w:tmpl w:val="2E221D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6474973">
    <w:abstractNumId w:val="1"/>
  </w:num>
  <w:num w:numId="2" w16cid:durableId="1048457393">
    <w:abstractNumId w:val="0"/>
  </w:num>
  <w:num w:numId="3" w16cid:durableId="3602102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E78"/>
    <w:rsid w:val="00023FCA"/>
    <w:rsid w:val="00154B54"/>
    <w:rsid w:val="001B2C81"/>
    <w:rsid w:val="002F7FE9"/>
    <w:rsid w:val="00444E78"/>
    <w:rsid w:val="008F6BEE"/>
    <w:rsid w:val="00F87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DE69B"/>
  <w15:chartTrackingRefBased/>
  <w15:docId w15:val="{A8908B74-13AA-4CE9-A71E-17163078B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4E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4E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4E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4E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4E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4E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4E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4E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4E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4E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4E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4E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4E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4E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4E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4E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4E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4E78"/>
    <w:rPr>
      <w:rFonts w:eastAsiaTheme="majorEastAsia" w:cstheme="majorBidi"/>
      <w:color w:val="272727" w:themeColor="text1" w:themeTint="D8"/>
    </w:rPr>
  </w:style>
  <w:style w:type="paragraph" w:styleId="Title">
    <w:name w:val="Title"/>
    <w:basedOn w:val="Normal"/>
    <w:next w:val="Normal"/>
    <w:link w:val="TitleChar"/>
    <w:uiPriority w:val="10"/>
    <w:qFormat/>
    <w:rsid w:val="00444E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4E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4E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4E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4E78"/>
    <w:pPr>
      <w:spacing w:before="160"/>
      <w:jc w:val="center"/>
    </w:pPr>
    <w:rPr>
      <w:i/>
      <w:iCs/>
      <w:color w:val="404040" w:themeColor="text1" w:themeTint="BF"/>
    </w:rPr>
  </w:style>
  <w:style w:type="character" w:customStyle="1" w:styleId="QuoteChar">
    <w:name w:val="Quote Char"/>
    <w:basedOn w:val="DefaultParagraphFont"/>
    <w:link w:val="Quote"/>
    <w:uiPriority w:val="29"/>
    <w:rsid w:val="00444E78"/>
    <w:rPr>
      <w:i/>
      <w:iCs/>
      <w:color w:val="404040" w:themeColor="text1" w:themeTint="BF"/>
    </w:rPr>
  </w:style>
  <w:style w:type="paragraph" w:styleId="ListParagraph">
    <w:name w:val="List Paragraph"/>
    <w:basedOn w:val="Normal"/>
    <w:uiPriority w:val="34"/>
    <w:qFormat/>
    <w:rsid w:val="00444E78"/>
    <w:pPr>
      <w:ind w:left="720"/>
      <w:contextualSpacing/>
    </w:pPr>
  </w:style>
  <w:style w:type="character" w:styleId="IntenseEmphasis">
    <w:name w:val="Intense Emphasis"/>
    <w:basedOn w:val="DefaultParagraphFont"/>
    <w:uiPriority w:val="21"/>
    <w:qFormat/>
    <w:rsid w:val="00444E78"/>
    <w:rPr>
      <w:i/>
      <w:iCs/>
      <w:color w:val="0F4761" w:themeColor="accent1" w:themeShade="BF"/>
    </w:rPr>
  </w:style>
  <w:style w:type="paragraph" w:styleId="IntenseQuote">
    <w:name w:val="Intense Quote"/>
    <w:basedOn w:val="Normal"/>
    <w:next w:val="Normal"/>
    <w:link w:val="IntenseQuoteChar"/>
    <w:uiPriority w:val="30"/>
    <w:qFormat/>
    <w:rsid w:val="00444E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4E78"/>
    <w:rPr>
      <w:i/>
      <w:iCs/>
      <w:color w:val="0F4761" w:themeColor="accent1" w:themeShade="BF"/>
    </w:rPr>
  </w:style>
  <w:style w:type="character" w:styleId="IntenseReference">
    <w:name w:val="Intense Reference"/>
    <w:basedOn w:val="DefaultParagraphFont"/>
    <w:uiPriority w:val="32"/>
    <w:qFormat/>
    <w:rsid w:val="00444E78"/>
    <w:rPr>
      <w:b/>
      <w:bCs/>
      <w:smallCaps/>
      <w:color w:val="0F4761" w:themeColor="accent1" w:themeShade="BF"/>
      <w:spacing w:val="5"/>
    </w:rPr>
  </w:style>
  <w:style w:type="paragraph" w:styleId="Header">
    <w:name w:val="header"/>
    <w:basedOn w:val="Normal"/>
    <w:link w:val="HeaderChar"/>
    <w:uiPriority w:val="99"/>
    <w:unhideWhenUsed/>
    <w:rsid w:val="00444E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E78"/>
  </w:style>
  <w:style w:type="paragraph" w:styleId="Footer">
    <w:name w:val="footer"/>
    <w:basedOn w:val="Normal"/>
    <w:link w:val="FooterChar"/>
    <w:uiPriority w:val="99"/>
    <w:unhideWhenUsed/>
    <w:rsid w:val="00444E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E78"/>
  </w:style>
  <w:style w:type="character" w:styleId="Hyperlink">
    <w:name w:val="Hyperlink"/>
    <w:basedOn w:val="DefaultParagraphFont"/>
    <w:uiPriority w:val="99"/>
    <w:unhideWhenUsed/>
    <w:rsid w:val="001B2C81"/>
    <w:rPr>
      <w:color w:val="467886" w:themeColor="hyperlink"/>
      <w:u w:val="single"/>
    </w:rPr>
  </w:style>
  <w:style w:type="character" w:styleId="UnresolvedMention">
    <w:name w:val="Unresolved Mention"/>
    <w:basedOn w:val="DefaultParagraphFont"/>
    <w:uiPriority w:val="99"/>
    <w:semiHidden/>
    <w:unhideWhenUsed/>
    <w:rsid w:val="001B2C81"/>
    <w:rPr>
      <w:color w:val="605E5C"/>
      <w:shd w:val="clear" w:color="auto" w:fill="E1DFDD"/>
    </w:rPr>
  </w:style>
  <w:style w:type="paragraph" w:styleId="NoSpacing">
    <w:name w:val="No Spacing"/>
    <w:link w:val="NoSpacingChar"/>
    <w:uiPriority w:val="1"/>
    <w:qFormat/>
    <w:rsid w:val="00023FC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23FCA"/>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2.q4cdn.com/299287126/files/doc_financials/2024/ar/Amazon-com-Inc-2023-Annual-Report.pdf" TargetMode="External"/><Relationship Id="rId3" Type="http://schemas.openxmlformats.org/officeDocument/2006/relationships/settings" Target="settings.xml"/><Relationship Id="rId7" Type="http://schemas.openxmlformats.org/officeDocument/2006/relationships/hyperlink" Target="https://s2.q4cdn.com/299287126/files/doc_financials/2023/ar/Amazon-2022-Annual-Report.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srn.com/abstract=46565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TotalTime>
  <Pages>12</Pages>
  <Words>2116</Words>
  <Characters>12064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Amazon Financial Analysis</dc:title>
  <dc:subject/>
  <dc:creator>Mirabela Voican (1907947)</dc:creator>
  <cp:keywords/>
  <dc:description/>
  <cp:lastModifiedBy>Mirabela Voican (1907947)</cp:lastModifiedBy>
  <cp:revision>1</cp:revision>
  <dcterms:created xsi:type="dcterms:W3CDTF">2025-07-10T17:00:00Z</dcterms:created>
  <dcterms:modified xsi:type="dcterms:W3CDTF">2025-07-10T17:51:00Z</dcterms:modified>
</cp:coreProperties>
</file>