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733BFD" w14:textId="77777777" w:rsidR="00CF010A" w:rsidRPr="00877A49" w:rsidRDefault="00CF010A" w:rsidP="006F1004">
      <w:pPr>
        <w:pStyle w:val="TOCHeading"/>
        <w:spacing w:before="0" w:line="360" w:lineRule="auto"/>
        <w:rPr>
          <w:rFonts w:asciiTheme="minorBidi" w:eastAsiaTheme="minorHAnsi" w:hAnsiTheme="minorBidi" w:cstheme="minorBidi"/>
          <w:b/>
          <w:noProof/>
          <w:color w:val="auto"/>
          <w:sz w:val="22"/>
          <w:szCs w:val="22"/>
          <w:lang w:val="en-GB"/>
        </w:rPr>
      </w:pPr>
    </w:p>
    <w:p w14:paraId="42D141F6" w14:textId="77777777" w:rsidR="00CF010A" w:rsidRPr="00877A49" w:rsidRDefault="00CF010A" w:rsidP="006F1004">
      <w:pPr>
        <w:pStyle w:val="TOCHeading"/>
        <w:spacing w:before="0" w:line="360" w:lineRule="auto"/>
        <w:rPr>
          <w:rFonts w:asciiTheme="minorBidi" w:eastAsiaTheme="minorHAnsi" w:hAnsiTheme="minorBidi" w:cstheme="minorBidi"/>
          <w:b/>
          <w:noProof/>
          <w:color w:val="auto"/>
          <w:sz w:val="22"/>
          <w:szCs w:val="22"/>
          <w:lang w:val="en-GB"/>
        </w:rPr>
      </w:pPr>
    </w:p>
    <w:p w14:paraId="70DC472B" w14:textId="77777777" w:rsidR="00CF010A" w:rsidRPr="00877A49" w:rsidRDefault="00CF010A" w:rsidP="006F1004">
      <w:pPr>
        <w:pStyle w:val="TOCHeading"/>
        <w:spacing w:before="0" w:line="360" w:lineRule="auto"/>
        <w:rPr>
          <w:rFonts w:asciiTheme="minorBidi" w:eastAsiaTheme="minorHAnsi" w:hAnsiTheme="minorBidi" w:cstheme="minorBidi"/>
          <w:b/>
          <w:noProof/>
          <w:color w:val="auto"/>
          <w:sz w:val="22"/>
          <w:szCs w:val="22"/>
          <w:lang w:val="en-GB"/>
        </w:rPr>
      </w:pPr>
    </w:p>
    <w:p w14:paraId="4DA31D6E" w14:textId="77777777" w:rsidR="00CF010A" w:rsidRPr="00877A49" w:rsidRDefault="00314630" w:rsidP="006F1004">
      <w:pPr>
        <w:spacing w:line="360" w:lineRule="auto"/>
        <w:rPr>
          <w:rFonts w:asciiTheme="minorBidi" w:hAnsiTheme="minorBidi"/>
          <w:b/>
        </w:rPr>
      </w:pPr>
      <w:r w:rsidRPr="00877A49">
        <w:rPr>
          <w:rFonts w:asciiTheme="minorBidi" w:hAnsiTheme="minorBidi"/>
          <w:b/>
        </w:rPr>
        <w:t>STUDENT NAME:</w:t>
      </w:r>
      <w:r w:rsidRPr="00877A49">
        <w:rPr>
          <w:rFonts w:asciiTheme="minorBidi" w:eastAsia="Tahoma" w:hAnsiTheme="minorBidi"/>
          <w:b/>
          <w:color w:val="404040"/>
          <w:kern w:val="24"/>
        </w:rPr>
        <w:t xml:space="preserve"> DAISY PROSSY NANGOONZI</w:t>
      </w:r>
    </w:p>
    <w:p w14:paraId="05ACD284" w14:textId="77777777" w:rsidR="00CF010A" w:rsidRPr="00877A49" w:rsidRDefault="00314630" w:rsidP="006F1004">
      <w:pPr>
        <w:spacing w:line="360" w:lineRule="auto"/>
        <w:rPr>
          <w:rFonts w:asciiTheme="minorBidi" w:hAnsiTheme="minorBidi"/>
          <w:b/>
        </w:rPr>
      </w:pPr>
      <w:r w:rsidRPr="00877A49">
        <w:rPr>
          <w:rFonts w:asciiTheme="minorBidi" w:hAnsiTheme="minorBidi"/>
          <w:b/>
        </w:rPr>
        <w:t xml:space="preserve"> STUDENT ID NUMBER: </w:t>
      </w:r>
      <w:r w:rsidRPr="00877A49">
        <w:rPr>
          <w:rFonts w:asciiTheme="minorBidi" w:eastAsia="Tahoma" w:hAnsiTheme="minorBidi"/>
          <w:b/>
          <w:color w:val="404040"/>
          <w:kern w:val="24"/>
        </w:rPr>
        <w:t>2433877</w:t>
      </w:r>
    </w:p>
    <w:p w14:paraId="5214C55A" w14:textId="77777777" w:rsidR="00CF010A" w:rsidRPr="00877A49" w:rsidRDefault="00314630" w:rsidP="006F1004">
      <w:pPr>
        <w:spacing w:line="360" w:lineRule="auto"/>
        <w:rPr>
          <w:rFonts w:asciiTheme="minorBidi" w:hAnsiTheme="minorBidi"/>
          <w:b/>
        </w:rPr>
      </w:pPr>
      <w:r w:rsidRPr="00877A49">
        <w:rPr>
          <w:rFonts w:asciiTheme="minorBidi" w:hAnsiTheme="minorBidi"/>
          <w:b/>
        </w:rPr>
        <w:t xml:space="preserve">PROGRAMME: BSC HEALTH AND SOCIAL CARE </w:t>
      </w:r>
    </w:p>
    <w:p w14:paraId="01E3FEC4" w14:textId="77777777" w:rsidR="00CF010A" w:rsidRPr="00877A49" w:rsidRDefault="00314630" w:rsidP="006F1004">
      <w:pPr>
        <w:spacing w:line="360" w:lineRule="auto"/>
        <w:rPr>
          <w:rFonts w:asciiTheme="minorBidi" w:hAnsiTheme="minorBidi"/>
          <w:b/>
        </w:rPr>
      </w:pPr>
      <w:r w:rsidRPr="00877A49">
        <w:rPr>
          <w:rFonts w:asciiTheme="minorBidi" w:hAnsiTheme="minorBidi"/>
          <w:b/>
        </w:rPr>
        <w:t>MODULE: PRINCIPLES OF HEALTH AND SOCIAL CARE PRACTICE</w:t>
      </w:r>
    </w:p>
    <w:p w14:paraId="22B15C5A" w14:textId="77777777" w:rsidR="00CF010A" w:rsidRDefault="00314630" w:rsidP="006F1004">
      <w:pPr>
        <w:spacing w:line="360" w:lineRule="auto"/>
        <w:rPr>
          <w:rFonts w:asciiTheme="minorBidi" w:hAnsiTheme="minorBidi"/>
          <w:b/>
        </w:rPr>
      </w:pPr>
      <w:r w:rsidRPr="00877A49">
        <w:rPr>
          <w:rFonts w:asciiTheme="minorBidi" w:hAnsiTheme="minorBidi"/>
          <w:b/>
        </w:rPr>
        <w:t>MODULE CODE: BMHP5016</w:t>
      </w:r>
    </w:p>
    <w:p w14:paraId="37965EC9" w14:textId="09B0DC3F" w:rsidR="0099293A" w:rsidRPr="00877A49" w:rsidRDefault="0099293A" w:rsidP="006F1004">
      <w:pPr>
        <w:spacing w:line="360" w:lineRule="auto"/>
        <w:rPr>
          <w:rFonts w:asciiTheme="minorBidi" w:hAnsiTheme="minorBidi"/>
          <w:b/>
        </w:rPr>
      </w:pPr>
      <w:r w:rsidRPr="00877A49">
        <w:rPr>
          <w:rFonts w:asciiTheme="minorBidi" w:hAnsiTheme="minorBidi"/>
          <w:b/>
        </w:rPr>
        <w:t xml:space="preserve">MODULE </w:t>
      </w:r>
      <w:r>
        <w:rPr>
          <w:rFonts w:asciiTheme="minorBidi" w:hAnsiTheme="minorBidi"/>
          <w:b/>
        </w:rPr>
        <w:t>LECTURER</w:t>
      </w:r>
      <w:r w:rsidRPr="00877A49">
        <w:rPr>
          <w:rFonts w:asciiTheme="minorBidi" w:hAnsiTheme="minorBidi"/>
          <w:b/>
        </w:rPr>
        <w:t xml:space="preserve">: </w:t>
      </w:r>
      <w:r>
        <w:rPr>
          <w:rFonts w:asciiTheme="minorBidi" w:hAnsiTheme="minorBidi"/>
          <w:b/>
        </w:rPr>
        <w:t>LOU WELLS</w:t>
      </w:r>
    </w:p>
    <w:p w14:paraId="0930B68D" w14:textId="77777777" w:rsidR="00CF010A" w:rsidRPr="00877A49" w:rsidRDefault="00314630" w:rsidP="006F1004">
      <w:pPr>
        <w:spacing w:before="240" w:line="360" w:lineRule="auto"/>
        <w:rPr>
          <w:rFonts w:asciiTheme="minorBidi" w:hAnsiTheme="minorBidi"/>
          <w:b/>
          <w:lang w:val="en-US"/>
        </w:rPr>
      </w:pPr>
      <w:r w:rsidRPr="00877A49">
        <w:rPr>
          <w:rFonts w:asciiTheme="minorBidi" w:hAnsiTheme="minorBidi"/>
          <w:b/>
        </w:rPr>
        <w:t>ASSIGNMENT TITLE: COMPONENT 1: WRITTEN ASSIGNMENT (ESSAY)</w:t>
      </w:r>
    </w:p>
    <w:p w14:paraId="2CD7FF23" w14:textId="77777777" w:rsidR="00CF010A" w:rsidRPr="00877A49" w:rsidRDefault="00CF010A" w:rsidP="006F1004">
      <w:pPr>
        <w:pStyle w:val="TOCHeading"/>
        <w:spacing w:before="0" w:line="360" w:lineRule="auto"/>
        <w:rPr>
          <w:rFonts w:asciiTheme="minorBidi" w:eastAsiaTheme="minorHAnsi" w:hAnsiTheme="minorBidi" w:cstheme="minorBidi"/>
          <w:b/>
          <w:noProof/>
          <w:color w:val="auto"/>
          <w:sz w:val="22"/>
          <w:szCs w:val="22"/>
          <w:lang w:val="en-GB"/>
        </w:rPr>
      </w:pPr>
    </w:p>
    <w:p w14:paraId="7563B93A" w14:textId="77777777" w:rsidR="00CF010A" w:rsidRPr="00877A49" w:rsidRDefault="00CF010A" w:rsidP="006F1004">
      <w:pPr>
        <w:pStyle w:val="TOCHeading"/>
        <w:spacing w:before="0" w:line="360" w:lineRule="auto"/>
        <w:rPr>
          <w:rFonts w:asciiTheme="minorBidi" w:eastAsiaTheme="minorHAnsi" w:hAnsiTheme="minorBidi" w:cstheme="minorBidi"/>
          <w:b/>
          <w:noProof/>
          <w:color w:val="auto"/>
          <w:sz w:val="22"/>
          <w:szCs w:val="22"/>
          <w:lang w:val="en-GB"/>
        </w:rPr>
      </w:pPr>
    </w:p>
    <w:p w14:paraId="0DC5EC45" w14:textId="77777777" w:rsidR="00CF010A" w:rsidRPr="00877A49" w:rsidRDefault="00CF010A" w:rsidP="006F1004">
      <w:pPr>
        <w:pStyle w:val="TOCHeading"/>
        <w:spacing w:before="0" w:line="360" w:lineRule="auto"/>
        <w:rPr>
          <w:rFonts w:asciiTheme="minorBidi" w:eastAsiaTheme="minorHAnsi" w:hAnsiTheme="minorBidi" w:cstheme="minorBidi"/>
          <w:b/>
          <w:noProof/>
          <w:color w:val="auto"/>
          <w:sz w:val="22"/>
          <w:szCs w:val="22"/>
          <w:lang w:val="en-GB"/>
        </w:rPr>
      </w:pPr>
    </w:p>
    <w:p w14:paraId="7D05D2D4" w14:textId="77777777" w:rsidR="00CF010A" w:rsidRPr="00877A49" w:rsidRDefault="00CF010A" w:rsidP="006F1004">
      <w:pPr>
        <w:pStyle w:val="TOCHeading"/>
        <w:spacing w:before="0" w:line="360" w:lineRule="auto"/>
        <w:rPr>
          <w:rFonts w:asciiTheme="minorBidi" w:eastAsiaTheme="minorHAnsi" w:hAnsiTheme="minorBidi" w:cstheme="minorBidi"/>
          <w:b/>
          <w:noProof/>
          <w:color w:val="auto"/>
          <w:sz w:val="22"/>
          <w:szCs w:val="22"/>
          <w:lang w:val="en-GB"/>
        </w:rPr>
      </w:pPr>
    </w:p>
    <w:p w14:paraId="6375FEF5" w14:textId="77777777" w:rsidR="00CF010A" w:rsidRPr="00877A49" w:rsidRDefault="00CF010A" w:rsidP="006F1004">
      <w:pPr>
        <w:pStyle w:val="TOCHeading"/>
        <w:spacing w:before="0" w:line="360" w:lineRule="auto"/>
        <w:rPr>
          <w:rFonts w:asciiTheme="minorBidi" w:eastAsiaTheme="minorHAnsi" w:hAnsiTheme="minorBidi" w:cstheme="minorBidi"/>
          <w:b/>
          <w:noProof/>
          <w:color w:val="auto"/>
          <w:sz w:val="22"/>
          <w:szCs w:val="22"/>
          <w:lang w:val="en-GB"/>
        </w:rPr>
      </w:pPr>
    </w:p>
    <w:p w14:paraId="40C2E53B" w14:textId="77777777" w:rsidR="00CF010A" w:rsidRPr="00877A49" w:rsidRDefault="00CF010A" w:rsidP="006F1004">
      <w:pPr>
        <w:pStyle w:val="TOCHeading"/>
        <w:spacing w:before="0" w:line="360" w:lineRule="auto"/>
        <w:rPr>
          <w:rFonts w:asciiTheme="minorBidi" w:eastAsiaTheme="minorHAnsi" w:hAnsiTheme="minorBidi" w:cstheme="minorBidi"/>
          <w:b/>
          <w:noProof/>
          <w:color w:val="auto"/>
          <w:sz w:val="22"/>
          <w:szCs w:val="22"/>
          <w:lang w:val="en-GB"/>
        </w:rPr>
      </w:pPr>
    </w:p>
    <w:p w14:paraId="0FE0D550" w14:textId="77777777" w:rsidR="00CF010A" w:rsidRPr="00877A49" w:rsidRDefault="00CF010A" w:rsidP="006F1004">
      <w:pPr>
        <w:pStyle w:val="TOCHeading"/>
        <w:spacing w:before="0" w:line="360" w:lineRule="auto"/>
        <w:rPr>
          <w:rFonts w:asciiTheme="minorBidi" w:eastAsiaTheme="minorHAnsi" w:hAnsiTheme="minorBidi" w:cstheme="minorBidi"/>
          <w:b/>
          <w:noProof/>
          <w:color w:val="auto"/>
          <w:sz w:val="22"/>
          <w:szCs w:val="22"/>
          <w:lang w:val="en-GB"/>
        </w:rPr>
      </w:pPr>
    </w:p>
    <w:p w14:paraId="3F641F7A" w14:textId="77777777" w:rsidR="00CF010A" w:rsidRPr="00877A49" w:rsidRDefault="00CF010A" w:rsidP="006F1004">
      <w:pPr>
        <w:pStyle w:val="TOCHeading"/>
        <w:spacing w:before="0" w:line="360" w:lineRule="auto"/>
        <w:rPr>
          <w:rFonts w:asciiTheme="minorBidi" w:eastAsiaTheme="minorHAnsi" w:hAnsiTheme="minorBidi" w:cstheme="minorBidi"/>
          <w:b/>
          <w:noProof/>
          <w:color w:val="auto"/>
          <w:sz w:val="22"/>
          <w:szCs w:val="22"/>
          <w:lang w:val="en-GB"/>
        </w:rPr>
      </w:pPr>
    </w:p>
    <w:p w14:paraId="7F1854BF" w14:textId="77777777" w:rsidR="00CF010A" w:rsidRPr="00877A49" w:rsidRDefault="00CF010A" w:rsidP="006F1004">
      <w:pPr>
        <w:pStyle w:val="TOCHeading"/>
        <w:spacing w:before="0" w:line="360" w:lineRule="auto"/>
        <w:rPr>
          <w:rFonts w:asciiTheme="minorBidi" w:eastAsiaTheme="minorHAnsi" w:hAnsiTheme="minorBidi" w:cstheme="minorBidi"/>
          <w:b/>
          <w:noProof/>
          <w:color w:val="auto"/>
          <w:sz w:val="22"/>
          <w:szCs w:val="22"/>
          <w:lang w:val="en-GB"/>
        </w:rPr>
      </w:pPr>
    </w:p>
    <w:p w14:paraId="637823E3" w14:textId="77777777" w:rsidR="00CF010A" w:rsidRPr="00877A49" w:rsidRDefault="00CF010A" w:rsidP="006F1004">
      <w:pPr>
        <w:pStyle w:val="TOCHeading"/>
        <w:spacing w:before="0" w:line="360" w:lineRule="auto"/>
        <w:rPr>
          <w:rFonts w:asciiTheme="minorBidi" w:eastAsiaTheme="minorHAnsi" w:hAnsiTheme="minorBidi" w:cstheme="minorBidi"/>
          <w:b/>
          <w:noProof/>
          <w:color w:val="auto"/>
          <w:sz w:val="22"/>
          <w:szCs w:val="22"/>
          <w:lang w:val="en-GB"/>
        </w:rPr>
      </w:pPr>
    </w:p>
    <w:p w14:paraId="1305A917" w14:textId="77777777" w:rsidR="00547D85" w:rsidRPr="00877A49" w:rsidRDefault="00547D85" w:rsidP="006F1004">
      <w:pPr>
        <w:spacing w:line="360" w:lineRule="auto"/>
        <w:rPr>
          <w:rFonts w:asciiTheme="minorBidi" w:hAnsiTheme="minorBidi"/>
        </w:rPr>
      </w:pPr>
    </w:p>
    <w:p w14:paraId="5B3480DD" w14:textId="77777777" w:rsidR="00547D85" w:rsidRPr="00877A49" w:rsidRDefault="00547D85" w:rsidP="006F1004">
      <w:pPr>
        <w:spacing w:line="360" w:lineRule="auto"/>
        <w:rPr>
          <w:rFonts w:asciiTheme="minorBidi" w:hAnsiTheme="minorBidi"/>
        </w:rPr>
      </w:pPr>
    </w:p>
    <w:p w14:paraId="08409041" w14:textId="77777777" w:rsidR="00547D85" w:rsidRPr="00877A49" w:rsidRDefault="00547D85" w:rsidP="006F1004">
      <w:pPr>
        <w:spacing w:line="360" w:lineRule="auto"/>
        <w:rPr>
          <w:rFonts w:asciiTheme="minorBidi" w:hAnsiTheme="minorBidi"/>
        </w:rPr>
      </w:pPr>
    </w:p>
    <w:p w14:paraId="2FEACBA8" w14:textId="77777777" w:rsidR="00547D85" w:rsidRPr="00877A49" w:rsidRDefault="00547D85" w:rsidP="006F1004">
      <w:pPr>
        <w:spacing w:line="360" w:lineRule="auto"/>
        <w:rPr>
          <w:rFonts w:asciiTheme="minorBidi" w:hAnsiTheme="minorBidi"/>
        </w:rPr>
      </w:pPr>
    </w:p>
    <w:p w14:paraId="5D93AECA" w14:textId="77777777" w:rsidR="00547D85" w:rsidRPr="00877A49" w:rsidRDefault="00547D85" w:rsidP="006F1004">
      <w:pPr>
        <w:spacing w:line="360" w:lineRule="auto"/>
        <w:rPr>
          <w:rFonts w:asciiTheme="minorBidi" w:hAnsiTheme="minorBidi"/>
        </w:rPr>
      </w:pPr>
    </w:p>
    <w:p w14:paraId="05A57585" w14:textId="77777777" w:rsidR="00547D85" w:rsidRPr="00877A49" w:rsidRDefault="00547D85" w:rsidP="006F1004">
      <w:pPr>
        <w:spacing w:line="360" w:lineRule="auto"/>
        <w:rPr>
          <w:rFonts w:asciiTheme="minorBidi" w:hAnsiTheme="minorBidi"/>
        </w:rPr>
      </w:pPr>
    </w:p>
    <w:p w14:paraId="379A25A4" w14:textId="77777777" w:rsidR="00547D85" w:rsidRPr="00877A49" w:rsidRDefault="00547D85" w:rsidP="006F1004">
      <w:pPr>
        <w:spacing w:line="360" w:lineRule="auto"/>
        <w:rPr>
          <w:rFonts w:asciiTheme="minorBidi" w:hAnsiTheme="minorBidi"/>
        </w:rPr>
      </w:pPr>
    </w:p>
    <w:p w14:paraId="2FA2D281" w14:textId="77777777" w:rsidR="00547D85" w:rsidRPr="00877A49" w:rsidRDefault="00547D85" w:rsidP="006F1004">
      <w:pPr>
        <w:spacing w:line="360" w:lineRule="auto"/>
        <w:rPr>
          <w:rFonts w:asciiTheme="minorBidi" w:hAnsiTheme="minorBidi"/>
        </w:rPr>
      </w:pPr>
    </w:p>
    <w:p w14:paraId="1472751C" w14:textId="77777777" w:rsidR="00547D85" w:rsidRPr="00877A49" w:rsidRDefault="00547D85" w:rsidP="006F1004">
      <w:pPr>
        <w:spacing w:line="360" w:lineRule="auto"/>
        <w:rPr>
          <w:rFonts w:asciiTheme="minorBidi" w:hAnsiTheme="minorBidi"/>
        </w:rPr>
      </w:pPr>
    </w:p>
    <w:p w14:paraId="06036946" w14:textId="77777777" w:rsidR="00547D85" w:rsidRPr="00877A49" w:rsidRDefault="00547D85" w:rsidP="006F1004">
      <w:pPr>
        <w:spacing w:line="360" w:lineRule="auto"/>
        <w:rPr>
          <w:rFonts w:asciiTheme="minorBidi" w:hAnsiTheme="minorBidi"/>
        </w:rPr>
      </w:pPr>
    </w:p>
    <w:p w14:paraId="4BEA5B73" w14:textId="77777777" w:rsidR="00547D85" w:rsidRPr="00877A49" w:rsidRDefault="00547D85" w:rsidP="006F1004">
      <w:pPr>
        <w:spacing w:line="360" w:lineRule="auto"/>
        <w:rPr>
          <w:rFonts w:asciiTheme="minorBidi" w:hAnsiTheme="minorBidi"/>
        </w:rPr>
      </w:pPr>
    </w:p>
    <w:p w14:paraId="78C32D61" w14:textId="77777777" w:rsidR="00314630" w:rsidRPr="009E1B11" w:rsidRDefault="00314630" w:rsidP="006F1004">
      <w:pPr>
        <w:spacing w:before="100" w:beforeAutospacing="1" w:after="100" w:afterAutospacing="1" w:line="360" w:lineRule="auto"/>
        <w:outlineLvl w:val="0"/>
        <w:rPr>
          <w:rFonts w:asciiTheme="minorBidi" w:eastAsia="Times New Roman" w:hAnsiTheme="minorBidi"/>
          <w:b/>
          <w:bCs/>
          <w:kern w:val="36"/>
          <w:lang w:eastAsia="en-GB"/>
        </w:rPr>
      </w:pPr>
      <w:r w:rsidRPr="00877A49">
        <w:rPr>
          <w:rFonts w:asciiTheme="minorBidi" w:eastAsia="Times New Roman" w:hAnsiTheme="minorBidi"/>
          <w:b/>
          <w:bCs/>
          <w:kern w:val="36"/>
          <w:lang w:eastAsia="en-GB"/>
        </w:rPr>
        <w:t xml:space="preserve">THE SOCIAL MODEL OF DISABILITY AND PERSON-CENTRED </w:t>
      </w:r>
      <w:r w:rsidR="00B62DFA" w:rsidRPr="00877A49">
        <w:rPr>
          <w:rFonts w:asciiTheme="minorBidi" w:eastAsia="Times New Roman" w:hAnsiTheme="minorBidi"/>
          <w:b/>
          <w:bCs/>
          <w:kern w:val="36"/>
          <w:lang w:eastAsia="en-GB"/>
        </w:rPr>
        <w:t xml:space="preserve">CARE: A CRITICAL ANALYSIS OF </w:t>
      </w:r>
      <w:r w:rsidRPr="00877A49">
        <w:rPr>
          <w:rFonts w:asciiTheme="minorBidi" w:eastAsia="Times New Roman" w:hAnsiTheme="minorBidi"/>
          <w:b/>
          <w:bCs/>
          <w:kern w:val="36"/>
          <w:lang w:eastAsia="en-GB"/>
        </w:rPr>
        <w:t>HEALTH AND SOCIAL CARE POLICY AND PRACTICE</w:t>
      </w:r>
    </w:p>
    <w:p w14:paraId="72B0E3F0" w14:textId="77777777" w:rsidR="00314630" w:rsidRPr="009E1B11" w:rsidRDefault="00314630" w:rsidP="006F1004">
      <w:pPr>
        <w:spacing w:before="100" w:beforeAutospacing="1" w:after="100" w:afterAutospacing="1" w:line="360" w:lineRule="auto"/>
        <w:outlineLvl w:val="1"/>
        <w:rPr>
          <w:rFonts w:asciiTheme="minorBidi" w:eastAsia="Times New Roman" w:hAnsiTheme="minorBidi"/>
          <w:b/>
          <w:bCs/>
          <w:lang w:eastAsia="en-GB"/>
        </w:rPr>
      </w:pPr>
      <w:r w:rsidRPr="009E1B11">
        <w:rPr>
          <w:rFonts w:asciiTheme="minorBidi" w:eastAsia="Times New Roman" w:hAnsiTheme="minorBidi"/>
          <w:b/>
          <w:bCs/>
          <w:lang w:eastAsia="en-GB"/>
        </w:rPr>
        <w:t>Introduction</w:t>
      </w:r>
    </w:p>
    <w:p w14:paraId="07255837" w14:textId="77777777" w:rsidR="00314630" w:rsidRPr="009E1B11" w:rsidRDefault="00314630" w:rsidP="006F1004">
      <w:pPr>
        <w:spacing w:before="100" w:beforeAutospacing="1" w:after="100" w:afterAutospacing="1" w:line="360" w:lineRule="auto"/>
        <w:rPr>
          <w:rFonts w:asciiTheme="minorBidi" w:eastAsia="Times New Roman" w:hAnsiTheme="minorBidi"/>
          <w:lang w:eastAsia="en-GB"/>
        </w:rPr>
      </w:pPr>
      <w:r w:rsidRPr="009E1B11">
        <w:rPr>
          <w:rFonts w:asciiTheme="minorBidi" w:eastAsia="Times New Roman" w:hAnsiTheme="minorBidi"/>
          <w:lang w:eastAsia="en-GB"/>
        </w:rPr>
        <w:t>Person-centred care is a fundam</w:t>
      </w:r>
      <w:r w:rsidRPr="00877A49">
        <w:rPr>
          <w:rFonts w:asciiTheme="minorBidi" w:eastAsia="Times New Roman" w:hAnsiTheme="minorBidi"/>
          <w:lang w:eastAsia="en-GB"/>
        </w:rPr>
        <w:t xml:space="preserve">ental principle of </w:t>
      </w:r>
      <w:r w:rsidRPr="009E1B11">
        <w:rPr>
          <w:rFonts w:asciiTheme="minorBidi" w:eastAsia="Times New Roman" w:hAnsiTheme="minorBidi"/>
          <w:lang w:eastAsia="en-GB"/>
        </w:rPr>
        <w:t>health and social care practice. It recognises individuals as unique people whose values, preferences</w:t>
      </w:r>
      <w:r w:rsidR="00B62DFA" w:rsidRPr="00877A49">
        <w:rPr>
          <w:rFonts w:asciiTheme="minorBidi" w:eastAsia="Times New Roman" w:hAnsiTheme="minorBidi"/>
          <w:lang w:eastAsia="en-GB"/>
        </w:rPr>
        <w:t xml:space="preserve">, beliefs and </w:t>
      </w:r>
      <w:r w:rsidR="00877A49" w:rsidRPr="00877A49">
        <w:rPr>
          <w:rFonts w:asciiTheme="minorBidi" w:eastAsia="Times New Roman" w:hAnsiTheme="minorBidi"/>
          <w:lang w:eastAsia="en-GB"/>
        </w:rPr>
        <w:t xml:space="preserve">needs </w:t>
      </w:r>
      <w:r w:rsidR="00877A49" w:rsidRPr="009E1B11">
        <w:rPr>
          <w:rFonts w:asciiTheme="minorBidi" w:eastAsia="Times New Roman" w:hAnsiTheme="minorBidi"/>
          <w:lang w:eastAsia="en-GB"/>
        </w:rPr>
        <w:t>should</w:t>
      </w:r>
      <w:r w:rsidRPr="009E1B11">
        <w:rPr>
          <w:rFonts w:asciiTheme="minorBidi" w:eastAsia="Times New Roman" w:hAnsiTheme="minorBidi"/>
          <w:lang w:eastAsia="en-GB"/>
        </w:rPr>
        <w:t xml:space="preserve"> influence decisions about their care and support. </w:t>
      </w:r>
      <w:r w:rsidR="00B62DFA" w:rsidRPr="00877A49">
        <w:rPr>
          <w:rFonts w:asciiTheme="minorBidi" w:eastAsia="Times New Roman" w:hAnsiTheme="minorBidi"/>
          <w:lang w:eastAsia="en-GB"/>
        </w:rPr>
        <w:t>P</w:t>
      </w:r>
      <w:r w:rsidRPr="009E1B11">
        <w:rPr>
          <w:rFonts w:asciiTheme="minorBidi" w:eastAsia="Times New Roman" w:hAnsiTheme="minorBidi"/>
          <w:lang w:eastAsia="en-GB"/>
        </w:rPr>
        <w:t>erson-centred care promotes dignity, respect, autonomy, choice, participation and control</w:t>
      </w:r>
      <w:r w:rsidR="00B62DFA" w:rsidRPr="00877A49">
        <w:rPr>
          <w:rFonts w:asciiTheme="minorBidi" w:eastAsia="Times New Roman" w:hAnsiTheme="minorBidi"/>
          <w:lang w:eastAsia="en-GB"/>
        </w:rPr>
        <w:t xml:space="preserve"> r</w:t>
      </w:r>
      <w:r w:rsidR="00B62DFA" w:rsidRPr="009E1B11">
        <w:rPr>
          <w:rFonts w:asciiTheme="minorBidi" w:eastAsia="Times New Roman" w:hAnsiTheme="minorBidi"/>
          <w:lang w:eastAsia="en-GB"/>
        </w:rPr>
        <w:t>ather than viewing service users as passive recipient</w:t>
      </w:r>
      <w:r w:rsidR="00B62DFA" w:rsidRPr="00877A49">
        <w:rPr>
          <w:rFonts w:asciiTheme="minorBidi" w:eastAsia="Times New Roman" w:hAnsiTheme="minorBidi"/>
          <w:lang w:eastAsia="en-GB"/>
        </w:rPr>
        <w:t>s of professional intervention</w:t>
      </w:r>
      <w:r w:rsidRPr="009E1B11">
        <w:rPr>
          <w:rFonts w:asciiTheme="minorBidi" w:eastAsia="Times New Roman" w:hAnsiTheme="minorBidi"/>
          <w:lang w:eastAsia="en-GB"/>
        </w:rPr>
        <w:t>. However, meaningful person-centred care requires more than providing individualised services. It also requires professionals and organisations to identify and address social, environmental and institutional barriers that may prevent individuals f</w:t>
      </w:r>
      <w:r w:rsidR="00B62DFA" w:rsidRPr="00877A49">
        <w:rPr>
          <w:rFonts w:asciiTheme="minorBidi" w:eastAsia="Times New Roman" w:hAnsiTheme="minorBidi"/>
          <w:lang w:eastAsia="en-GB"/>
        </w:rPr>
        <w:t>rom exercising genuine choice</w:t>
      </w:r>
      <w:r w:rsidRPr="009E1B11">
        <w:rPr>
          <w:rFonts w:asciiTheme="minorBidi" w:eastAsia="Times New Roman" w:hAnsiTheme="minorBidi"/>
          <w:lang w:eastAsia="en-GB"/>
        </w:rPr>
        <w:t>.</w:t>
      </w:r>
    </w:p>
    <w:p w14:paraId="3EB5EA5B" w14:textId="77777777" w:rsidR="00314630" w:rsidRPr="009E1B11" w:rsidRDefault="00B62DFA" w:rsidP="006F1004">
      <w:pPr>
        <w:spacing w:before="100" w:beforeAutospacing="1" w:after="100" w:afterAutospacing="1" w:line="360" w:lineRule="auto"/>
        <w:outlineLvl w:val="1"/>
        <w:rPr>
          <w:rFonts w:asciiTheme="minorBidi" w:eastAsia="Times New Roman" w:hAnsiTheme="minorBidi"/>
          <w:b/>
          <w:bCs/>
          <w:lang w:eastAsia="en-GB"/>
        </w:rPr>
      </w:pPr>
      <w:r w:rsidRPr="00877A49">
        <w:rPr>
          <w:rFonts w:asciiTheme="minorBidi" w:eastAsia="Times New Roman" w:hAnsiTheme="minorBidi"/>
          <w:b/>
          <w:bCs/>
          <w:lang w:eastAsia="en-GB"/>
        </w:rPr>
        <w:t xml:space="preserve"> </w:t>
      </w:r>
      <w:r w:rsidR="00877A49" w:rsidRPr="00877A49">
        <w:rPr>
          <w:rFonts w:asciiTheme="minorBidi" w:eastAsia="Times New Roman" w:hAnsiTheme="minorBidi"/>
          <w:b/>
          <w:bCs/>
          <w:lang w:eastAsia="en-GB"/>
        </w:rPr>
        <w:t>EMERGENCE OF</w:t>
      </w:r>
      <w:r w:rsidRPr="00877A49">
        <w:rPr>
          <w:rFonts w:asciiTheme="minorBidi" w:eastAsia="Times New Roman" w:hAnsiTheme="minorBidi"/>
          <w:b/>
          <w:bCs/>
          <w:lang w:eastAsia="en-GB"/>
        </w:rPr>
        <w:t xml:space="preserve"> THE SOCIAL MODEL OF DISABILITY</w:t>
      </w:r>
    </w:p>
    <w:p w14:paraId="63EC7D9F" w14:textId="77777777" w:rsidR="00314630" w:rsidRPr="009E1B11" w:rsidRDefault="00314630" w:rsidP="006F1004">
      <w:pPr>
        <w:spacing w:before="100" w:beforeAutospacing="1" w:after="100" w:afterAutospacing="1" w:line="360" w:lineRule="auto"/>
        <w:rPr>
          <w:rFonts w:asciiTheme="minorBidi" w:eastAsia="Times New Roman" w:hAnsiTheme="minorBidi"/>
          <w:lang w:eastAsia="en-GB"/>
        </w:rPr>
      </w:pPr>
      <w:r w:rsidRPr="009E1B11">
        <w:rPr>
          <w:rFonts w:asciiTheme="minorBidi" w:eastAsia="Times New Roman" w:hAnsiTheme="minorBidi"/>
          <w:lang w:eastAsia="en-GB"/>
        </w:rPr>
        <w:t>The Social Model of Disability developed in the United Kingdom during the disability rights movement of the 1970s. It challenged the assumption that disability was primarily an ind</w:t>
      </w:r>
      <w:r w:rsidR="00B62DFA" w:rsidRPr="00877A49">
        <w:rPr>
          <w:rFonts w:asciiTheme="minorBidi" w:eastAsia="Times New Roman" w:hAnsiTheme="minorBidi"/>
          <w:lang w:eastAsia="en-GB"/>
        </w:rPr>
        <w:t>ividual problem. The difference</w:t>
      </w:r>
      <w:r w:rsidRPr="009E1B11">
        <w:rPr>
          <w:rFonts w:asciiTheme="minorBidi" w:eastAsia="Times New Roman" w:hAnsiTheme="minorBidi"/>
          <w:lang w:eastAsia="en-GB"/>
        </w:rPr>
        <w:t xml:space="preserve"> between impairment and disability became central to this new approach. Impairment refers to an individual's physical, sensory, inte</w:t>
      </w:r>
      <w:r w:rsidR="00B62DFA" w:rsidRPr="00877A49">
        <w:rPr>
          <w:rFonts w:asciiTheme="minorBidi" w:eastAsia="Times New Roman" w:hAnsiTheme="minorBidi"/>
          <w:lang w:eastAsia="en-GB"/>
        </w:rPr>
        <w:t>llectual or cognitive condition</w:t>
      </w:r>
      <w:r w:rsidRPr="009E1B11">
        <w:rPr>
          <w:rFonts w:asciiTheme="minorBidi" w:eastAsia="Times New Roman" w:hAnsiTheme="minorBidi"/>
          <w:lang w:eastAsia="en-GB"/>
        </w:rPr>
        <w:t xml:space="preserve"> whereas disability is understood as the disadvantage created by social and environmental barriers.</w:t>
      </w:r>
    </w:p>
    <w:p w14:paraId="029C316E" w14:textId="77777777" w:rsidR="00314630" w:rsidRPr="009E1B11" w:rsidRDefault="00314630" w:rsidP="006F1004">
      <w:pPr>
        <w:spacing w:before="100" w:beforeAutospacing="1" w:after="100" w:afterAutospacing="1" w:line="360" w:lineRule="auto"/>
        <w:rPr>
          <w:rFonts w:asciiTheme="minorBidi" w:eastAsia="Times New Roman" w:hAnsiTheme="minorBidi"/>
          <w:lang w:eastAsia="en-GB"/>
        </w:rPr>
      </w:pPr>
      <w:r w:rsidRPr="009E1B11">
        <w:rPr>
          <w:rFonts w:asciiTheme="minorBidi" w:eastAsia="Times New Roman" w:hAnsiTheme="minorBidi"/>
          <w:lang w:eastAsia="en-GB"/>
        </w:rPr>
        <w:t xml:space="preserve">Oliver (1990) was influential in establishing the Social Model as a significant framework within disability studies. Rather than asking how an individual should be changed or rehabilitated, the model asks how society can remove barriers that restrict participation. For example, a wheelchair user may be unable to enter a building because of stairs, while a person with a hearing impairment may be excluded from a </w:t>
      </w:r>
      <w:r w:rsidR="00877A49" w:rsidRPr="009E1B11">
        <w:rPr>
          <w:rFonts w:asciiTheme="minorBidi" w:eastAsia="Times New Roman" w:hAnsiTheme="minorBidi"/>
          <w:lang w:eastAsia="en-GB"/>
        </w:rPr>
        <w:t>care-planning</w:t>
      </w:r>
      <w:r w:rsidRPr="009E1B11">
        <w:rPr>
          <w:rFonts w:asciiTheme="minorBidi" w:eastAsia="Times New Roman" w:hAnsiTheme="minorBidi"/>
          <w:lang w:eastAsia="en-GB"/>
        </w:rPr>
        <w:t xml:space="preserve"> meeting because communication support is unavailable. In both cases, the impairment itself does not fully explain the person's exclusion. The physical and organisational environment also contributes to the disabling experience.</w:t>
      </w:r>
    </w:p>
    <w:p w14:paraId="3D20F552" w14:textId="0C6DA0FB" w:rsidR="00314630" w:rsidRPr="009E1B11" w:rsidRDefault="00314630" w:rsidP="006F1004">
      <w:pPr>
        <w:spacing w:before="100" w:beforeAutospacing="1" w:after="100" w:afterAutospacing="1" w:line="360" w:lineRule="auto"/>
        <w:rPr>
          <w:rFonts w:asciiTheme="minorBidi" w:eastAsia="Times New Roman" w:hAnsiTheme="minorBidi"/>
          <w:lang w:eastAsia="en-GB"/>
        </w:rPr>
      </w:pPr>
      <w:r w:rsidRPr="009E1B11">
        <w:rPr>
          <w:rFonts w:asciiTheme="minorBidi" w:eastAsia="Times New Roman" w:hAnsiTheme="minorBidi"/>
          <w:lang w:eastAsia="en-GB"/>
        </w:rPr>
        <w:t xml:space="preserve">Goodley (2017) argues that disability studies </w:t>
      </w:r>
      <w:r w:rsidR="0099293A" w:rsidRPr="009E1B11">
        <w:rPr>
          <w:rFonts w:asciiTheme="minorBidi" w:eastAsia="Times New Roman" w:hAnsiTheme="minorBidi"/>
          <w:lang w:eastAsia="en-GB"/>
        </w:rPr>
        <w:t>provide</w:t>
      </w:r>
      <w:r w:rsidRPr="009E1B11">
        <w:rPr>
          <w:rFonts w:asciiTheme="minorBidi" w:eastAsia="Times New Roman" w:hAnsiTheme="minorBidi"/>
          <w:lang w:eastAsia="en-GB"/>
        </w:rPr>
        <w:t xml:space="preserve"> an interdisciplinary perspective that challenges traditional assumptions about disability and examines the relationship between individuals and social structures. This supports person-centred care by encouraging </w:t>
      </w:r>
      <w:r w:rsidRPr="009E1B11">
        <w:rPr>
          <w:rFonts w:asciiTheme="minorBidi" w:eastAsia="Times New Roman" w:hAnsiTheme="minorBidi"/>
          <w:lang w:eastAsia="en-GB"/>
        </w:rPr>
        <w:lastRenderedPageBreak/>
        <w:t>professionals to recognise disabled people as individuals with rights, identities and capabilities rather than simply as recipients of care.</w:t>
      </w:r>
    </w:p>
    <w:p w14:paraId="347012A6" w14:textId="04CD9D17" w:rsidR="00314630" w:rsidRPr="009E1B11" w:rsidRDefault="00314630" w:rsidP="006F1004">
      <w:pPr>
        <w:spacing w:before="100" w:beforeAutospacing="1" w:after="100" w:afterAutospacing="1" w:line="360" w:lineRule="auto"/>
        <w:rPr>
          <w:rFonts w:asciiTheme="minorBidi" w:eastAsia="Times New Roman" w:hAnsiTheme="minorBidi"/>
          <w:lang w:eastAsia="en-GB"/>
        </w:rPr>
      </w:pPr>
      <w:r w:rsidRPr="009E1B11">
        <w:rPr>
          <w:rFonts w:asciiTheme="minorBidi" w:eastAsia="Times New Roman" w:hAnsiTheme="minorBidi"/>
          <w:lang w:eastAsia="en-GB"/>
        </w:rPr>
        <w:t>The Social Model has also influenced wider rights-based approaches. The United Nations Convention on the Rights of Persons with Disabilities promotes dignity, equality, participation, accessibility and inclusion (United Nati</w:t>
      </w:r>
      <w:r w:rsidR="00B62DFA" w:rsidRPr="00877A49">
        <w:rPr>
          <w:rFonts w:asciiTheme="minorBidi" w:eastAsia="Times New Roman" w:hAnsiTheme="minorBidi"/>
          <w:lang w:eastAsia="en-GB"/>
        </w:rPr>
        <w:t xml:space="preserve">ons, 2006). Its principles </w:t>
      </w:r>
      <w:r w:rsidR="0099293A" w:rsidRPr="00877A49">
        <w:rPr>
          <w:rFonts w:asciiTheme="minorBidi" w:eastAsia="Times New Roman" w:hAnsiTheme="minorBidi"/>
          <w:lang w:eastAsia="en-GB"/>
        </w:rPr>
        <w:t>emphasise</w:t>
      </w:r>
      <w:r w:rsidRPr="009E1B11">
        <w:rPr>
          <w:rFonts w:asciiTheme="minorBidi" w:eastAsia="Times New Roman" w:hAnsiTheme="minorBidi"/>
          <w:lang w:eastAsia="en-GB"/>
        </w:rPr>
        <w:t xml:space="preserve"> the argument that disabled people should be active participants in decisions affecting their lives.</w:t>
      </w:r>
    </w:p>
    <w:p w14:paraId="4A883C33" w14:textId="77777777" w:rsidR="00314630" w:rsidRPr="009E1B11" w:rsidRDefault="00B62DFA" w:rsidP="006F1004">
      <w:pPr>
        <w:spacing w:before="100" w:beforeAutospacing="1" w:after="100" w:afterAutospacing="1" w:line="360" w:lineRule="auto"/>
        <w:outlineLvl w:val="1"/>
        <w:rPr>
          <w:rFonts w:asciiTheme="minorBidi" w:eastAsia="Times New Roman" w:hAnsiTheme="minorBidi"/>
          <w:b/>
          <w:bCs/>
          <w:lang w:eastAsia="en-GB"/>
        </w:rPr>
      </w:pPr>
      <w:r w:rsidRPr="00877A49">
        <w:rPr>
          <w:rFonts w:asciiTheme="minorBidi" w:eastAsia="Times New Roman" w:hAnsiTheme="minorBidi"/>
          <w:b/>
          <w:bCs/>
          <w:lang w:eastAsia="en-GB"/>
        </w:rPr>
        <w:t>CRITIQUES OF THE SOCIAL MODEL AND RESPONSES TO THESE CRITIQUES</w:t>
      </w:r>
    </w:p>
    <w:p w14:paraId="677A5ED2" w14:textId="77777777" w:rsidR="00314630" w:rsidRPr="009E1B11" w:rsidRDefault="00314630" w:rsidP="006F1004">
      <w:pPr>
        <w:spacing w:before="100" w:beforeAutospacing="1" w:after="100" w:afterAutospacing="1" w:line="360" w:lineRule="auto"/>
        <w:rPr>
          <w:rFonts w:asciiTheme="minorBidi" w:eastAsia="Times New Roman" w:hAnsiTheme="minorBidi"/>
          <w:lang w:eastAsia="en-GB"/>
        </w:rPr>
      </w:pPr>
      <w:r w:rsidRPr="009E1B11">
        <w:rPr>
          <w:rFonts w:asciiTheme="minorBidi" w:eastAsia="Times New Roman" w:hAnsiTheme="minorBidi"/>
          <w:lang w:eastAsia="en-GB"/>
        </w:rPr>
        <w:t>The Social Model has made a significant contribution to disability rights and person-centred practice, but it has also been subject to criticism. One major criticism is that an exclusive focus on social barriers may underestimate the importance of impairment itself. Some disabled people experience pain, fatigue, chronic illness or progressive deterioration that cannot be explained entirely by inaccessible environments or discriminatory attitudes.</w:t>
      </w:r>
    </w:p>
    <w:p w14:paraId="5C948683" w14:textId="77777777" w:rsidR="00314630" w:rsidRPr="009E1B11" w:rsidRDefault="00314630" w:rsidP="006F1004">
      <w:pPr>
        <w:spacing w:before="100" w:beforeAutospacing="1" w:after="100" w:afterAutospacing="1" w:line="360" w:lineRule="auto"/>
        <w:rPr>
          <w:rFonts w:asciiTheme="minorBidi" w:eastAsia="Times New Roman" w:hAnsiTheme="minorBidi"/>
          <w:lang w:eastAsia="en-GB"/>
        </w:rPr>
      </w:pPr>
      <w:r w:rsidRPr="009E1B11">
        <w:rPr>
          <w:rFonts w:asciiTheme="minorBidi" w:eastAsia="Times New Roman" w:hAnsiTheme="minorBidi"/>
          <w:lang w:eastAsia="en-GB"/>
        </w:rPr>
        <w:t>For example, a person with a progressive neurological condition may experience increasing physical limitations even when they live in an accessible environment and receive appropriate support. Focusing exclusively on social barriers could therefore overlook the individual's genuine healthcare and personal care needs.</w:t>
      </w:r>
    </w:p>
    <w:p w14:paraId="48F942D4" w14:textId="08DC0A55" w:rsidR="00314630" w:rsidRPr="009E1B11" w:rsidRDefault="00314630" w:rsidP="006F1004">
      <w:pPr>
        <w:spacing w:before="100" w:beforeAutospacing="1" w:after="100" w:afterAutospacing="1" w:line="360" w:lineRule="auto"/>
        <w:rPr>
          <w:rFonts w:asciiTheme="minorBidi" w:eastAsia="Times New Roman" w:hAnsiTheme="minorBidi"/>
          <w:lang w:eastAsia="en-GB"/>
        </w:rPr>
      </w:pPr>
      <w:r w:rsidRPr="009E1B11">
        <w:rPr>
          <w:rFonts w:asciiTheme="minorBidi" w:eastAsia="Times New Roman" w:hAnsiTheme="minorBidi"/>
          <w:lang w:eastAsia="en-GB"/>
        </w:rPr>
        <w:t xml:space="preserve">Oliver and Barnes (2012) </w:t>
      </w:r>
      <w:r w:rsidR="0099293A" w:rsidRPr="009E1B11">
        <w:rPr>
          <w:rFonts w:asciiTheme="minorBidi" w:eastAsia="Times New Roman" w:hAnsiTheme="minorBidi"/>
          <w:lang w:eastAsia="en-GB"/>
        </w:rPr>
        <w:t>defend</w:t>
      </w:r>
      <w:r w:rsidRPr="009E1B11">
        <w:rPr>
          <w:rFonts w:asciiTheme="minorBidi" w:eastAsia="Times New Roman" w:hAnsiTheme="minorBidi"/>
          <w:lang w:eastAsia="en-GB"/>
        </w:rPr>
        <w:t xml:space="preserve"> the continuing importance of challenging disabling structures but recognise the need to understand disability within complex social and political contexts. The model's value therefore lies in challenging the assumption that impairment automatically determines an individual's quality of life.</w:t>
      </w:r>
    </w:p>
    <w:p w14:paraId="1D85A6CB" w14:textId="77777777" w:rsidR="00314630" w:rsidRPr="009E1B11" w:rsidRDefault="00314630" w:rsidP="006F1004">
      <w:pPr>
        <w:spacing w:before="100" w:beforeAutospacing="1" w:after="100" w:afterAutospacing="1" w:line="360" w:lineRule="auto"/>
        <w:rPr>
          <w:rFonts w:asciiTheme="minorBidi" w:eastAsia="Times New Roman" w:hAnsiTheme="minorBidi"/>
          <w:lang w:eastAsia="en-GB"/>
        </w:rPr>
      </w:pPr>
      <w:r w:rsidRPr="009E1B11">
        <w:rPr>
          <w:rFonts w:asciiTheme="minorBidi" w:eastAsia="Times New Roman" w:hAnsiTheme="minorBidi"/>
          <w:lang w:eastAsia="en-GB"/>
        </w:rPr>
        <w:t>A further criticism is that the Social Model can sometimes present disabled people as a homogeneous group. Disability is diverse, and experiences are influenced by age, gender, socioeconomic circumstances, culture and type of impairment. Consequently, person-centred care must recognise individual differences rather than applying a single explanation to all disabled people.</w:t>
      </w:r>
    </w:p>
    <w:p w14:paraId="2B5C832D" w14:textId="77777777" w:rsidR="00314630" w:rsidRPr="009E1B11" w:rsidRDefault="00314630" w:rsidP="006F1004">
      <w:pPr>
        <w:spacing w:before="100" w:beforeAutospacing="1" w:after="100" w:afterAutospacing="1" w:line="360" w:lineRule="auto"/>
        <w:rPr>
          <w:rFonts w:asciiTheme="minorBidi" w:eastAsia="Times New Roman" w:hAnsiTheme="minorBidi"/>
          <w:lang w:eastAsia="en-GB"/>
        </w:rPr>
      </w:pPr>
      <w:r w:rsidRPr="009E1B11">
        <w:rPr>
          <w:rFonts w:asciiTheme="minorBidi" w:eastAsia="Times New Roman" w:hAnsiTheme="minorBidi"/>
          <w:lang w:eastAsia="en-GB"/>
        </w:rPr>
        <w:t>These criticisms have encouraged the development of more integrated approaches. The biopsychosocial perspective provides a broader framework by recognising the interaction between biological conditions, psychological experiences and social environments. This offers a useful response to the limitations of both purely medical and purely social explanations.</w:t>
      </w:r>
    </w:p>
    <w:p w14:paraId="17212F7D" w14:textId="77777777" w:rsidR="00314630" w:rsidRPr="009E1B11" w:rsidRDefault="00314630" w:rsidP="006F1004">
      <w:pPr>
        <w:spacing w:before="100" w:beforeAutospacing="1" w:after="100" w:afterAutospacing="1" w:line="360" w:lineRule="auto"/>
        <w:rPr>
          <w:rFonts w:asciiTheme="minorBidi" w:eastAsia="Times New Roman" w:hAnsiTheme="minorBidi"/>
          <w:lang w:eastAsia="en-GB"/>
        </w:rPr>
      </w:pPr>
      <w:r w:rsidRPr="009E1B11">
        <w:rPr>
          <w:rFonts w:asciiTheme="minorBidi" w:eastAsia="Times New Roman" w:hAnsiTheme="minorBidi"/>
          <w:lang w:eastAsia="en-GB"/>
        </w:rPr>
        <w:lastRenderedPageBreak/>
        <w:t>For example, a person with a physical disability may require physiotherapy to manage their health condition while also requiring accessible housing and transport to participate in community life. Addressing only the medical need would be insufficient, while addressing only social barriers could overlook important health requirements. Therefore, a balanced approach should recognise both the individual's impairment and the disabling barriers created by society.</w:t>
      </w:r>
    </w:p>
    <w:p w14:paraId="6F279597" w14:textId="77777777" w:rsidR="00314630" w:rsidRPr="009E1B11" w:rsidRDefault="00314630" w:rsidP="006F1004">
      <w:pPr>
        <w:spacing w:before="100" w:beforeAutospacing="1" w:after="100" w:afterAutospacing="1" w:line="360" w:lineRule="auto"/>
        <w:outlineLvl w:val="1"/>
        <w:rPr>
          <w:rFonts w:asciiTheme="minorBidi" w:eastAsia="Times New Roman" w:hAnsiTheme="minorBidi"/>
          <w:b/>
          <w:bCs/>
          <w:lang w:eastAsia="en-GB"/>
        </w:rPr>
      </w:pPr>
      <w:r w:rsidRPr="009E1B11">
        <w:rPr>
          <w:rFonts w:asciiTheme="minorBidi" w:eastAsia="Times New Roman" w:hAnsiTheme="minorBidi"/>
          <w:b/>
          <w:bCs/>
          <w:lang w:eastAsia="en-GB"/>
        </w:rPr>
        <w:t xml:space="preserve"> </w:t>
      </w:r>
      <w:r w:rsidR="006F1004" w:rsidRPr="00877A49">
        <w:rPr>
          <w:rFonts w:asciiTheme="minorBidi" w:eastAsia="Times New Roman" w:hAnsiTheme="minorBidi"/>
          <w:b/>
          <w:bCs/>
          <w:lang w:eastAsia="en-GB"/>
        </w:rPr>
        <w:t xml:space="preserve">APPLICATION OF THE SOCIAL MODEL </w:t>
      </w:r>
    </w:p>
    <w:p w14:paraId="5CA2B11F" w14:textId="19FB2944" w:rsidR="00314630" w:rsidRPr="009E1B11" w:rsidRDefault="00314630" w:rsidP="006F1004">
      <w:pPr>
        <w:spacing w:before="100" w:beforeAutospacing="1" w:after="100" w:afterAutospacing="1" w:line="360" w:lineRule="auto"/>
        <w:rPr>
          <w:rFonts w:asciiTheme="minorBidi" w:eastAsia="Times New Roman" w:hAnsiTheme="minorBidi"/>
          <w:lang w:eastAsia="en-GB"/>
        </w:rPr>
      </w:pPr>
      <w:r w:rsidRPr="009E1B11">
        <w:rPr>
          <w:rFonts w:asciiTheme="minorBidi" w:eastAsia="Times New Roman" w:hAnsiTheme="minorBidi"/>
          <w:lang w:eastAsia="en-GB"/>
        </w:rPr>
        <w:t xml:space="preserve">The </w:t>
      </w:r>
      <w:r w:rsidR="0099293A" w:rsidRPr="009E1B11">
        <w:rPr>
          <w:rFonts w:asciiTheme="minorBidi" w:eastAsia="Times New Roman" w:hAnsiTheme="minorBidi"/>
          <w:lang w:eastAsia="en-GB"/>
        </w:rPr>
        <w:t>principle</w:t>
      </w:r>
      <w:r w:rsidRPr="009E1B11">
        <w:rPr>
          <w:rFonts w:asciiTheme="minorBidi" w:eastAsia="Times New Roman" w:hAnsiTheme="minorBidi"/>
          <w:lang w:eastAsia="en-GB"/>
        </w:rPr>
        <w:t xml:space="preserve"> of the</w:t>
      </w:r>
      <w:r w:rsidRPr="00877A49">
        <w:rPr>
          <w:rFonts w:asciiTheme="minorBidi" w:eastAsia="Times New Roman" w:hAnsiTheme="minorBidi"/>
          <w:lang w:eastAsia="en-GB"/>
        </w:rPr>
        <w:t xml:space="preserve"> Social Model</w:t>
      </w:r>
      <w:r w:rsidRPr="009E1B11">
        <w:rPr>
          <w:rFonts w:asciiTheme="minorBidi" w:eastAsia="Times New Roman" w:hAnsiTheme="minorBidi"/>
          <w:lang w:eastAsia="en-GB"/>
        </w:rPr>
        <w:t xml:space="preserve"> is particularly visible in legal frameworks promoting equality, autonomy, dignity, participation and protection.</w:t>
      </w:r>
    </w:p>
    <w:p w14:paraId="6871E86C" w14:textId="77777777" w:rsidR="00314630" w:rsidRPr="009E1B11" w:rsidRDefault="00314630" w:rsidP="006F1004">
      <w:pPr>
        <w:spacing w:before="100" w:beforeAutospacing="1" w:after="100" w:afterAutospacing="1" w:line="360" w:lineRule="auto"/>
        <w:outlineLvl w:val="2"/>
        <w:rPr>
          <w:rFonts w:asciiTheme="minorBidi" w:eastAsia="Times New Roman" w:hAnsiTheme="minorBidi"/>
          <w:b/>
          <w:bCs/>
          <w:lang w:eastAsia="en-GB"/>
        </w:rPr>
      </w:pPr>
      <w:r w:rsidRPr="009E1B11">
        <w:rPr>
          <w:rFonts w:asciiTheme="minorBidi" w:eastAsia="Times New Roman" w:hAnsiTheme="minorBidi"/>
          <w:lang w:eastAsia="en-GB"/>
        </w:rPr>
        <w:t>The Equality Act 2010 is central to challenging disability discrimination. It protects disabled people from discrimination and establishes requirements concerning reasonable adjustments. The Act reflects the Social Model because it places responsibility on organisations to remove or reduce barriers rather than expecting disabled people to adapt to inaccessible systems. However, the existence of legal protection does not guarantee equality in practice. Organisational culture, staff attitudes and inadequate resources may continue to create barriers.</w:t>
      </w:r>
    </w:p>
    <w:p w14:paraId="74EE623B" w14:textId="77777777" w:rsidR="00314630" w:rsidRPr="009E1B11" w:rsidRDefault="00314630" w:rsidP="006F1004">
      <w:pPr>
        <w:spacing w:before="100" w:beforeAutospacing="1" w:after="100" w:afterAutospacing="1" w:line="360" w:lineRule="auto"/>
        <w:rPr>
          <w:rFonts w:asciiTheme="minorBidi" w:eastAsia="Times New Roman" w:hAnsiTheme="minorBidi"/>
          <w:lang w:eastAsia="en-GB"/>
        </w:rPr>
      </w:pPr>
      <w:r w:rsidRPr="009E1B11">
        <w:rPr>
          <w:rFonts w:asciiTheme="minorBidi" w:eastAsia="Times New Roman" w:hAnsiTheme="minorBidi"/>
          <w:lang w:eastAsia="en-GB"/>
        </w:rPr>
        <w:t>The Human Rights Act 1998 provides an important foundation for dignity, privacy and respect. This is particularly relevant to adult social care because service users may require assistance with intimate personal care and may live in residential or supported settings.</w:t>
      </w:r>
    </w:p>
    <w:p w14:paraId="783B59F5" w14:textId="77777777" w:rsidR="00314630" w:rsidRPr="009E1B11" w:rsidRDefault="00314630" w:rsidP="006F1004">
      <w:pPr>
        <w:spacing w:before="100" w:beforeAutospacing="1" w:after="100" w:afterAutospacing="1" w:line="360" w:lineRule="auto"/>
        <w:rPr>
          <w:rFonts w:asciiTheme="minorBidi" w:eastAsia="Times New Roman" w:hAnsiTheme="minorBidi"/>
          <w:lang w:eastAsia="en-GB"/>
        </w:rPr>
      </w:pPr>
      <w:r w:rsidRPr="009E1B11">
        <w:rPr>
          <w:rFonts w:asciiTheme="minorBidi" w:eastAsia="Times New Roman" w:hAnsiTheme="minorBidi"/>
          <w:lang w:eastAsia="en-GB"/>
        </w:rPr>
        <w:t>The Care Act 2014 provides a significant statutory framework for adult social care in England. Its focus on wellbeing, prevention, individual involvement and control over daily life reflects principles associated with person-centred practice.</w:t>
      </w:r>
      <w:r w:rsidRPr="00877A49">
        <w:rPr>
          <w:rFonts w:asciiTheme="minorBidi" w:eastAsia="Times New Roman" w:hAnsiTheme="minorBidi"/>
          <w:lang w:eastAsia="en-GB"/>
        </w:rPr>
        <w:t xml:space="preserve"> </w:t>
      </w:r>
      <w:r w:rsidRPr="009E1B11">
        <w:rPr>
          <w:rFonts w:asciiTheme="minorBidi" w:eastAsia="Times New Roman" w:hAnsiTheme="minorBidi"/>
          <w:lang w:eastAsia="en-GB"/>
        </w:rPr>
        <w:t>The Act encourages assessment of an individual's broader wellbeing rather than focusing solely on physical care needs. This is consistent with the Social Model because relationships, social participation and independence are recognised as important aspects of wellbeing.</w:t>
      </w:r>
    </w:p>
    <w:p w14:paraId="17F6F4D5" w14:textId="77777777" w:rsidR="00314630" w:rsidRPr="009E1B11" w:rsidRDefault="00314630" w:rsidP="006F1004">
      <w:pPr>
        <w:spacing w:before="100" w:beforeAutospacing="1" w:after="100" w:afterAutospacing="1" w:line="360" w:lineRule="auto"/>
        <w:rPr>
          <w:rFonts w:asciiTheme="minorBidi" w:eastAsia="Times New Roman" w:hAnsiTheme="minorBidi"/>
          <w:lang w:eastAsia="en-GB"/>
        </w:rPr>
      </w:pPr>
      <w:r w:rsidRPr="009E1B11">
        <w:rPr>
          <w:rFonts w:asciiTheme="minorBidi" w:eastAsia="Times New Roman" w:hAnsiTheme="minorBidi"/>
          <w:lang w:eastAsia="en-GB"/>
        </w:rPr>
        <w:t>The Department of Health and Social Care (2024) provides statutory guidance supporting the implementation of the Care Act. Nevertheless, there may be a gap between policy intentions and practical delivery. Financial pressures, limited services and workforce shortages may restrict the extent to which individuals can exercise genuine choice.</w:t>
      </w:r>
    </w:p>
    <w:p w14:paraId="781B4759" w14:textId="77777777" w:rsidR="00314630" w:rsidRPr="009E1B11" w:rsidRDefault="00314630" w:rsidP="006F1004">
      <w:pPr>
        <w:spacing w:before="100" w:beforeAutospacing="1" w:after="100" w:afterAutospacing="1" w:line="360" w:lineRule="auto"/>
        <w:rPr>
          <w:rFonts w:asciiTheme="minorBidi" w:eastAsia="Times New Roman" w:hAnsiTheme="minorBidi"/>
          <w:lang w:eastAsia="en-GB"/>
        </w:rPr>
      </w:pPr>
      <w:r w:rsidRPr="009E1B11">
        <w:rPr>
          <w:rFonts w:asciiTheme="minorBidi" w:eastAsia="Times New Roman" w:hAnsiTheme="minorBidi"/>
          <w:lang w:eastAsia="en-GB"/>
        </w:rPr>
        <w:lastRenderedPageBreak/>
        <w:t>A person may have a personalised care plan but still have limited substantive choice if suitable services are unavailable. Therefore, personalisation must involve meaningful options rather than simply formal choice.</w:t>
      </w:r>
    </w:p>
    <w:p w14:paraId="498D1578" w14:textId="77777777" w:rsidR="00314630" w:rsidRPr="009E1B11" w:rsidRDefault="00314630" w:rsidP="006F1004">
      <w:pPr>
        <w:spacing w:before="100" w:beforeAutospacing="1" w:after="100" w:afterAutospacing="1" w:line="360" w:lineRule="auto"/>
        <w:outlineLvl w:val="2"/>
        <w:rPr>
          <w:rFonts w:asciiTheme="minorBidi" w:eastAsia="Times New Roman" w:hAnsiTheme="minorBidi"/>
          <w:b/>
          <w:bCs/>
          <w:lang w:eastAsia="en-GB"/>
        </w:rPr>
      </w:pPr>
      <w:r w:rsidRPr="009E1B11">
        <w:rPr>
          <w:rFonts w:asciiTheme="minorBidi" w:eastAsia="Times New Roman" w:hAnsiTheme="minorBidi"/>
          <w:lang w:eastAsia="en-GB"/>
        </w:rPr>
        <w:t xml:space="preserve">The Mental Capacity Act 2005 supports person-centred decision-making by establishing a presumption that adults have capacity unless demonstrated otherwise. Professionals must take practicable steps to support individuals to make their own </w:t>
      </w:r>
      <w:r w:rsidR="00877A49" w:rsidRPr="009E1B11">
        <w:rPr>
          <w:rFonts w:asciiTheme="minorBidi" w:eastAsia="Times New Roman" w:hAnsiTheme="minorBidi"/>
          <w:lang w:eastAsia="en-GB"/>
        </w:rPr>
        <w:t>decisions. This</w:t>
      </w:r>
      <w:r w:rsidRPr="009E1B11">
        <w:rPr>
          <w:rFonts w:asciiTheme="minorBidi" w:eastAsia="Times New Roman" w:hAnsiTheme="minorBidi"/>
          <w:lang w:eastAsia="en-GB"/>
        </w:rPr>
        <w:t xml:space="preserve"> is consistent with the Social Model because it challenges assumptions that impairment automatically results in incapacity. For example, a person with a learning disability may be able to make decisions if information is provided in an accessible format.</w:t>
      </w:r>
      <w:r w:rsidRPr="00877A49">
        <w:rPr>
          <w:rFonts w:asciiTheme="minorBidi" w:eastAsia="Times New Roman" w:hAnsiTheme="minorBidi"/>
          <w:b/>
          <w:bCs/>
          <w:lang w:eastAsia="en-GB"/>
        </w:rPr>
        <w:t xml:space="preserve"> </w:t>
      </w:r>
      <w:r w:rsidRPr="009E1B11">
        <w:rPr>
          <w:rFonts w:asciiTheme="minorBidi" w:eastAsia="Times New Roman" w:hAnsiTheme="minorBidi"/>
          <w:lang w:eastAsia="en-GB"/>
        </w:rPr>
        <w:t>However, where a person lacks capacity, decisions may be made in their best interests. This creates a potential tension between autonomy and protection. Person-centred practice requires professionals to consider the individual's wishes, feelings, values and beliefs rather than relying solely on professional judgement.</w:t>
      </w:r>
    </w:p>
    <w:p w14:paraId="447D8B6A" w14:textId="77777777" w:rsidR="00314630" w:rsidRPr="009E1B11" w:rsidRDefault="00314630" w:rsidP="006F1004">
      <w:pPr>
        <w:spacing w:before="100" w:beforeAutospacing="1" w:after="100" w:afterAutospacing="1" w:line="360" w:lineRule="auto"/>
        <w:outlineLvl w:val="2"/>
        <w:rPr>
          <w:rFonts w:asciiTheme="minorBidi" w:eastAsia="Times New Roman" w:hAnsiTheme="minorBidi"/>
          <w:b/>
          <w:bCs/>
          <w:lang w:eastAsia="en-GB"/>
        </w:rPr>
      </w:pPr>
    </w:p>
    <w:p w14:paraId="1F5A2DCA" w14:textId="77777777" w:rsidR="00314630" w:rsidRPr="009E1B11" w:rsidRDefault="00314630" w:rsidP="006F1004">
      <w:pPr>
        <w:spacing w:before="100" w:beforeAutospacing="1" w:after="100" w:afterAutospacing="1" w:line="360" w:lineRule="auto"/>
        <w:rPr>
          <w:rFonts w:asciiTheme="minorBidi" w:eastAsia="Times New Roman" w:hAnsiTheme="minorBidi"/>
          <w:lang w:eastAsia="en-GB"/>
        </w:rPr>
      </w:pPr>
      <w:r w:rsidRPr="009E1B11">
        <w:rPr>
          <w:rFonts w:asciiTheme="minorBidi" w:eastAsia="Times New Roman" w:hAnsiTheme="minorBidi"/>
          <w:lang w:eastAsia="en-GB"/>
        </w:rPr>
        <w:t xml:space="preserve">The Data Protection Act 2018 is relevant to person-centred care because health and social care professionals manage sensitive personal information. Protecting confidentiality is </w:t>
      </w:r>
      <w:r w:rsidRPr="00877A49">
        <w:rPr>
          <w:rFonts w:asciiTheme="minorBidi" w:eastAsia="Times New Roman" w:hAnsiTheme="minorBidi"/>
          <w:lang w:eastAsia="en-GB"/>
        </w:rPr>
        <w:t>important</w:t>
      </w:r>
      <w:r w:rsidRPr="009E1B11">
        <w:rPr>
          <w:rFonts w:asciiTheme="minorBidi" w:eastAsia="Times New Roman" w:hAnsiTheme="minorBidi"/>
          <w:lang w:eastAsia="en-GB"/>
        </w:rPr>
        <w:t xml:space="preserve"> to maintaining dignity and </w:t>
      </w:r>
      <w:r w:rsidR="00877A49" w:rsidRPr="009E1B11">
        <w:rPr>
          <w:rFonts w:asciiTheme="minorBidi" w:eastAsia="Times New Roman" w:hAnsiTheme="minorBidi"/>
          <w:lang w:eastAsia="en-GB"/>
        </w:rPr>
        <w:t>trust. However</w:t>
      </w:r>
      <w:r w:rsidRPr="009E1B11">
        <w:rPr>
          <w:rFonts w:asciiTheme="minorBidi" w:eastAsia="Times New Roman" w:hAnsiTheme="minorBidi"/>
          <w:lang w:eastAsia="en-GB"/>
        </w:rPr>
        <w:t xml:space="preserve">, professionals may sometimes need to share information to protect individuals from serious harm. This creates a balance between privacy and safeguarding. Information sharing should be lawful, necessary and </w:t>
      </w:r>
      <w:r w:rsidR="00877A49" w:rsidRPr="009E1B11">
        <w:rPr>
          <w:rFonts w:asciiTheme="minorBidi" w:eastAsia="Times New Roman" w:hAnsiTheme="minorBidi"/>
          <w:lang w:eastAsia="en-GB"/>
        </w:rPr>
        <w:t>proportionate. The</w:t>
      </w:r>
      <w:r w:rsidRPr="009E1B11">
        <w:rPr>
          <w:rFonts w:asciiTheme="minorBidi" w:eastAsia="Times New Roman" w:hAnsiTheme="minorBidi"/>
          <w:lang w:eastAsia="en-GB"/>
        </w:rPr>
        <w:t xml:space="preserve"> challenge is ensuring that data protection does not become an unnecessary barrier to effective multi-agency working. Professionals must understand when information can appropriately be shared while maintaining confidentiality.</w:t>
      </w:r>
    </w:p>
    <w:p w14:paraId="619B4E69" w14:textId="77777777" w:rsidR="00314630" w:rsidRPr="009E1B11" w:rsidRDefault="00314630" w:rsidP="006F1004">
      <w:pPr>
        <w:spacing w:before="100" w:beforeAutospacing="1" w:after="100" w:afterAutospacing="1" w:line="360" w:lineRule="auto"/>
        <w:rPr>
          <w:rFonts w:asciiTheme="minorBidi" w:eastAsia="Times New Roman" w:hAnsiTheme="minorBidi"/>
          <w:lang w:eastAsia="en-GB"/>
        </w:rPr>
      </w:pPr>
      <w:r w:rsidRPr="009E1B11">
        <w:rPr>
          <w:rFonts w:asciiTheme="minorBidi" w:eastAsia="Times New Roman" w:hAnsiTheme="minorBidi"/>
          <w:lang w:eastAsia="en-GB"/>
        </w:rPr>
        <w:t xml:space="preserve">The Safeguarding Vulnerable Groups Act 2006 supports protection from individuals who may pose risks of harm. Safer recruitment and appropriate vetting are particularly important in social care because some service users depend on workers for intimate and </w:t>
      </w:r>
      <w:r w:rsidRPr="00877A49">
        <w:rPr>
          <w:rFonts w:asciiTheme="minorBidi" w:eastAsia="Times New Roman" w:hAnsiTheme="minorBidi"/>
          <w:lang w:eastAsia="en-GB"/>
        </w:rPr>
        <w:t>important</w:t>
      </w:r>
      <w:r w:rsidRPr="009E1B11">
        <w:rPr>
          <w:rFonts w:asciiTheme="minorBidi" w:eastAsia="Times New Roman" w:hAnsiTheme="minorBidi"/>
          <w:lang w:eastAsia="en-GB"/>
        </w:rPr>
        <w:t xml:space="preserve"> support.</w:t>
      </w:r>
      <w:r w:rsidRPr="00877A49">
        <w:rPr>
          <w:rFonts w:asciiTheme="minorBidi" w:eastAsia="Times New Roman" w:hAnsiTheme="minorBidi"/>
          <w:lang w:eastAsia="en-GB"/>
        </w:rPr>
        <w:t xml:space="preserve"> </w:t>
      </w:r>
      <w:r w:rsidRPr="009E1B11">
        <w:rPr>
          <w:rFonts w:asciiTheme="minorBidi" w:eastAsia="Times New Roman" w:hAnsiTheme="minorBidi"/>
          <w:lang w:eastAsia="en-GB"/>
        </w:rPr>
        <w:t>However, the language of vulne</w:t>
      </w:r>
      <w:r w:rsidR="00B62DFA" w:rsidRPr="00877A49">
        <w:rPr>
          <w:rFonts w:asciiTheme="minorBidi" w:eastAsia="Times New Roman" w:hAnsiTheme="minorBidi"/>
          <w:lang w:eastAsia="en-GB"/>
        </w:rPr>
        <w:t>rability can sometimes emphasise</w:t>
      </w:r>
      <w:r w:rsidRPr="009E1B11">
        <w:rPr>
          <w:rFonts w:asciiTheme="minorBidi" w:eastAsia="Times New Roman" w:hAnsiTheme="minorBidi"/>
          <w:lang w:eastAsia="en-GB"/>
        </w:rPr>
        <w:t xml:space="preserve"> negative stereotypes about disabled people. The Social Model encourages professionals to consider how vulnerability may also arise from power imbalances, institutional dependence and inaccessible complaints </w:t>
      </w:r>
      <w:r w:rsidR="00B62DFA" w:rsidRPr="00877A49">
        <w:rPr>
          <w:rFonts w:asciiTheme="minorBidi" w:eastAsia="Times New Roman" w:hAnsiTheme="minorBidi"/>
          <w:lang w:eastAsia="en-GB"/>
        </w:rPr>
        <w:t>systems. Safeguarding</w:t>
      </w:r>
      <w:r w:rsidRPr="009E1B11">
        <w:rPr>
          <w:rFonts w:asciiTheme="minorBidi" w:eastAsia="Times New Roman" w:hAnsiTheme="minorBidi"/>
          <w:lang w:eastAsia="en-GB"/>
        </w:rPr>
        <w:t xml:space="preserve"> should therefore protect people from abuse while avoiding unnecessary restrictions on autonomy and independence.</w:t>
      </w:r>
    </w:p>
    <w:p w14:paraId="1E1BFC8C" w14:textId="77777777" w:rsidR="00314630" w:rsidRPr="009E1B11" w:rsidRDefault="00314630" w:rsidP="006F1004">
      <w:pPr>
        <w:spacing w:before="100" w:beforeAutospacing="1" w:after="100" w:afterAutospacing="1" w:line="360" w:lineRule="auto"/>
        <w:outlineLvl w:val="1"/>
        <w:rPr>
          <w:rFonts w:asciiTheme="minorBidi" w:eastAsia="Times New Roman" w:hAnsiTheme="minorBidi"/>
          <w:b/>
          <w:bCs/>
          <w:lang w:eastAsia="en-GB"/>
        </w:rPr>
      </w:pPr>
      <w:r w:rsidRPr="00877A49">
        <w:rPr>
          <w:rFonts w:asciiTheme="minorBidi" w:eastAsia="Times New Roman" w:hAnsiTheme="minorBidi"/>
          <w:b/>
          <w:bCs/>
          <w:lang w:eastAsia="en-GB"/>
        </w:rPr>
        <w:t>CHALLENGES INVOLVED IN APPLYING THE SOCIAL MODEL TO PRACTICE</w:t>
      </w:r>
    </w:p>
    <w:p w14:paraId="32B437A4" w14:textId="77777777" w:rsidR="00314630" w:rsidRPr="009E1B11" w:rsidRDefault="00314630" w:rsidP="006F1004">
      <w:pPr>
        <w:spacing w:before="100" w:beforeAutospacing="1" w:after="100" w:afterAutospacing="1" w:line="360" w:lineRule="auto"/>
        <w:rPr>
          <w:rFonts w:asciiTheme="minorBidi" w:eastAsia="Times New Roman" w:hAnsiTheme="minorBidi"/>
          <w:lang w:eastAsia="en-GB"/>
        </w:rPr>
      </w:pPr>
      <w:r w:rsidRPr="009E1B11">
        <w:rPr>
          <w:rFonts w:asciiTheme="minorBidi" w:eastAsia="Times New Roman" w:hAnsiTheme="minorBidi"/>
          <w:lang w:eastAsia="en-GB"/>
        </w:rPr>
        <w:lastRenderedPageBreak/>
        <w:t>Despite the positive influence of the Social Model, its application to health and social care presents several challenges.</w:t>
      </w:r>
    </w:p>
    <w:p w14:paraId="46C74B92" w14:textId="77777777" w:rsidR="00314630" w:rsidRPr="009E1B11" w:rsidRDefault="00314630" w:rsidP="006F1004">
      <w:pPr>
        <w:spacing w:before="100" w:beforeAutospacing="1" w:after="100" w:afterAutospacing="1" w:line="360" w:lineRule="auto"/>
        <w:rPr>
          <w:rFonts w:asciiTheme="minorBidi" w:eastAsia="Times New Roman" w:hAnsiTheme="minorBidi"/>
          <w:lang w:eastAsia="en-GB"/>
        </w:rPr>
      </w:pPr>
      <w:r w:rsidRPr="00877A49">
        <w:rPr>
          <w:rFonts w:asciiTheme="minorBidi" w:eastAsia="Times New Roman" w:hAnsiTheme="minorBidi"/>
          <w:lang w:eastAsia="en-GB"/>
        </w:rPr>
        <w:t>Resource limitations</w:t>
      </w:r>
      <w:r w:rsidRPr="009E1B11">
        <w:rPr>
          <w:rFonts w:asciiTheme="minorBidi" w:eastAsia="Times New Roman" w:hAnsiTheme="minorBidi"/>
          <w:lang w:eastAsia="en-GB"/>
        </w:rPr>
        <w:t xml:space="preserve"> may restrict meaningful personalisation. Effective person-centred care requires sufficient staffing, funding and flexible services. Where services are limited, individuals may be unable to exercise genuine choice.</w:t>
      </w:r>
    </w:p>
    <w:p w14:paraId="66AAF455" w14:textId="77777777" w:rsidR="00314630" w:rsidRPr="009E1B11" w:rsidRDefault="00314630" w:rsidP="006F1004">
      <w:pPr>
        <w:spacing w:before="100" w:beforeAutospacing="1" w:after="100" w:afterAutospacing="1" w:line="360" w:lineRule="auto"/>
        <w:rPr>
          <w:rFonts w:asciiTheme="minorBidi" w:eastAsia="Times New Roman" w:hAnsiTheme="minorBidi"/>
          <w:lang w:eastAsia="en-GB"/>
        </w:rPr>
      </w:pPr>
      <w:r w:rsidRPr="00877A49">
        <w:rPr>
          <w:rFonts w:asciiTheme="minorBidi" w:eastAsia="Times New Roman" w:hAnsiTheme="minorBidi"/>
          <w:lang w:eastAsia="en-GB"/>
        </w:rPr>
        <w:t>T</w:t>
      </w:r>
      <w:r w:rsidRPr="009E1B11">
        <w:rPr>
          <w:rFonts w:asciiTheme="minorBidi" w:eastAsia="Times New Roman" w:hAnsiTheme="minorBidi"/>
          <w:lang w:eastAsia="en-GB"/>
        </w:rPr>
        <w:t xml:space="preserve">here may be </w:t>
      </w:r>
      <w:r w:rsidRPr="00877A49">
        <w:rPr>
          <w:rFonts w:asciiTheme="minorBidi" w:eastAsia="Times New Roman" w:hAnsiTheme="minorBidi"/>
          <w:lang w:eastAsia="en-GB"/>
        </w:rPr>
        <w:t>inconsistency in professional practice</w:t>
      </w:r>
      <w:r w:rsidRPr="009E1B11">
        <w:rPr>
          <w:rFonts w:asciiTheme="minorBidi" w:eastAsia="Times New Roman" w:hAnsiTheme="minorBidi"/>
          <w:lang w:eastAsia="en-GB"/>
        </w:rPr>
        <w:t>. Person-centred care depends partly on staff attitudes, values and competence. Some professionals may promote autonomy, while others may continue paternalistic practices.</w:t>
      </w:r>
    </w:p>
    <w:p w14:paraId="476C47FB" w14:textId="77777777" w:rsidR="00314630" w:rsidRPr="009E1B11" w:rsidRDefault="00314630" w:rsidP="006F1004">
      <w:pPr>
        <w:spacing w:before="100" w:beforeAutospacing="1" w:after="100" w:afterAutospacing="1" w:line="360" w:lineRule="auto"/>
        <w:rPr>
          <w:rFonts w:asciiTheme="minorBidi" w:eastAsia="Times New Roman" w:hAnsiTheme="minorBidi"/>
          <w:lang w:eastAsia="en-GB"/>
        </w:rPr>
      </w:pPr>
      <w:r w:rsidRPr="00877A49">
        <w:rPr>
          <w:rFonts w:asciiTheme="minorBidi" w:eastAsia="Times New Roman" w:hAnsiTheme="minorBidi"/>
          <w:lang w:eastAsia="en-GB"/>
        </w:rPr>
        <w:t>T</w:t>
      </w:r>
      <w:r w:rsidRPr="009E1B11">
        <w:rPr>
          <w:rFonts w:asciiTheme="minorBidi" w:eastAsia="Times New Roman" w:hAnsiTheme="minorBidi"/>
          <w:lang w:eastAsia="en-GB"/>
        </w:rPr>
        <w:t xml:space="preserve">here is a continuing tension between </w:t>
      </w:r>
      <w:r w:rsidRPr="00877A49">
        <w:rPr>
          <w:rFonts w:asciiTheme="minorBidi" w:eastAsia="Times New Roman" w:hAnsiTheme="minorBidi"/>
          <w:lang w:eastAsia="en-GB"/>
        </w:rPr>
        <w:t>autonomy and safeguarding</w:t>
      </w:r>
      <w:r w:rsidRPr="009E1B11">
        <w:rPr>
          <w:rFonts w:asciiTheme="minorBidi" w:eastAsia="Times New Roman" w:hAnsiTheme="minorBidi"/>
          <w:lang w:eastAsia="en-GB"/>
        </w:rPr>
        <w:t>. Professionals may become risk-averse because of organisational accountability. This can result in unnecessary restrictions that limit independence.</w:t>
      </w:r>
    </w:p>
    <w:p w14:paraId="20123FA1" w14:textId="77777777" w:rsidR="00314630" w:rsidRPr="009E1B11" w:rsidRDefault="00314630" w:rsidP="006F1004">
      <w:pPr>
        <w:spacing w:before="100" w:beforeAutospacing="1" w:after="100" w:afterAutospacing="1" w:line="360" w:lineRule="auto"/>
        <w:rPr>
          <w:rFonts w:asciiTheme="minorBidi" w:eastAsia="Times New Roman" w:hAnsiTheme="minorBidi"/>
          <w:lang w:eastAsia="en-GB"/>
        </w:rPr>
      </w:pPr>
      <w:r w:rsidRPr="00877A49">
        <w:rPr>
          <w:rFonts w:asciiTheme="minorBidi" w:eastAsia="Times New Roman" w:hAnsiTheme="minorBidi"/>
          <w:lang w:eastAsia="en-GB"/>
        </w:rPr>
        <w:t>Communication barriers</w:t>
      </w:r>
      <w:r w:rsidRPr="009E1B11">
        <w:rPr>
          <w:rFonts w:asciiTheme="minorBidi" w:eastAsia="Times New Roman" w:hAnsiTheme="minorBidi"/>
          <w:lang w:eastAsia="en-GB"/>
        </w:rPr>
        <w:t xml:space="preserve"> can prevent effective participation. People with complex communication needs may require additional time and specialist support. Failure to provide these adjustments may result in inaccurate assessments of capacity or preference.</w:t>
      </w:r>
    </w:p>
    <w:p w14:paraId="771FB5FD" w14:textId="77777777" w:rsidR="00314630" w:rsidRPr="009E1B11" w:rsidRDefault="00314630" w:rsidP="006F1004">
      <w:pPr>
        <w:spacing w:before="100" w:beforeAutospacing="1" w:after="100" w:afterAutospacing="1" w:line="360" w:lineRule="auto"/>
        <w:rPr>
          <w:rFonts w:asciiTheme="minorBidi" w:eastAsia="Times New Roman" w:hAnsiTheme="minorBidi"/>
          <w:lang w:eastAsia="en-GB"/>
        </w:rPr>
      </w:pPr>
      <w:r w:rsidRPr="009E1B11">
        <w:rPr>
          <w:rFonts w:asciiTheme="minorBidi" w:eastAsia="Times New Roman" w:hAnsiTheme="minorBidi"/>
          <w:lang w:eastAsia="en-GB"/>
        </w:rPr>
        <w:t xml:space="preserve">Finally, wider </w:t>
      </w:r>
      <w:r w:rsidRPr="00877A49">
        <w:rPr>
          <w:rFonts w:asciiTheme="minorBidi" w:eastAsia="Times New Roman" w:hAnsiTheme="minorBidi"/>
          <w:lang w:eastAsia="en-GB"/>
        </w:rPr>
        <w:t>social and economic inequalities</w:t>
      </w:r>
      <w:r w:rsidRPr="009E1B11">
        <w:rPr>
          <w:rFonts w:asciiTheme="minorBidi" w:eastAsia="Times New Roman" w:hAnsiTheme="minorBidi"/>
          <w:lang w:eastAsia="en-GB"/>
        </w:rPr>
        <w:t xml:space="preserve"> can restrict the effectiveness of individualised care. Bartley (2016) demonstrates that health inequalities are influenced by wider social and economic circumstances. Marmot et al. (2020) similarly identify persistent inequalities associated with socioeconomic disadvantage. This means that person-centred care alone cannot overcome poverty, poor housing, unemployment or social exclusion.</w:t>
      </w:r>
    </w:p>
    <w:p w14:paraId="16959516" w14:textId="77777777" w:rsidR="00314630" w:rsidRPr="009E1B11" w:rsidRDefault="00314630" w:rsidP="006F1004">
      <w:pPr>
        <w:spacing w:before="100" w:beforeAutospacing="1" w:after="100" w:afterAutospacing="1" w:line="360" w:lineRule="auto"/>
        <w:rPr>
          <w:rFonts w:asciiTheme="minorBidi" w:eastAsia="Times New Roman" w:hAnsiTheme="minorBidi"/>
          <w:lang w:eastAsia="en-GB"/>
        </w:rPr>
      </w:pPr>
      <w:r w:rsidRPr="009E1B11">
        <w:rPr>
          <w:rFonts w:asciiTheme="minorBidi" w:eastAsia="Times New Roman" w:hAnsiTheme="minorBidi"/>
          <w:lang w:eastAsia="en-GB"/>
        </w:rPr>
        <w:t>The scale of disability also demonstrates why inclusive policy is necessary. Office for National Statistics (2023) data on disability in England and Wales indicate the significant number of people affected by disability. Consequently, accessibility and inclusion should be mainstream considerations in health and social care rather than specialised concerns.</w:t>
      </w:r>
    </w:p>
    <w:p w14:paraId="03852F4F" w14:textId="77777777" w:rsidR="00314630" w:rsidRPr="009E1B11" w:rsidRDefault="00314630" w:rsidP="006F1004">
      <w:pPr>
        <w:spacing w:before="100" w:beforeAutospacing="1" w:after="100" w:afterAutospacing="1" w:line="360" w:lineRule="auto"/>
        <w:outlineLvl w:val="1"/>
        <w:rPr>
          <w:rFonts w:asciiTheme="minorBidi" w:eastAsia="Times New Roman" w:hAnsiTheme="minorBidi"/>
          <w:b/>
          <w:bCs/>
          <w:lang w:eastAsia="en-GB"/>
        </w:rPr>
      </w:pPr>
      <w:r w:rsidRPr="00877A49">
        <w:rPr>
          <w:rFonts w:asciiTheme="minorBidi" w:eastAsia="Times New Roman" w:hAnsiTheme="minorBidi"/>
          <w:b/>
          <w:bCs/>
          <w:lang w:eastAsia="en-GB"/>
        </w:rPr>
        <w:t xml:space="preserve">RECOMMENDATIONS </w:t>
      </w:r>
    </w:p>
    <w:p w14:paraId="277493A9" w14:textId="77777777" w:rsidR="00314630" w:rsidRPr="009E1B11" w:rsidRDefault="00314630" w:rsidP="006F1004">
      <w:pPr>
        <w:spacing w:before="100" w:beforeAutospacing="1" w:after="100" w:afterAutospacing="1" w:line="360" w:lineRule="auto"/>
        <w:outlineLvl w:val="2"/>
        <w:rPr>
          <w:rFonts w:asciiTheme="minorBidi" w:eastAsia="Times New Roman" w:hAnsiTheme="minorBidi"/>
          <w:b/>
          <w:bCs/>
          <w:lang w:eastAsia="en-GB"/>
        </w:rPr>
      </w:pPr>
      <w:r w:rsidRPr="00877A49">
        <w:rPr>
          <w:rFonts w:asciiTheme="minorBidi" w:eastAsia="Times New Roman" w:hAnsiTheme="minorBidi"/>
          <w:b/>
          <w:bCs/>
          <w:lang w:eastAsia="en-GB"/>
        </w:rPr>
        <w:t xml:space="preserve"> </w:t>
      </w:r>
      <w:r w:rsidRPr="009E1B11">
        <w:rPr>
          <w:rFonts w:asciiTheme="minorBidi" w:eastAsia="Times New Roman" w:hAnsiTheme="minorBidi"/>
          <w:lang w:eastAsia="en-GB"/>
        </w:rPr>
        <w:t xml:space="preserve">Health and social care organisations should strengthen co-production by involving disabled people in service design, commissioning and evaluation. Service users should be recognised as partners with valuable lived </w:t>
      </w:r>
      <w:r w:rsidR="00B62DFA" w:rsidRPr="00877A49">
        <w:rPr>
          <w:rFonts w:asciiTheme="minorBidi" w:eastAsia="Times New Roman" w:hAnsiTheme="minorBidi"/>
          <w:lang w:eastAsia="en-GB"/>
        </w:rPr>
        <w:t>experience. The</w:t>
      </w:r>
      <w:r w:rsidRPr="009E1B11">
        <w:rPr>
          <w:rFonts w:asciiTheme="minorBidi" w:eastAsia="Times New Roman" w:hAnsiTheme="minorBidi"/>
          <w:lang w:eastAsia="en-GB"/>
        </w:rPr>
        <w:t xml:space="preserve"> potential benefit is greater empowerment and services that better reflect actual needs.</w:t>
      </w:r>
    </w:p>
    <w:p w14:paraId="3E518972" w14:textId="77777777" w:rsidR="00314630" w:rsidRPr="009E1B11" w:rsidRDefault="00314630" w:rsidP="006F1004">
      <w:pPr>
        <w:spacing w:before="100" w:beforeAutospacing="1" w:after="100" w:afterAutospacing="1" w:line="360" w:lineRule="auto"/>
        <w:outlineLvl w:val="2"/>
        <w:rPr>
          <w:rFonts w:asciiTheme="minorBidi" w:eastAsia="Times New Roman" w:hAnsiTheme="minorBidi"/>
          <w:b/>
          <w:bCs/>
          <w:lang w:eastAsia="en-GB"/>
        </w:rPr>
      </w:pPr>
      <w:r w:rsidRPr="009E1B11">
        <w:rPr>
          <w:rFonts w:asciiTheme="minorBidi" w:eastAsia="Times New Roman" w:hAnsiTheme="minorBidi"/>
          <w:lang w:eastAsia="en-GB"/>
        </w:rPr>
        <w:lastRenderedPageBreak/>
        <w:t>Organisations should implement the Equality Act 2010 proactively by identifying accessibility barriers before they prevent participation. This should include accessible information, flexible communication and appropriate physical access.</w:t>
      </w:r>
    </w:p>
    <w:p w14:paraId="5912A617" w14:textId="77777777" w:rsidR="00314630" w:rsidRPr="009E1B11" w:rsidRDefault="00314630" w:rsidP="006F1004">
      <w:pPr>
        <w:spacing w:before="100" w:beforeAutospacing="1" w:after="100" w:afterAutospacing="1" w:line="360" w:lineRule="auto"/>
        <w:outlineLvl w:val="2"/>
        <w:rPr>
          <w:rFonts w:asciiTheme="minorBidi" w:eastAsia="Times New Roman" w:hAnsiTheme="minorBidi"/>
          <w:b/>
          <w:bCs/>
          <w:lang w:eastAsia="en-GB"/>
        </w:rPr>
      </w:pPr>
      <w:r w:rsidRPr="009E1B11">
        <w:rPr>
          <w:rFonts w:asciiTheme="minorBidi" w:eastAsia="Times New Roman" w:hAnsiTheme="minorBidi"/>
          <w:lang w:eastAsia="en-GB"/>
        </w:rPr>
        <w:t>Professionals should receive regular training in the Mental Capacity Act 2005 and supported decision-making. Individuals should receive accessible information and communication support before conclusions are reached about capacity.</w:t>
      </w:r>
    </w:p>
    <w:p w14:paraId="3B7AABBA" w14:textId="77777777" w:rsidR="00314630" w:rsidRPr="009E1B11" w:rsidRDefault="00314630" w:rsidP="006F1004">
      <w:pPr>
        <w:spacing w:before="100" w:beforeAutospacing="1" w:after="100" w:afterAutospacing="1" w:line="360" w:lineRule="auto"/>
        <w:rPr>
          <w:rFonts w:asciiTheme="minorBidi" w:eastAsia="Times New Roman" w:hAnsiTheme="minorBidi"/>
          <w:lang w:eastAsia="en-GB"/>
        </w:rPr>
      </w:pPr>
      <w:r w:rsidRPr="009E1B11">
        <w:rPr>
          <w:rFonts w:asciiTheme="minorBidi" w:eastAsia="Times New Roman" w:hAnsiTheme="minorBidi"/>
          <w:lang w:eastAsia="en-GB"/>
        </w:rPr>
        <w:t xml:space="preserve">Safeguarding procedures should balance protection with autonomy. Disabled people should be involved in safeguarding decisions wherever </w:t>
      </w:r>
      <w:r w:rsidR="00B62DFA" w:rsidRPr="00877A49">
        <w:rPr>
          <w:rFonts w:asciiTheme="minorBidi" w:eastAsia="Times New Roman" w:hAnsiTheme="minorBidi"/>
          <w:lang w:eastAsia="en-GB"/>
        </w:rPr>
        <w:t>possible. Professionals</w:t>
      </w:r>
      <w:r w:rsidRPr="009E1B11">
        <w:rPr>
          <w:rFonts w:asciiTheme="minorBidi" w:eastAsia="Times New Roman" w:hAnsiTheme="minorBidi"/>
          <w:lang w:eastAsia="en-GB"/>
        </w:rPr>
        <w:t xml:space="preserve"> should avoid </w:t>
      </w:r>
      <w:proofErr w:type="gramStart"/>
      <w:r w:rsidRPr="009E1B11">
        <w:rPr>
          <w:rFonts w:asciiTheme="minorBidi" w:eastAsia="Times New Roman" w:hAnsiTheme="minorBidi"/>
          <w:lang w:eastAsia="en-GB"/>
        </w:rPr>
        <w:t>assuming that</w:t>
      </w:r>
      <w:proofErr w:type="gramEnd"/>
      <w:r w:rsidRPr="009E1B11">
        <w:rPr>
          <w:rFonts w:asciiTheme="minorBidi" w:eastAsia="Times New Roman" w:hAnsiTheme="minorBidi"/>
          <w:lang w:eastAsia="en-GB"/>
        </w:rPr>
        <w:t xml:space="preserve"> disability automatically means vulnerability or incapacity. Risk should be assessed individually and proportionately.</w:t>
      </w:r>
    </w:p>
    <w:p w14:paraId="6C1AE392" w14:textId="20868F3F" w:rsidR="00314630" w:rsidRPr="009E1B11" w:rsidRDefault="00314630" w:rsidP="006F1004">
      <w:pPr>
        <w:spacing w:before="100" w:beforeAutospacing="1" w:after="100" w:afterAutospacing="1" w:line="360" w:lineRule="auto"/>
        <w:rPr>
          <w:rFonts w:asciiTheme="minorBidi" w:eastAsia="Times New Roman" w:hAnsiTheme="minorBidi"/>
          <w:lang w:eastAsia="en-GB"/>
        </w:rPr>
      </w:pPr>
      <w:r w:rsidRPr="009E1B11">
        <w:rPr>
          <w:rFonts w:asciiTheme="minorBidi" w:eastAsia="Times New Roman" w:hAnsiTheme="minorBidi"/>
          <w:lang w:eastAsia="en-GB"/>
        </w:rPr>
        <w:t xml:space="preserve">Health and social care organisations should work with housing, transport, employment and community services to address wider barriers. Bartley (2016) and Marmot et al. (2020) demonstrate why </w:t>
      </w:r>
      <w:r w:rsidR="0099293A" w:rsidRPr="009E1B11">
        <w:rPr>
          <w:rFonts w:asciiTheme="minorBidi" w:eastAsia="Times New Roman" w:hAnsiTheme="minorBidi"/>
          <w:lang w:eastAsia="en-GB"/>
        </w:rPr>
        <w:t>health,</w:t>
      </w:r>
      <w:r w:rsidRPr="009E1B11">
        <w:rPr>
          <w:rFonts w:asciiTheme="minorBidi" w:eastAsia="Times New Roman" w:hAnsiTheme="minorBidi"/>
          <w:lang w:eastAsia="en-GB"/>
        </w:rPr>
        <w:t xml:space="preserve"> and social care cannot be separated from broader social determinants.</w:t>
      </w:r>
    </w:p>
    <w:p w14:paraId="5E99528C" w14:textId="77777777" w:rsidR="00314630" w:rsidRPr="009E1B11" w:rsidRDefault="00314630" w:rsidP="006F1004">
      <w:pPr>
        <w:spacing w:before="100" w:beforeAutospacing="1" w:after="100" w:afterAutospacing="1" w:line="360" w:lineRule="auto"/>
        <w:outlineLvl w:val="1"/>
        <w:rPr>
          <w:rFonts w:asciiTheme="minorBidi" w:eastAsia="Times New Roman" w:hAnsiTheme="minorBidi"/>
          <w:b/>
          <w:bCs/>
          <w:lang w:eastAsia="en-GB"/>
        </w:rPr>
      </w:pPr>
      <w:r w:rsidRPr="00877A49">
        <w:rPr>
          <w:rFonts w:asciiTheme="minorBidi" w:eastAsia="Times New Roman" w:hAnsiTheme="minorBidi"/>
          <w:b/>
          <w:bCs/>
          <w:lang w:eastAsia="en-GB"/>
        </w:rPr>
        <w:t>CONCLUSION</w:t>
      </w:r>
    </w:p>
    <w:p w14:paraId="3B009E19" w14:textId="77777777" w:rsidR="00314630" w:rsidRDefault="00314630" w:rsidP="006F1004">
      <w:pPr>
        <w:spacing w:before="100" w:beforeAutospacing="1" w:after="100" w:afterAutospacing="1" w:line="360" w:lineRule="auto"/>
        <w:rPr>
          <w:rFonts w:asciiTheme="minorBidi" w:eastAsia="Times New Roman" w:hAnsiTheme="minorBidi"/>
          <w:lang w:eastAsia="en-GB"/>
        </w:rPr>
      </w:pPr>
      <w:r w:rsidRPr="009E1B11">
        <w:rPr>
          <w:rFonts w:asciiTheme="minorBidi" w:eastAsia="Times New Roman" w:hAnsiTheme="minorBidi"/>
          <w:lang w:eastAsia="en-GB"/>
        </w:rPr>
        <w:t xml:space="preserve">The </w:t>
      </w:r>
      <w:r w:rsidRPr="00877A49">
        <w:rPr>
          <w:rFonts w:asciiTheme="minorBidi" w:eastAsia="Times New Roman" w:hAnsiTheme="minorBidi"/>
          <w:lang w:eastAsia="en-GB"/>
        </w:rPr>
        <w:t>Social Model remains</w:t>
      </w:r>
      <w:r w:rsidRPr="009E1B11">
        <w:rPr>
          <w:rFonts w:asciiTheme="minorBidi" w:eastAsia="Times New Roman" w:hAnsiTheme="minorBidi"/>
          <w:lang w:eastAsia="en-GB"/>
        </w:rPr>
        <w:t xml:space="preserve"> relevant to person-centred care because it shifts attention from attempting to change individuals towards removing the barriers that restrict their participation. Its greatest value is achieved when it is combined with recognition of individual health needs and wider socioeconomic inequalities. A genuinely person-centred health and social care system must therefore address both the individual's needs and the social structures that influence their opportunities, ensuring that disabled people are treated not merely as recipients of care but as active citizens with rights, choices and control over their lives.</w:t>
      </w:r>
    </w:p>
    <w:p w14:paraId="21BE0BBC" w14:textId="77777777" w:rsidR="00877A49" w:rsidRDefault="00877A49" w:rsidP="006F1004">
      <w:pPr>
        <w:spacing w:before="100" w:beforeAutospacing="1" w:after="100" w:afterAutospacing="1" w:line="360" w:lineRule="auto"/>
        <w:rPr>
          <w:rFonts w:asciiTheme="minorBidi" w:eastAsia="Times New Roman" w:hAnsiTheme="minorBidi"/>
          <w:lang w:eastAsia="en-GB"/>
        </w:rPr>
      </w:pPr>
    </w:p>
    <w:p w14:paraId="12D4FF4B" w14:textId="77777777" w:rsidR="00877A49" w:rsidRDefault="00877A49" w:rsidP="006F1004">
      <w:pPr>
        <w:spacing w:before="100" w:beforeAutospacing="1" w:after="100" w:afterAutospacing="1" w:line="360" w:lineRule="auto"/>
        <w:rPr>
          <w:rFonts w:asciiTheme="minorBidi" w:eastAsia="Times New Roman" w:hAnsiTheme="minorBidi"/>
          <w:lang w:eastAsia="en-GB"/>
        </w:rPr>
      </w:pPr>
    </w:p>
    <w:p w14:paraId="1052AB7A" w14:textId="77777777" w:rsidR="00877A49" w:rsidRDefault="00877A49" w:rsidP="006F1004">
      <w:pPr>
        <w:spacing w:before="100" w:beforeAutospacing="1" w:after="100" w:afterAutospacing="1" w:line="360" w:lineRule="auto"/>
        <w:rPr>
          <w:rFonts w:asciiTheme="minorBidi" w:eastAsia="Times New Roman" w:hAnsiTheme="minorBidi"/>
          <w:lang w:eastAsia="en-GB"/>
        </w:rPr>
      </w:pPr>
    </w:p>
    <w:p w14:paraId="4E8928E2" w14:textId="77777777" w:rsidR="00877A49" w:rsidRDefault="00877A49" w:rsidP="006F1004">
      <w:pPr>
        <w:spacing w:before="100" w:beforeAutospacing="1" w:after="100" w:afterAutospacing="1" w:line="360" w:lineRule="auto"/>
        <w:rPr>
          <w:rFonts w:asciiTheme="minorBidi" w:eastAsia="Times New Roman" w:hAnsiTheme="minorBidi"/>
          <w:lang w:eastAsia="en-GB"/>
        </w:rPr>
      </w:pPr>
    </w:p>
    <w:p w14:paraId="7EF23D77" w14:textId="77777777" w:rsidR="00877A49" w:rsidRDefault="00877A49" w:rsidP="006F1004">
      <w:pPr>
        <w:spacing w:before="100" w:beforeAutospacing="1" w:after="100" w:afterAutospacing="1" w:line="360" w:lineRule="auto"/>
        <w:rPr>
          <w:rFonts w:asciiTheme="minorBidi" w:eastAsia="Times New Roman" w:hAnsiTheme="minorBidi"/>
          <w:lang w:eastAsia="en-GB"/>
        </w:rPr>
      </w:pPr>
    </w:p>
    <w:p w14:paraId="2E2CF67E" w14:textId="77777777" w:rsidR="00877A49" w:rsidRDefault="00877A49" w:rsidP="006F1004">
      <w:pPr>
        <w:spacing w:before="100" w:beforeAutospacing="1" w:after="100" w:afterAutospacing="1" w:line="360" w:lineRule="auto"/>
        <w:rPr>
          <w:rFonts w:asciiTheme="minorBidi" w:eastAsia="Times New Roman" w:hAnsiTheme="minorBidi"/>
          <w:lang w:eastAsia="en-GB"/>
        </w:rPr>
      </w:pPr>
    </w:p>
    <w:p w14:paraId="0DF907C8" w14:textId="77777777" w:rsidR="00877A49" w:rsidRDefault="00877A49" w:rsidP="006F1004">
      <w:pPr>
        <w:spacing w:before="100" w:beforeAutospacing="1" w:after="100" w:afterAutospacing="1" w:line="360" w:lineRule="auto"/>
        <w:rPr>
          <w:rFonts w:asciiTheme="minorBidi" w:eastAsia="Times New Roman" w:hAnsiTheme="minorBidi"/>
          <w:lang w:eastAsia="en-GB"/>
        </w:rPr>
      </w:pPr>
    </w:p>
    <w:p w14:paraId="25AC4C7D" w14:textId="77777777" w:rsidR="00877A49" w:rsidRPr="009E1B11" w:rsidRDefault="00877A49" w:rsidP="006F1004">
      <w:pPr>
        <w:spacing w:before="100" w:beforeAutospacing="1" w:after="100" w:afterAutospacing="1" w:line="360" w:lineRule="auto"/>
        <w:rPr>
          <w:rFonts w:asciiTheme="minorBidi" w:eastAsia="Times New Roman" w:hAnsiTheme="minorBidi"/>
          <w:lang w:eastAsia="en-GB"/>
        </w:rPr>
      </w:pPr>
    </w:p>
    <w:p w14:paraId="5DFF202A" w14:textId="77777777" w:rsidR="00314630" w:rsidRPr="00626607" w:rsidRDefault="00314630" w:rsidP="006F1004">
      <w:pPr>
        <w:spacing w:before="100" w:beforeAutospacing="1" w:after="100" w:afterAutospacing="1" w:line="360" w:lineRule="auto"/>
        <w:outlineLvl w:val="0"/>
        <w:rPr>
          <w:rFonts w:asciiTheme="minorBidi" w:eastAsia="Times New Roman" w:hAnsiTheme="minorBidi"/>
          <w:b/>
          <w:bCs/>
          <w:kern w:val="36"/>
          <w:lang w:eastAsia="en-GB"/>
        </w:rPr>
      </w:pPr>
      <w:r w:rsidRPr="00877A49">
        <w:rPr>
          <w:rFonts w:asciiTheme="minorBidi" w:eastAsia="Times New Roman" w:hAnsiTheme="minorBidi"/>
          <w:b/>
          <w:bCs/>
          <w:kern w:val="36"/>
          <w:lang w:eastAsia="en-GB"/>
        </w:rPr>
        <w:t>REFERENCES</w:t>
      </w:r>
    </w:p>
    <w:p w14:paraId="1F81D369" w14:textId="77777777" w:rsidR="00314630" w:rsidRPr="00626607" w:rsidRDefault="00314630" w:rsidP="006F1004">
      <w:pPr>
        <w:spacing w:before="100" w:beforeAutospacing="1" w:after="100" w:afterAutospacing="1" w:line="360" w:lineRule="auto"/>
        <w:rPr>
          <w:rFonts w:asciiTheme="minorBidi" w:eastAsia="Times New Roman" w:hAnsiTheme="minorBidi"/>
          <w:lang w:eastAsia="en-GB"/>
        </w:rPr>
      </w:pPr>
      <w:r w:rsidRPr="00626607">
        <w:rPr>
          <w:rFonts w:asciiTheme="minorBidi" w:eastAsia="Times New Roman" w:hAnsiTheme="minorBidi"/>
          <w:lang w:eastAsia="en-GB"/>
        </w:rPr>
        <w:t xml:space="preserve">Akhtar, F. (2013) </w:t>
      </w:r>
      <w:r w:rsidRPr="00877A49">
        <w:rPr>
          <w:rFonts w:asciiTheme="minorBidi" w:eastAsia="Times New Roman" w:hAnsiTheme="minorBidi"/>
          <w:i/>
          <w:iCs/>
          <w:lang w:eastAsia="en-GB"/>
        </w:rPr>
        <w:t>Mastering social work values and ethics: Mastering social work skills</w:t>
      </w:r>
      <w:r w:rsidRPr="00626607">
        <w:rPr>
          <w:rFonts w:asciiTheme="minorBidi" w:eastAsia="Times New Roman" w:hAnsiTheme="minorBidi"/>
          <w:lang w:eastAsia="en-GB"/>
        </w:rPr>
        <w:t>. London: Jessica Kingsley Publishers.</w:t>
      </w:r>
    </w:p>
    <w:p w14:paraId="5298290D" w14:textId="77777777" w:rsidR="00314630" w:rsidRPr="00626607" w:rsidRDefault="00314630" w:rsidP="006F1004">
      <w:pPr>
        <w:spacing w:before="100" w:beforeAutospacing="1" w:after="100" w:afterAutospacing="1" w:line="360" w:lineRule="auto"/>
        <w:rPr>
          <w:rFonts w:asciiTheme="minorBidi" w:eastAsia="Times New Roman" w:hAnsiTheme="minorBidi"/>
          <w:lang w:eastAsia="en-GB"/>
        </w:rPr>
      </w:pPr>
      <w:r w:rsidRPr="00626607">
        <w:rPr>
          <w:rFonts w:asciiTheme="minorBidi" w:eastAsia="Times New Roman" w:hAnsiTheme="minorBidi"/>
          <w:lang w:eastAsia="en-GB"/>
        </w:rPr>
        <w:t xml:space="preserve">Bartley, M. (2016) </w:t>
      </w:r>
      <w:r w:rsidRPr="00877A49">
        <w:rPr>
          <w:rFonts w:asciiTheme="minorBidi" w:eastAsia="Times New Roman" w:hAnsiTheme="minorBidi"/>
          <w:i/>
          <w:iCs/>
          <w:lang w:eastAsia="en-GB"/>
        </w:rPr>
        <w:t>Health inequality: An introduction to concepts, theories and methods</w:t>
      </w:r>
      <w:r w:rsidRPr="00626607">
        <w:rPr>
          <w:rFonts w:asciiTheme="minorBidi" w:eastAsia="Times New Roman" w:hAnsiTheme="minorBidi"/>
          <w:lang w:eastAsia="en-GB"/>
        </w:rPr>
        <w:t>. 2nd edn. Cambridge: Polity Press.</w:t>
      </w:r>
    </w:p>
    <w:p w14:paraId="326BC39F" w14:textId="77777777" w:rsidR="00314630" w:rsidRPr="00626607" w:rsidRDefault="00314630" w:rsidP="006F1004">
      <w:pPr>
        <w:spacing w:before="100" w:beforeAutospacing="1" w:after="100" w:afterAutospacing="1" w:line="360" w:lineRule="auto"/>
        <w:rPr>
          <w:rFonts w:asciiTheme="minorBidi" w:eastAsia="Times New Roman" w:hAnsiTheme="minorBidi"/>
          <w:lang w:eastAsia="en-GB"/>
        </w:rPr>
      </w:pPr>
      <w:r w:rsidRPr="00626607">
        <w:rPr>
          <w:rFonts w:asciiTheme="minorBidi" w:eastAsia="Times New Roman" w:hAnsiTheme="minorBidi"/>
          <w:lang w:eastAsia="en-GB"/>
        </w:rPr>
        <w:t xml:space="preserve">Care Act 2014, c. 23. Available at: </w:t>
      </w:r>
      <w:hyperlink r:id="rId8" w:history="1">
        <w:r w:rsidRPr="00877A49">
          <w:rPr>
            <w:rFonts w:asciiTheme="minorBidi" w:eastAsia="Times New Roman" w:hAnsiTheme="minorBidi"/>
            <w:color w:val="0000FF"/>
            <w:u w:val="single"/>
            <w:lang w:eastAsia="en-GB"/>
          </w:rPr>
          <w:t>https://www.legislation.gov.uk/ukpga/2014/23/contents</w:t>
        </w:r>
      </w:hyperlink>
      <w:r w:rsidRPr="00877A49">
        <w:rPr>
          <w:rFonts w:asciiTheme="minorBidi" w:eastAsia="Times New Roman" w:hAnsiTheme="minorBidi"/>
          <w:lang w:eastAsia="en-GB"/>
        </w:rPr>
        <w:t xml:space="preserve"> (Accessed: 29 July</w:t>
      </w:r>
      <w:r w:rsidRPr="00626607">
        <w:rPr>
          <w:rFonts w:asciiTheme="minorBidi" w:eastAsia="Times New Roman" w:hAnsiTheme="minorBidi"/>
          <w:lang w:eastAsia="en-GB"/>
        </w:rPr>
        <w:t xml:space="preserve"> 2026).</w:t>
      </w:r>
    </w:p>
    <w:p w14:paraId="6B3C73D1" w14:textId="77777777" w:rsidR="00314630" w:rsidRPr="00626607" w:rsidRDefault="00314630" w:rsidP="006F1004">
      <w:pPr>
        <w:spacing w:before="100" w:beforeAutospacing="1" w:after="100" w:afterAutospacing="1" w:line="360" w:lineRule="auto"/>
        <w:rPr>
          <w:rFonts w:asciiTheme="minorBidi" w:eastAsia="Times New Roman" w:hAnsiTheme="minorBidi"/>
          <w:lang w:eastAsia="en-GB"/>
        </w:rPr>
      </w:pPr>
      <w:r w:rsidRPr="00626607">
        <w:rPr>
          <w:rFonts w:asciiTheme="minorBidi" w:eastAsia="Times New Roman" w:hAnsiTheme="minorBidi"/>
          <w:lang w:eastAsia="en-GB"/>
        </w:rPr>
        <w:t xml:space="preserve">Data Protection Act 2018, c. 12. Available at: </w:t>
      </w:r>
      <w:hyperlink r:id="rId9" w:history="1">
        <w:r w:rsidRPr="00877A49">
          <w:rPr>
            <w:rFonts w:asciiTheme="minorBidi" w:eastAsia="Times New Roman" w:hAnsiTheme="minorBidi"/>
            <w:color w:val="0000FF"/>
            <w:u w:val="single"/>
            <w:lang w:eastAsia="en-GB"/>
          </w:rPr>
          <w:t>https://www.legislation.gov.uk/ukpga/2018/12/contents</w:t>
        </w:r>
      </w:hyperlink>
      <w:r w:rsidRPr="00877A49">
        <w:rPr>
          <w:rFonts w:asciiTheme="minorBidi" w:eastAsia="Times New Roman" w:hAnsiTheme="minorBidi"/>
          <w:lang w:eastAsia="en-GB"/>
        </w:rPr>
        <w:t xml:space="preserve"> (Accessed: 29 July</w:t>
      </w:r>
      <w:r w:rsidRPr="00626607">
        <w:rPr>
          <w:rFonts w:asciiTheme="minorBidi" w:eastAsia="Times New Roman" w:hAnsiTheme="minorBidi"/>
          <w:lang w:eastAsia="en-GB"/>
        </w:rPr>
        <w:t xml:space="preserve"> 2026).</w:t>
      </w:r>
    </w:p>
    <w:p w14:paraId="0933F697" w14:textId="77777777" w:rsidR="00314630" w:rsidRPr="00626607" w:rsidRDefault="00314630" w:rsidP="006F1004">
      <w:pPr>
        <w:spacing w:before="100" w:beforeAutospacing="1" w:after="100" w:afterAutospacing="1" w:line="360" w:lineRule="auto"/>
        <w:rPr>
          <w:rFonts w:asciiTheme="minorBidi" w:eastAsia="Times New Roman" w:hAnsiTheme="minorBidi"/>
          <w:lang w:eastAsia="en-GB"/>
        </w:rPr>
      </w:pPr>
      <w:r w:rsidRPr="00626607">
        <w:rPr>
          <w:rFonts w:asciiTheme="minorBidi" w:eastAsia="Times New Roman" w:hAnsiTheme="minorBidi"/>
          <w:lang w:eastAsia="en-GB"/>
        </w:rPr>
        <w:t xml:space="preserve">Department of Health and Social Care (2024) </w:t>
      </w:r>
      <w:r w:rsidRPr="00877A49">
        <w:rPr>
          <w:rFonts w:asciiTheme="minorBidi" w:eastAsia="Times New Roman" w:hAnsiTheme="minorBidi"/>
          <w:i/>
          <w:iCs/>
          <w:lang w:eastAsia="en-GB"/>
        </w:rPr>
        <w:t>Care and support statutory guidance</w:t>
      </w:r>
      <w:r w:rsidRPr="00626607">
        <w:rPr>
          <w:rFonts w:asciiTheme="minorBidi" w:eastAsia="Times New Roman" w:hAnsiTheme="minorBidi"/>
          <w:lang w:eastAsia="en-GB"/>
        </w:rPr>
        <w:t xml:space="preserve">. Available at: </w:t>
      </w:r>
      <w:hyperlink r:id="rId10" w:history="1">
        <w:r w:rsidRPr="00877A49">
          <w:rPr>
            <w:rFonts w:asciiTheme="minorBidi" w:eastAsia="Times New Roman" w:hAnsiTheme="minorBidi"/>
            <w:color w:val="0000FF"/>
            <w:u w:val="single"/>
            <w:lang w:eastAsia="en-GB"/>
          </w:rPr>
          <w:t>https://www.gov.uk/government/publications/care-act-statutory-guidance/care-and-support-statutory-guidance</w:t>
        </w:r>
      </w:hyperlink>
      <w:r w:rsidRPr="00626607">
        <w:rPr>
          <w:rFonts w:asciiTheme="minorBidi" w:eastAsia="Times New Roman" w:hAnsiTheme="minorBidi"/>
          <w:lang w:eastAsia="en-GB"/>
        </w:rPr>
        <w:t xml:space="preserve"> (Accessed: 3 August 2026).</w:t>
      </w:r>
    </w:p>
    <w:p w14:paraId="2987B46E" w14:textId="77777777" w:rsidR="00314630" w:rsidRPr="00626607" w:rsidRDefault="00314630" w:rsidP="006F1004">
      <w:pPr>
        <w:spacing w:before="100" w:beforeAutospacing="1" w:after="100" w:afterAutospacing="1" w:line="360" w:lineRule="auto"/>
        <w:rPr>
          <w:rFonts w:asciiTheme="minorBidi" w:eastAsia="Times New Roman" w:hAnsiTheme="minorBidi"/>
          <w:lang w:eastAsia="en-GB"/>
        </w:rPr>
      </w:pPr>
      <w:r w:rsidRPr="00626607">
        <w:rPr>
          <w:rFonts w:asciiTheme="minorBidi" w:eastAsia="Times New Roman" w:hAnsiTheme="minorBidi"/>
          <w:lang w:eastAsia="en-GB"/>
        </w:rPr>
        <w:t xml:space="preserve">Equality Act 2010, c. 15. Available at: </w:t>
      </w:r>
      <w:hyperlink r:id="rId11" w:history="1">
        <w:r w:rsidRPr="00877A49">
          <w:rPr>
            <w:rFonts w:asciiTheme="minorBidi" w:eastAsia="Times New Roman" w:hAnsiTheme="minorBidi"/>
            <w:color w:val="0000FF"/>
            <w:u w:val="single"/>
            <w:lang w:eastAsia="en-GB"/>
          </w:rPr>
          <w:t>https://www.legislation.gov.uk/ukpga/2010/15/contents</w:t>
        </w:r>
      </w:hyperlink>
      <w:r w:rsidRPr="00877A49">
        <w:rPr>
          <w:rFonts w:asciiTheme="minorBidi" w:eastAsia="Times New Roman" w:hAnsiTheme="minorBidi"/>
          <w:lang w:eastAsia="en-GB"/>
        </w:rPr>
        <w:t xml:space="preserve"> (Accessed: 29 July</w:t>
      </w:r>
      <w:r w:rsidRPr="00626607">
        <w:rPr>
          <w:rFonts w:asciiTheme="minorBidi" w:eastAsia="Times New Roman" w:hAnsiTheme="minorBidi"/>
          <w:lang w:eastAsia="en-GB"/>
        </w:rPr>
        <w:t xml:space="preserve"> 2026).</w:t>
      </w:r>
    </w:p>
    <w:p w14:paraId="5621B4EE" w14:textId="77777777" w:rsidR="00314630" w:rsidRPr="00626607" w:rsidRDefault="00314630" w:rsidP="006F1004">
      <w:pPr>
        <w:spacing w:before="100" w:beforeAutospacing="1" w:after="100" w:afterAutospacing="1" w:line="360" w:lineRule="auto"/>
        <w:rPr>
          <w:rFonts w:asciiTheme="minorBidi" w:eastAsia="Times New Roman" w:hAnsiTheme="minorBidi"/>
          <w:lang w:eastAsia="en-GB"/>
        </w:rPr>
      </w:pPr>
      <w:r w:rsidRPr="00626607">
        <w:rPr>
          <w:rFonts w:asciiTheme="minorBidi" w:eastAsia="Times New Roman" w:hAnsiTheme="minorBidi"/>
          <w:lang w:eastAsia="en-GB"/>
        </w:rPr>
        <w:t xml:space="preserve">Goodley, D. (2017) </w:t>
      </w:r>
      <w:r w:rsidRPr="00877A49">
        <w:rPr>
          <w:rFonts w:asciiTheme="minorBidi" w:eastAsia="Times New Roman" w:hAnsiTheme="minorBidi"/>
          <w:i/>
          <w:iCs/>
          <w:lang w:eastAsia="en-GB"/>
        </w:rPr>
        <w:t>Disability studies: An interdisciplinary introduction</w:t>
      </w:r>
      <w:r w:rsidRPr="00626607">
        <w:rPr>
          <w:rFonts w:asciiTheme="minorBidi" w:eastAsia="Times New Roman" w:hAnsiTheme="minorBidi"/>
          <w:lang w:eastAsia="en-GB"/>
        </w:rPr>
        <w:t>. 2nd edn. London: SAGE.</w:t>
      </w:r>
    </w:p>
    <w:p w14:paraId="6626E78C" w14:textId="77777777" w:rsidR="00314630" w:rsidRPr="00626607" w:rsidRDefault="00314630" w:rsidP="006F1004">
      <w:pPr>
        <w:spacing w:before="100" w:beforeAutospacing="1" w:after="100" w:afterAutospacing="1" w:line="360" w:lineRule="auto"/>
        <w:rPr>
          <w:rFonts w:asciiTheme="minorBidi" w:eastAsia="Times New Roman" w:hAnsiTheme="minorBidi"/>
          <w:lang w:eastAsia="en-GB"/>
        </w:rPr>
      </w:pPr>
      <w:r w:rsidRPr="00626607">
        <w:rPr>
          <w:rFonts w:asciiTheme="minorBidi" w:eastAsia="Times New Roman" w:hAnsiTheme="minorBidi"/>
          <w:lang w:eastAsia="en-GB"/>
        </w:rPr>
        <w:t xml:space="preserve">Human Rights Act 1998, c. 42. Available at: </w:t>
      </w:r>
      <w:hyperlink r:id="rId12" w:history="1">
        <w:r w:rsidRPr="00877A49">
          <w:rPr>
            <w:rFonts w:asciiTheme="minorBidi" w:eastAsia="Times New Roman" w:hAnsiTheme="minorBidi"/>
            <w:color w:val="0000FF"/>
            <w:u w:val="single"/>
            <w:lang w:eastAsia="en-GB"/>
          </w:rPr>
          <w:t>https://www.legislation.gov.uk/ukpga/1998/42/contents</w:t>
        </w:r>
      </w:hyperlink>
      <w:r w:rsidRPr="00877A49">
        <w:rPr>
          <w:rFonts w:asciiTheme="minorBidi" w:eastAsia="Times New Roman" w:hAnsiTheme="minorBidi"/>
          <w:lang w:eastAsia="en-GB"/>
        </w:rPr>
        <w:t xml:space="preserve"> (Accessed: 29 July</w:t>
      </w:r>
      <w:r w:rsidRPr="00626607">
        <w:rPr>
          <w:rFonts w:asciiTheme="minorBidi" w:eastAsia="Times New Roman" w:hAnsiTheme="minorBidi"/>
          <w:lang w:eastAsia="en-GB"/>
        </w:rPr>
        <w:t xml:space="preserve"> 2026).</w:t>
      </w:r>
    </w:p>
    <w:p w14:paraId="7D8DE4EF" w14:textId="77777777" w:rsidR="00314630" w:rsidRPr="00626607" w:rsidRDefault="00314630" w:rsidP="006F1004">
      <w:pPr>
        <w:spacing w:before="100" w:beforeAutospacing="1" w:after="100" w:afterAutospacing="1" w:line="360" w:lineRule="auto"/>
        <w:rPr>
          <w:rFonts w:asciiTheme="minorBidi" w:eastAsia="Times New Roman" w:hAnsiTheme="minorBidi"/>
          <w:lang w:eastAsia="en-GB"/>
        </w:rPr>
      </w:pPr>
      <w:r w:rsidRPr="00626607">
        <w:rPr>
          <w:rFonts w:asciiTheme="minorBidi" w:eastAsia="Times New Roman" w:hAnsiTheme="minorBidi"/>
          <w:lang w:eastAsia="en-GB"/>
        </w:rPr>
        <w:t xml:space="preserve">Marmot, M., Allen, J., Boyce, T., Goldblatt, P. and Morrison, J. (2020) </w:t>
      </w:r>
      <w:r w:rsidRPr="00877A49">
        <w:rPr>
          <w:rFonts w:asciiTheme="minorBidi" w:eastAsia="Times New Roman" w:hAnsiTheme="minorBidi"/>
          <w:i/>
          <w:iCs/>
          <w:lang w:eastAsia="en-GB"/>
        </w:rPr>
        <w:t>Health equity in England: The Marmot review 10 years on</w:t>
      </w:r>
      <w:r w:rsidRPr="00626607">
        <w:rPr>
          <w:rFonts w:asciiTheme="minorBidi" w:eastAsia="Times New Roman" w:hAnsiTheme="minorBidi"/>
          <w:lang w:eastAsia="en-GB"/>
        </w:rPr>
        <w:t>. London: Institute of Health Equity.</w:t>
      </w:r>
    </w:p>
    <w:p w14:paraId="4794A76D" w14:textId="77777777" w:rsidR="00314630" w:rsidRPr="00626607" w:rsidRDefault="00314630" w:rsidP="006F1004">
      <w:pPr>
        <w:spacing w:before="100" w:beforeAutospacing="1" w:after="100" w:afterAutospacing="1" w:line="360" w:lineRule="auto"/>
        <w:rPr>
          <w:rFonts w:asciiTheme="minorBidi" w:eastAsia="Times New Roman" w:hAnsiTheme="minorBidi"/>
          <w:lang w:eastAsia="en-GB"/>
        </w:rPr>
      </w:pPr>
      <w:r w:rsidRPr="00626607">
        <w:rPr>
          <w:rFonts w:asciiTheme="minorBidi" w:eastAsia="Times New Roman" w:hAnsiTheme="minorBidi"/>
          <w:lang w:eastAsia="en-GB"/>
        </w:rPr>
        <w:t xml:space="preserve">Mental Capacity Act 2005, c. 9. Available at: </w:t>
      </w:r>
      <w:hyperlink r:id="rId13" w:history="1">
        <w:r w:rsidRPr="00877A49">
          <w:rPr>
            <w:rFonts w:asciiTheme="minorBidi" w:eastAsia="Times New Roman" w:hAnsiTheme="minorBidi"/>
            <w:color w:val="0000FF"/>
            <w:u w:val="single"/>
            <w:lang w:eastAsia="en-GB"/>
          </w:rPr>
          <w:t>https://www.legislation.gov.uk/ukpga/2005/9/contents</w:t>
        </w:r>
      </w:hyperlink>
      <w:r w:rsidRPr="00877A49">
        <w:rPr>
          <w:rFonts w:asciiTheme="minorBidi" w:eastAsia="Times New Roman" w:hAnsiTheme="minorBidi"/>
          <w:lang w:eastAsia="en-GB"/>
        </w:rPr>
        <w:t xml:space="preserve"> (Accessed: 30 July</w:t>
      </w:r>
      <w:r w:rsidRPr="00626607">
        <w:rPr>
          <w:rFonts w:asciiTheme="minorBidi" w:eastAsia="Times New Roman" w:hAnsiTheme="minorBidi"/>
          <w:lang w:eastAsia="en-GB"/>
        </w:rPr>
        <w:t xml:space="preserve"> 2026).</w:t>
      </w:r>
    </w:p>
    <w:p w14:paraId="2CE7CB27" w14:textId="77777777" w:rsidR="00314630" w:rsidRPr="00626607" w:rsidRDefault="00314630" w:rsidP="006F1004">
      <w:pPr>
        <w:spacing w:before="100" w:beforeAutospacing="1" w:after="100" w:afterAutospacing="1" w:line="360" w:lineRule="auto"/>
        <w:rPr>
          <w:rFonts w:asciiTheme="minorBidi" w:eastAsia="Times New Roman" w:hAnsiTheme="minorBidi"/>
          <w:lang w:eastAsia="en-GB"/>
        </w:rPr>
      </w:pPr>
      <w:r w:rsidRPr="00626607">
        <w:rPr>
          <w:rFonts w:asciiTheme="minorBidi" w:eastAsia="Times New Roman" w:hAnsiTheme="minorBidi"/>
          <w:lang w:eastAsia="en-GB"/>
        </w:rPr>
        <w:lastRenderedPageBreak/>
        <w:t xml:space="preserve">Office for National Statistics (2023) </w:t>
      </w:r>
      <w:r w:rsidRPr="00877A49">
        <w:rPr>
          <w:rFonts w:asciiTheme="minorBidi" w:eastAsia="Times New Roman" w:hAnsiTheme="minorBidi"/>
          <w:i/>
          <w:iCs/>
          <w:lang w:eastAsia="en-GB"/>
        </w:rPr>
        <w:t>Disability, England and Wales: Census 2021</w:t>
      </w:r>
      <w:r w:rsidRPr="00626607">
        <w:rPr>
          <w:rFonts w:asciiTheme="minorBidi" w:eastAsia="Times New Roman" w:hAnsiTheme="minorBidi"/>
          <w:lang w:eastAsia="en-GB"/>
        </w:rPr>
        <w:t xml:space="preserve">. Available at: </w:t>
      </w:r>
      <w:hyperlink r:id="rId14" w:history="1">
        <w:r w:rsidRPr="00877A49">
          <w:rPr>
            <w:rFonts w:asciiTheme="minorBidi" w:eastAsia="Times New Roman" w:hAnsiTheme="minorBidi"/>
            <w:color w:val="0000FF"/>
            <w:u w:val="single"/>
            <w:lang w:eastAsia="en-GB"/>
          </w:rPr>
          <w:t>https://www.ons.gov.uk/peoplepopulationandcommunity/healthandsocialcare/disability</w:t>
        </w:r>
      </w:hyperlink>
      <w:r w:rsidRPr="00877A49">
        <w:rPr>
          <w:rFonts w:asciiTheme="minorBidi" w:eastAsia="Times New Roman" w:hAnsiTheme="minorBidi"/>
          <w:lang w:eastAsia="en-GB"/>
        </w:rPr>
        <w:t xml:space="preserve"> (Accessed: 30 July </w:t>
      </w:r>
      <w:r w:rsidRPr="00626607">
        <w:rPr>
          <w:rFonts w:asciiTheme="minorBidi" w:eastAsia="Times New Roman" w:hAnsiTheme="minorBidi"/>
          <w:lang w:eastAsia="en-GB"/>
        </w:rPr>
        <w:t>2026).</w:t>
      </w:r>
    </w:p>
    <w:p w14:paraId="536966BE" w14:textId="77777777" w:rsidR="00314630" w:rsidRPr="00626607" w:rsidRDefault="00314630" w:rsidP="006F1004">
      <w:pPr>
        <w:spacing w:before="100" w:beforeAutospacing="1" w:after="100" w:afterAutospacing="1" w:line="360" w:lineRule="auto"/>
        <w:rPr>
          <w:rFonts w:asciiTheme="minorBidi" w:eastAsia="Times New Roman" w:hAnsiTheme="minorBidi"/>
          <w:lang w:eastAsia="en-GB"/>
        </w:rPr>
      </w:pPr>
      <w:r w:rsidRPr="00626607">
        <w:rPr>
          <w:rFonts w:asciiTheme="minorBidi" w:eastAsia="Times New Roman" w:hAnsiTheme="minorBidi"/>
          <w:lang w:eastAsia="en-GB"/>
        </w:rPr>
        <w:t xml:space="preserve">Oliver, M. (1990) </w:t>
      </w:r>
      <w:r w:rsidRPr="00877A49">
        <w:rPr>
          <w:rFonts w:asciiTheme="minorBidi" w:eastAsia="Times New Roman" w:hAnsiTheme="minorBidi"/>
          <w:i/>
          <w:iCs/>
          <w:lang w:eastAsia="en-GB"/>
        </w:rPr>
        <w:t>The politics of disablement</w:t>
      </w:r>
      <w:r w:rsidRPr="00626607">
        <w:rPr>
          <w:rFonts w:asciiTheme="minorBidi" w:eastAsia="Times New Roman" w:hAnsiTheme="minorBidi"/>
          <w:lang w:eastAsia="en-GB"/>
        </w:rPr>
        <w:t>. Basingstoke: Macmillan.</w:t>
      </w:r>
    </w:p>
    <w:p w14:paraId="0D975D1F" w14:textId="77777777" w:rsidR="00314630" w:rsidRPr="00626607" w:rsidRDefault="00314630" w:rsidP="006F1004">
      <w:pPr>
        <w:spacing w:before="100" w:beforeAutospacing="1" w:after="100" w:afterAutospacing="1" w:line="360" w:lineRule="auto"/>
        <w:rPr>
          <w:rFonts w:asciiTheme="minorBidi" w:eastAsia="Times New Roman" w:hAnsiTheme="minorBidi"/>
          <w:lang w:eastAsia="en-GB"/>
        </w:rPr>
      </w:pPr>
      <w:r w:rsidRPr="00626607">
        <w:rPr>
          <w:rFonts w:asciiTheme="minorBidi" w:eastAsia="Times New Roman" w:hAnsiTheme="minorBidi"/>
          <w:lang w:eastAsia="en-GB"/>
        </w:rPr>
        <w:t xml:space="preserve">Oliver, M. and Barnes, C. (2012) </w:t>
      </w:r>
      <w:r w:rsidRPr="00877A49">
        <w:rPr>
          <w:rFonts w:asciiTheme="minorBidi" w:eastAsia="Times New Roman" w:hAnsiTheme="minorBidi"/>
          <w:i/>
          <w:iCs/>
          <w:lang w:eastAsia="en-GB"/>
        </w:rPr>
        <w:t>The new politics of disablement</w:t>
      </w:r>
      <w:r w:rsidRPr="00626607">
        <w:rPr>
          <w:rFonts w:asciiTheme="minorBidi" w:eastAsia="Times New Roman" w:hAnsiTheme="minorBidi"/>
          <w:lang w:eastAsia="en-GB"/>
        </w:rPr>
        <w:t>. Basingstoke: Palgrave Macmillan.</w:t>
      </w:r>
    </w:p>
    <w:p w14:paraId="02DC166D" w14:textId="77777777" w:rsidR="00314630" w:rsidRPr="00626607" w:rsidRDefault="00314630" w:rsidP="006F1004">
      <w:pPr>
        <w:spacing w:before="100" w:beforeAutospacing="1" w:after="100" w:afterAutospacing="1" w:line="360" w:lineRule="auto"/>
        <w:rPr>
          <w:rFonts w:asciiTheme="minorBidi" w:eastAsia="Times New Roman" w:hAnsiTheme="minorBidi"/>
          <w:lang w:eastAsia="en-GB"/>
        </w:rPr>
      </w:pPr>
      <w:r w:rsidRPr="00626607">
        <w:rPr>
          <w:rFonts w:asciiTheme="minorBidi" w:eastAsia="Times New Roman" w:hAnsiTheme="minorBidi"/>
          <w:lang w:eastAsia="en-GB"/>
        </w:rPr>
        <w:t xml:space="preserve">Safeguarding Vulnerable Groups Act 2006, c. 47. Available at: </w:t>
      </w:r>
      <w:hyperlink r:id="rId15" w:history="1">
        <w:r w:rsidRPr="00877A49">
          <w:rPr>
            <w:rFonts w:asciiTheme="minorBidi" w:eastAsia="Times New Roman" w:hAnsiTheme="minorBidi"/>
            <w:color w:val="0000FF"/>
            <w:u w:val="single"/>
            <w:lang w:eastAsia="en-GB"/>
          </w:rPr>
          <w:t>https://www.legislation.gov.uk/ukpga/2006/47/contents</w:t>
        </w:r>
      </w:hyperlink>
      <w:r w:rsidRPr="00626607">
        <w:rPr>
          <w:rFonts w:asciiTheme="minorBidi" w:eastAsia="Times New Roman" w:hAnsiTheme="minorBidi"/>
          <w:lang w:eastAsia="en-GB"/>
        </w:rPr>
        <w:t xml:space="preserve"> (Accessed: 3</w:t>
      </w:r>
      <w:r w:rsidRPr="00877A49">
        <w:rPr>
          <w:rFonts w:asciiTheme="minorBidi" w:eastAsia="Times New Roman" w:hAnsiTheme="minorBidi"/>
          <w:lang w:eastAsia="en-GB"/>
        </w:rPr>
        <w:t>0 July</w:t>
      </w:r>
      <w:r w:rsidRPr="00626607">
        <w:rPr>
          <w:rFonts w:asciiTheme="minorBidi" w:eastAsia="Times New Roman" w:hAnsiTheme="minorBidi"/>
          <w:lang w:eastAsia="en-GB"/>
        </w:rPr>
        <w:t xml:space="preserve"> 2026).</w:t>
      </w:r>
    </w:p>
    <w:p w14:paraId="505514DC" w14:textId="77777777" w:rsidR="00314630" w:rsidRPr="00626607" w:rsidRDefault="00314630" w:rsidP="006F1004">
      <w:pPr>
        <w:spacing w:before="100" w:beforeAutospacing="1" w:after="100" w:afterAutospacing="1" w:line="360" w:lineRule="auto"/>
        <w:rPr>
          <w:rFonts w:asciiTheme="minorBidi" w:eastAsia="Times New Roman" w:hAnsiTheme="minorBidi"/>
          <w:lang w:eastAsia="en-GB"/>
        </w:rPr>
      </w:pPr>
      <w:r w:rsidRPr="00626607">
        <w:rPr>
          <w:rFonts w:asciiTheme="minorBidi" w:eastAsia="Times New Roman" w:hAnsiTheme="minorBidi"/>
          <w:lang w:eastAsia="en-GB"/>
        </w:rPr>
        <w:t xml:space="preserve">United Nations (2006) </w:t>
      </w:r>
      <w:r w:rsidRPr="00877A49">
        <w:rPr>
          <w:rFonts w:asciiTheme="minorBidi" w:eastAsia="Times New Roman" w:hAnsiTheme="minorBidi"/>
          <w:i/>
          <w:iCs/>
          <w:lang w:eastAsia="en-GB"/>
        </w:rPr>
        <w:t>Convention on the Rights of Persons with Disabilities</w:t>
      </w:r>
      <w:r w:rsidRPr="00626607">
        <w:rPr>
          <w:rFonts w:asciiTheme="minorBidi" w:eastAsia="Times New Roman" w:hAnsiTheme="minorBidi"/>
          <w:lang w:eastAsia="en-GB"/>
        </w:rPr>
        <w:t xml:space="preserve">. Available at: </w:t>
      </w:r>
      <w:hyperlink r:id="rId16" w:history="1">
        <w:r w:rsidRPr="00877A49">
          <w:rPr>
            <w:rFonts w:asciiTheme="minorBidi" w:eastAsia="Times New Roman" w:hAnsiTheme="minorBidi"/>
            <w:color w:val="0000FF"/>
            <w:u w:val="single"/>
            <w:lang w:eastAsia="en-GB"/>
          </w:rPr>
          <w:t>https://www.un.org/disabilities/documents/convention/convoptprot-e.pdf</w:t>
        </w:r>
      </w:hyperlink>
      <w:r w:rsidRPr="00626607">
        <w:rPr>
          <w:rFonts w:asciiTheme="minorBidi" w:eastAsia="Times New Roman" w:hAnsiTheme="minorBidi"/>
          <w:lang w:eastAsia="en-GB"/>
        </w:rPr>
        <w:t xml:space="preserve"> (Accessed: 3</w:t>
      </w:r>
      <w:r w:rsidRPr="00877A49">
        <w:rPr>
          <w:rFonts w:asciiTheme="minorBidi" w:eastAsia="Times New Roman" w:hAnsiTheme="minorBidi"/>
          <w:lang w:eastAsia="en-GB"/>
        </w:rPr>
        <w:t>0 July</w:t>
      </w:r>
      <w:r w:rsidRPr="00626607">
        <w:rPr>
          <w:rFonts w:asciiTheme="minorBidi" w:eastAsia="Times New Roman" w:hAnsiTheme="minorBidi"/>
          <w:lang w:eastAsia="en-GB"/>
        </w:rPr>
        <w:t xml:space="preserve"> 2026).</w:t>
      </w:r>
    </w:p>
    <w:p w14:paraId="6B0E1DC7" w14:textId="77777777" w:rsidR="00314630" w:rsidRPr="00877A49" w:rsidRDefault="00314630" w:rsidP="006F1004">
      <w:pPr>
        <w:spacing w:line="360" w:lineRule="auto"/>
        <w:rPr>
          <w:rFonts w:asciiTheme="minorBidi" w:hAnsiTheme="minorBidi"/>
        </w:rPr>
      </w:pPr>
    </w:p>
    <w:p w14:paraId="179954AE" w14:textId="77777777" w:rsidR="00314630" w:rsidRPr="00877A49" w:rsidRDefault="00314630" w:rsidP="006F1004">
      <w:pPr>
        <w:spacing w:line="360" w:lineRule="auto"/>
        <w:rPr>
          <w:rFonts w:asciiTheme="minorBidi" w:hAnsiTheme="minorBidi"/>
        </w:rPr>
      </w:pPr>
    </w:p>
    <w:p w14:paraId="70525493" w14:textId="77777777" w:rsidR="00547D85" w:rsidRPr="00877A49" w:rsidRDefault="00547D85" w:rsidP="006F1004">
      <w:pPr>
        <w:spacing w:line="360" w:lineRule="auto"/>
        <w:rPr>
          <w:rFonts w:asciiTheme="minorBidi" w:hAnsiTheme="minorBidi"/>
        </w:rPr>
      </w:pPr>
    </w:p>
    <w:p w14:paraId="2183828A" w14:textId="77777777" w:rsidR="00CF010A" w:rsidRPr="00877A49" w:rsidRDefault="00CF010A" w:rsidP="006F1004">
      <w:pPr>
        <w:pStyle w:val="TOCHeading"/>
        <w:spacing w:before="0" w:line="360" w:lineRule="auto"/>
        <w:rPr>
          <w:rFonts w:asciiTheme="minorBidi" w:eastAsiaTheme="minorHAnsi" w:hAnsiTheme="minorBidi" w:cstheme="minorBidi"/>
          <w:b/>
          <w:noProof/>
          <w:color w:val="auto"/>
          <w:sz w:val="22"/>
          <w:szCs w:val="22"/>
          <w:lang w:val="en-GB"/>
        </w:rPr>
      </w:pPr>
    </w:p>
    <w:p w14:paraId="4D33BAC7" w14:textId="77777777" w:rsidR="00CF010A" w:rsidRPr="00877A49" w:rsidRDefault="00CF010A" w:rsidP="006F1004">
      <w:pPr>
        <w:pStyle w:val="TOCHeading"/>
        <w:spacing w:before="0" w:line="360" w:lineRule="auto"/>
        <w:rPr>
          <w:rFonts w:asciiTheme="minorBidi" w:eastAsiaTheme="minorHAnsi" w:hAnsiTheme="minorBidi" w:cstheme="minorBidi"/>
          <w:b/>
          <w:noProof/>
          <w:color w:val="auto"/>
          <w:sz w:val="22"/>
          <w:szCs w:val="22"/>
          <w:lang w:val="en-GB"/>
        </w:rPr>
      </w:pPr>
    </w:p>
    <w:p w14:paraId="54914B8B" w14:textId="77777777" w:rsidR="00CF010A" w:rsidRPr="00877A49" w:rsidRDefault="00CF010A" w:rsidP="006F1004">
      <w:pPr>
        <w:pStyle w:val="TOCHeading"/>
        <w:spacing w:before="0" w:line="360" w:lineRule="auto"/>
        <w:rPr>
          <w:rFonts w:asciiTheme="minorBidi" w:eastAsiaTheme="minorHAnsi" w:hAnsiTheme="minorBidi" w:cstheme="minorBidi"/>
          <w:b/>
          <w:noProof/>
          <w:color w:val="auto"/>
          <w:sz w:val="22"/>
          <w:szCs w:val="22"/>
          <w:lang w:val="en-GB"/>
        </w:rPr>
      </w:pPr>
    </w:p>
    <w:p w14:paraId="650BF8DF" w14:textId="77777777" w:rsidR="00CF010A" w:rsidRPr="00877A49" w:rsidRDefault="00CF010A" w:rsidP="006F1004">
      <w:pPr>
        <w:pStyle w:val="TOCHeading"/>
        <w:spacing w:before="0" w:line="360" w:lineRule="auto"/>
        <w:rPr>
          <w:rFonts w:asciiTheme="minorBidi" w:eastAsiaTheme="minorHAnsi" w:hAnsiTheme="minorBidi" w:cstheme="minorBidi"/>
          <w:b/>
          <w:noProof/>
          <w:color w:val="auto"/>
          <w:sz w:val="22"/>
          <w:szCs w:val="22"/>
          <w:lang w:val="en-GB"/>
        </w:rPr>
      </w:pPr>
    </w:p>
    <w:p w14:paraId="17577A00" w14:textId="77777777" w:rsidR="00CF010A" w:rsidRPr="00877A49" w:rsidRDefault="00CF010A" w:rsidP="006F1004">
      <w:pPr>
        <w:pStyle w:val="TOCHeading"/>
        <w:spacing w:before="0" w:line="360" w:lineRule="auto"/>
        <w:rPr>
          <w:rFonts w:asciiTheme="minorBidi" w:eastAsiaTheme="minorHAnsi" w:hAnsiTheme="minorBidi" w:cstheme="minorBidi"/>
          <w:b/>
          <w:noProof/>
          <w:color w:val="auto"/>
          <w:sz w:val="22"/>
          <w:szCs w:val="22"/>
          <w:lang w:val="en-GB"/>
        </w:rPr>
      </w:pPr>
    </w:p>
    <w:p w14:paraId="11F01690" w14:textId="77777777" w:rsidR="00CF010A" w:rsidRPr="00877A49" w:rsidRDefault="00CF010A" w:rsidP="006F1004">
      <w:pPr>
        <w:pStyle w:val="TOCHeading"/>
        <w:spacing w:before="0" w:line="360" w:lineRule="auto"/>
        <w:rPr>
          <w:rFonts w:asciiTheme="minorBidi" w:eastAsiaTheme="minorHAnsi" w:hAnsiTheme="minorBidi" w:cstheme="minorBidi"/>
          <w:b/>
          <w:noProof/>
          <w:color w:val="auto"/>
          <w:sz w:val="22"/>
          <w:szCs w:val="22"/>
          <w:lang w:val="en-GB"/>
        </w:rPr>
      </w:pPr>
    </w:p>
    <w:p w14:paraId="429E4D82" w14:textId="77777777" w:rsidR="00CF010A" w:rsidRPr="00877A49" w:rsidRDefault="00CF010A" w:rsidP="006F1004">
      <w:pPr>
        <w:pStyle w:val="TOCHeading"/>
        <w:spacing w:before="0" w:line="360" w:lineRule="auto"/>
        <w:rPr>
          <w:rFonts w:asciiTheme="minorBidi" w:eastAsiaTheme="minorHAnsi" w:hAnsiTheme="minorBidi" w:cstheme="minorBidi"/>
          <w:b/>
          <w:noProof/>
          <w:color w:val="auto"/>
          <w:sz w:val="22"/>
          <w:szCs w:val="22"/>
          <w:lang w:val="en-GB"/>
        </w:rPr>
      </w:pPr>
    </w:p>
    <w:p w14:paraId="4E103ABC" w14:textId="77777777" w:rsidR="00CF010A" w:rsidRPr="00877A49" w:rsidRDefault="00CF010A" w:rsidP="006F1004">
      <w:pPr>
        <w:pStyle w:val="TOCHeading"/>
        <w:spacing w:before="0" w:line="360" w:lineRule="auto"/>
        <w:rPr>
          <w:rFonts w:asciiTheme="minorBidi" w:eastAsiaTheme="minorHAnsi" w:hAnsiTheme="minorBidi" w:cstheme="minorBidi"/>
          <w:b/>
          <w:noProof/>
          <w:color w:val="auto"/>
          <w:sz w:val="22"/>
          <w:szCs w:val="22"/>
          <w:lang w:val="en-GB"/>
        </w:rPr>
      </w:pPr>
    </w:p>
    <w:p w14:paraId="5FAA1536" w14:textId="77777777" w:rsidR="00CF010A" w:rsidRPr="00877A49" w:rsidRDefault="00CF010A" w:rsidP="006F1004">
      <w:pPr>
        <w:pStyle w:val="TOCHeading"/>
        <w:spacing w:before="0" w:line="360" w:lineRule="auto"/>
        <w:rPr>
          <w:rFonts w:asciiTheme="minorBidi" w:eastAsiaTheme="minorHAnsi" w:hAnsiTheme="minorBidi" w:cstheme="minorBidi"/>
          <w:b/>
          <w:noProof/>
          <w:color w:val="auto"/>
          <w:sz w:val="22"/>
          <w:szCs w:val="22"/>
          <w:lang w:val="en-GB"/>
        </w:rPr>
      </w:pPr>
    </w:p>
    <w:p w14:paraId="1AFCAD6F" w14:textId="77777777" w:rsidR="00CF010A" w:rsidRPr="00877A49" w:rsidRDefault="00CF010A" w:rsidP="006F1004">
      <w:pPr>
        <w:pStyle w:val="TOCHeading"/>
        <w:spacing w:before="0" w:line="360" w:lineRule="auto"/>
        <w:rPr>
          <w:rFonts w:asciiTheme="minorBidi" w:eastAsiaTheme="minorHAnsi" w:hAnsiTheme="minorBidi" w:cstheme="minorBidi"/>
          <w:b/>
          <w:noProof/>
          <w:color w:val="auto"/>
          <w:sz w:val="22"/>
          <w:szCs w:val="22"/>
          <w:lang w:val="en-GB"/>
        </w:rPr>
      </w:pPr>
    </w:p>
    <w:p w14:paraId="6A96359E" w14:textId="77777777" w:rsidR="00CF010A" w:rsidRPr="00877A49" w:rsidRDefault="00CF010A" w:rsidP="006F1004">
      <w:pPr>
        <w:pStyle w:val="TOCHeading"/>
        <w:spacing w:before="0" w:line="360" w:lineRule="auto"/>
        <w:rPr>
          <w:rFonts w:asciiTheme="minorBidi" w:eastAsiaTheme="minorHAnsi" w:hAnsiTheme="minorBidi" w:cstheme="minorBidi"/>
          <w:b/>
          <w:noProof/>
          <w:color w:val="auto"/>
          <w:sz w:val="22"/>
          <w:szCs w:val="22"/>
          <w:lang w:val="en-GB"/>
        </w:rPr>
      </w:pPr>
    </w:p>
    <w:p w14:paraId="1F93D461" w14:textId="77777777" w:rsidR="00CF010A" w:rsidRPr="00877A49" w:rsidRDefault="00CF010A" w:rsidP="006F1004">
      <w:pPr>
        <w:pStyle w:val="TOCHeading"/>
        <w:spacing w:before="0" w:line="360" w:lineRule="auto"/>
        <w:rPr>
          <w:rFonts w:asciiTheme="minorBidi" w:eastAsiaTheme="minorHAnsi" w:hAnsiTheme="minorBidi" w:cstheme="minorBidi"/>
          <w:b/>
          <w:noProof/>
          <w:color w:val="auto"/>
          <w:sz w:val="22"/>
          <w:szCs w:val="22"/>
          <w:lang w:val="en-GB"/>
        </w:rPr>
      </w:pPr>
    </w:p>
    <w:p w14:paraId="054748E3" w14:textId="77777777" w:rsidR="00CF010A" w:rsidRPr="00877A49" w:rsidRDefault="00CF010A" w:rsidP="006F1004">
      <w:pPr>
        <w:spacing w:line="360" w:lineRule="auto"/>
        <w:rPr>
          <w:rFonts w:asciiTheme="minorBidi" w:hAnsiTheme="minorBidi"/>
        </w:rPr>
      </w:pPr>
    </w:p>
    <w:p w14:paraId="1AC3D00F" w14:textId="77777777" w:rsidR="00CF010A" w:rsidRPr="00877A49" w:rsidRDefault="00CF010A" w:rsidP="006F1004">
      <w:pPr>
        <w:spacing w:line="360" w:lineRule="auto"/>
        <w:rPr>
          <w:rFonts w:asciiTheme="minorBidi" w:hAnsiTheme="minorBidi"/>
        </w:rPr>
      </w:pPr>
    </w:p>
    <w:p w14:paraId="65118DA3" w14:textId="77777777" w:rsidR="00BE0105" w:rsidRPr="00877A49" w:rsidRDefault="00BE0105" w:rsidP="006F1004">
      <w:pPr>
        <w:spacing w:after="0" w:line="360" w:lineRule="auto"/>
        <w:rPr>
          <w:rFonts w:asciiTheme="minorBidi" w:hAnsiTheme="minorBidi"/>
        </w:rPr>
      </w:pPr>
    </w:p>
    <w:sectPr w:rsidR="00BE0105" w:rsidRPr="00877A49" w:rsidSect="00A82722">
      <w:headerReference w:type="default" r:id="rId17"/>
      <w:footerReference w:type="default" r:id="rId18"/>
      <w:pgSz w:w="11906" w:h="16838"/>
      <w:pgMar w:top="1440" w:right="1440" w:bottom="1440" w:left="1440" w:header="706" w:footer="706"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F4D21EC" w14:textId="77777777" w:rsidR="007463CD" w:rsidRDefault="007463CD" w:rsidP="008574C2">
      <w:pPr>
        <w:spacing w:after="0" w:line="240" w:lineRule="auto"/>
      </w:pPr>
      <w:r>
        <w:separator/>
      </w:r>
    </w:p>
  </w:endnote>
  <w:endnote w:type="continuationSeparator" w:id="0">
    <w:p w14:paraId="587D5468" w14:textId="77777777" w:rsidR="007463CD" w:rsidRDefault="007463CD" w:rsidP="008574C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19950342"/>
      <w:docPartObj>
        <w:docPartGallery w:val="Page Numbers (Bottom of Page)"/>
        <w:docPartUnique/>
      </w:docPartObj>
    </w:sdtPr>
    <w:sdtContent>
      <w:p w14:paraId="6C1F702A" w14:textId="77777777" w:rsidR="00A82722" w:rsidRDefault="00A82722">
        <w:pPr>
          <w:pStyle w:val="Footer"/>
          <w:jc w:val="center"/>
        </w:pPr>
        <w:r>
          <w:fldChar w:fldCharType="begin"/>
        </w:r>
        <w:r>
          <w:instrText xml:space="preserve"> PAGE   \* MERGEFORMAT </w:instrText>
        </w:r>
        <w:r>
          <w:fldChar w:fldCharType="separate"/>
        </w:r>
        <w:r w:rsidR="00877A49">
          <w:t>9</w:t>
        </w:r>
        <w:r>
          <w:fldChar w:fldCharType="end"/>
        </w:r>
      </w:p>
    </w:sdtContent>
  </w:sdt>
  <w:p w14:paraId="0D1ED985" w14:textId="77777777" w:rsidR="00A82722" w:rsidRDefault="00A8272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67627EF" w14:textId="77777777" w:rsidR="007463CD" w:rsidRDefault="007463CD" w:rsidP="008574C2">
      <w:pPr>
        <w:spacing w:after="0" w:line="240" w:lineRule="auto"/>
      </w:pPr>
      <w:r>
        <w:separator/>
      </w:r>
    </w:p>
  </w:footnote>
  <w:footnote w:type="continuationSeparator" w:id="0">
    <w:p w14:paraId="10F22F35" w14:textId="77777777" w:rsidR="007463CD" w:rsidRDefault="007463CD" w:rsidP="008574C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420844B" w14:textId="77777777" w:rsidR="008574C2" w:rsidRDefault="008574C2">
    <w:pPr>
      <w:pStyle w:val="Header"/>
    </w:pPr>
  </w:p>
  <w:p w14:paraId="6E7FF5E1" w14:textId="77777777" w:rsidR="008574C2" w:rsidRDefault="008574C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6A3502E"/>
    <w:multiLevelType w:val="hybridMultilevel"/>
    <w:tmpl w:val="194274FA"/>
    <w:lvl w:ilvl="0" w:tplc="28DE457C">
      <w:start w:val="1"/>
      <w:numFmt w:val="lowerLetter"/>
      <w:lvlText w:val="%1)"/>
      <w:lvlJc w:val="left"/>
      <w:pPr>
        <w:ind w:left="45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742C1488"/>
    <w:multiLevelType w:val="hybridMultilevel"/>
    <w:tmpl w:val="732020D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90293917">
    <w:abstractNumId w:val="1"/>
  </w:num>
  <w:num w:numId="2" w16cid:durableId="125844411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26E70"/>
    <w:rsid w:val="00004932"/>
    <w:rsid w:val="00015BE8"/>
    <w:rsid w:val="000320F8"/>
    <w:rsid w:val="0006298E"/>
    <w:rsid w:val="000E275C"/>
    <w:rsid w:val="001A18CB"/>
    <w:rsid w:val="002E5E72"/>
    <w:rsid w:val="00314630"/>
    <w:rsid w:val="00372D13"/>
    <w:rsid w:val="004158E8"/>
    <w:rsid w:val="00485999"/>
    <w:rsid w:val="00493A54"/>
    <w:rsid w:val="004A73C7"/>
    <w:rsid w:val="004E39AC"/>
    <w:rsid w:val="004F3B87"/>
    <w:rsid w:val="00516970"/>
    <w:rsid w:val="00547D85"/>
    <w:rsid w:val="00565BAD"/>
    <w:rsid w:val="005A6165"/>
    <w:rsid w:val="005C6A60"/>
    <w:rsid w:val="0061498C"/>
    <w:rsid w:val="00636B69"/>
    <w:rsid w:val="00654AC4"/>
    <w:rsid w:val="00654DC4"/>
    <w:rsid w:val="006C3B99"/>
    <w:rsid w:val="006F1004"/>
    <w:rsid w:val="007004C4"/>
    <w:rsid w:val="007463CD"/>
    <w:rsid w:val="00845CAB"/>
    <w:rsid w:val="008574C2"/>
    <w:rsid w:val="00877A49"/>
    <w:rsid w:val="00883E7C"/>
    <w:rsid w:val="00893CED"/>
    <w:rsid w:val="008C74BD"/>
    <w:rsid w:val="008F09ED"/>
    <w:rsid w:val="008F5204"/>
    <w:rsid w:val="0099293A"/>
    <w:rsid w:val="00A26E70"/>
    <w:rsid w:val="00A32885"/>
    <w:rsid w:val="00A82722"/>
    <w:rsid w:val="00AD22DD"/>
    <w:rsid w:val="00B62DFA"/>
    <w:rsid w:val="00BE0105"/>
    <w:rsid w:val="00CB6713"/>
    <w:rsid w:val="00CC3504"/>
    <w:rsid w:val="00CF010A"/>
    <w:rsid w:val="00CF01FC"/>
    <w:rsid w:val="00D53A5B"/>
    <w:rsid w:val="00DB495F"/>
    <w:rsid w:val="00DB52DF"/>
    <w:rsid w:val="00DE3F1F"/>
    <w:rsid w:val="00E300C0"/>
    <w:rsid w:val="00EC7829"/>
    <w:rsid w:val="00EF1EAC"/>
    <w:rsid w:val="00F652BD"/>
    <w:rsid w:val="00FF4999"/>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38D5A06"/>
  <w15:chartTrackingRefBased/>
  <w15:docId w15:val="{61407700-AA85-4507-974B-FBE7A1DEBF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574C2"/>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semiHidden/>
    <w:unhideWhenUsed/>
    <w:qFormat/>
    <w:rsid w:val="004F3B87"/>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dq2pgselectionanchorcontainer">
    <w:name w:val="pdq2pg_selectionanchorcontainer"/>
    <w:basedOn w:val="Normal"/>
    <w:rsid w:val="00EC782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EC7829"/>
    <w:rPr>
      <w:b/>
      <w:bCs/>
    </w:rPr>
  </w:style>
  <w:style w:type="paragraph" w:styleId="NormalWeb">
    <w:name w:val="Normal (Web)"/>
    <w:basedOn w:val="Normal"/>
    <w:uiPriority w:val="99"/>
    <w:unhideWhenUsed/>
    <w:rsid w:val="00EC782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654AC4"/>
    <w:rPr>
      <w:color w:val="0563C1" w:themeColor="hyperlink"/>
      <w:u w:val="single"/>
    </w:rPr>
  </w:style>
  <w:style w:type="paragraph" w:styleId="Header">
    <w:name w:val="header"/>
    <w:basedOn w:val="Normal"/>
    <w:link w:val="HeaderChar"/>
    <w:uiPriority w:val="99"/>
    <w:unhideWhenUsed/>
    <w:rsid w:val="008574C2"/>
    <w:pPr>
      <w:tabs>
        <w:tab w:val="center" w:pos="4680"/>
        <w:tab w:val="right" w:pos="9360"/>
      </w:tabs>
      <w:spacing w:after="0" w:line="240" w:lineRule="auto"/>
    </w:pPr>
  </w:style>
  <w:style w:type="character" w:customStyle="1" w:styleId="HeaderChar">
    <w:name w:val="Header Char"/>
    <w:basedOn w:val="DefaultParagraphFont"/>
    <w:link w:val="Header"/>
    <w:uiPriority w:val="99"/>
    <w:rsid w:val="008574C2"/>
    <w:rPr>
      <w:noProof/>
    </w:rPr>
  </w:style>
  <w:style w:type="paragraph" w:styleId="Footer">
    <w:name w:val="footer"/>
    <w:basedOn w:val="Normal"/>
    <w:link w:val="FooterChar"/>
    <w:uiPriority w:val="99"/>
    <w:unhideWhenUsed/>
    <w:rsid w:val="008574C2"/>
    <w:pPr>
      <w:tabs>
        <w:tab w:val="center" w:pos="4680"/>
        <w:tab w:val="right" w:pos="9360"/>
      </w:tabs>
      <w:spacing w:after="0" w:line="240" w:lineRule="auto"/>
    </w:pPr>
  </w:style>
  <w:style w:type="character" w:customStyle="1" w:styleId="FooterChar">
    <w:name w:val="Footer Char"/>
    <w:basedOn w:val="DefaultParagraphFont"/>
    <w:link w:val="Footer"/>
    <w:uiPriority w:val="99"/>
    <w:rsid w:val="008574C2"/>
    <w:rPr>
      <w:noProof/>
    </w:rPr>
  </w:style>
  <w:style w:type="character" w:customStyle="1" w:styleId="Heading1Char">
    <w:name w:val="Heading 1 Char"/>
    <w:basedOn w:val="DefaultParagraphFont"/>
    <w:link w:val="Heading1"/>
    <w:uiPriority w:val="9"/>
    <w:rsid w:val="008574C2"/>
    <w:rPr>
      <w:rFonts w:asciiTheme="majorHAnsi" w:eastAsiaTheme="majorEastAsia" w:hAnsiTheme="majorHAnsi" w:cstheme="majorBidi"/>
      <w:noProof/>
      <w:color w:val="2E74B5" w:themeColor="accent1" w:themeShade="BF"/>
      <w:sz w:val="32"/>
      <w:szCs w:val="32"/>
    </w:rPr>
  </w:style>
  <w:style w:type="paragraph" w:styleId="TOCHeading">
    <w:name w:val="TOC Heading"/>
    <w:basedOn w:val="Heading1"/>
    <w:next w:val="Normal"/>
    <w:uiPriority w:val="39"/>
    <w:unhideWhenUsed/>
    <w:qFormat/>
    <w:rsid w:val="008574C2"/>
    <w:pPr>
      <w:outlineLvl w:val="9"/>
    </w:pPr>
    <w:rPr>
      <w:lang w:val="en-US"/>
    </w:rPr>
  </w:style>
  <w:style w:type="paragraph" w:styleId="TOC1">
    <w:name w:val="toc 1"/>
    <w:basedOn w:val="Normal"/>
    <w:next w:val="Normal"/>
    <w:autoRedefine/>
    <w:uiPriority w:val="39"/>
    <w:unhideWhenUsed/>
    <w:rsid w:val="008574C2"/>
    <w:pPr>
      <w:spacing w:after="100"/>
    </w:pPr>
  </w:style>
  <w:style w:type="paragraph" w:styleId="Caption">
    <w:name w:val="caption"/>
    <w:basedOn w:val="Normal"/>
    <w:next w:val="Normal"/>
    <w:uiPriority w:val="35"/>
    <w:unhideWhenUsed/>
    <w:qFormat/>
    <w:rsid w:val="00CC3504"/>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4E39AC"/>
    <w:pPr>
      <w:spacing w:after="0"/>
    </w:pPr>
  </w:style>
  <w:style w:type="paragraph" w:customStyle="1" w:styleId="isselectedend">
    <w:name w:val="isselectedend"/>
    <w:basedOn w:val="Normal"/>
    <w:rsid w:val="008C74B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4F3B87"/>
    <w:pPr>
      <w:ind w:left="720"/>
      <w:contextualSpacing/>
    </w:pPr>
  </w:style>
  <w:style w:type="character" w:customStyle="1" w:styleId="Heading2Char">
    <w:name w:val="Heading 2 Char"/>
    <w:basedOn w:val="DefaultParagraphFont"/>
    <w:link w:val="Heading2"/>
    <w:uiPriority w:val="9"/>
    <w:semiHidden/>
    <w:rsid w:val="004F3B87"/>
    <w:rPr>
      <w:rFonts w:asciiTheme="majorHAnsi" w:eastAsiaTheme="majorEastAsia" w:hAnsiTheme="majorHAnsi" w:cstheme="majorBidi"/>
      <w:noProof/>
      <w:color w:val="2E74B5" w:themeColor="accent1" w:themeShade="BF"/>
      <w:sz w:val="26"/>
      <w:szCs w:val="26"/>
    </w:rPr>
  </w:style>
  <w:style w:type="paragraph" w:styleId="TOC2">
    <w:name w:val="toc 2"/>
    <w:basedOn w:val="Normal"/>
    <w:next w:val="Normal"/>
    <w:autoRedefine/>
    <w:uiPriority w:val="39"/>
    <w:unhideWhenUsed/>
    <w:rsid w:val="00F652BD"/>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7121309">
      <w:bodyDiv w:val="1"/>
      <w:marLeft w:val="0"/>
      <w:marRight w:val="0"/>
      <w:marTop w:val="0"/>
      <w:marBottom w:val="0"/>
      <w:divBdr>
        <w:top w:val="none" w:sz="0" w:space="0" w:color="auto"/>
        <w:left w:val="none" w:sz="0" w:space="0" w:color="auto"/>
        <w:bottom w:val="none" w:sz="0" w:space="0" w:color="auto"/>
        <w:right w:val="none" w:sz="0" w:space="0" w:color="auto"/>
      </w:divBdr>
    </w:div>
    <w:div w:id="136462467">
      <w:bodyDiv w:val="1"/>
      <w:marLeft w:val="0"/>
      <w:marRight w:val="0"/>
      <w:marTop w:val="0"/>
      <w:marBottom w:val="0"/>
      <w:divBdr>
        <w:top w:val="none" w:sz="0" w:space="0" w:color="auto"/>
        <w:left w:val="none" w:sz="0" w:space="0" w:color="auto"/>
        <w:bottom w:val="none" w:sz="0" w:space="0" w:color="auto"/>
        <w:right w:val="none" w:sz="0" w:space="0" w:color="auto"/>
      </w:divBdr>
    </w:div>
    <w:div w:id="208147391">
      <w:bodyDiv w:val="1"/>
      <w:marLeft w:val="0"/>
      <w:marRight w:val="0"/>
      <w:marTop w:val="0"/>
      <w:marBottom w:val="0"/>
      <w:divBdr>
        <w:top w:val="none" w:sz="0" w:space="0" w:color="auto"/>
        <w:left w:val="none" w:sz="0" w:space="0" w:color="auto"/>
        <w:bottom w:val="none" w:sz="0" w:space="0" w:color="auto"/>
        <w:right w:val="none" w:sz="0" w:space="0" w:color="auto"/>
      </w:divBdr>
    </w:div>
    <w:div w:id="258755902">
      <w:bodyDiv w:val="1"/>
      <w:marLeft w:val="0"/>
      <w:marRight w:val="0"/>
      <w:marTop w:val="0"/>
      <w:marBottom w:val="0"/>
      <w:divBdr>
        <w:top w:val="none" w:sz="0" w:space="0" w:color="auto"/>
        <w:left w:val="none" w:sz="0" w:space="0" w:color="auto"/>
        <w:bottom w:val="none" w:sz="0" w:space="0" w:color="auto"/>
        <w:right w:val="none" w:sz="0" w:space="0" w:color="auto"/>
      </w:divBdr>
    </w:div>
    <w:div w:id="292448359">
      <w:bodyDiv w:val="1"/>
      <w:marLeft w:val="0"/>
      <w:marRight w:val="0"/>
      <w:marTop w:val="0"/>
      <w:marBottom w:val="0"/>
      <w:divBdr>
        <w:top w:val="none" w:sz="0" w:space="0" w:color="auto"/>
        <w:left w:val="none" w:sz="0" w:space="0" w:color="auto"/>
        <w:bottom w:val="none" w:sz="0" w:space="0" w:color="auto"/>
        <w:right w:val="none" w:sz="0" w:space="0" w:color="auto"/>
      </w:divBdr>
    </w:div>
    <w:div w:id="598605829">
      <w:bodyDiv w:val="1"/>
      <w:marLeft w:val="0"/>
      <w:marRight w:val="0"/>
      <w:marTop w:val="0"/>
      <w:marBottom w:val="0"/>
      <w:divBdr>
        <w:top w:val="none" w:sz="0" w:space="0" w:color="auto"/>
        <w:left w:val="none" w:sz="0" w:space="0" w:color="auto"/>
        <w:bottom w:val="none" w:sz="0" w:space="0" w:color="auto"/>
        <w:right w:val="none" w:sz="0" w:space="0" w:color="auto"/>
      </w:divBdr>
    </w:div>
    <w:div w:id="756176029">
      <w:bodyDiv w:val="1"/>
      <w:marLeft w:val="0"/>
      <w:marRight w:val="0"/>
      <w:marTop w:val="0"/>
      <w:marBottom w:val="0"/>
      <w:divBdr>
        <w:top w:val="none" w:sz="0" w:space="0" w:color="auto"/>
        <w:left w:val="none" w:sz="0" w:space="0" w:color="auto"/>
        <w:bottom w:val="none" w:sz="0" w:space="0" w:color="auto"/>
        <w:right w:val="none" w:sz="0" w:space="0" w:color="auto"/>
      </w:divBdr>
    </w:div>
    <w:div w:id="757483445">
      <w:bodyDiv w:val="1"/>
      <w:marLeft w:val="0"/>
      <w:marRight w:val="0"/>
      <w:marTop w:val="0"/>
      <w:marBottom w:val="0"/>
      <w:divBdr>
        <w:top w:val="none" w:sz="0" w:space="0" w:color="auto"/>
        <w:left w:val="none" w:sz="0" w:space="0" w:color="auto"/>
        <w:bottom w:val="none" w:sz="0" w:space="0" w:color="auto"/>
        <w:right w:val="none" w:sz="0" w:space="0" w:color="auto"/>
      </w:divBdr>
    </w:div>
    <w:div w:id="1016736312">
      <w:bodyDiv w:val="1"/>
      <w:marLeft w:val="0"/>
      <w:marRight w:val="0"/>
      <w:marTop w:val="0"/>
      <w:marBottom w:val="0"/>
      <w:divBdr>
        <w:top w:val="none" w:sz="0" w:space="0" w:color="auto"/>
        <w:left w:val="none" w:sz="0" w:space="0" w:color="auto"/>
        <w:bottom w:val="none" w:sz="0" w:space="0" w:color="auto"/>
        <w:right w:val="none" w:sz="0" w:space="0" w:color="auto"/>
      </w:divBdr>
    </w:div>
    <w:div w:id="1102804499">
      <w:bodyDiv w:val="1"/>
      <w:marLeft w:val="0"/>
      <w:marRight w:val="0"/>
      <w:marTop w:val="0"/>
      <w:marBottom w:val="0"/>
      <w:divBdr>
        <w:top w:val="none" w:sz="0" w:space="0" w:color="auto"/>
        <w:left w:val="none" w:sz="0" w:space="0" w:color="auto"/>
        <w:bottom w:val="none" w:sz="0" w:space="0" w:color="auto"/>
        <w:right w:val="none" w:sz="0" w:space="0" w:color="auto"/>
      </w:divBdr>
      <w:divsChild>
        <w:div w:id="1305694823">
          <w:marLeft w:val="0"/>
          <w:marRight w:val="0"/>
          <w:marTop w:val="0"/>
          <w:marBottom w:val="0"/>
          <w:divBdr>
            <w:top w:val="none" w:sz="0" w:space="0" w:color="auto"/>
            <w:left w:val="none" w:sz="0" w:space="0" w:color="auto"/>
            <w:bottom w:val="none" w:sz="0" w:space="0" w:color="auto"/>
            <w:right w:val="none" w:sz="0" w:space="0" w:color="auto"/>
          </w:divBdr>
          <w:divsChild>
            <w:div w:id="980420854">
              <w:marLeft w:val="0"/>
              <w:marRight w:val="0"/>
              <w:marTop w:val="0"/>
              <w:marBottom w:val="0"/>
              <w:divBdr>
                <w:top w:val="none" w:sz="0" w:space="0" w:color="auto"/>
                <w:left w:val="none" w:sz="0" w:space="0" w:color="auto"/>
                <w:bottom w:val="none" w:sz="0" w:space="0" w:color="auto"/>
                <w:right w:val="none" w:sz="0" w:space="0" w:color="auto"/>
              </w:divBdr>
            </w:div>
          </w:divsChild>
        </w:div>
        <w:div w:id="1556042736">
          <w:marLeft w:val="0"/>
          <w:marRight w:val="0"/>
          <w:marTop w:val="0"/>
          <w:marBottom w:val="0"/>
          <w:divBdr>
            <w:top w:val="none" w:sz="0" w:space="0" w:color="auto"/>
            <w:left w:val="none" w:sz="0" w:space="0" w:color="auto"/>
            <w:bottom w:val="none" w:sz="0" w:space="0" w:color="auto"/>
            <w:right w:val="none" w:sz="0" w:space="0" w:color="auto"/>
          </w:divBdr>
          <w:divsChild>
            <w:div w:id="20710745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98931314">
      <w:bodyDiv w:val="1"/>
      <w:marLeft w:val="0"/>
      <w:marRight w:val="0"/>
      <w:marTop w:val="0"/>
      <w:marBottom w:val="0"/>
      <w:divBdr>
        <w:top w:val="none" w:sz="0" w:space="0" w:color="auto"/>
        <w:left w:val="none" w:sz="0" w:space="0" w:color="auto"/>
        <w:bottom w:val="none" w:sz="0" w:space="0" w:color="auto"/>
        <w:right w:val="none" w:sz="0" w:space="0" w:color="auto"/>
      </w:divBdr>
    </w:div>
    <w:div w:id="1286162370">
      <w:bodyDiv w:val="1"/>
      <w:marLeft w:val="0"/>
      <w:marRight w:val="0"/>
      <w:marTop w:val="0"/>
      <w:marBottom w:val="0"/>
      <w:divBdr>
        <w:top w:val="none" w:sz="0" w:space="0" w:color="auto"/>
        <w:left w:val="none" w:sz="0" w:space="0" w:color="auto"/>
        <w:bottom w:val="none" w:sz="0" w:space="0" w:color="auto"/>
        <w:right w:val="none" w:sz="0" w:space="0" w:color="auto"/>
      </w:divBdr>
    </w:div>
    <w:div w:id="1334140400">
      <w:bodyDiv w:val="1"/>
      <w:marLeft w:val="0"/>
      <w:marRight w:val="0"/>
      <w:marTop w:val="0"/>
      <w:marBottom w:val="0"/>
      <w:divBdr>
        <w:top w:val="none" w:sz="0" w:space="0" w:color="auto"/>
        <w:left w:val="none" w:sz="0" w:space="0" w:color="auto"/>
        <w:bottom w:val="none" w:sz="0" w:space="0" w:color="auto"/>
        <w:right w:val="none" w:sz="0" w:space="0" w:color="auto"/>
      </w:divBdr>
    </w:div>
    <w:div w:id="1359314922">
      <w:bodyDiv w:val="1"/>
      <w:marLeft w:val="0"/>
      <w:marRight w:val="0"/>
      <w:marTop w:val="0"/>
      <w:marBottom w:val="0"/>
      <w:divBdr>
        <w:top w:val="none" w:sz="0" w:space="0" w:color="auto"/>
        <w:left w:val="none" w:sz="0" w:space="0" w:color="auto"/>
        <w:bottom w:val="none" w:sz="0" w:space="0" w:color="auto"/>
        <w:right w:val="none" w:sz="0" w:space="0" w:color="auto"/>
      </w:divBdr>
    </w:div>
    <w:div w:id="1423332523">
      <w:bodyDiv w:val="1"/>
      <w:marLeft w:val="0"/>
      <w:marRight w:val="0"/>
      <w:marTop w:val="0"/>
      <w:marBottom w:val="0"/>
      <w:divBdr>
        <w:top w:val="none" w:sz="0" w:space="0" w:color="auto"/>
        <w:left w:val="none" w:sz="0" w:space="0" w:color="auto"/>
        <w:bottom w:val="none" w:sz="0" w:space="0" w:color="auto"/>
        <w:right w:val="none" w:sz="0" w:space="0" w:color="auto"/>
      </w:divBdr>
    </w:div>
    <w:div w:id="1477064209">
      <w:bodyDiv w:val="1"/>
      <w:marLeft w:val="0"/>
      <w:marRight w:val="0"/>
      <w:marTop w:val="0"/>
      <w:marBottom w:val="0"/>
      <w:divBdr>
        <w:top w:val="none" w:sz="0" w:space="0" w:color="auto"/>
        <w:left w:val="none" w:sz="0" w:space="0" w:color="auto"/>
        <w:bottom w:val="none" w:sz="0" w:space="0" w:color="auto"/>
        <w:right w:val="none" w:sz="0" w:space="0" w:color="auto"/>
      </w:divBdr>
    </w:div>
    <w:div w:id="1488596825">
      <w:bodyDiv w:val="1"/>
      <w:marLeft w:val="0"/>
      <w:marRight w:val="0"/>
      <w:marTop w:val="0"/>
      <w:marBottom w:val="0"/>
      <w:divBdr>
        <w:top w:val="none" w:sz="0" w:space="0" w:color="auto"/>
        <w:left w:val="none" w:sz="0" w:space="0" w:color="auto"/>
        <w:bottom w:val="none" w:sz="0" w:space="0" w:color="auto"/>
        <w:right w:val="none" w:sz="0" w:space="0" w:color="auto"/>
      </w:divBdr>
    </w:div>
    <w:div w:id="16272692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egislation.gov.uk/ukpga/2014/23/contents" TargetMode="External"/><Relationship Id="rId13" Type="http://schemas.openxmlformats.org/officeDocument/2006/relationships/hyperlink" Target="https://www.legislation.gov.uk/ukpga/2005/9/contents" TargetMode="External"/><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legislation.gov.uk/ukpga/1998/42/contents" TargetMode="External"/><Relationship Id="rId17"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hyperlink" Target="https://www.un.org/disabilities/documents/convention/convoptprot-e.pdf"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legislation.gov.uk/ukpga/2010/15/contents" TargetMode="External"/><Relationship Id="rId5" Type="http://schemas.openxmlformats.org/officeDocument/2006/relationships/webSettings" Target="webSettings.xml"/><Relationship Id="rId15" Type="http://schemas.openxmlformats.org/officeDocument/2006/relationships/hyperlink" Target="https://www.legislation.gov.uk/ukpga/2006/47/contents" TargetMode="External"/><Relationship Id="rId10" Type="http://schemas.openxmlformats.org/officeDocument/2006/relationships/hyperlink" Target="https://www.gov.uk/government/publications/care-act-statutory-guidance/care-and-support-statutory-guidance"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legislation.gov.uk/ukpga/2018/12/contents" TargetMode="External"/><Relationship Id="rId14" Type="http://schemas.openxmlformats.org/officeDocument/2006/relationships/hyperlink" Target="https://www.ons.gov.uk/peoplepopulationandcommunity/healthandsocialcare/disabilit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5AB740A-E026-49CC-8FAA-D1A3DA58ABE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9</Pages>
  <Words>2450</Words>
  <Characters>13969</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dc:creator>
  <cp:keywords/>
  <dc:description/>
  <cp:lastModifiedBy>Samuel Kalule</cp:lastModifiedBy>
  <cp:revision>2</cp:revision>
  <dcterms:created xsi:type="dcterms:W3CDTF">2026-08-05T15:33:00Z</dcterms:created>
  <dcterms:modified xsi:type="dcterms:W3CDTF">2026-08-05T15:33:00Z</dcterms:modified>
</cp:coreProperties>
</file>