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97167" w14:textId="19BD636F" w:rsidR="00313453" w:rsidRPr="00EE4FD9" w:rsidRDefault="00313453" w:rsidP="005A02F5">
      <w:pPr>
        <w:spacing w:before="100" w:beforeAutospacing="1" w:after="100" w:afterAutospacing="1" w:line="240" w:lineRule="auto"/>
        <w:jc w:val="center"/>
        <w:outlineLvl w:val="0"/>
        <w:rPr>
          <w:rFonts w:ascii="Arial" w:eastAsia="Times New Roman" w:hAnsi="Arial" w:cs="Arial"/>
          <w:b/>
          <w:bCs/>
          <w:kern w:val="36"/>
          <w:sz w:val="52"/>
          <w:szCs w:val="52"/>
          <w14:ligatures w14:val="none"/>
        </w:rPr>
      </w:pPr>
      <w:bookmarkStart w:id="0" w:name="_Toc236072438"/>
      <w:r w:rsidRPr="00EE4FD9">
        <w:rPr>
          <w:rFonts w:ascii="Arial" w:eastAsia="Times New Roman" w:hAnsi="Arial" w:cs="Arial"/>
          <w:b/>
          <w:bCs/>
          <w:kern w:val="36"/>
          <w:sz w:val="52"/>
          <w:szCs w:val="52"/>
          <w14:ligatures w14:val="none"/>
        </w:rPr>
        <w:t xml:space="preserve">Analysis of </w:t>
      </w:r>
      <w:r w:rsidR="00843FE4" w:rsidRPr="00EE4FD9">
        <w:rPr>
          <w:rFonts w:ascii="Arial" w:eastAsia="Times New Roman" w:hAnsi="Arial" w:cs="Arial"/>
          <w:b/>
          <w:bCs/>
          <w:kern w:val="36"/>
          <w:sz w:val="52"/>
          <w:szCs w:val="52"/>
          <w14:ligatures w14:val="none"/>
        </w:rPr>
        <w:t xml:space="preserve">Quality Assurance in Leigh Rodgers </w:t>
      </w:r>
      <w:r w:rsidR="005A02F5" w:rsidRPr="00EE4FD9">
        <w:rPr>
          <w:rFonts w:ascii="Arial" w:eastAsia="Times New Roman" w:hAnsi="Arial" w:cs="Arial"/>
          <w:b/>
          <w:bCs/>
          <w:kern w:val="36"/>
          <w:sz w:val="52"/>
          <w:szCs w:val="52"/>
          <w14:ligatures w14:val="none"/>
        </w:rPr>
        <w:t>case</w:t>
      </w:r>
      <w:bookmarkEnd w:id="0"/>
    </w:p>
    <w:p w14:paraId="5A836F0F" w14:textId="1A82ECA2" w:rsidR="0014762A" w:rsidRPr="00EE4FD9" w:rsidRDefault="0014762A"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 w:name="_Toc236059495"/>
      <w:bookmarkStart w:id="2" w:name="_Toc236059526"/>
      <w:bookmarkStart w:id="3" w:name="_Toc236072340"/>
      <w:bookmarkStart w:id="4" w:name="_Toc236072439"/>
      <w:r w:rsidRPr="00EE4FD9">
        <w:rPr>
          <w:rFonts w:ascii="Arial" w:eastAsia="Times New Roman" w:hAnsi="Arial" w:cs="Arial"/>
          <w:b/>
          <w:bCs/>
          <w:kern w:val="36"/>
          <w:sz w:val="22"/>
          <w:szCs w:val="22"/>
          <w14:ligatures w14:val="none"/>
        </w:rPr>
        <w:t>Student name: Rajveer Rana</w:t>
      </w:r>
      <w:bookmarkEnd w:id="1"/>
      <w:bookmarkEnd w:id="2"/>
      <w:bookmarkEnd w:id="3"/>
      <w:bookmarkEnd w:id="4"/>
    </w:p>
    <w:p w14:paraId="4A7BA741" w14:textId="77777777" w:rsidR="00732786" w:rsidRPr="00EE4FD9" w:rsidRDefault="0014762A"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5" w:name="_Toc236059496"/>
      <w:bookmarkStart w:id="6" w:name="_Toc236059527"/>
      <w:bookmarkStart w:id="7" w:name="_Toc236072341"/>
      <w:bookmarkStart w:id="8" w:name="_Toc236072440"/>
      <w:r w:rsidRPr="00EE4FD9">
        <w:rPr>
          <w:rFonts w:ascii="Arial" w:eastAsia="Times New Roman" w:hAnsi="Arial" w:cs="Arial"/>
          <w:b/>
          <w:bCs/>
          <w:kern w:val="36"/>
          <w:sz w:val="22"/>
          <w:szCs w:val="22"/>
          <w14:ligatures w14:val="none"/>
        </w:rPr>
        <w:t xml:space="preserve">Student id: </w:t>
      </w:r>
      <w:r w:rsidR="00732786" w:rsidRPr="00EE4FD9">
        <w:rPr>
          <w:rFonts w:ascii="Arial" w:eastAsia="Times New Roman" w:hAnsi="Arial" w:cs="Arial"/>
          <w:b/>
          <w:bCs/>
          <w:kern w:val="36"/>
          <w:sz w:val="22"/>
          <w:szCs w:val="22"/>
          <w14:ligatures w14:val="none"/>
        </w:rPr>
        <w:t>2526006</w:t>
      </w:r>
      <w:bookmarkEnd w:id="5"/>
      <w:bookmarkEnd w:id="6"/>
      <w:bookmarkEnd w:id="7"/>
      <w:bookmarkEnd w:id="8"/>
    </w:p>
    <w:p w14:paraId="1508A62F" w14:textId="2B21CB29" w:rsidR="005A02F5" w:rsidRPr="00EE4FD9" w:rsidRDefault="00030B76"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9" w:name="_Toc236059497"/>
      <w:bookmarkStart w:id="10" w:name="_Toc236059528"/>
      <w:bookmarkStart w:id="11" w:name="_Toc236072342"/>
      <w:bookmarkStart w:id="12" w:name="_Toc236072441"/>
      <w:r w:rsidRPr="00EE4FD9">
        <w:rPr>
          <w:rFonts w:ascii="Arial" w:eastAsia="Times New Roman" w:hAnsi="Arial" w:cs="Arial"/>
          <w:b/>
          <w:bCs/>
          <w:kern w:val="36"/>
          <w:sz w:val="22"/>
          <w:szCs w:val="22"/>
          <w14:ligatures w14:val="none"/>
        </w:rPr>
        <w:t>Module: Quality Assurance and Service and Improvement</w:t>
      </w:r>
      <w:bookmarkEnd w:id="9"/>
      <w:bookmarkEnd w:id="10"/>
      <w:bookmarkEnd w:id="11"/>
      <w:bookmarkEnd w:id="12"/>
    </w:p>
    <w:p w14:paraId="6B663A69" w14:textId="060FB075" w:rsidR="00030B76" w:rsidRPr="00EE4FD9" w:rsidRDefault="00030B76"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3" w:name="_Toc236059498"/>
      <w:bookmarkStart w:id="14" w:name="_Toc236059529"/>
      <w:bookmarkStart w:id="15" w:name="_Toc236072343"/>
      <w:bookmarkStart w:id="16" w:name="_Toc236072442"/>
      <w:r w:rsidRPr="00EE4FD9">
        <w:rPr>
          <w:rFonts w:ascii="Arial" w:eastAsia="Times New Roman" w:hAnsi="Arial" w:cs="Arial"/>
          <w:b/>
          <w:bCs/>
          <w:kern w:val="36"/>
          <w:sz w:val="22"/>
          <w:szCs w:val="22"/>
          <w14:ligatures w14:val="none"/>
        </w:rPr>
        <w:t>Module code: LCHS7006</w:t>
      </w:r>
      <w:bookmarkEnd w:id="13"/>
      <w:bookmarkEnd w:id="14"/>
      <w:bookmarkEnd w:id="15"/>
      <w:bookmarkEnd w:id="16"/>
    </w:p>
    <w:p w14:paraId="1AB7FC45" w14:textId="4ADFD639" w:rsidR="00030B76" w:rsidRPr="00EE4FD9" w:rsidRDefault="0014762A" w:rsidP="007F4F6F">
      <w:pPr>
        <w:spacing w:before="100" w:beforeAutospacing="1" w:after="100" w:afterAutospacing="1" w:line="240" w:lineRule="auto"/>
        <w:jc w:val="center"/>
        <w:outlineLvl w:val="0"/>
        <w:rPr>
          <w:rFonts w:ascii="Arial" w:eastAsia="Times New Roman" w:hAnsi="Arial" w:cs="Arial"/>
          <w:b/>
          <w:bCs/>
          <w:kern w:val="36"/>
          <w:sz w:val="22"/>
          <w:szCs w:val="22"/>
          <w14:ligatures w14:val="none"/>
        </w:rPr>
      </w:pPr>
      <w:bookmarkStart w:id="17" w:name="_Toc236059499"/>
      <w:bookmarkStart w:id="18" w:name="_Toc236059530"/>
      <w:bookmarkStart w:id="19" w:name="_Toc236072344"/>
      <w:bookmarkStart w:id="20" w:name="_Toc236072443"/>
      <w:r w:rsidRPr="00EE4FD9">
        <w:rPr>
          <w:rFonts w:ascii="Arial" w:eastAsia="Times New Roman" w:hAnsi="Arial" w:cs="Arial"/>
          <w:b/>
          <w:bCs/>
          <w:kern w:val="36"/>
          <w:sz w:val="22"/>
          <w:szCs w:val="22"/>
          <w14:ligatures w14:val="none"/>
        </w:rPr>
        <w:t>Programme: MSc Public Health an</w:t>
      </w:r>
      <w:r w:rsidR="00655871" w:rsidRPr="00EE4FD9">
        <w:rPr>
          <w:rFonts w:ascii="Arial" w:eastAsia="Times New Roman" w:hAnsi="Arial" w:cs="Arial"/>
          <w:b/>
          <w:bCs/>
          <w:kern w:val="36"/>
          <w:sz w:val="22"/>
          <w:szCs w:val="22"/>
          <w14:ligatures w14:val="none"/>
        </w:rPr>
        <w:t>d</w:t>
      </w:r>
      <w:r w:rsidRPr="00EE4FD9">
        <w:rPr>
          <w:rFonts w:ascii="Arial" w:eastAsia="Times New Roman" w:hAnsi="Arial" w:cs="Arial"/>
          <w:b/>
          <w:bCs/>
          <w:kern w:val="36"/>
          <w:sz w:val="22"/>
          <w:szCs w:val="22"/>
          <w14:ligatures w14:val="none"/>
        </w:rPr>
        <w:t xml:space="preserve"> Social Care in Practice</w:t>
      </w:r>
      <w:bookmarkEnd w:id="17"/>
      <w:bookmarkEnd w:id="18"/>
      <w:bookmarkEnd w:id="19"/>
      <w:bookmarkEnd w:id="20"/>
    </w:p>
    <w:p w14:paraId="09896091" w14:textId="77777777" w:rsidR="00313453" w:rsidRPr="00EE4FD9" w:rsidRDefault="00313453"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D6C404C"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CEE67DA"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EB1D963"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211B649"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65A561B"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9707775"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7BA46E0"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E083892"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9823273"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F003154"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81D08C4"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F21E7A0"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D1A08ED"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1C3A70D"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F63249B"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48B4BBC"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DC513F0" w14:textId="77777777" w:rsidR="00CB2CCC" w:rsidRPr="00EE4FD9" w:rsidRDefault="00CB2CCC"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sdt>
      <w:sdtPr>
        <w:rPr>
          <w:rFonts w:ascii="Arial" w:eastAsiaTheme="minorEastAsia" w:hAnsi="Arial" w:cs="Arial"/>
          <w:color w:val="auto"/>
          <w:kern w:val="2"/>
          <w:sz w:val="24"/>
          <w:szCs w:val="24"/>
          <w:lang w:val="en-GB" w:eastAsia="en-GB"/>
          <w14:ligatures w14:val="standardContextual"/>
        </w:rPr>
        <w:id w:val="98533861"/>
        <w:docPartObj>
          <w:docPartGallery w:val="Table of Contents"/>
          <w:docPartUnique/>
        </w:docPartObj>
      </w:sdtPr>
      <w:sdtEndPr>
        <w:rPr>
          <w:b/>
          <w:bCs/>
          <w:noProof/>
        </w:rPr>
      </w:sdtEndPr>
      <w:sdtContent>
        <w:p w14:paraId="383E7388" w14:textId="3A059346" w:rsidR="00854D44" w:rsidRPr="00EE4FD9" w:rsidRDefault="00854D44">
          <w:pPr>
            <w:pStyle w:val="TOCHeading"/>
            <w:rPr>
              <w:rFonts w:ascii="Arial" w:hAnsi="Arial" w:cs="Arial"/>
            </w:rPr>
          </w:pPr>
          <w:r w:rsidRPr="00EE4FD9">
            <w:rPr>
              <w:rFonts w:ascii="Arial" w:hAnsi="Arial" w:cs="Arial"/>
            </w:rPr>
            <w:t>Table of Contents</w:t>
          </w:r>
        </w:p>
        <w:p w14:paraId="16A7D62B" w14:textId="161085AB" w:rsidR="00F05CF5" w:rsidRPr="00EE4FD9" w:rsidRDefault="00854D44">
          <w:pPr>
            <w:pStyle w:val="TOC1"/>
            <w:tabs>
              <w:tab w:val="right" w:leader="dot" w:pos="9016"/>
            </w:tabs>
            <w:rPr>
              <w:rFonts w:ascii="Arial" w:hAnsi="Arial" w:cs="Arial"/>
              <w:noProof/>
              <w:lang w:val="en-IN" w:eastAsia="en-IN"/>
            </w:rPr>
          </w:pPr>
          <w:r w:rsidRPr="00EE4FD9">
            <w:rPr>
              <w:rFonts w:ascii="Arial" w:hAnsi="Arial" w:cs="Arial"/>
            </w:rPr>
            <w:fldChar w:fldCharType="begin"/>
          </w:r>
          <w:r w:rsidRPr="00EE4FD9">
            <w:rPr>
              <w:rFonts w:ascii="Arial" w:hAnsi="Arial" w:cs="Arial"/>
            </w:rPr>
            <w:instrText xml:space="preserve"> TOC \o "1-3" \h \z \u </w:instrText>
          </w:r>
          <w:r w:rsidRPr="00EE4FD9">
            <w:rPr>
              <w:rFonts w:ascii="Arial" w:hAnsi="Arial" w:cs="Arial"/>
            </w:rPr>
            <w:fldChar w:fldCharType="separate"/>
          </w:r>
          <w:hyperlink w:anchor="_Toc236072438" w:history="1">
            <w:r w:rsidR="00F05CF5" w:rsidRPr="00EE4FD9">
              <w:rPr>
                <w:rStyle w:val="Hyperlink"/>
                <w:rFonts w:ascii="Arial" w:eastAsia="Times New Roman" w:hAnsi="Arial" w:cs="Arial"/>
                <w:b/>
                <w:bCs/>
                <w:noProof/>
                <w:kern w:val="36"/>
                <w14:ligatures w14:val="none"/>
              </w:rPr>
              <w:t>Analysis of Quality Assurance in Leigh Rodgers case</w:t>
            </w:r>
            <w:r w:rsidR="00F05CF5" w:rsidRPr="00EE4FD9">
              <w:rPr>
                <w:rFonts w:ascii="Arial" w:hAnsi="Arial" w:cs="Arial"/>
                <w:noProof/>
                <w:webHidden/>
              </w:rPr>
              <w:tab/>
            </w:r>
            <w:r w:rsidR="00F05CF5" w:rsidRPr="00EE4FD9">
              <w:rPr>
                <w:rFonts w:ascii="Arial" w:hAnsi="Arial" w:cs="Arial"/>
                <w:noProof/>
                <w:webHidden/>
              </w:rPr>
              <w:fldChar w:fldCharType="begin"/>
            </w:r>
            <w:r w:rsidR="00F05CF5" w:rsidRPr="00EE4FD9">
              <w:rPr>
                <w:rFonts w:ascii="Arial" w:hAnsi="Arial" w:cs="Arial"/>
                <w:noProof/>
                <w:webHidden/>
              </w:rPr>
              <w:instrText xml:space="preserve"> PAGEREF _Toc236072438 \h </w:instrText>
            </w:r>
            <w:r w:rsidR="00F05CF5" w:rsidRPr="00EE4FD9">
              <w:rPr>
                <w:rFonts w:ascii="Arial" w:hAnsi="Arial" w:cs="Arial"/>
                <w:noProof/>
                <w:webHidden/>
              </w:rPr>
            </w:r>
            <w:r w:rsidR="00F05CF5" w:rsidRPr="00EE4FD9">
              <w:rPr>
                <w:rFonts w:ascii="Arial" w:hAnsi="Arial" w:cs="Arial"/>
                <w:noProof/>
                <w:webHidden/>
              </w:rPr>
              <w:fldChar w:fldCharType="separate"/>
            </w:r>
            <w:r w:rsidR="00F05CF5" w:rsidRPr="00EE4FD9">
              <w:rPr>
                <w:rFonts w:ascii="Arial" w:hAnsi="Arial" w:cs="Arial"/>
                <w:noProof/>
                <w:webHidden/>
              </w:rPr>
              <w:t>1</w:t>
            </w:r>
            <w:r w:rsidR="00F05CF5" w:rsidRPr="00EE4FD9">
              <w:rPr>
                <w:rFonts w:ascii="Arial" w:hAnsi="Arial" w:cs="Arial"/>
                <w:noProof/>
                <w:webHidden/>
              </w:rPr>
              <w:fldChar w:fldCharType="end"/>
            </w:r>
          </w:hyperlink>
        </w:p>
        <w:p w14:paraId="71023CD5" w14:textId="69986798" w:rsidR="00F05CF5" w:rsidRPr="00EE4FD9" w:rsidRDefault="00F05CF5">
          <w:pPr>
            <w:pStyle w:val="TOC1"/>
            <w:tabs>
              <w:tab w:val="right" w:leader="dot" w:pos="9016"/>
            </w:tabs>
            <w:rPr>
              <w:rFonts w:ascii="Arial" w:hAnsi="Arial" w:cs="Arial"/>
              <w:noProof/>
              <w:lang w:val="en-IN" w:eastAsia="en-IN"/>
            </w:rPr>
          </w:pPr>
          <w:hyperlink w:anchor="_Toc236072444" w:history="1">
            <w:r w:rsidRPr="00EE4FD9">
              <w:rPr>
                <w:rStyle w:val="Hyperlink"/>
                <w:rFonts w:ascii="Arial" w:eastAsia="Times New Roman" w:hAnsi="Arial" w:cs="Arial"/>
                <w:noProof/>
              </w:rPr>
              <w:t>1. Introduction</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_Toc236072444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7DE4B7BA" w14:textId="0B68B5C6" w:rsidR="00F05CF5" w:rsidRPr="00EE4FD9" w:rsidRDefault="00F05CF5">
          <w:pPr>
            <w:pStyle w:val="TOC2"/>
            <w:tabs>
              <w:tab w:val="right" w:leader="dot" w:pos="9016"/>
            </w:tabs>
            <w:rPr>
              <w:rFonts w:ascii="Arial" w:hAnsi="Arial" w:cs="Arial"/>
              <w:noProof/>
              <w:lang w:val="en-IN" w:eastAsia="en-IN"/>
            </w:rPr>
          </w:pPr>
          <w:hyperlink w:anchor="_Toc236072445" w:history="1">
            <w:r w:rsidRPr="00EE4FD9">
              <w:rPr>
                <w:rStyle w:val="Hyperlink"/>
                <w:rFonts w:ascii="Arial" w:eastAsia="Times New Roman" w:hAnsi="Arial" w:cs="Arial"/>
                <w:noProof/>
              </w:rPr>
              <w:t>1.1 Brief Description of the Leigh Rodgers Case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_Toc236072445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4A69609E" w14:textId="118346AE" w:rsidR="00F05CF5" w:rsidRPr="00EE4FD9" w:rsidRDefault="00F05CF5">
          <w:pPr>
            <w:pStyle w:val="TOC1"/>
            <w:tabs>
              <w:tab w:val="right" w:leader="dot" w:pos="9016"/>
            </w:tabs>
            <w:rPr>
              <w:rFonts w:ascii="Arial" w:hAnsi="Arial" w:cs="Arial"/>
              <w:noProof/>
              <w:lang w:val="en-IN" w:eastAsia="en-IN"/>
            </w:rPr>
          </w:pPr>
          <w:hyperlink w:anchor="_Toc236072446" w:history="1">
            <w:r w:rsidRPr="00EE4FD9">
              <w:rPr>
                <w:rStyle w:val="Hyperlink"/>
                <w:rFonts w:ascii="Arial" w:eastAsia="Times New Roman" w:hAnsi="Arial" w:cs="Arial"/>
                <w:noProof/>
              </w:rPr>
              <w:t>2. Main Body</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_Toc236072446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47AC6597" w14:textId="205AFEDA" w:rsidR="00F05CF5" w:rsidRPr="00EE4FD9" w:rsidRDefault="00F05CF5">
          <w:pPr>
            <w:pStyle w:val="TOC2"/>
            <w:tabs>
              <w:tab w:val="right" w:leader="dot" w:pos="9016"/>
            </w:tabs>
            <w:rPr>
              <w:rFonts w:ascii="Arial" w:hAnsi="Arial" w:cs="Arial"/>
              <w:noProof/>
              <w:lang w:val="en-IN" w:eastAsia="en-IN"/>
            </w:rPr>
          </w:pPr>
          <w:hyperlink w:anchor="_Toc236072447" w:history="1">
            <w:r w:rsidRPr="00EE4FD9">
              <w:rPr>
                <w:rStyle w:val="Hyperlink"/>
                <w:rFonts w:ascii="Arial" w:eastAsia="Times New Roman" w:hAnsi="Arial" w:cs="Arial"/>
                <w:noProof/>
              </w:rPr>
              <w:t>2.1 Case Study Analysis: Leigh Rodgers Incident</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_Toc236072447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3</w:t>
            </w:r>
            <w:r w:rsidRPr="00EE4FD9">
              <w:rPr>
                <w:rFonts w:ascii="Arial" w:hAnsi="Arial" w:cs="Arial"/>
                <w:noProof/>
                <w:webHidden/>
              </w:rPr>
              <w:fldChar w:fldCharType="end"/>
            </w:r>
          </w:hyperlink>
        </w:p>
        <w:p w14:paraId="3BC223AE" w14:textId="4E0BA677" w:rsidR="00F05CF5" w:rsidRPr="00EE4FD9" w:rsidRDefault="00F05CF5">
          <w:pPr>
            <w:pStyle w:val="TOC2"/>
            <w:tabs>
              <w:tab w:val="right" w:leader="dot" w:pos="9016"/>
            </w:tabs>
            <w:rPr>
              <w:rFonts w:ascii="Arial" w:hAnsi="Arial" w:cs="Arial"/>
              <w:noProof/>
              <w:lang w:val="en-IN" w:eastAsia="en-IN"/>
            </w:rPr>
          </w:pPr>
          <w:hyperlink w:anchor="_Toc236072448" w:history="1">
            <w:r w:rsidRPr="00EE4FD9">
              <w:rPr>
                <w:rStyle w:val="Hyperlink"/>
                <w:rFonts w:ascii="Arial" w:eastAsia="Times New Roman" w:hAnsi="Arial" w:cs="Arial"/>
                <w:noProof/>
              </w:rPr>
              <w:t>2.2 Application of the Donabedian Model</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_Toc236072448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4</w:t>
            </w:r>
            <w:r w:rsidRPr="00EE4FD9">
              <w:rPr>
                <w:rFonts w:ascii="Arial" w:hAnsi="Arial" w:cs="Arial"/>
                <w:noProof/>
                <w:webHidden/>
              </w:rPr>
              <w:fldChar w:fldCharType="end"/>
            </w:r>
          </w:hyperlink>
        </w:p>
        <w:p w14:paraId="21DF8B2D" w14:textId="3F639BE2" w:rsidR="00F05CF5" w:rsidRPr="00EE4FD9" w:rsidRDefault="00F05CF5">
          <w:pPr>
            <w:pStyle w:val="TOC3"/>
            <w:tabs>
              <w:tab w:val="right" w:leader="dot" w:pos="9016"/>
            </w:tabs>
            <w:rPr>
              <w:rFonts w:ascii="Arial" w:hAnsi="Arial" w:cs="Arial"/>
              <w:noProof/>
              <w:lang w:val="en-IN" w:eastAsia="en-IN"/>
            </w:rPr>
          </w:pPr>
          <w:hyperlink w:anchor="_Toc236072449" w:history="1">
            <w:r w:rsidRPr="00EE4FD9">
              <w:rPr>
                <w:rStyle w:val="Hyperlink"/>
                <w:rFonts w:ascii="Arial" w:eastAsia="Times New Roman" w:hAnsi="Arial" w:cs="Arial"/>
                <w:b/>
                <w:bCs/>
                <w:noProof/>
                <w:kern w:val="0"/>
                <w14:ligatures w14:val="none"/>
              </w:rPr>
              <w:t>Structure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_Toc236072449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4</w:t>
            </w:r>
            <w:r w:rsidRPr="00EE4FD9">
              <w:rPr>
                <w:rFonts w:ascii="Arial" w:hAnsi="Arial" w:cs="Arial"/>
                <w:noProof/>
                <w:webHidden/>
              </w:rPr>
              <w:fldChar w:fldCharType="end"/>
            </w:r>
          </w:hyperlink>
        </w:p>
        <w:p w14:paraId="17EB0355" w14:textId="5BA1381F" w:rsidR="00F05CF5" w:rsidRPr="00EE4FD9" w:rsidRDefault="00F05CF5">
          <w:pPr>
            <w:pStyle w:val="TOC3"/>
            <w:tabs>
              <w:tab w:val="right" w:leader="dot" w:pos="9016"/>
            </w:tabs>
            <w:rPr>
              <w:rFonts w:ascii="Arial" w:hAnsi="Arial" w:cs="Arial"/>
              <w:noProof/>
              <w:lang w:val="en-IN" w:eastAsia="en-IN"/>
            </w:rPr>
          </w:pPr>
          <w:hyperlink w:anchor="_Toc236072450" w:history="1">
            <w:r w:rsidRPr="00EE4FD9">
              <w:rPr>
                <w:rStyle w:val="Hyperlink"/>
                <w:rFonts w:ascii="Arial" w:eastAsia="Times New Roman" w:hAnsi="Arial" w:cs="Arial"/>
                <w:b/>
                <w:bCs/>
                <w:noProof/>
                <w:kern w:val="0"/>
                <w14:ligatures w14:val="none"/>
              </w:rPr>
              <w:t>Process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_Toc236072450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5</w:t>
            </w:r>
            <w:r w:rsidRPr="00EE4FD9">
              <w:rPr>
                <w:rFonts w:ascii="Arial" w:hAnsi="Arial" w:cs="Arial"/>
                <w:noProof/>
                <w:webHidden/>
              </w:rPr>
              <w:fldChar w:fldCharType="end"/>
            </w:r>
          </w:hyperlink>
        </w:p>
        <w:p w14:paraId="2DEBA062" w14:textId="4B213BDF" w:rsidR="00F05CF5" w:rsidRPr="00EE4FD9" w:rsidRDefault="00F05CF5">
          <w:pPr>
            <w:pStyle w:val="TOC3"/>
            <w:tabs>
              <w:tab w:val="right" w:leader="dot" w:pos="9016"/>
            </w:tabs>
            <w:rPr>
              <w:rFonts w:ascii="Arial" w:hAnsi="Arial" w:cs="Arial"/>
              <w:noProof/>
              <w:lang w:val="en-IN" w:eastAsia="en-IN"/>
            </w:rPr>
          </w:pPr>
          <w:hyperlink w:anchor="_Toc236072451" w:history="1">
            <w:r w:rsidRPr="00EE4FD9">
              <w:rPr>
                <w:rStyle w:val="Hyperlink"/>
                <w:rFonts w:ascii="Arial" w:eastAsia="Times New Roman" w:hAnsi="Arial" w:cs="Arial"/>
                <w:b/>
                <w:bCs/>
                <w:noProof/>
                <w:kern w:val="0"/>
                <w14:ligatures w14:val="none"/>
              </w:rPr>
              <w:t>Outcome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_Toc236072451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5</w:t>
            </w:r>
            <w:r w:rsidRPr="00EE4FD9">
              <w:rPr>
                <w:rFonts w:ascii="Arial" w:hAnsi="Arial" w:cs="Arial"/>
                <w:noProof/>
                <w:webHidden/>
              </w:rPr>
              <w:fldChar w:fldCharType="end"/>
            </w:r>
          </w:hyperlink>
        </w:p>
        <w:p w14:paraId="43749489" w14:textId="66ABA1FB" w:rsidR="00F05CF5" w:rsidRPr="00EE4FD9" w:rsidRDefault="00F05CF5">
          <w:pPr>
            <w:pStyle w:val="TOC2"/>
            <w:tabs>
              <w:tab w:val="right" w:leader="dot" w:pos="9016"/>
            </w:tabs>
            <w:rPr>
              <w:rFonts w:ascii="Arial" w:hAnsi="Arial" w:cs="Arial"/>
              <w:noProof/>
              <w:lang w:val="en-IN" w:eastAsia="en-IN"/>
            </w:rPr>
          </w:pPr>
          <w:hyperlink w:anchor="_Toc236072452" w:history="1">
            <w:r w:rsidRPr="00EE4FD9">
              <w:rPr>
                <w:rStyle w:val="Hyperlink"/>
                <w:rFonts w:ascii="Arial" w:eastAsia="Times New Roman" w:hAnsi="Arial" w:cs="Arial"/>
                <w:noProof/>
              </w:rPr>
              <w:t>2.3 Fishbone Diagram Analysis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_Toc236072452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5</w:t>
            </w:r>
            <w:r w:rsidRPr="00EE4FD9">
              <w:rPr>
                <w:rFonts w:ascii="Arial" w:hAnsi="Arial" w:cs="Arial"/>
                <w:noProof/>
                <w:webHidden/>
              </w:rPr>
              <w:fldChar w:fldCharType="end"/>
            </w:r>
          </w:hyperlink>
        </w:p>
        <w:p w14:paraId="6A7329CD" w14:textId="708523FB" w:rsidR="00F05CF5" w:rsidRPr="00EE4FD9" w:rsidRDefault="00F05CF5">
          <w:pPr>
            <w:pStyle w:val="TOC2"/>
            <w:tabs>
              <w:tab w:val="right" w:leader="dot" w:pos="9016"/>
            </w:tabs>
            <w:rPr>
              <w:rFonts w:ascii="Arial" w:hAnsi="Arial" w:cs="Arial"/>
              <w:noProof/>
              <w:lang w:val="en-IN" w:eastAsia="en-IN"/>
            </w:rPr>
          </w:pPr>
          <w:hyperlink w:anchor="_Toc236072453" w:history="1">
            <w:r w:rsidRPr="00EE4FD9">
              <w:rPr>
                <w:rStyle w:val="Hyperlink"/>
                <w:rFonts w:ascii="Arial" w:eastAsia="Times New Roman" w:hAnsi="Arial" w:cs="Arial"/>
                <w:noProof/>
              </w:rPr>
              <w:t>2.4 Five Whys Analysis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_Toc236072453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7</w:t>
            </w:r>
            <w:r w:rsidRPr="00EE4FD9">
              <w:rPr>
                <w:rFonts w:ascii="Arial" w:hAnsi="Arial" w:cs="Arial"/>
                <w:noProof/>
                <w:webHidden/>
              </w:rPr>
              <w:fldChar w:fldCharType="end"/>
            </w:r>
          </w:hyperlink>
        </w:p>
        <w:p w14:paraId="5F179C1A" w14:textId="3DC50763" w:rsidR="00F05CF5" w:rsidRPr="00EE4FD9" w:rsidRDefault="00F05CF5">
          <w:pPr>
            <w:pStyle w:val="TOC2"/>
            <w:tabs>
              <w:tab w:val="right" w:leader="dot" w:pos="9016"/>
            </w:tabs>
            <w:rPr>
              <w:rFonts w:ascii="Arial" w:hAnsi="Arial" w:cs="Arial"/>
              <w:noProof/>
              <w:lang w:val="en-IN" w:eastAsia="en-IN"/>
            </w:rPr>
          </w:pPr>
          <w:hyperlink w:anchor="_Toc236072454" w:history="1">
            <w:r w:rsidRPr="00EE4FD9">
              <w:rPr>
                <w:rStyle w:val="Hyperlink"/>
                <w:rFonts w:ascii="Arial" w:eastAsia="Times New Roman" w:hAnsi="Arial" w:cs="Arial"/>
                <w:noProof/>
              </w:rPr>
              <w:t>2.5 SWOT Analysis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_Toc236072454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8</w:t>
            </w:r>
            <w:r w:rsidRPr="00EE4FD9">
              <w:rPr>
                <w:rFonts w:ascii="Arial" w:hAnsi="Arial" w:cs="Arial"/>
                <w:noProof/>
                <w:webHidden/>
              </w:rPr>
              <w:fldChar w:fldCharType="end"/>
            </w:r>
          </w:hyperlink>
        </w:p>
        <w:p w14:paraId="27CC6A3D" w14:textId="3FFA9808" w:rsidR="00F05CF5" w:rsidRPr="00EE4FD9" w:rsidRDefault="00F05CF5">
          <w:pPr>
            <w:pStyle w:val="TOC2"/>
            <w:tabs>
              <w:tab w:val="right" w:leader="dot" w:pos="9016"/>
            </w:tabs>
            <w:rPr>
              <w:rFonts w:ascii="Arial" w:hAnsi="Arial" w:cs="Arial"/>
              <w:noProof/>
              <w:lang w:val="en-IN" w:eastAsia="en-IN"/>
            </w:rPr>
          </w:pPr>
          <w:hyperlink w:anchor="_Toc236072455" w:history="1">
            <w:r w:rsidRPr="00EE4FD9">
              <w:rPr>
                <w:rStyle w:val="Hyperlink"/>
                <w:rFonts w:ascii="Arial" w:eastAsia="Times New Roman" w:hAnsi="Arial" w:cs="Arial"/>
                <w:noProof/>
              </w:rPr>
              <w:t>2.6 Kurt Lewin’s Three-Stage Change Model</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_Toc236072455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9</w:t>
            </w:r>
            <w:r w:rsidRPr="00EE4FD9">
              <w:rPr>
                <w:rFonts w:ascii="Arial" w:hAnsi="Arial" w:cs="Arial"/>
                <w:noProof/>
                <w:webHidden/>
              </w:rPr>
              <w:fldChar w:fldCharType="end"/>
            </w:r>
          </w:hyperlink>
        </w:p>
        <w:p w14:paraId="68146300" w14:textId="2CABB20D" w:rsidR="00F05CF5" w:rsidRPr="00EE4FD9" w:rsidRDefault="00F05CF5">
          <w:pPr>
            <w:pStyle w:val="TOC1"/>
            <w:tabs>
              <w:tab w:val="right" w:leader="dot" w:pos="9016"/>
            </w:tabs>
            <w:rPr>
              <w:rFonts w:ascii="Arial" w:hAnsi="Arial" w:cs="Arial"/>
              <w:noProof/>
              <w:lang w:val="en-IN" w:eastAsia="en-IN"/>
            </w:rPr>
          </w:pPr>
          <w:hyperlink w:anchor="_Toc236072456" w:history="1">
            <w:r w:rsidRPr="00EE4FD9">
              <w:rPr>
                <w:rStyle w:val="Hyperlink"/>
                <w:rFonts w:ascii="Arial" w:eastAsia="Times New Roman" w:hAnsi="Arial" w:cs="Arial"/>
                <w:noProof/>
              </w:rPr>
              <w:t>3. Recommendations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_Toc236072456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10</w:t>
            </w:r>
            <w:r w:rsidRPr="00EE4FD9">
              <w:rPr>
                <w:rFonts w:ascii="Arial" w:hAnsi="Arial" w:cs="Arial"/>
                <w:noProof/>
                <w:webHidden/>
              </w:rPr>
              <w:fldChar w:fldCharType="end"/>
            </w:r>
          </w:hyperlink>
        </w:p>
        <w:p w14:paraId="7126E3B8" w14:textId="4065D923" w:rsidR="00F05CF5" w:rsidRPr="00EE4FD9" w:rsidRDefault="00F05CF5">
          <w:pPr>
            <w:pStyle w:val="TOC2"/>
            <w:tabs>
              <w:tab w:val="right" w:leader="dot" w:pos="9016"/>
            </w:tabs>
            <w:rPr>
              <w:rFonts w:ascii="Arial" w:hAnsi="Arial" w:cs="Arial"/>
              <w:noProof/>
              <w:lang w:val="en-IN" w:eastAsia="en-IN"/>
            </w:rPr>
          </w:pPr>
          <w:hyperlink w:anchor="_Toc236072457" w:history="1">
            <w:r w:rsidRPr="00EE4FD9">
              <w:rPr>
                <w:rStyle w:val="Hyperlink"/>
                <w:rFonts w:ascii="Arial" w:eastAsia="Times New Roman" w:hAnsi="Arial" w:cs="Arial"/>
                <w:noProof/>
              </w:rPr>
              <w:t>Recommendation 1: Improve Access to NHS Dental Services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_Toc236072457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7BFAF92F" w14:textId="493D4913" w:rsidR="00F05CF5" w:rsidRPr="00EE4FD9" w:rsidRDefault="00F05CF5">
          <w:pPr>
            <w:pStyle w:val="TOC2"/>
            <w:tabs>
              <w:tab w:val="right" w:leader="dot" w:pos="9016"/>
            </w:tabs>
            <w:rPr>
              <w:rFonts w:ascii="Arial" w:hAnsi="Arial" w:cs="Arial"/>
              <w:noProof/>
              <w:lang w:val="en-IN" w:eastAsia="en-IN"/>
            </w:rPr>
          </w:pPr>
          <w:hyperlink w:anchor="_Toc236072458" w:history="1">
            <w:r w:rsidRPr="00EE4FD9">
              <w:rPr>
                <w:rStyle w:val="Hyperlink"/>
                <w:rFonts w:ascii="Arial" w:eastAsia="Times New Roman" w:hAnsi="Arial" w:cs="Arial"/>
                <w:noProof/>
              </w:rPr>
              <w:t>Recommendation 2: Strengthen Clinical Governance and Quality Assurance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_Toc236072458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66367D47" w14:textId="7D600DC4" w:rsidR="00F05CF5" w:rsidRPr="00EE4FD9" w:rsidRDefault="00F05CF5">
          <w:pPr>
            <w:pStyle w:val="TOC2"/>
            <w:tabs>
              <w:tab w:val="right" w:leader="dot" w:pos="9016"/>
            </w:tabs>
            <w:rPr>
              <w:rFonts w:ascii="Arial" w:hAnsi="Arial" w:cs="Arial"/>
              <w:noProof/>
              <w:lang w:val="en-IN" w:eastAsia="en-IN"/>
            </w:rPr>
          </w:pPr>
          <w:hyperlink w:anchor="_Toc236072459" w:history="1">
            <w:r w:rsidRPr="00EE4FD9">
              <w:rPr>
                <w:rStyle w:val="Hyperlink"/>
                <w:rFonts w:ascii="Arial" w:eastAsia="Times New Roman" w:hAnsi="Arial" w:cs="Arial"/>
                <w:noProof/>
              </w:rPr>
              <w:t>Recommendation 3: Improve Referral Pathways and Multidisciplinary Communication</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_Toc236072459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5370FAB6" w14:textId="5147B7F9" w:rsidR="00F05CF5" w:rsidRPr="00EE4FD9" w:rsidRDefault="00F05CF5">
          <w:pPr>
            <w:pStyle w:val="TOC2"/>
            <w:tabs>
              <w:tab w:val="right" w:leader="dot" w:pos="9016"/>
            </w:tabs>
            <w:rPr>
              <w:rFonts w:ascii="Arial" w:hAnsi="Arial" w:cs="Arial"/>
              <w:noProof/>
              <w:lang w:val="en-IN" w:eastAsia="en-IN"/>
            </w:rPr>
          </w:pPr>
          <w:hyperlink w:anchor="_Toc236072460" w:history="1">
            <w:r w:rsidRPr="00EE4FD9">
              <w:rPr>
                <w:rStyle w:val="Hyperlink"/>
                <w:rFonts w:ascii="Arial" w:eastAsia="Times New Roman" w:hAnsi="Arial" w:cs="Arial"/>
                <w:noProof/>
              </w:rPr>
              <w:t>Recommendation 4: Enhance Workforce Development and Patient Safety Training</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_Toc236072460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11</w:t>
            </w:r>
            <w:r w:rsidRPr="00EE4FD9">
              <w:rPr>
                <w:rFonts w:ascii="Arial" w:hAnsi="Arial" w:cs="Arial"/>
                <w:noProof/>
                <w:webHidden/>
              </w:rPr>
              <w:fldChar w:fldCharType="end"/>
            </w:r>
          </w:hyperlink>
        </w:p>
        <w:p w14:paraId="304F03DE" w14:textId="3B0B4560" w:rsidR="00F05CF5" w:rsidRPr="00EE4FD9" w:rsidRDefault="00F05CF5">
          <w:pPr>
            <w:pStyle w:val="TOC2"/>
            <w:tabs>
              <w:tab w:val="right" w:leader="dot" w:pos="9016"/>
            </w:tabs>
            <w:rPr>
              <w:rFonts w:ascii="Arial" w:hAnsi="Arial" w:cs="Arial"/>
              <w:noProof/>
              <w:lang w:val="en-IN" w:eastAsia="en-IN"/>
            </w:rPr>
          </w:pPr>
          <w:hyperlink w:anchor="_Toc236072461" w:history="1">
            <w:r w:rsidRPr="00EE4FD9">
              <w:rPr>
                <w:rStyle w:val="Hyperlink"/>
                <w:rFonts w:ascii="Arial" w:eastAsia="Times New Roman" w:hAnsi="Arial" w:cs="Arial"/>
                <w:noProof/>
              </w:rPr>
              <w:t>Recommendation 5: Implement Digital Quality Monitoring Systems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_Toc236072461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12</w:t>
            </w:r>
            <w:r w:rsidRPr="00EE4FD9">
              <w:rPr>
                <w:rFonts w:ascii="Arial" w:hAnsi="Arial" w:cs="Arial"/>
                <w:noProof/>
                <w:webHidden/>
              </w:rPr>
              <w:fldChar w:fldCharType="end"/>
            </w:r>
          </w:hyperlink>
        </w:p>
        <w:p w14:paraId="625416C4" w14:textId="291B0781" w:rsidR="00F05CF5" w:rsidRPr="00EE4FD9" w:rsidRDefault="00F05CF5">
          <w:pPr>
            <w:pStyle w:val="TOC2"/>
            <w:tabs>
              <w:tab w:val="right" w:leader="dot" w:pos="9016"/>
            </w:tabs>
            <w:rPr>
              <w:rFonts w:ascii="Arial" w:hAnsi="Arial" w:cs="Arial"/>
              <w:noProof/>
              <w:lang w:val="en-IN" w:eastAsia="en-IN"/>
            </w:rPr>
          </w:pPr>
          <w:hyperlink w:anchor="_Toc236072462" w:history="1">
            <w:r w:rsidRPr="00EE4FD9">
              <w:rPr>
                <w:rStyle w:val="Hyperlink"/>
                <w:rFonts w:ascii="Arial" w:eastAsia="Times New Roman" w:hAnsi="Arial" w:cs="Arial"/>
                <w:noProof/>
              </w:rPr>
              <w:t>Recommendation 6: Introduce Continuous Quality Improvement Using the PDSA Cycle</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_Toc236072462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12</w:t>
            </w:r>
            <w:r w:rsidRPr="00EE4FD9">
              <w:rPr>
                <w:rFonts w:ascii="Arial" w:hAnsi="Arial" w:cs="Arial"/>
                <w:noProof/>
                <w:webHidden/>
              </w:rPr>
              <w:fldChar w:fldCharType="end"/>
            </w:r>
          </w:hyperlink>
        </w:p>
        <w:p w14:paraId="4EFA431B" w14:textId="3001A0B6" w:rsidR="00F05CF5" w:rsidRPr="00EE4FD9" w:rsidRDefault="00F05CF5">
          <w:pPr>
            <w:pStyle w:val="TOC1"/>
            <w:tabs>
              <w:tab w:val="right" w:leader="dot" w:pos="9016"/>
            </w:tabs>
            <w:rPr>
              <w:rFonts w:ascii="Arial" w:hAnsi="Arial" w:cs="Arial"/>
              <w:noProof/>
              <w:lang w:val="en-IN" w:eastAsia="en-IN"/>
            </w:rPr>
          </w:pPr>
          <w:hyperlink w:anchor="_Toc236072463" w:history="1">
            <w:r w:rsidRPr="00EE4FD9">
              <w:rPr>
                <w:rStyle w:val="Hyperlink"/>
                <w:rFonts w:ascii="Arial" w:hAnsi="Arial" w:cs="Arial"/>
                <w:noProof/>
              </w:rPr>
              <w:t>4. Benchmarking</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_Toc236072463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12</w:t>
            </w:r>
            <w:r w:rsidRPr="00EE4FD9">
              <w:rPr>
                <w:rFonts w:ascii="Arial" w:hAnsi="Arial" w:cs="Arial"/>
                <w:noProof/>
                <w:webHidden/>
              </w:rPr>
              <w:fldChar w:fldCharType="end"/>
            </w:r>
          </w:hyperlink>
        </w:p>
        <w:p w14:paraId="71ED3DD8" w14:textId="2F0AEB1A" w:rsidR="00F05CF5" w:rsidRPr="00EE4FD9" w:rsidRDefault="00F05CF5">
          <w:pPr>
            <w:pStyle w:val="TOC1"/>
            <w:tabs>
              <w:tab w:val="right" w:leader="dot" w:pos="9016"/>
            </w:tabs>
            <w:rPr>
              <w:rFonts w:ascii="Arial" w:hAnsi="Arial" w:cs="Arial"/>
              <w:noProof/>
              <w:lang w:val="en-IN" w:eastAsia="en-IN"/>
            </w:rPr>
          </w:pPr>
          <w:hyperlink w:anchor="_Toc236072464" w:history="1">
            <w:r w:rsidRPr="00EE4FD9">
              <w:rPr>
                <w:rStyle w:val="Hyperlink"/>
                <w:rFonts w:ascii="Arial" w:eastAsia="Times New Roman" w:hAnsi="Arial" w:cs="Arial"/>
                <w:noProof/>
              </w:rPr>
              <w:t>5. Conclusion</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_Toc236072464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13</w:t>
            </w:r>
            <w:r w:rsidRPr="00EE4FD9">
              <w:rPr>
                <w:rFonts w:ascii="Arial" w:hAnsi="Arial" w:cs="Arial"/>
                <w:noProof/>
                <w:webHidden/>
              </w:rPr>
              <w:fldChar w:fldCharType="end"/>
            </w:r>
          </w:hyperlink>
        </w:p>
        <w:p w14:paraId="356A7BE9" w14:textId="411FC21D" w:rsidR="00F05CF5" w:rsidRPr="00EE4FD9" w:rsidRDefault="00F05CF5">
          <w:pPr>
            <w:pStyle w:val="TOC1"/>
            <w:tabs>
              <w:tab w:val="right" w:leader="dot" w:pos="9016"/>
            </w:tabs>
            <w:rPr>
              <w:rFonts w:ascii="Arial" w:hAnsi="Arial" w:cs="Arial"/>
              <w:noProof/>
              <w:lang w:val="en-IN" w:eastAsia="en-IN"/>
            </w:rPr>
          </w:pPr>
          <w:hyperlink w:anchor="_Toc236072465" w:history="1">
            <w:r w:rsidRPr="00EE4FD9">
              <w:rPr>
                <w:rStyle w:val="Hyperlink"/>
                <w:rFonts w:ascii="Arial" w:eastAsia="Times New Roman" w:hAnsi="Arial" w:cs="Arial"/>
                <w:noProof/>
              </w:rPr>
              <w:t>References</w:t>
            </w:r>
            <w:r w:rsidRPr="00EE4FD9">
              <w:rPr>
                <w:rFonts w:ascii="Arial" w:hAnsi="Arial" w:cs="Arial"/>
                <w:noProof/>
                <w:webHidden/>
              </w:rPr>
              <w:tab/>
            </w:r>
            <w:r w:rsidRPr="00EE4FD9">
              <w:rPr>
                <w:rFonts w:ascii="Arial" w:hAnsi="Arial" w:cs="Arial"/>
                <w:noProof/>
                <w:webHidden/>
              </w:rPr>
              <w:fldChar w:fldCharType="begin"/>
            </w:r>
            <w:r w:rsidRPr="00EE4FD9">
              <w:rPr>
                <w:rFonts w:ascii="Arial" w:hAnsi="Arial" w:cs="Arial"/>
                <w:noProof/>
                <w:webHidden/>
              </w:rPr>
              <w:instrText xml:space="preserve"> PAGEREF _Toc236072465 \h </w:instrText>
            </w:r>
            <w:r w:rsidRPr="00EE4FD9">
              <w:rPr>
                <w:rFonts w:ascii="Arial" w:hAnsi="Arial" w:cs="Arial"/>
                <w:noProof/>
                <w:webHidden/>
              </w:rPr>
            </w:r>
            <w:r w:rsidRPr="00EE4FD9">
              <w:rPr>
                <w:rFonts w:ascii="Arial" w:hAnsi="Arial" w:cs="Arial"/>
                <w:noProof/>
                <w:webHidden/>
              </w:rPr>
              <w:fldChar w:fldCharType="separate"/>
            </w:r>
            <w:r w:rsidRPr="00EE4FD9">
              <w:rPr>
                <w:rFonts w:ascii="Arial" w:hAnsi="Arial" w:cs="Arial"/>
                <w:noProof/>
                <w:webHidden/>
              </w:rPr>
              <w:t>14</w:t>
            </w:r>
            <w:r w:rsidRPr="00EE4FD9">
              <w:rPr>
                <w:rFonts w:ascii="Arial" w:hAnsi="Arial" w:cs="Arial"/>
                <w:noProof/>
                <w:webHidden/>
              </w:rPr>
              <w:fldChar w:fldCharType="end"/>
            </w:r>
          </w:hyperlink>
        </w:p>
        <w:p w14:paraId="4EE30C5C" w14:textId="5120579C" w:rsidR="00854D44" w:rsidRPr="00EE4FD9" w:rsidRDefault="00854D44">
          <w:pPr>
            <w:rPr>
              <w:rFonts w:ascii="Arial" w:hAnsi="Arial" w:cs="Arial"/>
            </w:rPr>
          </w:pPr>
          <w:r w:rsidRPr="00EE4FD9">
            <w:rPr>
              <w:rFonts w:ascii="Arial" w:hAnsi="Arial" w:cs="Arial"/>
              <w:b/>
              <w:bCs/>
              <w:noProof/>
            </w:rPr>
            <w:fldChar w:fldCharType="end"/>
          </w:r>
        </w:p>
      </w:sdtContent>
    </w:sdt>
    <w:p w14:paraId="1ED83AFC" w14:textId="77777777" w:rsidR="00313453" w:rsidRPr="00EE4FD9" w:rsidRDefault="00313453"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940B7B3" w14:textId="77777777" w:rsidR="00313453" w:rsidRPr="00EE4FD9" w:rsidRDefault="00313453" w:rsidP="00772647">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F7BBD81" w14:textId="7AA579DB" w:rsidR="00772647" w:rsidRPr="00EE4FD9" w:rsidRDefault="00772647" w:rsidP="007F4F6F">
      <w:pPr>
        <w:pStyle w:val="Heading1"/>
        <w:rPr>
          <w:rFonts w:ascii="Arial" w:eastAsia="Times New Roman" w:hAnsi="Arial" w:cs="Arial"/>
        </w:rPr>
      </w:pPr>
      <w:bookmarkStart w:id="21" w:name="_Toc236072444"/>
      <w:r w:rsidRPr="00EE4FD9">
        <w:rPr>
          <w:rFonts w:ascii="Arial" w:eastAsia="Times New Roman" w:hAnsi="Arial" w:cs="Arial"/>
        </w:rPr>
        <w:lastRenderedPageBreak/>
        <w:t>1. Introduction</w:t>
      </w:r>
      <w:bookmarkEnd w:id="21"/>
    </w:p>
    <w:p w14:paraId="6F6D6357" w14:textId="1013FA1F" w:rsidR="00772647" w:rsidRPr="00EE4FD9" w:rsidRDefault="00772647" w:rsidP="007F4F6F">
      <w:pPr>
        <w:pStyle w:val="Heading2"/>
        <w:rPr>
          <w:rFonts w:ascii="Arial" w:eastAsia="Times New Roman" w:hAnsi="Arial" w:cs="Arial"/>
        </w:rPr>
      </w:pPr>
      <w:bookmarkStart w:id="22" w:name="_Toc236072445"/>
      <w:r w:rsidRPr="00EE4FD9">
        <w:rPr>
          <w:rFonts w:ascii="Arial" w:eastAsia="Times New Roman" w:hAnsi="Arial" w:cs="Arial"/>
        </w:rPr>
        <w:t>1.</w:t>
      </w:r>
      <w:r w:rsidR="000913B3" w:rsidRPr="00EE4FD9">
        <w:rPr>
          <w:rFonts w:ascii="Arial" w:eastAsia="Times New Roman" w:hAnsi="Arial" w:cs="Arial"/>
        </w:rPr>
        <w:t>1</w:t>
      </w:r>
      <w:r w:rsidRPr="00EE4FD9">
        <w:rPr>
          <w:rFonts w:ascii="Arial" w:eastAsia="Times New Roman" w:hAnsi="Arial" w:cs="Arial"/>
        </w:rPr>
        <w:t xml:space="preserve"> Brief Description of the Leigh Rodgers Case</w:t>
      </w:r>
      <w:bookmarkEnd w:id="22"/>
    </w:p>
    <w:p w14:paraId="5288EF6C" w14:textId="3AAB9BB6" w:rsidR="00772647" w:rsidRPr="00EE4FD9" w:rsidRDefault="00772647" w:rsidP="00772647">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Leigh Rodgers case attracted significant public and professional attention because it highlighted serious shortcomings in access to NHS dental services and wider healthcare system failures. Leigh Rodgers, a 34-year-old woman, experienced persistent dental pain caused by an untreated dental infection but was unable to secure timely NHS dental treatment despite repeated attempts to access care. As her condition deteriorated, she required emergency hospital assessment, where investigations included a contrast-enhanced CT scan to exclude the spread of infection. During the diagnostic procedure, she suffered a severe anaphylactic reaction to the contrast agent and later died. Although the immediate cause of death was the adverse reaction, the case raised wider concerns regarding delayed access to NHS dentistry, insufficient service capacity, fragmented care pathways and weaknesses in quality assurance systems. Consequently, the incident illustrates the importance of effective clinical governance, timely intervention and continuous quality improvement to minimise preventable harm and improve patient safety</w:t>
      </w:r>
      <w:r w:rsidR="002E3FA4" w:rsidRPr="00EE4FD9">
        <w:rPr>
          <w:rFonts w:ascii="Arial" w:hAnsi="Arial" w:cs="Arial"/>
          <w:kern w:val="0"/>
          <w:sz w:val="22"/>
          <w:szCs w:val="22"/>
          <w14:ligatures w14:val="none"/>
        </w:rPr>
        <w:t xml:space="preserve"> </w:t>
      </w:r>
      <w:r w:rsidR="002E3FA4" w:rsidRPr="00EE4FD9">
        <w:rPr>
          <w:rFonts w:ascii="Arial" w:hAnsi="Arial" w:cs="Arial"/>
        </w:rPr>
        <w:t>(BBC News, 2023).</w:t>
      </w:r>
    </w:p>
    <w:p w14:paraId="55A6E2A8" w14:textId="77777777" w:rsidR="00711745" w:rsidRPr="00EE4FD9" w:rsidRDefault="00711745" w:rsidP="007F4F6F">
      <w:pPr>
        <w:pStyle w:val="Heading1"/>
        <w:rPr>
          <w:rFonts w:ascii="Arial" w:eastAsia="Times New Roman" w:hAnsi="Arial" w:cs="Arial"/>
        </w:rPr>
      </w:pPr>
      <w:bookmarkStart w:id="23" w:name="_Toc236072446"/>
      <w:r w:rsidRPr="00EE4FD9">
        <w:rPr>
          <w:rFonts w:ascii="Arial" w:eastAsia="Times New Roman" w:hAnsi="Arial" w:cs="Arial"/>
        </w:rPr>
        <w:t>2. Main Body</w:t>
      </w:r>
      <w:bookmarkEnd w:id="23"/>
    </w:p>
    <w:p w14:paraId="7E521F25" w14:textId="77777777" w:rsidR="00711745" w:rsidRPr="00EE4FD9" w:rsidRDefault="00711745" w:rsidP="00C57FC4">
      <w:pPr>
        <w:pStyle w:val="Heading2"/>
        <w:rPr>
          <w:rFonts w:ascii="Arial" w:eastAsia="Times New Roman" w:hAnsi="Arial" w:cs="Arial"/>
        </w:rPr>
      </w:pPr>
      <w:bookmarkStart w:id="24" w:name="_Toc236072447"/>
      <w:r w:rsidRPr="00EE4FD9">
        <w:rPr>
          <w:rFonts w:ascii="Arial" w:eastAsia="Times New Roman" w:hAnsi="Arial" w:cs="Arial"/>
        </w:rPr>
        <w:t>2.1 Case Study Analysis: Leigh Rodgers Incident</w:t>
      </w:r>
      <w:bookmarkEnd w:id="24"/>
    </w:p>
    <w:p w14:paraId="419B960D" w14:textId="77777777" w:rsidR="00FA58C8" w:rsidRPr="00EE4FD9" w:rsidRDefault="00FA58C8" w:rsidP="00FA58C8">
      <w:pPr>
        <w:rPr>
          <w:rFonts w:ascii="Arial" w:hAnsi="Arial" w:cs="Arial"/>
        </w:rPr>
      </w:pPr>
      <w:r w:rsidRPr="00EE4FD9">
        <w:rPr>
          <w:rFonts w:ascii="Arial" w:hAnsi="Arial" w:cs="Arial"/>
        </w:rPr>
        <w:t>The Leigh Rodgers case demonstrates how failures in quality assurance, healthcare accessibility and clinical governance can lead to preventable patient harm. Leigh Rodgers, a 34-year-old mother from England, experienced persistent dental pain caused by an untreated dental infection. Despite repeatedly seeking an NHS dental appointment, she was unable to access timely treatment because of limited appointment availability and workforce shortages. As her condition deteriorated, she was admitted to hospital, where clinicians performed a contrast-enhanced computed tomography (CT) scan to investigate the possible spread of infection, including Ludwig’s angina. During the procedure, she suffered a severe anaphylactic reaction to the contrast medium and died despite emergency treatment (BBC News, 2023).</w:t>
      </w:r>
    </w:p>
    <w:p w14:paraId="08D840C0" w14:textId="77777777" w:rsidR="00FA58C8" w:rsidRPr="00EE4FD9" w:rsidRDefault="00FA58C8" w:rsidP="00FA58C8">
      <w:pPr>
        <w:rPr>
          <w:rFonts w:ascii="Arial" w:hAnsi="Arial" w:cs="Arial"/>
        </w:rPr>
      </w:pPr>
    </w:p>
    <w:p w14:paraId="6B38B8EC" w14:textId="77777777" w:rsidR="00FA58C8" w:rsidRPr="00EE4FD9" w:rsidRDefault="00FA58C8" w:rsidP="00FA58C8">
      <w:pPr>
        <w:rPr>
          <w:rFonts w:ascii="Arial" w:hAnsi="Arial" w:cs="Arial"/>
        </w:rPr>
      </w:pPr>
      <w:r w:rsidRPr="00EE4FD9">
        <w:rPr>
          <w:rFonts w:ascii="Arial" w:hAnsi="Arial" w:cs="Arial"/>
        </w:rPr>
        <w:t>Although the immediate cause of death was the adverse reaction to contrast media, the incident exposed wider systemic failures. Delayed access to primary dental care allowed a treatable infection to progress into a medical emergency requiring hospital-based investigation. This reflects weaknesses in healthcare accessibility, workforce capacity, service planning and continuity of care. NHS dental services in England continue to face workforce shortages, inadequate funding and limited appointment availability, contributing to delays in urgent treatment (British Dental Association, 2024; NHS England, 2023).</w:t>
      </w:r>
    </w:p>
    <w:p w14:paraId="7A1B3842" w14:textId="77777777" w:rsidR="00FA58C8" w:rsidRPr="00EE4FD9" w:rsidRDefault="00FA58C8" w:rsidP="00FA58C8">
      <w:pPr>
        <w:rPr>
          <w:rFonts w:ascii="Arial" w:hAnsi="Arial" w:cs="Arial"/>
        </w:rPr>
      </w:pPr>
    </w:p>
    <w:p w14:paraId="24E236FF" w14:textId="014A2601" w:rsidR="00FA58C8" w:rsidRPr="00EE4FD9" w:rsidRDefault="00FA58C8" w:rsidP="00FA58C8">
      <w:pPr>
        <w:rPr>
          <w:rFonts w:ascii="Arial" w:hAnsi="Arial" w:cs="Arial"/>
        </w:rPr>
      </w:pPr>
      <w:r w:rsidRPr="00EE4FD9">
        <w:rPr>
          <w:rFonts w:ascii="Arial" w:hAnsi="Arial" w:cs="Arial"/>
        </w:rPr>
        <w:lastRenderedPageBreak/>
        <w:t>From a quality assurance perspective, the case highlights deficiencies in preventive care, referral pathways and clinical governance. Earlier access to primary dental services could have prevented disease progression and reduced the need for high-risk hospital investigations. The case also emphasises the importance of patient-centred care and equitable access to healthcare. Strengthening quality assurance systems, improving access to urgent NHS dental services, enhancing coordination between primary and secondary care, and promoting early intervention are essential to reduce avoidable harm and improve patient safety (Care Quality Commission, 2023).</w:t>
      </w:r>
    </w:p>
    <w:p w14:paraId="712803DB" w14:textId="77777777" w:rsidR="00653D18" w:rsidRPr="00EE4FD9" w:rsidRDefault="00653D18" w:rsidP="00C57FC4">
      <w:pPr>
        <w:pStyle w:val="Heading2"/>
        <w:rPr>
          <w:rFonts w:ascii="Arial" w:eastAsia="Times New Roman" w:hAnsi="Arial" w:cs="Arial"/>
        </w:rPr>
      </w:pPr>
      <w:bookmarkStart w:id="25" w:name="_Toc236072448"/>
      <w:r w:rsidRPr="00EE4FD9">
        <w:rPr>
          <w:rFonts w:ascii="Arial" w:eastAsia="Times New Roman" w:hAnsi="Arial" w:cs="Arial"/>
        </w:rPr>
        <w:t>2.2 Application of the Donabedian Model</w:t>
      </w:r>
      <w:bookmarkEnd w:id="25"/>
    </w:p>
    <w:p w14:paraId="1ED48545" w14:textId="557023BB" w:rsidR="007A7EAD" w:rsidRPr="00EE4FD9" w:rsidRDefault="007A7EAD" w:rsidP="007A7EAD">
      <w:pPr>
        <w:rPr>
          <w:rFonts w:ascii="Arial" w:hAnsi="Arial" w:cs="Arial"/>
        </w:rPr>
      </w:pPr>
      <w:r w:rsidRPr="00EE4FD9">
        <w:rPr>
          <w:rFonts w:ascii="Arial" w:hAnsi="Arial" w:cs="Arial"/>
        </w:rPr>
        <w:t>The Donabedian Model is a widely recognised framework for evaluating healthcare quality through three interconnected components: Structure, Process and Outcome. Developed by Avedis Donabedian, the model explains how organisational resources influence healthcare delivery and ultimately affect patient outcomes (Donabedian, 1988; AHRQ, 2022). Applying this framework to the Leigh Rodgers case demonstrates that the adverse outcome resulted from multiple system failures rather than a single clinical error.</w:t>
      </w:r>
    </w:p>
    <w:p w14:paraId="48ACEF62" w14:textId="1927BBC9" w:rsidR="00066E57" w:rsidRPr="00EE4FD9" w:rsidRDefault="00066E57" w:rsidP="00066E57">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drawing>
          <wp:inline distT="0" distB="0" distL="0" distR="0" wp14:anchorId="245BBE46" wp14:editId="37A9D5F1">
            <wp:extent cx="4241800" cy="3184875"/>
            <wp:effectExtent l="0" t="0" r="6350" b="0"/>
            <wp:docPr id="15686526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652642" name="Picture 1568652642"/>
                    <pic:cNvPicPr/>
                  </pic:nvPicPr>
                  <pic:blipFill>
                    <a:blip r:embed="rId6">
                      <a:extLst>
                        <a:ext uri="{28A0092B-C50C-407E-A947-70E740481C1C}">
                          <a14:useLocalDpi xmlns:a14="http://schemas.microsoft.com/office/drawing/2010/main" val="0"/>
                        </a:ext>
                      </a:extLst>
                    </a:blip>
                    <a:stretch>
                      <a:fillRect/>
                    </a:stretch>
                  </pic:blipFill>
                  <pic:spPr>
                    <a:xfrm>
                      <a:off x="0" y="0"/>
                      <a:ext cx="4248936" cy="3190233"/>
                    </a:xfrm>
                    <a:prstGeom prst="rect">
                      <a:avLst/>
                    </a:prstGeom>
                  </pic:spPr>
                </pic:pic>
              </a:graphicData>
            </a:graphic>
          </wp:inline>
        </w:drawing>
      </w:r>
    </w:p>
    <w:p w14:paraId="6962DCA1" w14:textId="2FA81761" w:rsidR="00F67DFE" w:rsidRPr="00EE4FD9" w:rsidRDefault="00F67DFE" w:rsidP="00066E57">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 1: Donabedian Model</w:t>
      </w:r>
    </w:p>
    <w:p w14:paraId="33BB2F25" w14:textId="5CDCCFB2" w:rsidR="00641EF0" w:rsidRPr="00EE4FD9" w:rsidRDefault="00641EF0" w:rsidP="00066E57">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 xml:space="preserve">(Source: Magnet,2017) </w:t>
      </w:r>
    </w:p>
    <w:p w14:paraId="3835C7AA" w14:textId="706A3634" w:rsidR="00396CBA" w:rsidRPr="00EE4FD9" w:rsidRDefault="00396CBA" w:rsidP="00396CBA">
      <w:pPr>
        <w:spacing w:before="100" w:beforeAutospacing="1" w:after="100" w:afterAutospacing="1" w:line="240" w:lineRule="auto"/>
        <w:rPr>
          <w:rFonts w:ascii="Arial" w:hAnsi="Arial" w:cs="Arial"/>
          <w:b/>
          <w:bCs/>
          <w:kern w:val="0"/>
          <w:sz w:val="22"/>
          <w:szCs w:val="22"/>
          <w14:ligatures w14:val="none"/>
        </w:rPr>
      </w:pPr>
      <w:r w:rsidRPr="00EE4FD9">
        <w:rPr>
          <w:rFonts w:ascii="Arial" w:hAnsi="Arial" w:cs="Arial"/>
          <w:b/>
          <w:bCs/>
          <w:kern w:val="0"/>
          <w:sz w:val="22"/>
          <w:szCs w:val="22"/>
          <w14:ligatures w14:val="none"/>
        </w:rPr>
        <w:t>Structure</w:t>
      </w:r>
    </w:p>
    <w:p w14:paraId="740B0D58" w14:textId="6E03BDC1"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structural component refers to the organisational environment in which healthcare is delivered, including workforce, funding, facilities and governance systems. In the Leigh Rodgers case, significant structural weaknesses were evident. NHS dental services faced </w:t>
      </w:r>
      <w:r w:rsidRPr="00EE4FD9">
        <w:rPr>
          <w:rFonts w:ascii="Arial" w:hAnsi="Arial" w:cs="Arial"/>
          <w:kern w:val="0"/>
          <w:sz w:val="22"/>
          <w:szCs w:val="22"/>
          <w14:ligatures w14:val="none"/>
        </w:rPr>
        <w:lastRenderedPageBreak/>
        <w:t>workforce shortages, inadequate funding and limited appointment availability, preventing timely access to routine and urgent dental care (British Dental Association, 2024; NHS England, 2023). Limited integration between primary dental services and hospital care further reduced opportunities for early intervention, allowing the infection to worsen.</w:t>
      </w:r>
    </w:p>
    <w:p w14:paraId="4AE6D4BC" w14:textId="2084E2CE" w:rsidR="00396CBA" w:rsidRPr="00EE4FD9" w:rsidRDefault="00396CBA" w:rsidP="00396CBA">
      <w:pPr>
        <w:spacing w:before="100" w:beforeAutospacing="1" w:after="100" w:afterAutospacing="1" w:line="240" w:lineRule="auto"/>
        <w:rPr>
          <w:rFonts w:ascii="Arial" w:hAnsi="Arial" w:cs="Arial"/>
          <w:b/>
          <w:bCs/>
          <w:kern w:val="0"/>
          <w:sz w:val="22"/>
          <w:szCs w:val="22"/>
          <w14:ligatures w14:val="none"/>
        </w:rPr>
      </w:pPr>
      <w:r w:rsidRPr="00EE4FD9">
        <w:rPr>
          <w:rFonts w:ascii="Arial" w:hAnsi="Arial" w:cs="Arial"/>
          <w:b/>
          <w:bCs/>
          <w:kern w:val="0"/>
          <w:sz w:val="22"/>
          <w:szCs w:val="22"/>
          <w14:ligatures w14:val="none"/>
        </w:rPr>
        <w:t>Process</w:t>
      </w:r>
    </w:p>
    <w:p w14:paraId="74C61C15" w14:textId="36A217B9"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process component focuses on how healthcare is delivered, including diagnosis, treatment, communication and referral pathways. Delayed access to primary dental care allowed a treatable infection to progress into a medical emergency requiring hospital admission. Hospital clinicians appropriately investigated the suspected spread of infection using a contrast-enhanced CT scan, but by this stage the patient required higher-risk diagnostic procedures. The case also highlights weaknesses in referral systems, continuity of care and communication between primary and secondary services, illustrating how delays in treatment can increase patient risk despite appropriate hospital management (Care Quality Commission, 2023).</w:t>
      </w:r>
    </w:p>
    <w:p w14:paraId="2C02473A" w14:textId="6E4AD994" w:rsidR="00396CBA" w:rsidRPr="00EE4FD9" w:rsidRDefault="00396CBA" w:rsidP="00396CBA">
      <w:pPr>
        <w:spacing w:before="100" w:beforeAutospacing="1" w:after="100" w:afterAutospacing="1" w:line="240" w:lineRule="auto"/>
        <w:rPr>
          <w:rFonts w:ascii="Arial" w:hAnsi="Arial" w:cs="Arial"/>
          <w:b/>
          <w:bCs/>
          <w:kern w:val="0"/>
          <w:sz w:val="22"/>
          <w:szCs w:val="22"/>
          <w14:ligatures w14:val="none"/>
        </w:rPr>
      </w:pPr>
      <w:r w:rsidRPr="00EE4FD9">
        <w:rPr>
          <w:rFonts w:ascii="Arial" w:hAnsi="Arial" w:cs="Arial"/>
          <w:b/>
          <w:bCs/>
          <w:kern w:val="0"/>
          <w:sz w:val="22"/>
          <w:szCs w:val="22"/>
          <w14:ligatures w14:val="none"/>
        </w:rPr>
        <w:t>Outcome</w:t>
      </w:r>
    </w:p>
    <w:p w14:paraId="59072513" w14:textId="7EC082AF"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outcome component evaluates the effects of healthcare on patient safety and health. Leigh Rodgers died following a severe anaphylactic reaction to the contrast medium used during diagnostic imaging. Beyond this tragic outcome, the case exposed deficiencies in NHS dental access, highlighted inequalities in service provision and reduced public confidence in healthcare. It also demonstrated the emotional impact on the patient’s family and reinforced the importance of timely intervention for dental infections.</w:t>
      </w:r>
    </w:p>
    <w:p w14:paraId="6069B331" w14:textId="02263488" w:rsidR="00396CBA" w:rsidRPr="00EE4FD9" w:rsidRDefault="00396CBA" w:rsidP="00396CB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Overall, the Donabedian Model shows how weaknesses in healthcare structures contributed to failures in care processes, ultimately resulting in poor patient outcomes. While effective for evaluating quality assurance, the model does not fully address organisational culture or wider policy influences, which require complementary quality improvement frameworks.</w:t>
      </w:r>
    </w:p>
    <w:p w14:paraId="0AC7E7D5" w14:textId="77777777" w:rsidR="00396CBA" w:rsidRPr="00EE4FD9" w:rsidRDefault="00396CBA" w:rsidP="00C57FC4">
      <w:pPr>
        <w:pStyle w:val="Heading2"/>
        <w:rPr>
          <w:rFonts w:ascii="Arial" w:eastAsia="Times New Roman" w:hAnsi="Arial" w:cs="Arial"/>
        </w:rPr>
      </w:pPr>
      <w:bookmarkStart w:id="26" w:name="_Toc236072452"/>
    </w:p>
    <w:p w14:paraId="65F3BB63" w14:textId="19BD35DC" w:rsidR="007C3D84" w:rsidRPr="00EE4FD9" w:rsidRDefault="007C3D84" w:rsidP="00C57FC4">
      <w:pPr>
        <w:pStyle w:val="Heading2"/>
        <w:rPr>
          <w:rFonts w:ascii="Arial" w:eastAsia="Times New Roman" w:hAnsi="Arial" w:cs="Arial"/>
        </w:rPr>
      </w:pPr>
      <w:r w:rsidRPr="00EE4FD9">
        <w:rPr>
          <w:rFonts w:ascii="Arial" w:eastAsia="Times New Roman" w:hAnsi="Arial" w:cs="Arial"/>
        </w:rPr>
        <w:t>2.3 Fishbone Diagram Analysis</w:t>
      </w:r>
      <w:bookmarkEnd w:id="26"/>
    </w:p>
    <w:p w14:paraId="5268B582" w14:textId="77777777" w:rsidR="007C3D84" w:rsidRPr="00EE4FD9" w:rsidRDefault="007C3D84" w:rsidP="007C3D84">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Fishbone (Ishikawa) Diagram is a quality improvement tool used to identify the root causes of complex problems by categorising contributing factors into different domains. In healthcare, the model helps organisations understand how multiple organisational, human and environmental factors interact to produce adverse events (NHS England, 2022). Applying the Fishbone Diagram to the Leigh Rodgers case demonstrates that her death was not caused by a single failure but by several interconnected weaknesses within the healthcare system.</w:t>
      </w:r>
    </w:p>
    <w:p w14:paraId="10A19357" w14:textId="49655C1D" w:rsidR="00051091" w:rsidRPr="00EE4FD9" w:rsidRDefault="00051091" w:rsidP="00051091">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lastRenderedPageBreak/>
        <w:drawing>
          <wp:inline distT="0" distB="0" distL="0" distR="0" wp14:anchorId="508B9C93" wp14:editId="3DB8EC5D">
            <wp:extent cx="3819231" cy="2730500"/>
            <wp:effectExtent l="0" t="0" r="0" b="0"/>
            <wp:docPr id="3203870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87014" name="Picture 32038701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25318" cy="2734851"/>
                    </a:xfrm>
                    <a:prstGeom prst="rect">
                      <a:avLst/>
                    </a:prstGeom>
                  </pic:spPr>
                </pic:pic>
              </a:graphicData>
            </a:graphic>
          </wp:inline>
        </w:drawing>
      </w:r>
    </w:p>
    <w:p w14:paraId="2F75D97E" w14:textId="21EB9578" w:rsidR="00382A6A" w:rsidRPr="00EE4FD9" w:rsidRDefault="00382A6A" w:rsidP="0005109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2: Fishbone analysis</w:t>
      </w:r>
    </w:p>
    <w:p w14:paraId="0ED02F37" w14:textId="2BE759E7" w:rsidR="00C91035" w:rsidRPr="00EE4FD9" w:rsidRDefault="00C91035" w:rsidP="0005109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Google,2026)</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834"/>
        <w:gridCol w:w="7176"/>
      </w:tblGrid>
      <w:tr w:rsidR="005F0BF1" w:rsidRPr="00EE4FD9" w14:paraId="299ED8E7" w14:textId="77777777" w:rsidTr="00483684">
        <w:trPr>
          <w:tblHeader/>
        </w:trPr>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957106" w14:textId="77777777" w:rsidR="005F0BF1" w:rsidRPr="00EE4FD9" w:rsidRDefault="005F0BF1" w:rsidP="005F0BF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Category</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1DE9CB" w14:textId="77777777" w:rsidR="005F0BF1" w:rsidRPr="00EE4FD9" w:rsidRDefault="005F0BF1" w:rsidP="005F0BF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Critical Causes Identified</w:t>
            </w:r>
          </w:p>
        </w:tc>
      </w:tr>
      <w:tr w:rsidR="005F0BF1" w:rsidRPr="00EE4FD9" w14:paraId="24D510AE"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F3ECAF"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People</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CBDC74"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Shortage of NHS dentists, increasing workload, limited workforce capacity and delayed access to urgent dental care reduced opportunities for early treatment (British Dental Association, 2024).</w:t>
            </w:r>
          </w:p>
        </w:tc>
      </w:tr>
      <w:tr w:rsidR="005F0BF1" w:rsidRPr="00EE4FD9" w14:paraId="4BBEAC71"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EDA214"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Methods</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6F9BF3"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Inefficient referral pathways between primary dental care and secondary care delayed diagnosis and treatment. Limited access to urgent appointments contributed to disease progression (NHS England, 2023).</w:t>
            </w:r>
          </w:p>
        </w:tc>
      </w:tr>
      <w:tr w:rsidR="005F0BF1" w:rsidRPr="00EE4FD9" w14:paraId="38516FCC"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EA4BDB"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Environment</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6D0478"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High demand for NHS dental services, funding pressures and geographical inequalities reduced service accessibility and increased waiting times (Care Quality Commission, 2023).</w:t>
            </w:r>
          </w:p>
        </w:tc>
      </w:tr>
      <w:tr w:rsidR="005F0BF1" w:rsidRPr="00EE4FD9" w14:paraId="3286347A"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3AB6DC"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Equipment</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85CFEB"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Hospital diagnostic investigations, including contrast-enhanced CT scanning, were required because the infection had progressed beyond routine dental management.</w:t>
            </w:r>
          </w:p>
        </w:tc>
      </w:tr>
      <w:tr w:rsidR="005F0BF1" w:rsidRPr="00EE4FD9" w14:paraId="43FEF613"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97F872"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Management</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231C3C"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Weak workforce planning, inadequate service capacity and insufficient monitoring of access to urgent dental care reflected shortcomings in clinical governance and quality assurance.</w:t>
            </w:r>
          </w:p>
        </w:tc>
      </w:tr>
      <w:tr w:rsidR="005F0BF1" w:rsidRPr="00EE4FD9" w14:paraId="3363F116" w14:textId="77777777" w:rsidTr="00483684">
        <w:tc>
          <w:tcPr>
            <w:tcW w:w="101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330D4C"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Policies</w:t>
            </w:r>
          </w:p>
        </w:tc>
        <w:tc>
          <w:tcPr>
            <w:tcW w:w="398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91E0A4" w14:textId="77777777" w:rsidR="005F0BF1" w:rsidRPr="00EE4FD9" w:rsidRDefault="005F0BF1" w:rsidP="005F0BF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Long-standing challenges in NHS dental commissioning and implementation of national oral health strategies contributed to persistent inequalities in access to dental services (British Dental Association, 2024).</w:t>
            </w:r>
          </w:p>
        </w:tc>
      </w:tr>
    </w:tbl>
    <w:p w14:paraId="6C12C277" w14:textId="0436347F" w:rsidR="001A670A" w:rsidRPr="00EE4FD9" w:rsidRDefault="001A670A" w:rsidP="001A670A">
      <w:pPr>
        <w:spacing w:before="100" w:beforeAutospacing="1" w:after="100" w:afterAutospacing="1" w:line="240" w:lineRule="auto"/>
        <w:rPr>
          <w:rFonts w:ascii="Arial" w:hAnsi="Arial" w:cs="Arial"/>
          <w:kern w:val="0"/>
          <w:sz w:val="22"/>
          <w:szCs w:val="22"/>
          <w14:ligatures w14:val="none"/>
        </w:rPr>
      </w:pPr>
    </w:p>
    <w:p w14:paraId="77A74C50" w14:textId="1DE35BA6" w:rsidR="001A670A" w:rsidRPr="00EE4FD9" w:rsidRDefault="001A670A" w:rsidP="00E9765F">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lastRenderedPageBreak/>
        <w:t>The Fishbone Diagram demonstrates that organisational failures accumulated across multiple levels of the healthcare system. Rather than attributing responsibility to individual healthcare professionals, the framework highlights the interaction between workforce shortages, service capacity, governance and healthcare policy. Although the Fishbone Diagram effectively identifies contributing factors, it does not establish the relative importance of each cause or demonstrate causal relationships over time. Therefore, it should be used alongside other quality improvement tools to develop sustainable service improvements.</w:t>
      </w:r>
    </w:p>
    <w:p w14:paraId="68279D62" w14:textId="77777777" w:rsidR="001A670A" w:rsidRPr="00EE4FD9" w:rsidRDefault="001A670A" w:rsidP="00C57FC4">
      <w:pPr>
        <w:pStyle w:val="Heading2"/>
        <w:rPr>
          <w:rFonts w:ascii="Arial" w:eastAsia="Times New Roman" w:hAnsi="Arial" w:cs="Arial"/>
        </w:rPr>
      </w:pPr>
      <w:bookmarkStart w:id="27" w:name="_Toc236072453"/>
      <w:r w:rsidRPr="00EE4FD9">
        <w:rPr>
          <w:rFonts w:ascii="Arial" w:eastAsia="Times New Roman" w:hAnsi="Arial" w:cs="Arial"/>
        </w:rPr>
        <w:t>2.4 Five Whys Analysis</w:t>
      </w:r>
      <w:bookmarkEnd w:id="27"/>
    </w:p>
    <w:p w14:paraId="52CDB043" w14:textId="77777777" w:rsidR="001A670A" w:rsidRPr="00EE4FD9" w:rsidRDefault="001A670A" w:rsidP="001A670A">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Five Whys technique is a root cause analysis tool that identifies the underlying causes of adverse incidents by repeatedly asking the question </w:t>
      </w:r>
      <w:r w:rsidRPr="00EE4FD9">
        <w:rPr>
          <w:rFonts w:ascii="Arial" w:hAnsi="Arial" w:cs="Arial"/>
          <w:b/>
          <w:bCs/>
          <w:kern w:val="0"/>
          <w:sz w:val="22"/>
          <w:szCs w:val="22"/>
          <w14:ligatures w14:val="none"/>
        </w:rPr>
        <w:t>“Why?”</w:t>
      </w:r>
      <w:r w:rsidRPr="00EE4FD9">
        <w:rPr>
          <w:rFonts w:ascii="Arial" w:hAnsi="Arial" w:cs="Arial"/>
          <w:kern w:val="0"/>
          <w:sz w:val="22"/>
          <w:szCs w:val="22"/>
          <w14:ligatures w14:val="none"/>
        </w:rPr>
        <w:t xml:space="preserve"> until the fundamental organisational problem is identified (Institute for Healthcare Improvement, 2022). Applying this technique to the Leigh Rodgers case reveals that the adverse outcome resulted from systemic failures rather than an isolated clinical incident.</w:t>
      </w:r>
    </w:p>
    <w:p w14:paraId="52004B56" w14:textId="558172BF" w:rsidR="008B5B83" w:rsidRPr="00EE4FD9" w:rsidRDefault="008B5B83" w:rsidP="008B5B83">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drawing>
          <wp:inline distT="0" distB="0" distL="0" distR="0" wp14:anchorId="621BEC84" wp14:editId="0DA56727">
            <wp:extent cx="2689060" cy="3314700"/>
            <wp:effectExtent l="0" t="0" r="0" b="0"/>
            <wp:docPr id="14616930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693060" name="Picture 14616930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2436" cy="3331188"/>
                    </a:xfrm>
                    <a:prstGeom prst="rect">
                      <a:avLst/>
                    </a:prstGeom>
                  </pic:spPr>
                </pic:pic>
              </a:graphicData>
            </a:graphic>
          </wp:inline>
        </w:drawing>
      </w:r>
    </w:p>
    <w:p w14:paraId="05CC5D81" w14:textId="34B89EE9" w:rsidR="00B30726" w:rsidRPr="00EE4FD9" w:rsidRDefault="00B30726" w:rsidP="008B5B83">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3: 5 whys</w:t>
      </w:r>
    </w:p>
    <w:p w14:paraId="35EA6B86" w14:textId="334DDEEB" w:rsidR="00C9021E" w:rsidRPr="00EE4FD9" w:rsidRDefault="00C9021E" w:rsidP="008B5B83">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Oliveria, 2024)</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271"/>
        <w:gridCol w:w="6739"/>
      </w:tblGrid>
      <w:tr w:rsidR="00B70351" w:rsidRPr="00EE4FD9" w14:paraId="7C3421F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AB0C5D" w14:textId="77777777" w:rsidR="00B70351" w:rsidRPr="00EE4FD9" w:rsidRDefault="00B70351" w:rsidP="00B7035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Problem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063536" w14:textId="77777777" w:rsidR="00B70351" w:rsidRPr="00EE4FD9" w:rsidRDefault="00B70351" w:rsidP="00B70351">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Critical Explanation</w:t>
            </w:r>
          </w:p>
        </w:tc>
      </w:tr>
      <w:tr w:rsidR="00B70351" w:rsidRPr="00EE4FD9" w14:paraId="4777B35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0820A0"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Patient death following severe dental infection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D88BCB"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Leigh Rodgers died after suffering an anaphylactic reaction during investigation of an untreated dental infection.</w:t>
            </w:r>
          </w:p>
        </w:tc>
      </w:tr>
      <w:tr w:rsidR="00B70351" w:rsidRPr="00EE4FD9" w14:paraId="662B33E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285DE8"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A781CB"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dental infection progressed because timely NHS dental treatment was unavailable.</w:t>
            </w:r>
          </w:p>
        </w:tc>
      </w:tr>
      <w:tr w:rsidR="00B70351" w:rsidRPr="00EE4FD9" w14:paraId="0B88775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72A84B"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lastRenderedPageBreak/>
              <w:t>Why 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AEFF64"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NHS dental appointments were extremely limited because of workforce shortages and service pressures (British Dental Association, 2024).</w:t>
            </w:r>
          </w:p>
        </w:tc>
      </w:tr>
      <w:tr w:rsidR="00B70351" w:rsidRPr="00EE4FD9" w14:paraId="41CAAC9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583B66"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EB8143"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Inadequate workforce planning and funding reduced service capacity and increased waiting times.</w:t>
            </w:r>
          </w:p>
        </w:tc>
      </w:tr>
      <w:tr w:rsidR="00B70351" w:rsidRPr="00EE4FD9" w14:paraId="5BFEC9B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4B56F3"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53700F"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Quality assurance systems failed to identify and address persistent inequalities in access to urgent dental care.</w:t>
            </w:r>
          </w:p>
        </w:tc>
      </w:tr>
      <w:tr w:rsidR="00B70351" w:rsidRPr="00EE4FD9" w14:paraId="2330DB4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8E2CC7"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Why 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58B551" w14:textId="77777777" w:rsidR="00B70351" w:rsidRPr="00EE4FD9" w:rsidRDefault="00B70351" w:rsidP="00B7035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Weak strategic planning, insufficient investment and limitations in NHS dental commissioning contributed to long-term service deficiencies and reduced patient access.</w:t>
            </w:r>
          </w:p>
        </w:tc>
      </w:tr>
    </w:tbl>
    <w:p w14:paraId="6DF6EADA" w14:textId="35AD8B7A" w:rsidR="009218E1" w:rsidRPr="00EE4FD9" w:rsidRDefault="009218E1" w:rsidP="009218E1">
      <w:pPr>
        <w:spacing w:before="100" w:beforeAutospacing="1" w:after="100" w:afterAutospacing="1" w:line="240" w:lineRule="auto"/>
        <w:rPr>
          <w:rFonts w:ascii="Arial" w:hAnsi="Arial" w:cs="Arial"/>
          <w:kern w:val="0"/>
          <w:sz w:val="22"/>
          <w:szCs w:val="22"/>
          <w14:ligatures w14:val="none"/>
        </w:rPr>
      </w:pPr>
    </w:p>
    <w:p w14:paraId="74D28BFB" w14:textId="7FC7C532" w:rsidR="009218E1" w:rsidRPr="00EE4FD9" w:rsidRDefault="009218E1" w:rsidP="00E9765F">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Five Whys approach demonstrates that Leigh Rodgers’ death cannot simply be attributed to the adverse reaction to contrast media. Instead, the analysis highlights how delayed access to primary dental care created a chain of events that ultimately required emergency hospital investigation. The framework encourages healthcare organisations to move beyond individual blame and focus on improving governance, service accessibility and organisational learning. Nevertheless, because the Five Whys follows a linear approach, it should be combined with broader quality improvement models when analysing complex healthcare systems.</w:t>
      </w:r>
    </w:p>
    <w:p w14:paraId="4C511185" w14:textId="77777777" w:rsidR="009218E1" w:rsidRPr="00EE4FD9" w:rsidRDefault="009218E1" w:rsidP="00C57FC4">
      <w:pPr>
        <w:pStyle w:val="Heading2"/>
        <w:rPr>
          <w:rFonts w:ascii="Arial" w:eastAsia="Times New Roman" w:hAnsi="Arial" w:cs="Arial"/>
        </w:rPr>
      </w:pPr>
      <w:bookmarkStart w:id="28" w:name="_Toc236072454"/>
      <w:r w:rsidRPr="00EE4FD9">
        <w:rPr>
          <w:rFonts w:ascii="Arial" w:eastAsia="Times New Roman" w:hAnsi="Arial" w:cs="Arial"/>
        </w:rPr>
        <w:t>2.5 SWOT Analysis</w:t>
      </w:r>
      <w:bookmarkEnd w:id="28"/>
    </w:p>
    <w:p w14:paraId="5D1A0663" w14:textId="77777777" w:rsidR="009218E1" w:rsidRPr="00EE4FD9" w:rsidRDefault="009218E1" w:rsidP="009218E1">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SWOT framework evaluates the internal strengths and weaknesses of healthcare organisations alongside external opportunities and threats that influence service quality and patient safety. Applying the SWOT analysis to the Leigh Rodgers case identifies several organisational factors that contributed to failures in quality assurance while highlighting opportunities for future improvement.</w:t>
      </w:r>
    </w:p>
    <w:p w14:paraId="2E805E10" w14:textId="5817C39D" w:rsidR="008B5B83" w:rsidRPr="00EE4FD9" w:rsidRDefault="00245046" w:rsidP="00245046">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lastRenderedPageBreak/>
        <w:drawing>
          <wp:inline distT="0" distB="0" distL="0" distR="0" wp14:anchorId="22B83CF9" wp14:editId="5781886C">
            <wp:extent cx="3661410" cy="3661410"/>
            <wp:effectExtent l="0" t="0" r="0" b="0"/>
            <wp:docPr id="13226204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20428" name="Picture 1322620428"/>
                    <pic:cNvPicPr/>
                  </pic:nvPicPr>
                  <pic:blipFill>
                    <a:blip r:embed="rId9">
                      <a:extLst>
                        <a:ext uri="{28A0092B-C50C-407E-A947-70E740481C1C}">
                          <a14:useLocalDpi xmlns:a14="http://schemas.microsoft.com/office/drawing/2010/main" val="0"/>
                        </a:ext>
                      </a:extLst>
                    </a:blip>
                    <a:stretch>
                      <a:fillRect/>
                    </a:stretch>
                  </pic:blipFill>
                  <pic:spPr>
                    <a:xfrm>
                      <a:off x="0" y="0"/>
                      <a:ext cx="3661410" cy="3661410"/>
                    </a:xfrm>
                    <a:prstGeom prst="rect">
                      <a:avLst/>
                    </a:prstGeom>
                  </pic:spPr>
                </pic:pic>
              </a:graphicData>
            </a:graphic>
          </wp:inline>
        </w:drawing>
      </w:r>
    </w:p>
    <w:p w14:paraId="63F399EE" w14:textId="12B77DBD" w:rsidR="00C23468" w:rsidRPr="00EE4FD9" w:rsidRDefault="00C23468" w:rsidP="0024504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4: SWOT Analysis</w:t>
      </w:r>
    </w:p>
    <w:p w14:paraId="0A7805B6" w14:textId="23566560" w:rsidR="007038C9" w:rsidRPr="00EE4FD9" w:rsidRDefault="007038C9" w:rsidP="0024504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Google, 2026)</w:t>
      </w:r>
    </w:p>
    <w:tbl>
      <w:tblPr>
        <w:tblW w:w="4720" w:type="pct"/>
        <w:tblInd w:w="-292" w:type="dxa"/>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775"/>
        <w:gridCol w:w="8527"/>
      </w:tblGrid>
      <w:tr w:rsidR="00ED7779" w:rsidRPr="00EE4FD9" w14:paraId="4E42D99E" w14:textId="77777777" w:rsidTr="000E37A0">
        <w:trPr>
          <w:tblHeader/>
        </w:trPr>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AD74A6" w14:textId="77777777" w:rsidR="00ED7779" w:rsidRPr="00EE4FD9" w:rsidRDefault="00ED7779" w:rsidP="00ED7779">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Element</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60D11B" w14:textId="77777777" w:rsidR="00ED7779" w:rsidRPr="00EE4FD9" w:rsidRDefault="00ED7779" w:rsidP="00ED7779">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Critical Analysis</w:t>
            </w:r>
          </w:p>
        </w:tc>
      </w:tr>
      <w:tr w:rsidR="00ED7779" w:rsidRPr="00EE4FD9" w14:paraId="2B982BB4"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34FF2"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Strengths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3EF70B"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NHS provides evidence-based clinical guidelines, experienced healthcare professionals and emergency hospital services capable of managing severe infections. National organisations such as NICE and the CQC provide regulatory oversight that supports quality assurance (NICE, 2024).</w:t>
            </w:r>
          </w:p>
        </w:tc>
      </w:tr>
      <w:tr w:rsidR="00ED7779" w:rsidRPr="00EE4FD9" w14:paraId="0A4848D3"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D14F8B"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Weaknesses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E52EFD"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Workforce shortages, insufficient NHS dental capacity, fragmented referral pathways, funding pressures and inconsistent access to urgent dental services delayed treatment and increased patient risk (British Dental Association, 2024).</w:t>
            </w:r>
          </w:p>
        </w:tc>
      </w:tr>
      <w:tr w:rsidR="00ED7779" w:rsidRPr="00EE4FD9" w14:paraId="184D07F2"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1E80E0"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Opportunities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42CA06"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Expansion of NHS dental workforce, improved commissioning, digital referral systems, integrated primary-secondary care pathways and enhanced quality monitoring could significantly improve patient access and safety.</w:t>
            </w:r>
          </w:p>
        </w:tc>
      </w:tr>
      <w:tr w:rsidR="00ED7779" w:rsidRPr="00EE4FD9" w14:paraId="5CA4C722" w14:textId="77777777" w:rsidTr="000E37A0">
        <w:tc>
          <w:tcPr>
            <w:tcW w:w="4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6987E"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Threats</w:t>
            </w:r>
          </w:p>
        </w:tc>
        <w:tc>
          <w:tcPr>
            <w:tcW w:w="454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8501D9" w14:textId="77777777" w:rsidR="00ED7779" w:rsidRPr="00EE4FD9" w:rsidRDefault="00ED7779" w:rsidP="00ED7779">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Continuing workforce shortages, increasing patient demand, financial constraints, recruitment difficulties and declining public confidence may further reduce access to NHS dental care if improvements are not implemented.</w:t>
            </w:r>
          </w:p>
        </w:tc>
      </w:tr>
    </w:tbl>
    <w:p w14:paraId="298EA1F6" w14:textId="20DE7550" w:rsidR="00B438F6" w:rsidRPr="00EE4FD9" w:rsidRDefault="00167A71" w:rsidP="00B438F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b/>
          <w:bCs/>
          <w:kern w:val="0"/>
          <w:sz w:val="22"/>
          <w:szCs w:val="22"/>
          <w14:ligatures w14:val="none"/>
        </w:rPr>
        <w:t xml:space="preserve">                                            </w:t>
      </w:r>
    </w:p>
    <w:p w14:paraId="5FE8273E" w14:textId="77777777" w:rsidR="00B438F6" w:rsidRPr="00EE4FD9" w:rsidRDefault="00B438F6" w:rsidP="00B438F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lastRenderedPageBreak/>
        <w:t>The SWOT analysis demonstrates that although the NHS possesses considerable clinical expertise and established governance frameworks, these strengths are undermined by workforce shortages and limited service capacity. Future service improvement should therefore prioritise strengthening organisational resilience, expanding access to care and improving quality assurance systems to reduce preventable harm.</w:t>
      </w:r>
    </w:p>
    <w:p w14:paraId="68365D4C" w14:textId="7EF7BF36" w:rsidR="00B438F6" w:rsidRPr="00EE4FD9" w:rsidRDefault="00B438F6" w:rsidP="00B438F6">
      <w:pPr>
        <w:spacing w:after="0" w:line="240" w:lineRule="auto"/>
        <w:rPr>
          <w:rFonts w:ascii="Arial" w:eastAsia="Times New Roman" w:hAnsi="Arial" w:cs="Arial"/>
          <w:kern w:val="0"/>
          <w:sz w:val="22"/>
          <w:szCs w:val="22"/>
          <w14:ligatures w14:val="none"/>
        </w:rPr>
      </w:pPr>
    </w:p>
    <w:p w14:paraId="08A61C68" w14:textId="77777777" w:rsidR="00B438F6" w:rsidRPr="00EE4FD9" w:rsidRDefault="00B438F6" w:rsidP="00C57FC4">
      <w:pPr>
        <w:pStyle w:val="Heading2"/>
        <w:rPr>
          <w:rFonts w:ascii="Arial" w:eastAsia="Times New Roman" w:hAnsi="Arial" w:cs="Arial"/>
        </w:rPr>
      </w:pPr>
      <w:bookmarkStart w:id="29" w:name="_Toc236072455"/>
      <w:r w:rsidRPr="00EE4FD9">
        <w:rPr>
          <w:rFonts w:ascii="Arial" w:eastAsia="Times New Roman" w:hAnsi="Arial" w:cs="Arial"/>
        </w:rPr>
        <w:t>2.6 Kurt Lewin’s Three-Stage Change Model</w:t>
      </w:r>
      <w:bookmarkEnd w:id="29"/>
    </w:p>
    <w:p w14:paraId="679C758E" w14:textId="77777777" w:rsidR="00B438F6" w:rsidRPr="00EE4FD9" w:rsidRDefault="00B438F6" w:rsidP="00B438F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Kurt Lewin’s Three-Stage Change Model provides a structured framework for implementing sustainable organisational change through the stages of </w:t>
      </w:r>
      <w:r w:rsidRPr="00EE4FD9">
        <w:rPr>
          <w:rFonts w:ascii="Arial" w:hAnsi="Arial" w:cs="Arial"/>
          <w:b/>
          <w:bCs/>
          <w:kern w:val="0"/>
          <w:sz w:val="22"/>
          <w:szCs w:val="22"/>
          <w14:ligatures w14:val="none"/>
        </w:rPr>
        <w:t>Unfreeze</w:t>
      </w:r>
      <w:r w:rsidRPr="00EE4FD9">
        <w:rPr>
          <w:rFonts w:ascii="Arial" w:hAnsi="Arial" w:cs="Arial"/>
          <w:kern w:val="0"/>
          <w:sz w:val="22"/>
          <w:szCs w:val="22"/>
          <w14:ligatures w14:val="none"/>
        </w:rPr>
        <w:t xml:space="preserve">, </w:t>
      </w:r>
      <w:r w:rsidRPr="00EE4FD9">
        <w:rPr>
          <w:rFonts w:ascii="Arial" w:hAnsi="Arial" w:cs="Arial"/>
          <w:b/>
          <w:bCs/>
          <w:kern w:val="0"/>
          <w:sz w:val="22"/>
          <w:szCs w:val="22"/>
          <w14:ligatures w14:val="none"/>
        </w:rPr>
        <w:t>Change</w:t>
      </w:r>
      <w:r w:rsidRPr="00EE4FD9">
        <w:rPr>
          <w:rFonts w:ascii="Arial" w:hAnsi="Arial" w:cs="Arial"/>
          <w:kern w:val="0"/>
          <w:sz w:val="22"/>
          <w:szCs w:val="22"/>
          <w14:ligatures w14:val="none"/>
        </w:rPr>
        <w:t xml:space="preserve"> and </w:t>
      </w:r>
      <w:r w:rsidRPr="00EE4FD9">
        <w:rPr>
          <w:rFonts w:ascii="Arial" w:hAnsi="Arial" w:cs="Arial"/>
          <w:b/>
          <w:bCs/>
          <w:kern w:val="0"/>
          <w:sz w:val="22"/>
          <w:szCs w:val="22"/>
          <w14:ligatures w14:val="none"/>
        </w:rPr>
        <w:t>Refreeze</w:t>
      </w:r>
      <w:r w:rsidRPr="00EE4FD9">
        <w:rPr>
          <w:rFonts w:ascii="Arial" w:hAnsi="Arial" w:cs="Arial"/>
          <w:kern w:val="0"/>
          <w:sz w:val="22"/>
          <w:szCs w:val="22"/>
          <w14:ligatures w14:val="none"/>
        </w:rPr>
        <w:t xml:space="preserve"> (Lewin, 1951). The model can be applied to the Leigh Rodgers case to demonstrate how NHS dental services could implement long-term quality improvement initiatives that enhance patient safety and reduce delays in accessing urgent care.</w:t>
      </w:r>
    </w:p>
    <w:p w14:paraId="33ED44F8" w14:textId="12B14701" w:rsidR="001F4A06" w:rsidRPr="00EE4FD9" w:rsidRDefault="001F4A06" w:rsidP="001F4A06">
      <w:pPr>
        <w:spacing w:before="100" w:beforeAutospacing="1" w:after="100" w:afterAutospacing="1" w:line="240" w:lineRule="auto"/>
        <w:jc w:val="center"/>
        <w:rPr>
          <w:rFonts w:ascii="Arial" w:hAnsi="Arial" w:cs="Arial"/>
          <w:kern w:val="0"/>
          <w:sz w:val="22"/>
          <w:szCs w:val="22"/>
          <w14:ligatures w14:val="none"/>
        </w:rPr>
      </w:pPr>
      <w:r w:rsidRPr="00EE4FD9">
        <w:rPr>
          <w:rFonts w:ascii="Arial" w:hAnsi="Arial" w:cs="Arial"/>
          <w:noProof/>
          <w:kern w:val="0"/>
          <w:sz w:val="22"/>
          <w:szCs w:val="22"/>
        </w:rPr>
        <w:drawing>
          <wp:inline distT="0" distB="0" distL="0" distR="0" wp14:anchorId="35FDB00B" wp14:editId="22DD18EB">
            <wp:extent cx="3848100" cy="2557158"/>
            <wp:effectExtent l="0" t="0" r="0" b="0"/>
            <wp:docPr id="18865939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93942" name="Picture 1886593942"/>
                    <pic:cNvPicPr/>
                  </pic:nvPicPr>
                  <pic:blipFill>
                    <a:blip r:embed="rId10">
                      <a:extLst>
                        <a:ext uri="{28A0092B-C50C-407E-A947-70E740481C1C}">
                          <a14:useLocalDpi xmlns:a14="http://schemas.microsoft.com/office/drawing/2010/main" val="0"/>
                        </a:ext>
                      </a:extLst>
                    </a:blip>
                    <a:stretch>
                      <a:fillRect/>
                    </a:stretch>
                  </pic:blipFill>
                  <pic:spPr>
                    <a:xfrm>
                      <a:off x="0" y="0"/>
                      <a:ext cx="3858864" cy="2564311"/>
                    </a:xfrm>
                    <a:prstGeom prst="rect">
                      <a:avLst/>
                    </a:prstGeom>
                  </pic:spPr>
                </pic:pic>
              </a:graphicData>
            </a:graphic>
          </wp:inline>
        </w:drawing>
      </w:r>
    </w:p>
    <w:p w14:paraId="7C23444A" w14:textId="6C4C3316" w:rsidR="00C23468" w:rsidRPr="00EE4FD9" w:rsidRDefault="00C23468" w:rsidP="001F4A0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Figure 5: Lewin change model</w:t>
      </w:r>
    </w:p>
    <w:p w14:paraId="7CC20434" w14:textId="206DEED3" w:rsidR="00D90E28" w:rsidRPr="00EE4FD9" w:rsidRDefault="00D90E28" w:rsidP="001F4A06">
      <w:pPr>
        <w:spacing w:before="100" w:beforeAutospacing="1" w:after="100" w:afterAutospacing="1" w:line="240" w:lineRule="auto"/>
        <w:jc w:val="center"/>
        <w:rPr>
          <w:rFonts w:ascii="Arial" w:hAnsi="Arial" w:cs="Arial"/>
          <w:b/>
          <w:bCs/>
          <w:kern w:val="0"/>
          <w:sz w:val="22"/>
          <w:szCs w:val="22"/>
          <w14:ligatures w14:val="none"/>
        </w:rPr>
      </w:pPr>
      <w:r w:rsidRPr="00EE4FD9">
        <w:rPr>
          <w:rFonts w:ascii="Arial" w:hAnsi="Arial" w:cs="Arial"/>
          <w:b/>
          <w:bCs/>
          <w:kern w:val="0"/>
          <w:sz w:val="22"/>
          <w:szCs w:val="22"/>
          <w14:ligatures w14:val="none"/>
        </w:rPr>
        <w:t>(Source: Agile laws, 2025)</w:t>
      </w:r>
    </w:p>
    <w:p w14:paraId="5EED7B24" w14:textId="6F60CB2E" w:rsidR="00DC0AD6" w:rsidRPr="00EE4FD9" w:rsidRDefault="00DC0AD6">
      <w:pPr>
        <w:pStyle w:val="p1"/>
        <w:rPr>
          <w:rStyle w:val="s1"/>
          <w:rFonts w:ascii="Arial" w:hAnsi="Arial" w:cs="Arial"/>
          <w:sz w:val="22"/>
          <w:szCs w:val="22"/>
        </w:rPr>
      </w:pPr>
      <w:r w:rsidRPr="00EE4FD9">
        <w:rPr>
          <w:rFonts w:ascii="Arial" w:hAnsi="Arial" w:cs="Arial"/>
          <w:sz w:val="22"/>
          <w:szCs w:val="22"/>
        </w:rPr>
        <w:t xml:space="preserve">During the </w:t>
      </w:r>
      <w:r w:rsidRPr="00EE4FD9">
        <w:rPr>
          <w:rStyle w:val="s2"/>
          <w:rFonts w:ascii="Arial" w:hAnsi="Arial" w:cs="Arial"/>
          <w:b/>
          <w:bCs/>
          <w:sz w:val="22"/>
          <w:szCs w:val="22"/>
        </w:rPr>
        <w:t>Unfreeze</w:t>
      </w:r>
      <w:r w:rsidRPr="00EE4FD9">
        <w:rPr>
          <w:rStyle w:val="s1"/>
          <w:rFonts w:ascii="Arial" w:hAnsi="Arial" w:cs="Arial"/>
          <w:sz w:val="22"/>
          <w:szCs w:val="22"/>
        </w:rPr>
        <w:t xml:space="preserve"> stage, healthcare organisations must recognise that delayed access to NHS dental services represents a significant patient safety risk. This requires reviewing serious incidents, analysing patient complaints, evaluating workforce shortages and identifying barriers to accessing urgent dental care. Creating awareness among healthcare professionals and organisational leaders establishes the need for change and promotes engagement with quality improvement initiatives</w:t>
      </w:r>
      <w:r w:rsidR="00772ECF">
        <w:rPr>
          <w:rStyle w:val="s1"/>
          <w:rFonts w:ascii="Arial" w:hAnsi="Arial" w:cs="Arial"/>
          <w:sz w:val="22"/>
          <w:szCs w:val="22"/>
        </w:rPr>
        <w:t>(Lewin, 1951)</w:t>
      </w:r>
      <w:r w:rsidR="004D3E80">
        <w:rPr>
          <w:rStyle w:val="s1"/>
          <w:rFonts w:ascii="Arial" w:hAnsi="Arial" w:cs="Arial"/>
          <w:sz w:val="22"/>
          <w:szCs w:val="22"/>
        </w:rPr>
        <w:t>.</w:t>
      </w:r>
    </w:p>
    <w:p w14:paraId="579A073E" w14:textId="5019A08D" w:rsidR="00DC0AD6" w:rsidRPr="00EE4FD9" w:rsidRDefault="00DC0AD6">
      <w:pPr>
        <w:pStyle w:val="p1"/>
        <w:rPr>
          <w:rStyle w:val="s1"/>
          <w:rFonts w:ascii="Arial" w:hAnsi="Arial" w:cs="Arial"/>
          <w:sz w:val="22"/>
          <w:szCs w:val="22"/>
        </w:rPr>
      </w:pPr>
      <w:r w:rsidRPr="00EE4FD9">
        <w:rPr>
          <w:rFonts w:ascii="Arial" w:hAnsi="Arial" w:cs="Arial"/>
          <w:sz w:val="22"/>
          <w:szCs w:val="22"/>
        </w:rPr>
        <w:t xml:space="preserve">The </w:t>
      </w:r>
      <w:r w:rsidRPr="00EE4FD9">
        <w:rPr>
          <w:rStyle w:val="s2"/>
          <w:rFonts w:ascii="Arial" w:hAnsi="Arial" w:cs="Arial"/>
          <w:b/>
          <w:bCs/>
          <w:sz w:val="22"/>
          <w:szCs w:val="22"/>
        </w:rPr>
        <w:t>Change</w:t>
      </w:r>
      <w:r w:rsidRPr="00EE4FD9">
        <w:rPr>
          <w:rStyle w:val="s1"/>
          <w:rFonts w:ascii="Arial" w:hAnsi="Arial" w:cs="Arial"/>
          <w:sz w:val="22"/>
          <w:szCs w:val="22"/>
        </w:rPr>
        <w:t xml:space="preserve"> stage involves implementing evidence-based interventions designed to improve service quality. These include recruiting additional NHS dentists, increasing funding for urgent dental appointments, strengthening referral pathways between primary and secondary care, improving multidisciplinary communication and expanding digital referral systems. Regular staff education, clinical governance meetings and continuous monitoring of waiting times would support successful implementation of these changes</w:t>
      </w:r>
      <w:r w:rsidR="00EA5927">
        <w:rPr>
          <w:rStyle w:val="s1"/>
          <w:rFonts w:ascii="Arial" w:hAnsi="Arial" w:cs="Arial"/>
          <w:sz w:val="22"/>
          <w:szCs w:val="22"/>
        </w:rPr>
        <w:t>(NHS England, 2022)</w:t>
      </w:r>
    </w:p>
    <w:p w14:paraId="4B14CD55" w14:textId="77777777" w:rsidR="00DC0AD6" w:rsidRPr="00EE4FD9" w:rsidRDefault="00DC0AD6">
      <w:pPr>
        <w:pStyle w:val="p1"/>
        <w:rPr>
          <w:rStyle w:val="s1"/>
          <w:rFonts w:ascii="Arial" w:hAnsi="Arial" w:cs="Arial"/>
          <w:sz w:val="22"/>
          <w:szCs w:val="22"/>
        </w:rPr>
      </w:pPr>
      <w:r w:rsidRPr="00EE4FD9">
        <w:rPr>
          <w:rFonts w:ascii="Arial" w:hAnsi="Arial" w:cs="Arial"/>
          <w:sz w:val="22"/>
          <w:szCs w:val="22"/>
        </w:rPr>
        <w:t xml:space="preserve">Finally, the </w:t>
      </w:r>
      <w:r w:rsidRPr="00EE4FD9">
        <w:rPr>
          <w:rStyle w:val="s2"/>
          <w:rFonts w:ascii="Arial" w:hAnsi="Arial" w:cs="Arial"/>
          <w:b/>
          <w:bCs/>
          <w:sz w:val="22"/>
          <w:szCs w:val="22"/>
        </w:rPr>
        <w:t>Refreeze</w:t>
      </w:r>
      <w:r w:rsidRPr="00EE4FD9">
        <w:rPr>
          <w:rStyle w:val="s1"/>
          <w:rFonts w:ascii="Arial" w:hAnsi="Arial" w:cs="Arial"/>
          <w:sz w:val="22"/>
          <w:szCs w:val="22"/>
        </w:rPr>
        <w:t xml:space="preserve"> stage focuses on embedding improvements into routine clinical practice. Continuous clinical audits, patient feedback, performance monitoring and regular </w:t>
      </w:r>
      <w:r w:rsidRPr="00EE4FD9">
        <w:rPr>
          <w:rStyle w:val="s1"/>
          <w:rFonts w:ascii="Arial" w:hAnsi="Arial" w:cs="Arial"/>
          <w:sz w:val="22"/>
          <w:szCs w:val="22"/>
        </w:rPr>
        <w:lastRenderedPageBreak/>
        <w:t>governance reviews ensure that service improvements become part of organisational culture. Reinforcing accountability and maintaining compliance with NICE guidance and NHS quality standards will help sustain improvements in patient safety and healthcare quality.</w:t>
      </w:r>
    </w:p>
    <w:p w14:paraId="781620B9" w14:textId="77777777" w:rsidR="00DC0AD6" w:rsidRPr="00EE4FD9" w:rsidRDefault="00DC0AD6">
      <w:pPr>
        <w:pStyle w:val="p2"/>
        <w:rPr>
          <w:rFonts w:ascii="Arial" w:hAnsi="Arial" w:cs="Arial"/>
          <w:sz w:val="22"/>
          <w:szCs w:val="22"/>
        </w:rPr>
      </w:pPr>
      <w:r w:rsidRPr="00EE4FD9">
        <w:rPr>
          <w:rFonts w:ascii="Arial" w:hAnsi="Arial" w:cs="Arial"/>
          <w:sz w:val="22"/>
          <w:szCs w:val="22"/>
        </w:rPr>
        <w:t>Although Lewin’s model provides a clear framework for organisational change, it may oversimplify the complexity of modern healthcare systems. Therefore, it should be used alongside continuous quality improvement approaches such as the Plan–Do–Study–Act (PDSA) cycle to ensure long-term service development.</w:t>
      </w:r>
    </w:p>
    <w:p w14:paraId="47E396C8" w14:textId="77777777" w:rsidR="001F4A06" w:rsidRPr="00EE4FD9" w:rsidRDefault="001F4A06">
      <w:pPr>
        <w:pStyle w:val="p2"/>
        <w:rPr>
          <w:rFonts w:ascii="Arial" w:hAnsi="Arial" w:cs="Arial"/>
          <w:sz w:val="22"/>
          <w:szCs w:val="22"/>
        </w:rPr>
      </w:pPr>
    </w:p>
    <w:p w14:paraId="0552FEE7" w14:textId="77777777" w:rsidR="00D47F56" w:rsidRPr="00EE4FD9" w:rsidRDefault="00D47F56" w:rsidP="00C57FC4">
      <w:pPr>
        <w:pStyle w:val="Heading1"/>
        <w:rPr>
          <w:rFonts w:ascii="Arial" w:eastAsia="Times New Roman" w:hAnsi="Arial" w:cs="Arial"/>
        </w:rPr>
      </w:pPr>
      <w:bookmarkStart w:id="30" w:name="_Toc236072456"/>
      <w:r w:rsidRPr="00EE4FD9">
        <w:rPr>
          <w:rFonts w:ascii="Arial" w:eastAsia="Times New Roman" w:hAnsi="Arial" w:cs="Arial"/>
        </w:rPr>
        <w:t>3. Recommendations</w:t>
      </w:r>
      <w:bookmarkEnd w:id="30"/>
    </w:p>
    <w:p w14:paraId="79B97010" w14:textId="1139DA06"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Based on the analysis of the Leigh Rodgers case, the following evidence-based recommendations are proposed to strengthen quality assurance, improve patient safety and reduce delays in accessing NHS dental services.</w:t>
      </w:r>
    </w:p>
    <w:p w14:paraId="5BF95FF1" w14:textId="77777777" w:rsidR="00C57FC4" w:rsidRPr="00EE4FD9" w:rsidRDefault="00C57FC4" w:rsidP="001E5FEC">
      <w:pPr>
        <w:spacing w:before="100" w:beforeAutospacing="1" w:after="100" w:afterAutospacing="1" w:line="240" w:lineRule="auto"/>
        <w:rPr>
          <w:rFonts w:ascii="Arial" w:hAnsi="Arial" w:cs="Arial"/>
          <w:kern w:val="0"/>
          <w:sz w:val="22"/>
          <w:szCs w:val="22"/>
          <w14:ligatures w14:val="none"/>
        </w:rPr>
      </w:pPr>
    </w:p>
    <w:p w14:paraId="5A0D15B7" w14:textId="77777777" w:rsidR="00D47F56" w:rsidRPr="00EE4FD9" w:rsidRDefault="00D47F56" w:rsidP="00C57FC4">
      <w:pPr>
        <w:pStyle w:val="Heading2"/>
        <w:rPr>
          <w:rFonts w:ascii="Arial" w:eastAsia="Times New Roman" w:hAnsi="Arial" w:cs="Arial"/>
        </w:rPr>
      </w:pPr>
      <w:bookmarkStart w:id="31" w:name="_Toc236072457"/>
      <w:r w:rsidRPr="00EE4FD9">
        <w:rPr>
          <w:rFonts w:ascii="Arial" w:eastAsia="Times New Roman" w:hAnsi="Arial" w:cs="Arial"/>
        </w:rPr>
        <w:t>Recommendation 1: Improve Access to NHS Dental Services</w:t>
      </w:r>
      <w:bookmarkEnd w:id="31"/>
    </w:p>
    <w:p w14:paraId="7B410252" w14:textId="3AB5D9B3"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NHS should increase the availability of urgent dental appointments by expanding workforce capacity and improving the recruitment and retention of NHS dentists. Long waiting times significantly delay diagnosis and treatment of dental infections, increasing the risk of preventable complications. Investment in community dental services, revised NHS dental contracts and improved distribution of dental professionals across underserved areas would enable patients to receive earlier treatment and reduce avoidable hospital admissions (British Dental Association, 2024; NHS England, 2023). Improving access to primary dental care would also reduce pressure on emergency departments and enhance equity in healthcare provision.</w:t>
      </w:r>
    </w:p>
    <w:p w14:paraId="0802F2C3" w14:textId="77777777" w:rsidR="00D47F56" w:rsidRPr="00EE4FD9" w:rsidRDefault="00D47F56" w:rsidP="00C57FC4">
      <w:pPr>
        <w:pStyle w:val="Heading2"/>
        <w:rPr>
          <w:rFonts w:ascii="Arial" w:eastAsia="Times New Roman" w:hAnsi="Arial" w:cs="Arial"/>
        </w:rPr>
      </w:pPr>
      <w:bookmarkStart w:id="32" w:name="_Toc236072458"/>
      <w:r w:rsidRPr="00EE4FD9">
        <w:rPr>
          <w:rFonts w:ascii="Arial" w:eastAsia="Times New Roman" w:hAnsi="Arial" w:cs="Arial"/>
        </w:rPr>
        <w:t>Recommendation 2: Strengthen Clinical Governance and Quality Assurance</w:t>
      </w:r>
      <w:bookmarkEnd w:id="32"/>
    </w:p>
    <w:p w14:paraId="3766F253" w14:textId="4CCCB146"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Healthcare organisations should strengthen clinical governance systems to ensure that risks relating to delayed access to dental care are regularly monitored and addressed. Regular clinical audits, incident reporting systems and governance meetings should evaluate waiting times, referral pathways and patient outcomes. Organisations should use patient safety indicators and quality assurance frameworks to identify service gaps and implement corrective actions promptly. Strong governance promotes accountability, transparency and continuous learning, reducing the likelihood of similar adverse incidents occurring in the future (Care Quality Commission, 2023).</w:t>
      </w:r>
    </w:p>
    <w:p w14:paraId="036B1AD2" w14:textId="77777777" w:rsidR="00D47F56" w:rsidRPr="00EE4FD9" w:rsidRDefault="00D47F56" w:rsidP="00C57FC4">
      <w:pPr>
        <w:pStyle w:val="Heading2"/>
        <w:rPr>
          <w:rFonts w:ascii="Arial" w:eastAsia="Times New Roman" w:hAnsi="Arial" w:cs="Arial"/>
        </w:rPr>
      </w:pPr>
      <w:bookmarkStart w:id="33" w:name="_Toc236072459"/>
      <w:r w:rsidRPr="00EE4FD9">
        <w:rPr>
          <w:rFonts w:ascii="Arial" w:eastAsia="Times New Roman" w:hAnsi="Arial" w:cs="Arial"/>
        </w:rPr>
        <w:t>Recommendation 3: Improve Referral Pathways and Multidisciplinary Communication</w:t>
      </w:r>
      <w:bookmarkEnd w:id="33"/>
    </w:p>
    <w:p w14:paraId="2E79EA0B" w14:textId="1B01C3DD"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Effective communication between general dental practitioners, NHS 111 services, general practitioners and hospital clinicians is essential for the timely management of serious dental infections. Standardised referral pathways should be introduced to ensure that patients with </w:t>
      </w:r>
      <w:r w:rsidRPr="00EE4FD9">
        <w:rPr>
          <w:rFonts w:ascii="Arial" w:hAnsi="Arial" w:cs="Arial"/>
          <w:kern w:val="0"/>
          <w:sz w:val="22"/>
          <w:szCs w:val="22"/>
          <w14:ligatures w14:val="none"/>
        </w:rPr>
        <w:lastRenderedPageBreak/>
        <w:t>suspected severe infections receive urgent assessment without unnecessary delays. Integrated electronic referral systems would improve information sharing, reduce duplication and support coordinated decision-making across primary and secondary healthcare services. Improved multidisciplinary collaboration would enhance continuity of care and reduce the progression of dental disease into medical emergencies (NICE, 2024).</w:t>
      </w:r>
    </w:p>
    <w:p w14:paraId="16146B6F" w14:textId="77777777" w:rsidR="00D47F56" w:rsidRPr="00EE4FD9" w:rsidRDefault="00D47F56" w:rsidP="00C57FC4">
      <w:pPr>
        <w:pStyle w:val="Heading2"/>
        <w:rPr>
          <w:rFonts w:ascii="Arial" w:eastAsia="Times New Roman" w:hAnsi="Arial" w:cs="Arial"/>
        </w:rPr>
      </w:pPr>
      <w:bookmarkStart w:id="34" w:name="_Toc236072460"/>
      <w:r w:rsidRPr="00EE4FD9">
        <w:rPr>
          <w:rFonts w:ascii="Arial" w:eastAsia="Times New Roman" w:hAnsi="Arial" w:cs="Arial"/>
        </w:rPr>
        <w:t>Recommendation 4: Enhance Workforce Development and Patient Safety Training</w:t>
      </w:r>
      <w:bookmarkEnd w:id="34"/>
    </w:p>
    <w:p w14:paraId="1035CE98" w14:textId="02FDB211"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Continuous professional development should be provided for dental and medical professionals to strengthen clinical decision-making, risk assessment and emergency management of severe odontogenic infections. Training programmes should include early recognition of life-threatening complications such as Ludwig’s angina, effective communication, multidisciplinary teamwork and patient safety principles. Leadership development should also be prioritised to ensure managers promote a culture of continuous improvement, accountability and evidence-based practice. Investing in workforce development supports high-quality patient care while reducing preventable clinical errors (NHS England, 2022).</w:t>
      </w:r>
    </w:p>
    <w:p w14:paraId="7B434826" w14:textId="77777777" w:rsidR="00D47F56" w:rsidRPr="00EE4FD9" w:rsidRDefault="00D47F56" w:rsidP="00C57FC4">
      <w:pPr>
        <w:pStyle w:val="Heading2"/>
        <w:rPr>
          <w:rFonts w:ascii="Arial" w:eastAsia="Times New Roman" w:hAnsi="Arial" w:cs="Arial"/>
        </w:rPr>
      </w:pPr>
      <w:bookmarkStart w:id="35" w:name="_Toc236072461"/>
      <w:r w:rsidRPr="00EE4FD9">
        <w:rPr>
          <w:rFonts w:ascii="Arial" w:eastAsia="Times New Roman" w:hAnsi="Arial" w:cs="Arial"/>
        </w:rPr>
        <w:t>Recommendation 5: Implement Digital Quality Monitoring Systems</w:t>
      </w:r>
      <w:bookmarkEnd w:id="35"/>
    </w:p>
    <w:p w14:paraId="63B52B18" w14:textId="15A5CFA1"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Digital technologies should be used to strengthen quality assurance and improve patient safety across NHS dental services. Electronic referral systems, integrated patient records and real-time performance dashboards would enable healthcare organisations to monitor waiting times, urgent referrals, clinical outcomes and patient satisfaction more effectively. Early warning indicators could identify patients experiencing prolonged delays, allowing timely intervention before conditions deteriorate. Continuous digital monitoring would support evidence-based decision-making and enable healthcare managers to identify emerging risks more efficiently (The Health Foundation, 2021).</w:t>
      </w:r>
    </w:p>
    <w:p w14:paraId="384327F6" w14:textId="77777777" w:rsidR="00D47F56" w:rsidRPr="00EE4FD9" w:rsidRDefault="00D47F56" w:rsidP="00C57FC4">
      <w:pPr>
        <w:pStyle w:val="Heading2"/>
        <w:rPr>
          <w:rFonts w:ascii="Arial" w:eastAsia="Times New Roman" w:hAnsi="Arial" w:cs="Arial"/>
        </w:rPr>
      </w:pPr>
      <w:bookmarkStart w:id="36" w:name="_Toc236072462"/>
      <w:r w:rsidRPr="00EE4FD9">
        <w:rPr>
          <w:rFonts w:ascii="Arial" w:eastAsia="Times New Roman" w:hAnsi="Arial" w:cs="Arial"/>
        </w:rPr>
        <w:t>Recommendation 6: Introduce Continuous Quality Improvement Using the PDSA Cycle</w:t>
      </w:r>
      <w:bookmarkEnd w:id="36"/>
    </w:p>
    <w:p w14:paraId="37629676" w14:textId="2394F601" w:rsidR="00D47F56" w:rsidRPr="00EE4FD9" w:rsidRDefault="00D47F56" w:rsidP="001E5FEC">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w:t>
      </w:r>
      <w:r w:rsidRPr="00EE4FD9">
        <w:rPr>
          <w:rFonts w:ascii="Arial" w:hAnsi="Arial" w:cs="Arial"/>
          <w:b/>
          <w:bCs/>
          <w:kern w:val="0"/>
          <w:sz w:val="22"/>
          <w:szCs w:val="22"/>
          <w14:ligatures w14:val="none"/>
        </w:rPr>
        <w:t>Plan–Do–Study–Act (PDSA)</w:t>
      </w:r>
      <w:r w:rsidRPr="00EE4FD9">
        <w:rPr>
          <w:rFonts w:ascii="Arial" w:hAnsi="Arial" w:cs="Arial"/>
          <w:kern w:val="0"/>
          <w:sz w:val="22"/>
          <w:szCs w:val="22"/>
          <w14:ligatures w14:val="none"/>
        </w:rPr>
        <w:t xml:space="preserve"> cycle should be adopted to support continuous service improvement within NHS dental services. During the </w:t>
      </w:r>
      <w:r w:rsidRPr="00EE4FD9">
        <w:rPr>
          <w:rFonts w:ascii="Arial" w:hAnsi="Arial" w:cs="Arial"/>
          <w:b/>
          <w:bCs/>
          <w:kern w:val="0"/>
          <w:sz w:val="22"/>
          <w:szCs w:val="22"/>
          <w14:ligatures w14:val="none"/>
        </w:rPr>
        <w:t>Plan</w:t>
      </w:r>
      <w:r w:rsidRPr="00EE4FD9">
        <w:rPr>
          <w:rFonts w:ascii="Arial" w:hAnsi="Arial" w:cs="Arial"/>
          <w:kern w:val="0"/>
          <w:sz w:val="22"/>
          <w:szCs w:val="22"/>
          <w14:ligatures w14:val="none"/>
        </w:rPr>
        <w:t xml:space="preserve"> phase, organisations should identify problems such as long waiting times and limited appointment availability using clinical audits and patient feedback. The </w:t>
      </w:r>
      <w:r w:rsidRPr="00EE4FD9">
        <w:rPr>
          <w:rFonts w:ascii="Arial" w:hAnsi="Arial" w:cs="Arial"/>
          <w:b/>
          <w:bCs/>
          <w:kern w:val="0"/>
          <w:sz w:val="22"/>
          <w:szCs w:val="22"/>
          <w14:ligatures w14:val="none"/>
        </w:rPr>
        <w:t>Do</w:t>
      </w:r>
      <w:r w:rsidRPr="00EE4FD9">
        <w:rPr>
          <w:rFonts w:ascii="Arial" w:hAnsi="Arial" w:cs="Arial"/>
          <w:kern w:val="0"/>
          <w:sz w:val="22"/>
          <w:szCs w:val="22"/>
          <w14:ligatures w14:val="none"/>
        </w:rPr>
        <w:t xml:space="preserve"> phase involves implementing interventions, including increasing urgent appointments and improving referral pathways. During the </w:t>
      </w:r>
      <w:r w:rsidRPr="00EE4FD9">
        <w:rPr>
          <w:rFonts w:ascii="Arial" w:hAnsi="Arial" w:cs="Arial"/>
          <w:b/>
          <w:bCs/>
          <w:kern w:val="0"/>
          <w:sz w:val="22"/>
          <w:szCs w:val="22"/>
          <w14:ligatures w14:val="none"/>
        </w:rPr>
        <w:t>Study</w:t>
      </w:r>
      <w:r w:rsidRPr="00EE4FD9">
        <w:rPr>
          <w:rFonts w:ascii="Arial" w:hAnsi="Arial" w:cs="Arial"/>
          <w:kern w:val="0"/>
          <w:sz w:val="22"/>
          <w:szCs w:val="22"/>
          <w14:ligatures w14:val="none"/>
        </w:rPr>
        <w:t xml:space="preserve"> phase, organisations should evaluate outcomes by monitoring waiting times, emergency admissions and patient satisfaction. Finally, the </w:t>
      </w:r>
      <w:r w:rsidRPr="00EE4FD9">
        <w:rPr>
          <w:rFonts w:ascii="Arial" w:hAnsi="Arial" w:cs="Arial"/>
          <w:b/>
          <w:bCs/>
          <w:kern w:val="0"/>
          <w:sz w:val="22"/>
          <w:szCs w:val="22"/>
          <w14:ligatures w14:val="none"/>
        </w:rPr>
        <w:t>Act</w:t>
      </w:r>
      <w:r w:rsidRPr="00EE4FD9">
        <w:rPr>
          <w:rFonts w:ascii="Arial" w:hAnsi="Arial" w:cs="Arial"/>
          <w:kern w:val="0"/>
          <w:sz w:val="22"/>
          <w:szCs w:val="22"/>
          <w14:ligatures w14:val="none"/>
        </w:rPr>
        <w:t xml:space="preserve"> phase involves standardising successful interventions while modifying those that require further improvement. Continuous use of the PDSA cycle promotes organisational learning and ensures sustainable improvements in patient safety and service quality (Institute for Healthcare Improvement, 2022).</w:t>
      </w:r>
    </w:p>
    <w:p w14:paraId="0820EB0D" w14:textId="61F99029" w:rsidR="007C1DEE" w:rsidRPr="00EE4FD9" w:rsidRDefault="00475992" w:rsidP="00A7498A">
      <w:pPr>
        <w:pStyle w:val="Heading1"/>
        <w:rPr>
          <w:rFonts w:ascii="Arial" w:hAnsi="Arial" w:cs="Arial"/>
        </w:rPr>
      </w:pPr>
      <w:bookmarkStart w:id="37" w:name="_Toc236072463"/>
      <w:r w:rsidRPr="00EE4FD9">
        <w:rPr>
          <w:rFonts w:ascii="Arial" w:hAnsi="Arial" w:cs="Arial"/>
        </w:rPr>
        <w:lastRenderedPageBreak/>
        <w:t>4. Benchmarking</w:t>
      </w:r>
      <w:bookmarkEnd w:id="37"/>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147"/>
        <w:gridCol w:w="2324"/>
        <w:gridCol w:w="1967"/>
        <w:gridCol w:w="3572"/>
      </w:tblGrid>
      <w:tr w:rsidR="00F32FFC" w:rsidRPr="00EE4FD9" w14:paraId="21B7B012"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359070"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National Standard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F2BD41"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Expected Standard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5332AB"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What Happened in the Case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CB8B9C" w14:textId="77777777" w:rsidR="00F32FFC" w:rsidRPr="00EE4FD9" w:rsidRDefault="00F32FFC" w:rsidP="00F32FFC">
            <w:pPr>
              <w:spacing w:before="100" w:beforeAutospacing="1" w:after="100" w:afterAutospacing="1" w:line="240" w:lineRule="auto"/>
              <w:jc w:val="center"/>
              <w:rPr>
                <w:rFonts w:ascii="Arial" w:hAnsi="Arial" w:cs="Arial"/>
                <w:b/>
                <w:bCs/>
                <w:kern w:val="0"/>
                <w14:ligatures w14:val="none"/>
              </w:rPr>
            </w:pPr>
            <w:r w:rsidRPr="00EE4FD9">
              <w:rPr>
                <w:rFonts w:ascii="Arial" w:hAnsi="Arial" w:cs="Arial"/>
                <w:b/>
                <w:bCs/>
                <w:kern w:val="0"/>
                <w14:ligatures w14:val="none"/>
              </w:rPr>
              <w:t>Required Improvement</w:t>
            </w:r>
          </w:p>
        </w:tc>
      </w:tr>
      <w:tr w:rsidR="00F32FFC" w:rsidRPr="00EE4FD9" w14:paraId="3863F92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EA788F"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NHS England – Urgent Dental Care Pathway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1FCD8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Patients with severe dental pain or suspected infection should receive urgent assessment within an appropriate timeframe.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1BB99B"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Leigh Rodgers was unable to obtain a timely NHS dental appointment despite weeks of severe pain.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AC7728"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Expand urgent NHS dental appointments, increase workforce capacity and implement effective triage systems to ensure patients with urgent dental conditions receive timely assessment and treatment.</w:t>
            </w:r>
          </w:p>
        </w:tc>
      </w:tr>
      <w:tr w:rsidR="00F32FFC" w:rsidRPr="00EE4FD9" w14:paraId="4C44989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59E27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NICE Guidelines NG15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11FBC"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Patients with suspected deep neck infection should be assessed rapidly and referred appropriately.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3B2D91"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Hospital referral occurred only after the condition had significantly worsened.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4FC4F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Develop standardised referral pathways and improve communication between primary dental care, NHS 111 and hospital services to enable earlier referral and intervention</w:t>
            </w:r>
            <w:r w:rsidRPr="00EE4FD9">
              <w:rPr>
                <w:rFonts w:ascii="Arial" w:hAnsi="Arial" w:cs="Arial"/>
                <w:b/>
                <w:bCs/>
                <w:kern w:val="0"/>
                <w14:ligatures w14:val="none"/>
              </w:rPr>
              <w:t>.</w:t>
            </w:r>
          </w:p>
        </w:tc>
      </w:tr>
      <w:tr w:rsidR="00F32FFC" w:rsidRPr="00EE4FD9" w14:paraId="069CD07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9EB6A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WHO Global Oral Health Strategy (2023–2030)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D2817C"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Oral disease should be managed early through preventive and accessible primary care to avoid emergency admissions.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BE30E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Failure to access NHS dentistry delayed treatment and increased the risk of severe complications.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6743B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Strengthen preventive dental services, improve access to primary dental care and promote early diagnosis to prevent disease progression and avoid emergency hospital admissions.</w:t>
            </w:r>
          </w:p>
        </w:tc>
      </w:tr>
      <w:tr w:rsidR="00F32FFC" w:rsidRPr="00EE4FD9" w14:paraId="486C47B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F6460A"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Care Quality Commission (CQC)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E9BB2F"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Services should provide timely, responsive and safe care with prompt access based on clinical need.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BED3D6"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Limited NHS dental capacity reduced timely access to appropriate care.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D1A9D0"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Strengthen clinical governance, regularly monitor waiting times through clinical audits and improve service capacity to ensure equitable and timely access to care.</w:t>
            </w:r>
          </w:p>
        </w:tc>
      </w:tr>
      <w:tr w:rsidR="00F32FFC" w:rsidRPr="00EE4FD9" w14:paraId="0FED18A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07DEF7"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b/>
                <w:bCs/>
                <w:kern w:val="0"/>
                <w14:ligatures w14:val="none"/>
              </w:rPr>
              <w:t>British Dental Association (BDA)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019F5E"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NHS dentistry should ensure timely access through adequate workforce capacity and funding.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4BB9BC"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Workforce shortages and funding pressures contributed to delayed treatment.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2119F2" w14:textId="77777777" w:rsidR="00F32FFC" w:rsidRPr="00EE4FD9" w:rsidRDefault="00F32FFC" w:rsidP="00F32FFC">
            <w:pPr>
              <w:spacing w:before="100" w:beforeAutospacing="1" w:after="100" w:afterAutospacing="1" w:line="240" w:lineRule="auto"/>
              <w:rPr>
                <w:rFonts w:ascii="Arial" w:hAnsi="Arial" w:cs="Arial"/>
                <w:kern w:val="0"/>
                <w14:ligatures w14:val="none"/>
              </w:rPr>
            </w:pPr>
            <w:r w:rsidRPr="00EE4FD9">
              <w:rPr>
                <w:rFonts w:ascii="Arial" w:hAnsi="Arial" w:cs="Arial"/>
                <w:kern w:val="0"/>
                <w14:ligatures w14:val="none"/>
              </w:rPr>
              <w:t>Increase investment in NHS dentistry, improve recruitment and retention of dentists, and develop long-term workforce planning to improve service sustainability and patient access.</w:t>
            </w:r>
          </w:p>
        </w:tc>
      </w:tr>
    </w:tbl>
    <w:p w14:paraId="3EC23E68" w14:textId="77777777" w:rsidR="00F32FFC" w:rsidRPr="00EE4FD9" w:rsidRDefault="00F32FFC" w:rsidP="001E5FEC">
      <w:pPr>
        <w:spacing w:before="100" w:beforeAutospacing="1" w:after="100" w:afterAutospacing="1" w:line="240" w:lineRule="auto"/>
        <w:rPr>
          <w:rFonts w:ascii="Arial" w:hAnsi="Arial" w:cs="Arial"/>
          <w:kern w:val="0"/>
          <w:sz w:val="22"/>
          <w:szCs w:val="22"/>
          <w14:ligatures w14:val="none"/>
        </w:rPr>
      </w:pPr>
    </w:p>
    <w:p w14:paraId="5C32F805" w14:textId="5F5B9016" w:rsidR="00D47F56" w:rsidRPr="00EE4FD9" w:rsidRDefault="00475992" w:rsidP="00C57FC4">
      <w:pPr>
        <w:pStyle w:val="Heading1"/>
        <w:rPr>
          <w:rFonts w:ascii="Arial" w:hAnsi="Arial" w:cs="Arial"/>
        </w:rPr>
      </w:pPr>
      <w:bookmarkStart w:id="38" w:name="_Toc236072464"/>
      <w:r w:rsidRPr="00EE4FD9">
        <w:rPr>
          <w:rFonts w:ascii="Arial" w:eastAsia="Times New Roman" w:hAnsi="Arial" w:cs="Arial"/>
        </w:rPr>
        <w:t>5</w:t>
      </w:r>
      <w:r w:rsidR="00D47F56" w:rsidRPr="00EE4FD9">
        <w:rPr>
          <w:rFonts w:ascii="Arial" w:eastAsia="Times New Roman" w:hAnsi="Arial" w:cs="Arial"/>
        </w:rPr>
        <w:t>. Conclusion</w:t>
      </w:r>
      <w:bookmarkEnd w:id="38"/>
    </w:p>
    <w:p w14:paraId="2A61B8C6" w14:textId="77777777" w:rsidR="00D47F56" w:rsidRPr="00EE4FD9" w:rsidRDefault="00D47F56" w:rsidP="00D47F5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The Leigh Rodgers case highlights the significant consequences of failures in quality assurance, clinical governance and access to NHS dental services. Although the immediate cause of death was a severe anaphylactic reaction to contrast media during hospital investigation, the wider analysis demonstrates that delayed access to primary dental care allowed a manageable dental infection to progress into a medical emergency. The application of the Donabedian Model, Fishbone Diagram, Five Whys Analysis, SWOT Analysis and Kurt Lewin’s Change Model identified multiple interconnected failures involving workforce shortages, inadequate governance, fragmented referral pathways and limited service capacity.</w:t>
      </w:r>
    </w:p>
    <w:p w14:paraId="01FA5F6C" w14:textId="77777777" w:rsidR="00D47F56" w:rsidRPr="00EE4FD9" w:rsidRDefault="00D47F56" w:rsidP="00D47F56">
      <w:p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To prevent similar incidents, healthcare organisations must strengthen quality assurance systems, improve access to urgent NHS dental care, enhance multidisciplinary communication and invest in workforce development. Continuous monitoring through clinical governance, digital quality assurance systems and evidence-based quality improvement methods such as the PDSA cycle will support sustainable service improvement. Ultimately, implementing these recommendations will improve patient safety, reduce avoidable harm and restore public confidence in NHS dental services.</w:t>
      </w:r>
    </w:p>
    <w:p w14:paraId="4B08801F" w14:textId="77777777" w:rsidR="001E5FEC" w:rsidRPr="00EE4FD9" w:rsidRDefault="001E5FEC" w:rsidP="00D47F56">
      <w:pPr>
        <w:spacing w:before="100" w:beforeAutospacing="1" w:after="100" w:afterAutospacing="1" w:line="240" w:lineRule="auto"/>
        <w:rPr>
          <w:rFonts w:ascii="Arial" w:hAnsi="Arial" w:cs="Arial"/>
          <w:kern w:val="0"/>
          <w:sz w:val="22"/>
          <w:szCs w:val="22"/>
          <w14:ligatures w14:val="none"/>
        </w:rPr>
      </w:pPr>
    </w:p>
    <w:p w14:paraId="5366DB5E" w14:textId="77777777" w:rsidR="00C57FC4" w:rsidRPr="00EE4FD9" w:rsidRDefault="00C57FC4" w:rsidP="00D47F56">
      <w:pPr>
        <w:spacing w:before="100" w:beforeAutospacing="1" w:after="100" w:afterAutospacing="1" w:line="240" w:lineRule="auto"/>
        <w:rPr>
          <w:rFonts w:ascii="Arial" w:hAnsi="Arial" w:cs="Arial"/>
          <w:kern w:val="0"/>
          <w:sz w:val="22"/>
          <w:szCs w:val="22"/>
          <w14:ligatures w14:val="none"/>
        </w:rPr>
      </w:pPr>
    </w:p>
    <w:p w14:paraId="3A24921A" w14:textId="77777777" w:rsidR="001E5FEC" w:rsidRPr="00EE4FD9" w:rsidRDefault="001E5FEC" w:rsidP="00D47F56">
      <w:pPr>
        <w:spacing w:before="100" w:beforeAutospacing="1" w:after="100" w:afterAutospacing="1" w:line="240" w:lineRule="auto"/>
        <w:rPr>
          <w:rFonts w:ascii="Arial" w:hAnsi="Arial" w:cs="Arial"/>
          <w:kern w:val="0"/>
          <w:sz w:val="22"/>
          <w:szCs w:val="22"/>
          <w14:ligatures w14:val="none"/>
        </w:rPr>
      </w:pPr>
    </w:p>
    <w:p w14:paraId="0278BE47" w14:textId="77777777" w:rsidR="00B8761B" w:rsidRPr="00EE4FD9" w:rsidRDefault="00B8761B" w:rsidP="00C57FC4">
      <w:pPr>
        <w:pStyle w:val="Heading1"/>
        <w:rPr>
          <w:rFonts w:ascii="Arial" w:eastAsia="Times New Roman" w:hAnsi="Arial" w:cs="Arial"/>
        </w:rPr>
      </w:pPr>
      <w:bookmarkStart w:id="39" w:name="_Toc236072465"/>
      <w:r w:rsidRPr="00EE4FD9">
        <w:rPr>
          <w:rFonts w:ascii="Arial" w:eastAsia="Times New Roman" w:hAnsi="Arial" w:cs="Arial"/>
        </w:rPr>
        <w:t>References</w:t>
      </w:r>
      <w:bookmarkEnd w:id="39"/>
    </w:p>
    <w:p w14:paraId="6D286283"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Agency for Healthcare Research and Quality (AHRQ) (2022) </w:t>
      </w:r>
      <w:r w:rsidRPr="00EE4FD9">
        <w:rPr>
          <w:rFonts w:ascii="Arial" w:hAnsi="Arial" w:cs="Arial"/>
          <w:i/>
          <w:iCs/>
          <w:kern w:val="0"/>
          <w:sz w:val="22"/>
          <w:szCs w:val="22"/>
          <w14:ligatures w14:val="none"/>
        </w:rPr>
        <w:t>Understanding Quality Measurement</w:t>
      </w:r>
      <w:r w:rsidRPr="00EE4FD9">
        <w:rPr>
          <w:rFonts w:ascii="Arial" w:hAnsi="Arial" w:cs="Arial"/>
          <w:kern w:val="0"/>
          <w:sz w:val="22"/>
          <w:szCs w:val="22"/>
          <w14:ligatures w14:val="none"/>
        </w:rPr>
        <w:t xml:space="preserve">. Rockville, MD: AHRQ. Available at: </w:t>
      </w:r>
      <w:hyperlink r:id="rId11" w:history="1">
        <w:r w:rsidRPr="00EE4FD9">
          <w:rPr>
            <w:rFonts w:ascii="Arial" w:hAnsi="Arial" w:cs="Arial"/>
            <w:color w:val="0000FF"/>
            <w:kern w:val="0"/>
            <w:sz w:val="22"/>
            <w:szCs w:val="22"/>
            <w:u w:val="single"/>
            <w14:ligatures w14:val="none"/>
          </w:rPr>
          <w:t>https://www.ahrq.gov</w:t>
        </w:r>
      </w:hyperlink>
      <w:r w:rsidRPr="00EE4FD9">
        <w:rPr>
          <w:rFonts w:ascii="Arial" w:hAnsi="Arial" w:cs="Arial"/>
          <w:kern w:val="0"/>
          <w:sz w:val="22"/>
          <w:szCs w:val="22"/>
          <w14:ligatures w14:val="none"/>
        </w:rPr>
        <w:t xml:space="preserve"> (Accessed: 25 July 2026).</w:t>
      </w:r>
    </w:p>
    <w:p w14:paraId="26FBE7F4" w14:textId="77777777" w:rsidR="00481A8C" w:rsidRDefault="00481A8C"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481A8C">
        <w:rPr>
          <w:rFonts w:ascii="Arial" w:hAnsi="Arial" w:cs="Arial"/>
          <w:kern w:val="0"/>
          <w:sz w:val="22"/>
          <w:szCs w:val="22"/>
          <w14:ligatures w14:val="none"/>
        </w:rPr>
        <w:t xml:space="preserve">BBC News (2025) </w:t>
      </w:r>
      <w:r w:rsidRPr="00540EB5">
        <w:rPr>
          <w:rFonts w:ascii="Arial" w:hAnsi="Arial" w:cs="Arial"/>
          <w:i/>
          <w:iCs/>
          <w:kern w:val="0"/>
          <w:sz w:val="22"/>
          <w:szCs w:val="22"/>
          <w14:ligatures w14:val="none"/>
        </w:rPr>
        <w:t>Mum with toothache died after being unable to get dentist appointment.</w:t>
      </w:r>
      <w:r w:rsidRPr="00481A8C">
        <w:rPr>
          <w:rFonts w:ascii="Arial" w:hAnsi="Arial" w:cs="Arial"/>
          <w:kern w:val="0"/>
          <w:sz w:val="22"/>
          <w:szCs w:val="22"/>
          <w14:ligatures w14:val="none"/>
        </w:rPr>
        <w:t xml:space="preserve"> BBC News, 19 March. Available at: BBC News article</w:t>
      </w:r>
      <w:r w:rsidRPr="00481A8C">
        <w:rPr>
          <w:rFonts w:ascii="Segoe UI Symbol" w:hAnsi="Segoe UI Symbol" w:cs="Segoe UI Symbol"/>
          <w:kern w:val="0"/>
          <w:sz w:val="22"/>
          <w:szCs w:val="22"/>
          <w14:ligatures w14:val="none"/>
        </w:rPr>
        <w:t>⁠</w:t>
      </w:r>
      <w:r w:rsidRPr="00481A8C">
        <w:rPr>
          <w:rFonts w:ascii="Arial" w:hAnsi="Arial" w:cs="Arial"/>
          <w:kern w:val="0"/>
          <w:sz w:val="22"/>
          <w:szCs w:val="22"/>
          <w14:ligatures w14:val="none"/>
        </w:rPr>
        <w:t>￼ (Accessed: 28 July 2026).</w:t>
      </w:r>
    </w:p>
    <w:p w14:paraId="415828B0" w14:textId="54C1B9A6"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British Dental Association (2024) </w:t>
      </w:r>
      <w:r w:rsidRPr="00EE4FD9">
        <w:rPr>
          <w:rFonts w:ascii="Arial" w:hAnsi="Arial" w:cs="Arial"/>
          <w:i/>
          <w:iCs/>
          <w:kern w:val="0"/>
          <w:sz w:val="22"/>
          <w:szCs w:val="22"/>
          <w14:ligatures w14:val="none"/>
        </w:rPr>
        <w:t>Dental Crisis – NHS Dentistry</w:t>
      </w:r>
      <w:r w:rsidRPr="00EE4FD9">
        <w:rPr>
          <w:rFonts w:ascii="Arial" w:hAnsi="Arial" w:cs="Arial"/>
          <w:kern w:val="0"/>
          <w:sz w:val="22"/>
          <w:szCs w:val="22"/>
          <w14:ligatures w14:val="none"/>
        </w:rPr>
        <w:t xml:space="preserve">. London: British Dental Association. Available at: </w:t>
      </w:r>
      <w:hyperlink r:id="rId12" w:history="1">
        <w:r w:rsidRPr="00EE4FD9">
          <w:rPr>
            <w:rFonts w:ascii="Arial" w:hAnsi="Arial" w:cs="Arial"/>
            <w:color w:val="0000FF"/>
            <w:kern w:val="0"/>
            <w:sz w:val="22"/>
            <w:szCs w:val="22"/>
            <w:u w:val="single"/>
            <w14:ligatures w14:val="none"/>
          </w:rPr>
          <w:t>https://www.bda.org</w:t>
        </w:r>
      </w:hyperlink>
      <w:r w:rsidRPr="00EE4FD9">
        <w:rPr>
          <w:rFonts w:ascii="Arial" w:hAnsi="Arial" w:cs="Arial"/>
          <w:kern w:val="0"/>
          <w:sz w:val="22"/>
          <w:szCs w:val="22"/>
          <w14:ligatures w14:val="none"/>
        </w:rPr>
        <w:t xml:space="preserve"> (Accessed: 25 July 2026).</w:t>
      </w:r>
    </w:p>
    <w:p w14:paraId="6E1DC452"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Care Quality Commission (2023) </w:t>
      </w:r>
      <w:r w:rsidRPr="00EE4FD9">
        <w:rPr>
          <w:rFonts w:ascii="Arial" w:hAnsi="Arial" w:cs="Arial"/>
          <w:i/>
          <w:iCs/>
          <w:kern w:val="0"/>
          <w:sz w:val="22"/>
          <w:szCs w:val="22"/>
          <w14:ligatures w14:val="none"/>
        </w:rPr>
        <w:t>The State of Health Care and Adult Social Care in England 2022/23</w:t>
      </w:r>
      <w:r w:rsidRPr="00EE4FD9">
        <w:rPr>
          <w:rFonts w:ascii="Arial" w:hAnsi="Arial" w:cs="Arial"/>
          <w:kern w:val="0"/>
          <w:sz w:val="22"/>
          <w:szCs w:val="22"/>
          <w14:ligatures w14:val="none"/>
        </w:rPr>
        <w:t xml:space="preserve">. London: Care Quality Commission. Available at: </w:t>
      </w:r>
      <w:hyperlink r:id="rId13" w:history="1">
        <w:r w:rsidRPr="00EE4FD9">
          <w:rPr>
            <w:rFonts w:ascii="Arial" w:hAnsi="Arial" w:cs="Arial"/>
            <w:color w:val="0000FF"/>
            <w:kern w:val="0"/>
            <w:sz w:val="22"/>
            <w:szCs w:val="22"/>
            <w:u w:val="single"/>
            <w14:ligatures w14:val="none"/>
          </w:rPr>
          <w:t>https://www.cqc.org.uk</w:t>
        </w:r>
      </w:hyperlink>
      <w:r w:rsidRPr="00EE4FD9">
        <w:rPr>
          <w:rFonts w:ascii="Arial" w:hAnsi="Arial" w:cs="Arial"/>
          <w:kern w:val="0"/>
          <w:sz w:val="22"/>
          <w:szCs w:val="22"/>
          <w14:ligatures w14:val="none"/>
        </w:rPr>
        <w:t xml:space="preserve"> (Accessed: 25 July 2026).</w:t>
      </w:r>
    </w:p>
    <w:p w14:paraId="5F14AD67" w14:textId="61E2EC3B" w:rsidR="00B8761B" w:rsidRPr="00481A8C" w:rsidRDefault="00B8761B" w:rsidP="00481A8C">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Donabedian, A. (1988) ‘The quality of care: How can it be assessed?’, </w:t>
      </w:r>
      <w:r w:rsidRPr="00EE4FD9">
        <w:rPr>
          <w:rFonts w:ascii="Arial" w:hAnsi="Arial" w:cs="Arial"/>
          <w:i/>
          <w:iCs/>
          <w:kern w:val="0"/>
          <w:sz w:val="22"/>
          <w:szCs w:val="22"/>
          <w14:ligatures w14:val="none"/>
        </w:rPr>
        <w:t>Journal of the American Medical Association</w:t>
      </w:r>
      <w:r w:rsidRPr="00EE4FD9">
        <w:rPr>
          <w:rFonts w:ascii="Arial" w:hAnsi="Arial" w:cs="Arial"/>
          <w:kern w:val="0"/>
          <w:sz w:val="22"/>
          <w:szCs w:val="22"/>
          <w14:ligatures w14:val="none"/>
        </w:rPr>
        <w:t>, 260(12), pp. 1743–1748.</w:t>
      </w:r>
    </w:p>
    <w:p w14:paraId="374D2362"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Institute for Healthcare Improvement (2022) </w:t>
      </w:r>
      <w:r w:rsidRPr="00EE4FD9">
        <w:rPr>
          <w:rFonts w:ascii="Arial" w:hAnsi="Arial" w:cs="Arial"/>
          <w:i/>
          <w:iCs/>
          <w:kern w:val="0"/>
          <w:sz w:val="22"/>
          <w:szCs w:val="22"/>
          <w14:ligatures w14:val="none"/>
        </w:rPr>
        <w:t>Science of Improvement: Testing Changes</w:t>
      </w:r>
      <w:r w:rsidRPr="00EE4FD9">
        <w:rPr>
          <w:rFonts w:ascii="Arial" w:hAnsi="Arial" w:cs="Arial"/>
          <w:kern w:val="0"/>
          <w:sz w:val="22"/>
          <w:szCs w:val="22"/>
          <w14:ligatures w14:val="none"/>
        </w:rPr>
        <w:t xml:space="preserve">. Boston: IHI. Available at: </w:t>
      </w:r>
      <w:hyperlink r:id="rId14" w:history="1">
        <w:r w:rsidRPr="00EE4FD9">
          <w:rPr>
            <w:rFonts w:ascii="Arial" w:hAnsi="Arial" w:cs="Arial"/>
            <w:color w:val="0000FF"/>
            <w:kern w:val="0"/>
            <w:sz w:val="22"/>
            <w:szCs w:val="22"/>
            <w:u w:val="single"/>
            <w14:ligatures w14:val="none"/>
          </w:rPr>
          <w:t>https://www.ihi.org</w:t>
        </w:r>
      </w:hyperlink>
      <w:r w:rsidRPr="00EE4FD9">
        <w:rPr>
          <w:rFonts w:ascii="Arial" w:hAnsi="Arial" w:cs="Arial"/>
          <w:kern w:val="0"/>
          <w:sz w:val="22"/>
          <w:szCs w:val="22"/>
          <w14:ligatures w14:val="none"/>
        </w:rPr>
        <w:t xml:space="preserve"> (Accessed: 25 July 2026).</w:t>
      </w:r>
    </w:p>
    <w:p w14:paraId="25532DB6"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Institute for Healthcare Improvement (2022) </w:t>
      </w:r>
      <w:r w:rsidRPr="00EE4FD9">
        <w:rPr>
          <w:rFonts w:ascii="Arial" w:hAnsi="Arial" w:cs="Arial"/>
          <w:i/>
          <w:iCs/>
          <w:kern w:val="0"/>
          <w:sz w:val="22"/>
          <w:szCs w:val="22"/>
          <w14:ligatures w14:val="none"/>
        </w:rPr>
        <w:t>Root Cause Analyses and Actions</w:t>
      </w:r>
      <w:r w:rsidRPr="00EE4FD9">
        <w:rPr>
          <w:rFonts w:ascii="Arial" w:hAnsi="Arial" w:cs="Arial"/>
          <w:kern w:val="0"/>
          <w:sz w:val="22"/>
          <w:szCs w:val="22"/>
          <w14:ligatures w14:val="none"/>
        </w:rPr>
        <w:t xml:space="preserve">. Boston: IHI. Available at: </w:t>
      </w:r>
      <w:hyperlink r:id="rId15" w:history="1">
        <w:r w:rsidRPr="00EE4FD9">
          <w:rPr>
            <w:rFonts w:ascii="Arial" w:hAnsi="Arial" w:cs="Arial"/>
            <w:color w:val="0000FF"/>
            <w:kern w:val="0"/>
            <w:sz w:val="22"/>
            <w:szCs w:val="22"/>
            <w:u w:val="single"/>
            <w14:ligatures w14:val="none"/>
          </w:rPr>
          <w:t>https://www.ihi.org</w:t>
        </w:r>
      </w:hyperlink>
      <w:r w:rsidRPr="00EE4FD9">
        <w:rPr>
          <w:rFonts w:ascii="Arial" w:hAnsi="Arial" w:cs="Arial"/>
          <w:kern w:val="0"/>
          <w:sz w:val="22"/>
          <w:szCs w:val="22"/>
          <w14:ligatures w14:val="none"/>
        </w:rPr>
        <w:t xml:space="preserve"> (Accessed: 25 July 2026).</w:t>
      </w:r>
    </w:p>
    <w:p w14:paraId="030D610F"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Lewin, K. (1951) </w:t>
      </w:r>
      <w:r w:rsidRPr="00EE4FD9">
        <w:rPr>
          <w:rFonts w:ascii="Arial" w:hAnsi="Arial" w:cs="Arial"/>
          <w:i/>
          <w:iCs/>
          <w:kern w:val="0"/>
          <w:sz w:val="22"/>
          <w:szCs w:val="22"/>
          <w14:ligatures w14:val="none"/>
        </w:rPr>
        <w:t>Field Theory in Social Science</w:t>
      </w:r>
      <w:r w:rsidRPr="00EE4FD9">
        <w:rPr>
          <w:rFonts w:ascii="Arial" w:hAnsi="Arial" w:cs="Arial"/>
          <w:kern w:val="0"/>
          <w:sz w:val="22"/>
          <w:szCs w:val="22"/>
          <w14:ligatures w14:val="none"/>
        </w:rPr>
        <w:t>. New York: Harper &amp; Row.</w:t>
      </w:r>
    </w:p>
    <w:p w14:paraId="335129EF"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National Institute for Health and Care Excellence (NICE) (2020) </w:t>
      </w:r>
      <w:r w:rsidRPr="00EE4FD9">
        <w:rPr>
          <w:rFonts w:ascii="Arial" w:hAnsi="Arial" w:cs="Arial"/>
          <w:i/>
          <w:iCs/>
          <w:kern w:val="0"/>
          <w:sz w:val="22"/>
          <w:szCs w:val="22"/>
          <w14:ligatures w14:val="none"/>
        </w:rPr>
        <w:t>Antimicrobial Prescribing: Dental Abscess (NG187)</w:t>
      </w:r>
      <w:r w:rsidRPr="00EE4FD9">
        <w:rPr>
          <w:rFonts w:ascii="Arial" w:hAnsi="Arial" w:cs="Arial"/>
          <w:kern w:val="0"/>
          <w:sz w:val="22"/>
          <w:szCs w:val="22"/>
          <w14:ligatures w14:val="none"/>
        </w:rPr>
        <w:t xml:space="preserve">. London: NICE. Available at: </w:t>
      </w:r>
      <w:hyperlink r:id="rId16" w:history="1">
        <w:r w:rsidRPr="00EE4FD9">
          <w:rPr>
            <w:rFonts w:ascii="Arial" w:hAnsi="Arial" w:cs="Arial"/>
            <w:color w:val="0000FF"/>
            <w:kern w:val="0"/>
            <w:sz w:val="22"/>
            <w:szCs w:val="22"/>
            <w:u w:val="single"/>
            <w14:ligatures w14:val="none"/>
          </w:rPr>
          <w:t>https://www.nice.org.uk</w:t>
        </w:r>
      </w:hyperlink>
      <w:r w:rsidRPr="00EE4FD9">
        <w:rPr>
          <w:rFonts w:ascii="Arial" w:hAnsi="Arial" w:cs="Arial"/>
          <w:kern w:val="0"/>
          <w:sz w:val="22"/>
          <w:szCs w:val="22"/>
          <w14:ligatures w14:val="none"/>
        </w:rPr>
        <w:t xml:space="preserve"> (Accessed: 25 July 2026).</w:t>
      </w:r>
    </w:p>
    <w:p w14:paraId="4BC2731E"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lastRenderedPageBreak/>
        <w:t xml:space="preserve">National Institute for Health and Care Excellence (NICE) (2024) </w:t>
      </w:r>
      <w:r w:rsidRPr="00EE4FD9">
        <w:rPr>
          <w:rFonts w:ascii="Arial" w:hAnsi="Arial" w:cs="Arial"/>
          <w:i/>
          <w:iCs/>
          <w:kern w:val="0"/>
          <w:sz w:val="22"/>
          <w:szCs w:val="22"/>
          <w14:ligatures w14:val="none"/>
        </w:rPr>
        <w:t>Clinical Governance and Quality Standards</w:t>
      </w:r>
      <w:r w:rsidRPr="00EE4FD9">
        <w:rPr>
          <w:rFonts w:ascii="Arial" w:hAnsi="Arial" w:cs="Arial"/>
          <w:kern w:val="0"/>
          <w:sz w:val="22"/>
          <w:szCs w:val="22"/>
          <w14:ligatures w14:val="none"/>
        </w:rPr>
        <w:t xml:space="preserve">. London: NICE. Available at: </w:t>
      </w:r>
      <w:hyperlink r:id="rId17" w:history="1">
        <w:r w:rsidRPr="00EE4FD9">
          <w:rPr>
            <w:rFonts w:ascii="Arial" w:hAnsi="Arial" w:cs="Arial"/>
            <w:color w:val="0000FF"/>
            <w:kern w:val="0"/>
            <w:sz w:val="22"/>
            <w:szCs w:val="22"/>
            <w:u w:val="single"/>
            <w14:ligatures w14:val="none"/>
          </w:rPr>
          <w:t>https://www.nice.org.uk</w:t>
        </w:r>
      </w:hyperlink>
      <w:r w:rsidRPr="00EE4FD9">
        <w:rPr>
          <w:rFonts w:ascii="Arial" w:hAnsi="Arial" w:cs="Arial"/>
          <w:kern w:val="0"/>
          <w:sz w:val="22"/>
          <w:szCs w:val="22"/>
          <w14:ligatures w14:val="none"/>
        </w:rPr>
        <w:t xml:space="preserve"> (Accessed: 25 July 2026).</w:t>
      </w:r>
    </w:p>
    <w:p w14:paraId="7DC726B4"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NHS England (2019) </w:t>
      </w:r>
      <w:r w:rsidRPr="00EE4FD9">
        <w:rPr>
          <w:rFonts w:ascii="Arial" w:hAnsi="Arial" w:cs="Arial"/>
          <w:i/>
          <w:iCs/>
          <w:kern w:val="0"/>
          <w:sz w:val="22"/>
          <w:szCs w:val="22"/>
          <w14:ligatures w14:val="none"/>
        </w:rPr>
        <w:t>The NHS Patient Safety Strategy: Safer Culture, Safer Systems, Safer Patients</w:t>
      </w:r>
      <w:r w:rsidRPr="00EE4FD9">
        <w:rPr>
          <w:rFonts w:ascii="Arial" w:hAnsi="Arial" w:cs="Arial"/>
          <w:kern w:val="0"/>
          <w:sz w:val="22"/>
          <w:szCs w:val="22"/>
          <w14:ligatures w14:val="none"/>
        </w:rPr>
        <w:t xml:space="preserve">. London: NHS England. Available at: </w:t>
      </w:r>
      <w:hyperlink r:id="rId18" w:history="1">
        <w:r w:rsidRPr="00EE4FD9">
          <w:rPr>
            <w:rFonts w:ascii="Arial" w:hAnsi="Arial" w:cs="Arial"/>
            <w:color w:val="0000FF"/>
            <w:kern w:val="0"/>
            <w:sz w:val="22"/>
            <w:szCs w:val="22"/>
            <w:u w:val="single"/>
            <w14:ligatures w14:val="none"/>
          </w:rPr>
          <w:t>https://www.england.nhs.uk</w:t>
        </w:r>
      </w:hyperlink>
      <w:r w:rsidRPr="00EE4FD9">
        <w:rPr>
          <w:rFonts w:ascii="Arial" w:hAnsi="Arial" w:cs="Arial"/>
          <w:kern w:val="0"/>
          <w:sz w:val="22"/>
          <w:szCs w:val="22"/>
          <w14:ligatures w14:val="none"/>
        </w:rPr>
        <w:t xml:space="preserve"> (Accessed: 25 July 2026).</w:t>
      </w:r>
    </w:p>
    <w:p w14:paraId="5C24BB4E"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NHS England (2022) </w:t>
      </w:r>
      <w:r w:rsidRPr="00EE4FD9">
        <w:rPr>
          <w:rFonts w:ascii="Arial" w:hAnsi="Arial" w:cs="Arial"/>
          <w:i/>
          <w:iCs/>
          <w:kern w:val="0"/>
          <w:sz w:val="22"/>
          <w:szCs w:val="22"/>
          <w14:ligatures w14:val="none"/>
        </w:rPr>
        <w:t>Quality Improvement Framework</w:t>
      </w:r>
      <w:r w:rsidRPr="00EE4FD9">
        <w:rPr>
          <w:rFonts w:ascii="Arial" w:hAnsi="Arial" w:cs="Arial"/>
          <w:kern w:val="0"/>
          <w:sz w:val="22"/>
          <w:szCs w:val="22"/>
          <w14:ligatures w14:val="none"/>
        </w:rPr>
        <w:t xml:space="preserve">. London: NHS England. Available at: </w:t>
      </w:r>
      <w:hyperlink r:id="rId19" w:history="1">
        <w:r w:rsidRPr="00EE4FD9">
          <w:rPr>
            <w:rFonts w:ascii="Arial" w:hAnsi="Arial" w:cs="Arial"/>
            <w:color w:val="0000FF"/>
            <w:kern w:val="0"/>
            <w:sz w:val="22"/>
            <w:szCs w:val="22"/>
            <w:u w:val="single"/>
            <w14:ligatures w14:val="none"/>
          </w:rPr>
          <w:t>https://www.england.nhs.uk</w:t>
        </w:r>
      </w:hyperlink>
      <w:r w:rsidRPr="00EE4FD9">
        <w:rPr>
          <w:rFonts w:ascii="Arial" w:hAnsi="Arial" w:cs="Arial"/>
          <w:kern w:val="0"/>
          <w:sz w:val="22"/>
          <w:szCs w:val="22"/>
          <w14:ligatures w14:val="none"/>
        </w:rPr>
        <w:t xml:space="preserve"> (Accessed: 25 July 2026).</w:t>
      </w:r>
    </w:p>
    <w:p w14:paraId="0832792E"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NHS England (2023) </w:t>
      </w:r>
      <w:r w:rsidRPr="00EE4FD9">
        <w:rPr>
          <w:rFonts w:ascii="Arial" w:hAnsi="Arial" w:cs="Arial"/>
          <w:i/>
          <w:iCs/>
          <w:kern w:val="0"/>
          <w:sz w:val="22"/>
          <w:szCs w:val="22"/>
          <w14:ligatures w14:val="none"/>
        </w:rPr>
        <w:t>NHS Long Term Workforce Plan</w:t>
      </w:r>
      <w:r w:rsidRPr="00EE4FD9">
        <w:rPr>
          <w:rFonts w:ascii="Arial" w:hAnsi="Arial" w:cs="Arial"/>
          <w:kern w:val="0"/>
          <w:sz w:val="22"/>
          <w:szCs w:val="22"/>
          <w14:ligatures w14:val="none"/>
        </w:rPr>
        <w:t xml:space="preserve">. London: NHS England. Available at: </w:t>
      </w:r>
      <w:hyperlink r:id="rId20" w:history="1">
        <w:r w:rsidRPr="00EE4FD9">
          <w:rPr>
            <w:rFonts w:ascii="Arial" w:hAnsi="Arial" w:cs="Arial"/>
            <w:color w:val="0000FF"/>
            <w:kern w:val="0"/>
            <w:sz w:val="22"/>
            <w:szCs w:val="22"/>
            <w:u w:val="single"/>
            <w14:ligatures w14:val="none"/>
          </w:rPr>
          <w:t>https://www.england.nhs.uk</w:t>
        </w:r>
      </w:hyperlink>
      <w:r w:rsidRPr="00EE4FD9">
        <w:rPr>
          <w:rFonts w:ascii="Arial" w:hAnsi="Arial" w:cs="Arial"/>
          <w:kern w:val="0"/>
          <w:sz w:val="22"/>
          <w:szCs w:val="22"/>
          <w14:ligatures w14:val="none"/>
        </w:rPr>
        <w:t xml:space="preserve"> (Accessed: 25 July 2026).</w:t>
      </w:r>
    </w:p>
    <w:p w14:paraId="135F8506"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Office for Health Improvement and Disparities (2023) </w:t>
      </w:r>
      <w:r w:rsidRPr="00EE4FD9">
        <w:rPr>
          <w:rFonts w:ascii="Arial" w:hAnsi="Arial" w:cs="Arial"/>
          <w:i/>
          <w:iCs/>
          <w:kern w:val="0"/>
          <w:sz w:val="22"/>
          <w:szCs w:val="22"/>
          <w14:ligatures w14:val="none"/>
        </w:rPr>
        <w:t>Improving Oral Health: An Evidence-Based Toolkit for Prevention</w:t>
      </w:r>
      <w:r w:rsidRPr="00EE4FD9">
        <w:rPr>
          <w:rFonts w:ascii="Arial" w:hAnsi="Arial" w:cs="Arial"/>
          <w:kern w:val="0"/>
          <w:sz w:val="22"/>
          <w:szCs w:val="22"/>
          <w14:ligatures w14:val="none"/>
        </w:rPr>
        <w:t xml:space="preserve">. London: OHID. Available at: </w:t>
      </w:r>
      <w:hyperlink r:id="rId21" w:history="1">
        <w:r w:rsidRPr="00EE4FD9">
          <w:rPr>
            <w:rFonts w:ascii="Arial" w:hAnsi="Arial" w:cs="Arial"/>
            <w:color w:val="0000FF"/>
            <w:kern w:val="0"/>
            <w:sz w:val="22"/>
            <w:szCs w:val="22"/>
            <w:u w:val="single"/>
            <w14:ligatures w14:val="none"/>
          </w:rPr>
          <w:t>https://www.gov.uk</w:t>
        </w:r>
      </w:hyperlink>
      <w:r w:rsidRPr="00EE4FD9">
        <w:rPr>
          <w:rFonts w:ascii="Arial" w:hAnsi="Arial" w:cs="Arial"/>
          <w:kern w:val="0"/>
          <w:sz w:val="22"/>
          <w:szCs w:val="22"/>
          <w14:ligatures w14:val="none"/>
        </w:rPr>
        <w:t xml:space="preserve"> (Accessed: 25 July 2026).</w:t>
      </w:r>
    </w:p>
    <w:p w14:paraId="527EEA34"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Reason, J. (2000) ‘Human error: Models and management’, </w:t>
      </w:r>
      <w:r w:rsidRPr="00EE4FD9">
        <w:rPr>
          <w:rFonts w:ascii="Arial" w:hAnsi="Arial" w:cs="Arial"/>
          <w:i/>
          <w:iCs/>
          <w:kern w:val="0"/>
          <w:sz w:val="22"/>
          <w:szCs w:val="22"/>
          <w14:ligatures w14:val="none"/>
        </w:rPr>
        <w:t>BMJ</w:t>
      </w:r>
      <w:r w:rsidRPr="00EE4FD9">
        <w:rPr>
          <w:rFonts w:ascii="Arial" w:hAnsi="Arial" w:cs="Arial"/>
          <w:kern w:val="0"/>
          <w:sz w:val="22"/>
          <w:szCs w:val="22"/>
          <w14:ligatures w14:val="none"/>
        </w:rPr>
        <w:t>, 320(7237), pp. 768–770.</w:t>
      </w:r>
    </w:p>
    <w:p w14:paraId="69EBC17A"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Royal College of Surgeons of England (2021) </w:t>
      </w:r>
      <w:r w:rsidRPr="00EE4FD9">
        <w:rPr>
          <w:rFonts w:ascii="Arial" w:hAnsi="Arial" w:cs="Arial"/>
          <w:i/>
          <w:iCs/>
          <w:kern w:val="0"/>
          <w:sz w:val="22"/>
          <w:szCs w:val="22"/>
          <w14:ligatures w14:val="none"/>
        </w:rPr>
        <w:t>A Review of NHS Dental Services</w:t>
      </w:r>
      <w:r w:rsidRPr="00EE4FD9">
        <w:rPr>
          <w:rFonts w:ascii="Arial" w:hAnsi="Arial" w:cs="Arial"/>
          <w:kern w:val="0"/>
          <w:sz w:val="22"/>
          <w:szCs w:val="22"/>
          <w14:ligatures w14:val="none"/>
        </w:rPr>
        <w:t xml:space="preserve">. London: RCS England. Available at: </w:t>
      </w:r>
      <w:hyperlink r:id="rId22" w:history="1">
        <w:r w:rsidRPr="00EE4FD9">
          <w:rPr>
            <w:rFonts w:ascii="Arial" w:hAnsi="Arial" w:cs="Arial"/>
            <w:color w:val="0000FF"/>
            <w:kern w:val="0"/>
            <w:sz w:val="22"/>
            <w:szCs w:val="22"/>
            <w:u w:val="single"/>
            <w14:ligatures w14:val="none"/>
          </w:rPr>
          <w:t>https://www.rcseng.ac.uk</w:t>
        </w:r>
      </w:hyperlink>
      <w:r w:rsidRPr="00EE4FD9">
        <w:rPr>
          <w:rFonts w:ascii="Arial" w:hAnsi="Arial" w:cs="Arial"/>
          <w:kern w:val="0"/>
          <w:sz w:val="22"/>
          <w:szCs w:val="22"/>
          <w14:ligatures w14:val="none"/>
        </w:rPr>
        <w:t xml:space="preserve"> (Accessed: 25 July 2026).</w:t>
      </w:r>
    </w:p>
    <w:p w14:paraId="146A5770"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The Health Foundation (2021) </w:t>
      </w:r>
      <w:r w:rsidRPr="00EE4FD9">
        <w:rPr>
          <w:rFonts w:ascii="Arial" w:hAnsi="Arial" w:cs="Arial"/>
          <w:i/>
          <w:iCs/>
          <w:kern w:val="0"/>
          <w:sz w:val="22"/>
          <w:szCs w:val="22"/>
          <w14:ligatures w14:val="none"/>
        </w:rPr>
        <w:t>Quality Improvement Made Simple</w:t>
      </w:r>
      <w:r w:rsidRPr="00EE4FD9">
        <w:rPr>
          <w:rFonts w:ascii="Arial" w:hAnsi="Arial" w:cs="Arial"/>
          <w:kern w:val="0"/>
          <w:sz w:val="22"/>
          <w:szCs w:val="22"/>
          <w14:ligatures w14:val="none"/>
        </w:rPr>
        <w:t xml:space="preserve">. London: The Health Foundation. Available at: </w:t>
      </w:r>
      <w:hyperlink r:id="rId23" w:history="1">
        <w:r w:rsidRPr="00EE4FD9">
          <w:rPr>
            <w:rFonts w:ascii="Arial" w:hAnsi="Arial" w:cs="Arial"/>
            <w:color w:val="0000FF"/>
            <w:kern w:val="0"/>
            <w:sz w:val="22"/>
            <w:szCs w:val="22"/>
            <w:u w:val="single"/>
            <w14:ligatures w14:val="none"/>
          </w:rPr>
          <w:t>https://www.health.org.uk</w:t>
        </w:r>
      </w:hyperlink>
      <w:r w:rsidRPr="00EE4FD9">
        <w:rPr>
          <w:rFonts w:ascii="Arial" w:hAnsi="Arial" w:cs="Arial"/>
          <w:kern w:val="0"/>
          <w:sz w:val="22"/>
          <w:szCs w:val="22"/>
          <w14:ligatures w14:val="none"/>
        </w:rPr>
        <w:t xml:space="preserve"> (Accessed: 25 July 2026).</w:t>
      </w:r>
    </w:p>
    <w:p w14:paraId="4EA92FAA"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World Health Organization (2021) </w:t>
      </w:r>
      <w:r w:rsidRPr="00EE4FD9">
        <w:rPr>
          <w:rFonts w:ascii="Arial" w:hAnsi="Arial" w:cs="Arial"/>
          <w:i/>
          <w:iCs/>
          <w:kern w:val="0"/>
          <w:sz w:val="22"/>
          <w:szCs w:val="22"/>
          <w14:ligatures w14:val="none"/>
        </w:rPr>
        <w:t>Quality Health Services: A Planning Guide</w:t>
      </w:r>
      <w:r w:rsidRPr="00EE4FD9">
        <w:rPr>
          <w:rFonts w:ascii="Arial" w:hAnsi="Arial" w:cs="Arial"/>
          <w:kern w:val="0"/>
          <w:sz w:val="22"/>
          <w:szCs w:val="22"/>
          <w14:ligatures w14:val="none"/>
        </w:rPr>
        <w:t xml:space="preserve">. Geneva: World Health Organization. Available at: </w:t>
      </w:r>
      <w:hyperlink r:id="rId24" w:history="1">
        <w:r w:rsidRPr="00EE4FD9">
          <w:rPr>
            <w:rFonts w:ascii="Arial" w:hAnsi="Arial" w:cs="Arial"/>
            <w:color w:val="0000FF"/>
            <w:kern w:val="0"/>
            <w:sz w:val="22"/>
            <w:szCs w:val="22"/>
            <w:u w:val="single"/>
            <w14:ligatures w14:val="none"/>
          </w:rPr>
          <w:t>https://www.who.int</w:t>
        </w:r>
      </w:hyperlink>
      <w:r w:rsidRPr="00EE4FD9">
        <w:rPr>
          <w:rFonts w:ascii="Arial" w:hAnsi="Arial" w:cs="Arial"/>
          <w:kern w:val="0"/>
          <w:sz w:val="22"/>
          <w:szCs w:val="22"/>
          <w14:ligatures w14:val="none"/>
        </w:rPr>
        <w:t xml:space="preserve"> (Accessed: 25 July 2026).</w:t>
      </w:r>
    </w:p>
    <w:p w14:paraId="4B966DA4" w14:textId="77777777" w:rsidR="00B8761B" w:rsidRPr="00EE4FD9" w:rsidRDefault="00B8761B" w:rsidP="0098214E">
      <w:pPr>
        <w:pStyle w:val="ListParagraph"/>
        <w:numPr>
          <w:ilvl w:val="0"/>
          <w:numId w:val="1"/>
        </w:numPr>
        <w:spacing w:before="100" w:beforeAutospacing="1" w:after="100" w:afterAutospacing="1" w:line="240" w:lineRule="auto"/>
        <w:rPr>
          <w:rFonts w:ascii="Arial" w:hAnsi="Arial" w:cs="Arial"/>
          <w:kern w:val="0"/>
          <w:sz w:val="22"/>
          <w:szCs w:val="22"/>
          <w14:ligatures w14:val="none"/>
        </w:rPr>
      </w:pPr>
      <w:r w:rsidRPr="00EE4FD9">
        <w:rPr>
          <w:rFonts w:ascii="Arial" w:hAnsi="Arial" w:cs="Arial"/>
          <w:kern w:val="0"/>
          <w:sz w:val="22"/>
          <w:szCs w:val="22"/>
          <w14:ligatures w14:val="none"/>
        </w:rPr>
        <w:t xml:space="preserve">World Health Organization (2023) </w:t>
      </w:r>
      <w:r w:rsidRPr="00EE4FD9">
        <w:rPr>
          <w:rFonts w:ascii="Arial" w:hAnsi="Arial" w:cs="Arial"/>
          <w:i/>
          <w:iCs/>
          <w:kern w:val="0"/>
          <w:sz w:val="22"/>
          <w:szCs w:val="22"/>
          <w14:ligatures w14:val="none"/>
        </w:rPr>
        <w:t>Global Oral Health Status Report</w:t>
      </w:r>
      <w:r w:rsidRPr="00EE4FD9">
        <w:rPr>
          <w:rFonts w:ascii="Arial" w:hAnsi="Arial" w:cs="Arial"/>
          <w:kern w:val="0"/>
          <w:sz w:val="22"/>
          <w:szCs w:val="22"/>
          <w14:ligatures w14:val="none"/>
        </w:rPr>
        <w:t xml:space="preserve">. Geneva: World Health Organization. Available at: </w:t>
      </w:r>
      <w:hyperlink r:id="rId25" w:history="1">
        <w:r w:rsidRPr="00EE4FD9">
          <w:rPr>
            <w:rFonts w:ascii="Arial" w:hAnsi="Arial" w:cs="Arial"/>
            <w:color w:val="0000FF"/>
            <w:kern w:val="0"/>
            <w:sz w:val="22"/>
            <w:szCs w:val="22"/>
            <w:u w:val="single"/>
            <w14:ligatures w14:val="none"/>
          </w:rPr>
          <w:t>https://www.who.int</w:t>
        </w:r>
      </w:hyperlink>
      <w:r w:rsidRPr="00EE4FD9">
        <w:rPr>
          <w:rFonts w:ascii="Arial" w:hAnsi="Arial" w:cs="Arial"/>
          <w:kern w:val="0"/>
          <w:sz w:val="22"/>
          <w:szCs w:val="22"/>
          <w14:ligatures w14:val="none"/>
        </w:rPr>
        <w:t xml:space="preserve"> (Accessed: 25 July 2026).</w:t>
      </w:r>
    </w:p>
    <w:p w14:paraId="00C0D082" w14:textId="77777777" w:rsidR="00772647" w:rsidRPr="00EE4FD9" w:rsidRDefault="00772647">
      <w:pPr>
        <w:rPr>
          <w:rFonts w:ascii="Arial" w:hAnsi="Arial" w:cs="Arial"/>
          <w:sz w:val="22"/>
          <w:szCs w:val="22"/>
        </w:rPr>
      </w:pPr>
    </w:p>
    <w:sectPr w:rsidR="00772647" w:rsidRPr="00EE4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AF1126"/>
    <w:multiLevelType w:val="hybridMultilevel"/>
    <w:tmpl w:val="0A70B5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02201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647"/>
    <w:rsid w:val="00007324"/>
    <w:rsid w:val="00030B76"/>
    <w:rsid w:val="00051091"/>
    <w:rsid w:val="00066E57"/>
    <w:rsid w:val="00085145"/>
    <w:rsid w:val="000913B3"/>
    <w:rsid w:val="000E37A0"/>
    <w:rsid w:val="0014762A"/>
    <w:rsid w:val="00167A71"/>
    <w:rsid w:val="00181E02"/>
    <w:rsid w:val="001A670A"/>
    <w:rsid w:val="001E5FEC"/>
    <w:rsid w:val="001F2110"/>
    <w:rsid w:val="001F4A06"/>
    <w:rsid w:val="0024386F"/>
    <w:rsid w:val="00245046"/>
    <w:rsid w:val="002808CF"/>
    <w:rsid w:val="002A62B3"/>
    <w:rsid w:val="002E3FA4"/>
    <w:rsid w:val="00313453"/>
    <w:rsid w:val="003667B8"/>
    <w:rsid w:val="00382A6A"/>
    <w:rsid w:val="00391E0D"/>
    <w:rsid w:val="00396CBA"/>
    <w:rsid w:val="003D277A"/>
    <w:rsid w:val="00460317"/>
    <w:rsid w:val="0046196A"/>
    <w:rsid w:val="00475992"/>
    <w:rsid w:val="00481A8C"/>
    <w:rsid w:val="00483684"/>
    <w:rsid w:val="004A04B4"/>
    <w:rsid w:val="004D3E80"/>
    <w:rsid w:val="00514074"/>
    <w:rsid w:val="00540EB5"/>
    <w:rsid w:val="005801AD"/>
    <w:rsid w:val="005A02F5"/>
    <w:rsid w:val="005F0BF1"/>
    <w:rsid w:val="00641EF0"/>
    <w:rsid w:val="00653D18"/>
    <w:rsid w:val="00655871"/>
    <w:rsid w:val="006B3440"/>
    <w:rsid w:val="006C1762"/>
    <w:rsid w:val="006D6C3A"/>
    <w:rsid w:val="006F0B29"/>
    <w:rsid w:val="007038C9"/>
    <w:rsid w:val="00711745"/>
    <w:rsid w:val="00732786"/>
    <w:rsid w:val="007616E1"/>
    <w:rsid w:val="00772647"/>
    <w:rsid w:val="00772ECF"/>
    <w:rsid w:val="007A7EAD"/>
    <w:rsid w:val="007C1DEE"/>
    <w:rsid w:val="007C3D84"/>
    <w:rsid w:val="007E5824"/>
    <w:rsid w:val="007F4F6F"/>
    <w:rsid w:val="00843FE4"/>
    <w:rsid w:val="00854D44"/>
    <w:rsid w:val="00872155"/>
    <w:rsid w:val="00885670"/>
    <w:rsid w:val="008B5B83"/>
    <w:rsid w:val="009218E1"/>
    <w:rsid w:val="00966917"/>
    <w:rsid w:val="0098214E"/>
    <w:rsid w:val="00A7498A"/>
    <w:rsid w:val="00B151C2"/>
    <w:rsid w:val="00B30726"/>
    <w:rsid w:val="00B438F6"/>
    <w:rsid w:val="00B64241"/>
    <w:rsid w:val="00B70351"/>
    <w:rsid w:val="00B8761B"/>
    <w:rsid w:val="00C23468"/>
    <w:rsid w:val="00C57FC4"/>
    <w:rsid w:val="00C9021E"/>
    <w:rsid w:val="00C91035"/>
    <w:rsid w:val="00C9762F"/>
    <w:rsid w:val="00CB2CCC"/>
    <w:rsid w:val="00CB62D1"/>
    <w:rsid w:val="00D26F12"/>
    <w:rsid w:val="00D47F56"/>
    <w:rsid w:val="00D76469"/>
    <w:rsid w:val="00D90E28"/>
    <w:rsid w:val="00DA5532"/>
    <w:rsid w:val="00DC0AD6"/>
    <w:rsid w:val="00DE2E18"/>
    <w:rsid w:val="00E54F6A"/>
    <w:rsid w:val="00E9765F"/>
    <w:rsid w:val="00EA5927"/>
    <w:rsid w:val="00ED7779"/>
    <w:rsid w:val="00EE4FD9"/>
    <w:rsid w:val="00F01BE8"/>
    <w:rsid w:val="00F05CF5"/>
    <w:rsid w:val="00F32FFC"/>
    <w:rsid w:val="00F67DFE"/>
    <w:rsid w:val="00F91FC9"/>
    <w:rsid w:val="00FA58C8"/>
    <w:rsid w:val="00FF60BB"/>
    <w:rsid w:val="00FF7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DBABC"/>
  <w15:chartTrackingRefBased/>
  <w15:docId w15:val="{A20D4F49-D2B6-416E-A82A-E06EA2B5C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2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2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647"/>
    <w:rPr>
      <w:rFonts w:eastAsiaTheme="majorEastAsia" w:cstheme="majorBidi"/>
      <w:color w:val="272727" w:themeColor="text1" w:themeTint="D8"/>
    </w:rPr>
  </w:style>
  <w:style w:type="paragraph" w:styleId="Title">
    <w:name w:val="Title"/>
    <w:basedOn w:val="Normal"/>
    <w:next w:val="Normal"/>
    <w:link w:val="TitleChar"/>
    <w:uiPriority w:val="10"/>
    <w:qFormat/>
    <w:rsid w:val="00772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647"/>
    <w:pPr>
      <w:spacing w:before="160"/>
      <w:jc w:val="center"/>
    </w:pPr>
    <w:rPr>
      <w:i/>
      <w:iCs/>
      <w:color w:val="404040" w:themeColor="text1" w:themeTint="BF"/>
    </w:rPr>
  </w:style>
  <w:style w:type="character" w:customStyle="1" w:styleId="QuoteChar">
    <w:name w:val="Quote Char"/>
    <w:basedOn w:val="DefaultParagraphFont"/>
    <w:link w:val="Quote"/>
    <w:uiPriority w:val="29"/>
    <w:rsid w:val="00772647"/>
    <w:rPr>
      <w:i/>
      <w:iCs/>
      <w:color w:val="404040" w:themeColor="text1" w:themeTint="BF"/>
    </w:rPr>
  </w:style>
  <w:style w:type="paragraph" w:styleId="ListParagraph">
    <w:name w:val="List Paragraph"/>
    <w:basedOn w:val="Normal"/>
    <w:uiPriority w:val="34"/>
    <w:qFormat/>
    <w:rsid w:val="00772647"/>
    <w:pPr>
      <w:ind w:left="720"/>
      <w:contextualSpacing/>
    </w:pPr>
  </w:style>
  <w:style w:type="character" w:styleId="IntenseEmphasis">
    <w:name w:val="Intense Emphasis"/>
    <w:basedOn w:val="DefaultParagraphFont"/>
    <w:uiPriority w:val="21"/>
    <w:qFormat/>
    <w:rsid w:val="00772647"/>
    <w:rPr>
      <w:i/>
      <w:iCs/>
      <w:color w:val="0F4761" w:themeColor="accent1" w:themeShade="BF"/>
    </w:rPr>
  </w:style>
  <w:style w:type="paragraph" w:styleId="IntenseQuote">
    <w:name w:val="Intense Quote"/>
    <w:basedOn w:val="Normal"/>
    <w:next w:val="Normal"/>
    <w:link w:val="IntenseQuoteChar"/>
    <w:uiPriority w:val="30"/>
    <w:qFormat/>
    <w:rsid w:val="00772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647"/>
    <w:rPr>
      <w:i/>
      <w:iCs/>
      <w:color w:val="0F4761" w:themeColor="accent1" w:themeShade="BF"/>
    </w:rPr>
  </w:style>
  <w:style w:type="character" w:styleId="IntenseReference">
    <w:name w:val="Intense Reference"/>
    <w:basedOn w:val="DefaultParagraphFont"/>
    <w:uiPriority w:val="32"/>
    <w:qFormat/>
    <w:rsid w:val="00772647"/>
    <w:rPr>
      <w:b/>
      <w:bCs/>
      <w:smallCaps/>
      <w:color w:val="0F4761" w:themeColor="accent1" w:themeShade="BF"/>
      <w:spacing w:val="5"/>
    </w:rPr>
  </w:style>
  <w:style w:type="character" w:customStyle="1" w:styleId="s1">
    <w:name w:val="s1"/>
    <w:basedOn w:val="DefaultParagraphFont"/>
    <w:rsid w:val="00772647"/>
  </w:style>
  <w:style w:type="paragraph" w:customStyle="1" w:styleId="p2">
    <w:name w:val="p2"/>
    <w:basedOn w:val="Normal"/>
    <w:rsid w:val="00772647"/>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77264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53D18"/>
  </w:style>
  <w:style w:type="paragraph" w:customStyle="1" w:styleId="p1">
    <w:name w:val="p1"/>
    <w:basedOn w:val="Normal"/>
    <w:rsid w:val="005F0BF1"/>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1A670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B8761B"/>
    <w:rPr>
      <w:color w:val="0000FF"/>
      <w:u w:val="single"/>
    </w:rPr>
  </w:style>
  <w:style w:type="paragraph" w:styleId="TOCHeading">
    <w:name w:val="TOC Heading"/>
    <w:basedOn w:val="Heading1"/>
    <w:next w:val="Normal"/>
    <w:uiPriority w:val="39"/>
    <w:unhideWhenUsed/>
    <w:qFormat/>
    <w:rsid w:val="00854D4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54D44"/>
    <w:pPr>
      <w:spacing w:after="100"/>
    </w:pPr>
  </w:style>
  <w:style w:type="paragraph" w:styleId="TOC2">
    <w:name w:val="toc 2"/>
    <w:basedOn w:val="Normal"/>
    <w:next w:val="Normal"/>
    <w:autoRedefine/>
    <w:uiPriority w:val="39"/>
    <w:unhideWhenUsed/>
    <w:rsid w:val="00854D44"/>
    <w:pPr>
      <w:spacing w:after="100"/>
      <w:ind w:left="240"/>
    </w:pPr>
  </w:style>
  <w:style w:type="paragraph" w:styleId="TOC3">
    <w:name w:val="toc 3"/>
    <w:basedOn w:val="Normal"/>
    <w:next w:val="Normal"/>
    <w:autoRedefine/>
    <w:uiPriority w:val="39"/>
    <w:unhideWhenUsed/>
    <w:rsid w:val="00854D4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qc.org.uk" TargetMode="External"/><Relationship Id="rId18" Type="http://schemas.openxmlformats.org/officeDocument/2006/relationships/hyperlink" Target="https://www.england.nhs.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uk" TargetMode="External"/><Relationship Id="rId7" Type="http://schemas.openxmlformats.org/officeDocument/2006/relationships/image" Target="media/image2.png"/><Relationship Id="rId12" Type="http://schemas.openxmlformats.org/officeDocument/2006/relationships/hyperlink" Target="https://www.bda.org" TargetMode="External"/><Relationship Id="rId17" Type="http://schemas.openxmlformats.org/officeDocument/2006/relationships/hyperlink" Target="https://www.nice.org.uk" TargetMode="External"/><Relationship Id="rId25"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hrq.gov" TargetMode="External"/><Relationship Id="rId24"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www.ihi.org" TargetMode="External"/><Relationship Id="rId23" Type="http://schemas.openxmlformats.org/officeDocument/2006/relationships/hyperlink" Target="https://www.health.org.uk" TargetMode="External"/><Relationship Id="rId10" Type="http://schemas.openxmlformats.org/officeDocument/2006/relationships/image" Target="media/image5.png"/><Relationship Id="rId19"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ihi.org" TargetMode="External"/><Relationship Id="rId22" Type="http://schemas.openxmlformats.org/officeDocument/2006/relationships/hyperlink" Target="https://www.rcseng.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F4482-703F-4CAB-A4DA-B6708B07E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15</Pages>
  <Words>4389</Words>
  <Characters>25023</Characters>
  <Application>Microsoft Office Word</Application>
  <DocSecurity>0</DocSecurity>
  <Lines>208</Lines>
  <Paragraphs>58</Paragraphs>
  <ScaleCrop>false</ScaleCrop>
  <Company/>
  <LinksUpToDate>false</LinksUpToDate>
  <CharactersWithSpaces>29354</CharactersWithSpaces>
  <SharedDoc>false</SharedDoc>
  <HLinks>
    <vt:vector size="234" baseType="variant">
      <vt:variant>
        <vt:i4>5177413</vt:i4>
      </vt:variant>
      <vt:variant>
        <vt:i4>186</vt:i4>
      </vt:variant>
      <vt:variant>
        <vt:i4>0</vt:i4>
      </vt:variant>
      <vt:variant>
        <vt:i4>5</vt:i4>
      </vt:variant>
      <vt:variant>
        <vt:lpwstr>https://www.who.int/</vt:lpwstr>
      </vt:variant>
      <vt:variant>
        <vt:lpwstr/>
      </vt:variant>
      <vt:variant>
        <vt:i4>5177413</vt:i4>
      </vt:variant>
      <vt:variant>
        <vt:i4>183</vt:i4>
      </vt:variant>
      <vt:variant>
        <vt:i4>0</vt:i4>
      </vt:variant>
      <vt:variant>
        <vt:i4>5</vt:i4>
      </vt:variant>
      <vt:variant>
        <vt:lpwstr>https://www.who.int/</vt:lpwstr>
      </vt:variant>
      <vt:variant>
        <vt:lpwstr/>
      </vt:variant>
      <vt:variant>
        <vt:i4>8060964</vt:i4>
      </vt:variant>
      <vt:variant>
        <vt:i4>180</vt:i4>
      </vt:variant>
      <vt:variant>
        <vt:i4>0</vt:i4>
      </vt:variant>
      <vt:variant>
        <vt:i4>5</vt:i4>
      </vt:variant>
      <vt:variant>
        <vt:lpwstr>https://www.health.org.uk/</vt:lpwstr>
      </vt:variant>
      <vt:variant>
        <vt:lpwstr/>
      </vt:variant>
      <vt:variant>
        <vt:i4>851991</vt:i4>
      </vt:variant>
      <vt:variant>
        <vt:i4>177</vt:i4>
      </vt:variant>
      <vt:variant>
        <vt:i4>0</vt:i4>
      </vt:variant>
      <vt:variant>
        <vt:i4>5</vt:i4>
      </vt:variant>
      <vt:variant>
        <vt:lpwstr>https://www.rcseng.ac.uk/</vt:lpwstr>
      </vt:variant>
      <vt:variant>
        <vt:lpwstr/>
      </vt:variant>
      <vt:variant>
        <vt:i4>6422564</vt:i4>
      </vt:variant>
      <vt:variant>
        <vt:i4>174</vt:i4>
      </vt:variant>
      <vt:variant>
        <vt:i4>0</vt:i4>
      </vt:variant>
      <vt:variant>
        <vt:i4>5</vt:i4>
      </vt:variant>
      <vt:variant>
        <vt:lpwstr>https://www.gov.uk/</vt:lpwstr>
      </vt:variant>
      <vt:variant>
        <vt:lpwstr/>
      </vt:variant>
      <vt:variant>
        <vt:i4>2555951</vt:i4>
      </vt:variant>
      <vt:variant>
        <vt:i4>171</vt:i4>
      </vt:variant>
      <vt:variant>
        <vt:i4>0</vt:i4>
      </vt:variant>
      <vt:variant>
        <vt:i4>5</vt:i4>
      </vt:variant>
      <vt:variant>
        <vt:lpwstr>https://www.england.nhs.uk/</vt:lpwstr>
      </vt:variant>
      <vt:variant>
        <vt:lpwstr/>
      </vt:variant>
      <vt:variant>
        <vt:i4>2555951</vt:i4>
      </vt:variant>
      <vt:variant>
        <vt:i4>168</vt:i4>
      </vt:variant>
      <vt:variant>
        <vt:i4>0</vt:i4>
      </vt:variant>
      <vt:variant>
        <vt:i4>5</vt:i4>
      </vt:variant>
      <vt:variant>
        <vt:lpwstr>https://www.england.nhs.uk/</vt:lpwstr>
      </vt:variant>
      <vt:variant>
        <vt:lpwstr/>
      </vt:variant>
      <vt:variant>
        <vt:i4>2555951</vt:i4>
      </vt:variant>
      <vt:variant>
        <vt:i4>165</vt:i4>
      </vt:variant>
      <vt:variant>
        <vt:i4>0</vt:i4>
      </vt:variant>
      <vt:variant>
        <vt:i4>5</vt:i4>
      </vt:variant>
      <vt:variant>
        <vt:lpwstr>https://www.england.nhs.uk/</vt:lpwstr>
      </vt:variant>
      <vt:variant>
        <vt:lpwstr/>
      </vt:variant>
      <vt:variant>
        <vt:i4>1441876</vt:i4>
      </vt:variant>
      <vt:variant>
        <vt:i4>162</vt:i4>
      </vt:variant>
      <vt:variant>
        <vt:i4>0</vt:i4>
      </vt:variant>
      <vt:variant>
        <vt:i4>5</vt:i4>
      </vt:variant>
      <vt:variant>
        <vt:lpwstr>https://www.nice.org.uk/</vt:lpwstr>
      </vt:variant>
      <vt:variant>
        <vt:lpwstr/>
      </vt:variant>
      <vt:variant>
        <vt:i4>1441876</vt:i4>
      </vt:variant>
      <vt:variant>
        <vt:i4>159</vt:i4>
      </vt:variant>
      <vt:variant>
        <vt:i4>0</vt:i4>
      </vt:variant>
      <vt:variant>
        <vt:i4>5</vt:i4>
      </vt:variant>
      <vt:variant>
        <vt:lpwstr>https://www.nice.org.uk/</vt:lpwstr>
      </vt:variant>
      <vt:variant>
        <vt:lpwstr/>
      </vt:variant>
      <vt:variant>
        <vt:i4>5439560</vt:i4>
      </vt:variant>
      <vt:variant>
        <vt:i4>156</vt:i4>
      </vt:variant>
      <vt:variant>
        <vt:i4>0</vt:i4>
      </vt:variant>
      <vt:variant>
        <vt:i4>5</vt:i4>
      </vt:variant>
      <vt:variant>
        <vt:lpwstr>https://www.ihi.org/</vt:lpwstr>
      </vt:variant>
      <vt:variant>
        <vt:lpwstr/>
      </vt:variant>
      <vt:variant>
        <vt:i4>5439560</vt:i4>
      </vt:variant>
      <vt:variant>
        <vt:i4>153</vt:i4>
      </vt:variant>
      <vt:variant>
        <vt:i4>0</vt:i4>
      </vt:variant>
      <vt:variant>
        <vt:i4>5</vt:i4>
      </vt:variant>
      <vt:variant>
        <vt:lpwstr>https://www.ihi.org/</vt:lpwstr>
      </vt:variant>
      <vt:variant>
        <vt:lpwstr/>
      </vt:variant>
      <vt:variant>
        <vt:i4>3014693</vt:i4>
      </vt:variant>
      <vt:variant>
        <vt:i4>150</vt:i4>
      </vt:variant>
      <vt:variant>
        <vt:i4>0</vt:i4>
      </vt:variant>
      <vt:variant>
        <vt:i4>5</vt:i4>
      </vt:variant>
      <vt:variant>
        <vt:lpwstr>https://www.hee.nhs.uk/</vt:lpwstr>
      </vt:variant>
      <vt:variant>
        <vt:lpwstr/>
      </vt:variant>
      <vt:variant>
        <vt:i4>2097213</vt:i4>
      </vt:variant>
      <vt:variant>
        <vt:i4>147</vt:i4>
      </vt:variant>
      <vt:variant>
        <vt:i4>0</vt:i4>
      </vt:variant>
      <vt:variant>
        <vt:i4>5</vt:i4>
      </vt:variant>
      <vt:variant>
        <vt:lpwstr>https://www.cqc.org.uk/</vt:lpwstr>
      </vt:variant>
      <vt:variant>
        <vt:lpwstr/>
      </vt:variant>
      <vt:variant>
        <vt:i4>6225995</vt:i4>
      </vt:variant>
      <vt:variant>
        <vt:i4>144</vt:i4>
      </vt:variant>
      <vt:variant>
        <vt:i4>0</vt:i4>
      </vt:variant>
      <vt:variant>
        <vt:i4>5</vt:i4>
      </vt:variant>
      <vt:variant>
        <vt:lpwstr>https://www.bda.org/</vt:lpwstr>
      </vt:variant>
      <vt:variant>
        <vt:lpwstr/>
      </vt:variant>
      <vt:variant>
        <vt:i4>4194322</vt:i4>
      </vt:variant>
      <vt:variant>
        <vt:i4>141</vt:i4>
      </vt:variant>
      <vt:variant>
        <vt:i4>0</vt:i4>
      </vt:variant>
      <vt:variant>
        <vt:i4>5</vt:i4>
      </vt:variant>
      <vt:variant>
        <vt:lpwstr>https://www.ahrq.gov/</vt:lpwstr>
      </vt:variant>
      <vt:variant>
        <vt:lpwstr/>
      </vt:variant>
      <vt:variant>
        <vt:i4>1048631</vt:i4>
      </vt:variant>
      <vt:variant>
        <vt:i4>134</vt:i4>
      </vt:variant>
      <vt:variant>
        <vt:i4>0</vt:i4>
      </vt:variant>
      <vt:variant>
        <vt:i4>5</vt:i4>
      </vt:variant>
      <vt:variant>
        <vt:lpwstr/>
      </vt:variant>
      <vt:variant>
        <vt:lpwstr>_Toc236072465</vt:lpwstr>
      </vt:variant>
      <vt:variant>
        <vt:i4>1048631</vt:i4>
      </vt:variant>
      <vt:variant>
        <vt:i4>128</vt:i4>
      </vt:variant>
      <vt:variant>
        <vt:i4>0</vt:i4>
      </vt:variant>
      <vt:variant>
        <vt:i4>5</vt:i4>
      </vt:variant>
      <vt:variant>
        <vt:lpwstr/>
      </vt:variant>
      <vt:variant>
        <vt:lpwstr>_Toc236072464</vt:lpwstr>
      </vt:variant>
      <vt:variant>
        <vt:i4>1048631</vt:i4>
      </vt:variant>
      <vt:variant>
        <vt:i4>122</vt:i4>
      </vt:variant>
      <vt:variant>
        <vt:i4>0</vt:i4>
      </vt:variant>
      <vt:variant>
        <vt:i4>5</vt:i4>
      </vt:variant>
      <vt:variant>
        <vt:lpwstr/>
      </vt:variant>
      <vt:variant>
        <vt:lpwstr>_Toc236072463</vt:lpwstr>
      </vt:variant>
      <vt:variant>
        <vt:i4>1048631</vt:i4>
      </vt:variant>
      <vt:variant>
        <vt:i4>116</vt:i4>
      </vt:variant>
      <vt:variant>
        <vt:i4>0</vt:i4>
      </vt:variant>
      <vt:variant>
        <vt:i4>5</vt:i4>
      </vt:variant>
      <vt:variant>
        <vt:lpwstr/>
      </vt:variant>
      <vt:variant>
        <vt:lpwstr>_Toc236072462</vt:lpwstr>
      </vt:variant>
      <vt:variant>
        <vt:i4>1048631</vt:i4>
      </vt:variant>
      <vt:variant>
        <vt:i4>110</vt:i4>
      </vt:variant>
      <vt:variant>
        <vt:i4>0</vt:i4>
      </vt:variant>
      <vt:variant>
        <vt:i4>5</vt:i4>
      </vt:variant>
      <vt:variant>
        <vt:lpwstr/>
      </vt:variant>
      <vt:variant>
        <vt:lpwstr>_Toc236072461</vt:lpwstr>
      </vt:variant>
      <vt:variant>
        <vt:i4>1048631</vt:i4>
      </vt:variant>
      <vt:variant>
        <vt:i4>104</vt:i4>
      </vt:variant>
      <vt:variant>
        <vt:i4>0</vt:i4>
      </vt:variant>
      <vt:variant>
        <vt:i4>5</vt:i4>
      </vt:variant>
      <vt:variant>
        <vt:lpwstr/>
      </vt:variant>
      <vt:variant>
        <vt:lpwstr>_Toc236072460</vt:lpwstr>
      </vt:variant>
      <vt:variant>
        <vt:i4>1245239</vt:i4>
      </vt:variant>
      <vt:variant>
        <vt:i4>98</vt:i4>
      </vt:variant>
      <vt:variant>
        <vt:i4>0</vt:i4>
      </vt:variant>
      <vt:variant>
        <vt:i4>5</vt:i4>
      </vt:variant>
      <vt:variant>
        <vt:lpwstr/>
      </vt:variant>
      <vt:variant>
        <vt:lpwstr>_Toc236072459</vt:lpwstr>
      </vt:variant>
      <vt:variant>
        <vt:i4>1245239</vt:i4>
      </vt:variant>
      <vt:variant>
        <vt:i4>92</vt:i4>
      </vt:variant>
      <vt:variant>
        <vt:i4>0</vt:i4>
      </vt:variant>
      <vt:variant>
        <vt:i4>5</vt:i4>
      </vt:variant>
      <vt:variant>
        <vt:lpwstr/>
      </vt:variant>
      <vt:variant>
        <vt:lpwstr>_Toc236072458</vt:lpwstr>
      </vt:variant>
      <vt:variant>
        <vt:i4>1245239</vt:i4>
      </vt:variant>
      <vt:variant>
        <vt:i4>86</vt:i4>
      </vt:variant>
      <vt:variant>
        <vt:i4>0</vt:i4>
      </vt:variant>
      <vt:variant>
        <vt:i4>5</vt:i4>
      </vt:variant>
      <vt:variant>
        <vt:lpwstr/>
      </vt:variant>
      <vt:variant>
        <vt:lpwstr>_Toc236072457</vt:lpwstr>
      </vt:variant>
      <vt:variant>
        <vt:i4>1245239</vt:i4>
      </vt:variant>
      <vt:variant>
        <vt:i4>80</vt:i4>
      </vt:variant>
      <vt:variant>
        <vt:i4>0</vt:i4>
      </vt:variant>
      <vt:variant>
        <vt:i4>5</vt:i4>
      </vt:variant>
      <vt:variant>
        <vt:lpwstr/>
      </vt:variant>
      <vt:variant>
        <vt:lpwstr>_Toc236072456</vt:lpwstr>
      </vt:variant>
      <vt:variant>
        <vt:i4>1245239</vt:i4>
      </vt:variant>
      <vt:variant>
        <vt:i4>74</vt:i4>
      </vt:variant>
      <vt:variant>
        <vt:i4>0</vt:i4>
      </vt:variant>
      <vt:variant>
        <vt:i4>5</vt:i4>
      </vt:variant>
      <vt:variant>
        <vt:lpwstr/>
      </vt:variant>
      <vt:variant>
        <vt:lpwstr>_Toc236072455</vt:lpwstr>
      </vt:variant>
      <vt:variant>
        <vt:i4>1245239</vt:i4>
      </vt:variant>
      <vt:variant>
        <vt:i4>68</vt:i4>
      </vt:variant>
      <vt:variant>
        <vt:i4>0</vt:i4>
      </vt:variant>
      <vt:variant>
        <vt:i4>5</vt:i4>
      </vt:variant>
      <vt:variant>
        <vt:lpwstr/>
      </vt:variant>
      <vt:variant>
        <vt:lpwstr>_Toc236072454</vt:lpwstr>
      </vt:variant>
      <vt:variant>
        <vt:i4>1245239</vt:i4>
      </vt:variant>
      <vt:variant>
        <vt:i4>62</vt:i4>
      </vt:variant>
      <vt:variant>
        <vt:i4>0</vt:i4>
      </vt:variant>
      <vt:variant>
        <vt:i4>5</vt:i4>
      </vt:variant>
      <vt:variant>
        <vt:lpwstr/>
      </vt:variant>
      <vt:variant>
        <vt:lpwstr>_Toc236072453</vt:lpwstr>
      </vt:variant>
      <vt:variant>
        <vt:i4>1245239</vt:i4>
      </vt:variant>
      <vt:variant>
        <vt:i4>56</vt:i4>
      </vt:variant>
      <vt:variant>
        <vt:i4>0</vt:i4>
      </vt:variant>
      <vt:variant>
        <vt:i4>5</vt:i4>
      </vt:variant>
      <vt:variant>
        <vt:lpwstr/>
      </vt:variant>
      <vt:variant>
        <vt:lpwstr>_Toc236072452</vt:lpwstr>
      </vt:variant>
      <vt:variant>
        <vt:i4>1245239</vt:i4>
      </vt:variant>
      <vt:variant>
        <vt:i4>50</vt:i4>
      </vt:variant>
      <vt:variant>
        <vt:i4>0</vt:i4>
      </vt:variant>
      <vt:variant>
        <vt:i4>5</vt:i4>
      </vt:variant>
      <vt:variant>
        <vt:lpwstr/>
      </vt:variant>
      <vt:variant>
        <vt:lpwstr>_Toc236072451</vt:lpwstr>
      </vt:variant>
      <vt:variant>
        <vt:i4>1245239</vt:i4>
      </vt:variant>
      <vt:variant>
        <vt:i4>44</vt:i4>
      </vt:variant>
      <vt:variant>
        <vt:i4>0</vt:i4>
      </vt:variant>
      <vt:variant>
        <vt:i4>5</vt:i4>
      </vt:variant>
      <vt:variant>
        <vt:lpwstr/>
      </vt:variant>
      <vt:variant>
        <vt:lpwstr>_Toc236072450</vt:lpwstr>
      </vt:variant>
      <vt:variant>
        <vt:i4>1179703</vt:i4>
      </vt:variant>
      <vt:variant>
        <vt:i4>38</vt:i4>
      </vt:variant>
      <vt:variant>
        <vt:i4>0</vt:i4>
      </vt:variant>
      <vt:variant>
        <vt:i4>5</vt:i4>
      </vt:variant>
      <vt:variant>
        <vt:lpwstr/>
      </vt:variant>
      <vt:variant>
        <vt:lpwstr>_Toc236072449</vt:lpwstr>
      </vt:variant>
      <vt:variant>
        <vt:i4>1179703</vt:i4>
      </vt:variant>
      <vt:variant>
        <vt:i4>32</vt:i4>
      </vt:variant>
      <vt:variant>
        <vt:i4>0</vt:i4>
      </vt:variant>
      <vt:variant>
        <vt:i4>5</vt:i4>
      </vt:variant>
      <vt:variant>
        <vt:lpwstr/>
      </vt:variant>
      <vt:variant>
        <vt:lpwstr>_Toc236072448</vt:lpwstr>
      </vt:variant>
      <vt:variant>
        <vt:i4>1179703</vt:i4>
      </vt:variant>
      <vt:variant>
        <vt:i4>26</vt:i4>
      </vt:variant>
      <vt:variant>
        <vt:i4>0</vt:i4>
      </vt:variant>
      <vt:variant>
        <vt:i4>5</vt:i4>
      </vt:variant>
      <vt:variant>
        <vt:lpwstr/>
      </vt:variant>
      <vt:variant>
        <vt:lpwstr>_Toc236072447</vt:lpwstr>
      </vt:variant>
      <vt:variant>
        <vt:i4>1179703</vt:i4>
      </vt:variant>
      <vt:variant>
        <vt:i4>20</vt:i4>
      </vt:variant>
      <vt:variant>
        <vt:i4>0</vt:i4>
      </vt:variant>
      <vt:variant>
        <vt:i4>5</vt:i4>
      </vt:variant>
      <vt:variant>
        <vt:lpwstr/>
      </vt:variant>
      <vt:variant>
        <vt:lpwstr>_Toc236072446</vt:lpwstr>
      </vt:variant>
      <vt:variant>
        <vt:i4>1179703</vt:i4>
      </vt:variant>
      <vt:variant>
        <vt:i4>14</vt:i4>
      </vt:variant>
      <vt:variant>
        <vt:i4>0</vt:i4>
      </vt:variant>
      <vt:variant>
        <vt:i4>5</vt:i4>
      </vt:variant>
      <vt:variant>
        <vt:lpwstr/>
      </vt:variant>
      <vt:variant>
        <vt:lpwstr>_Toc236072445</vt:lpwstr>
      </vt:variant>
      <vt:variant>
        <vt:i4>1179703</vt:i4>
      </vt:variant>
      <vt:variant>
        <vt:i4>8</vt:i4>
      </vt:variant>
      <vt:variant>
        <vt:i4>0</vt:i4>
      </vt:variant>
      <vt:variant>
        <vt:i4>5</vt:i4>
      </vt:variant>
      <vt:variant>
        <vt:lpwstr/>
      </vt:variant>
      <vt:variant>
        <vt:lpwstr>_Toc236072444</vt:lpwstr>
      </vt:variant>
      <vt:variant>
        <vt:i4>1376311</vt:i4>
      </vt:variant>
      <vt:variant>
        <vt:i4>2</vt:i4>
      </vt:variant>
      <vt:variant>
        <vt:i4>0</vt:i4>
      </vt:variant>
      <vt:variant>
        <vt:i4>5</vt:i4>
      </vt:variant>
      <vt:variant>
        <vt:lpwstr/>
      </vt:variant>
      <vt:variant>
        <vt:lpwstr>_Toc236072438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Rajveer Rana</cp:lastModifiedBy>
  <cp:revision>21</cp:revision>
  <dcterms:created xsi:type="dcterms:W3CDTF">2026-07-28T21:29:00Z</dcterms:created>
  <dcterms:modified xsi:type="dcterms:W3CDTF">2026-07-28T21:58:00Z</dcterms:modified>
</cp:coreProperties>
</file>