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2A3AF" w14:textId="4D7DD9F5" w:rsidR="003F56EC" w:rsidRPr="00762C5E" w:rsidRDefault="005F6035" w:rsidP="00762C5E">
      <w:pPr>
        <w:pStyle w:val="p1"/>
        <w:spacing w:line="360" w:lineRule="auto"/>
        <w:jc w:val="center"/>
        <w:rPr>
          <w:rFonts w:ascii="Times New Roman" w:hAnsi="Times New Roman"/>
          <w:b/>
          <w:bCs/>
          <w:color w:val="000000" w:themeColor="text1"/>
          <w:sz w:val="24"/>
          <w:szCs w:val="24"/>
          <w:shd w:val="clear" w:color="auto" w:fill="FFFFFF"/>
        </w:rPr>
      </w:pPr>
      <w:r w:rsidRPr="00762C5E">
        <w:rPr>
          <w:rFonts w:ascii="Times New Roman" w:hAnsi="Times New Roman"/>
          <w:b/>
          <w:bCs/>
          <w:color w:val="000000" w:themeColor="text1"/>
          <w:sz w:val="24"/>
          <w:szCs w:val="24"/>
          <w:shd w:val="clear" w:color="auto" w:fill="FFFFFF"/>
        </w:rPr>
        <w:t>LIVING WELL THROUGH THE LIFE COURSE:</w:t>
      </w:r>
    </w:p>
    <w:p w14:paraId="00EEF8C4" w14:textId="60DB0449" w:rsidR="003F56EC" w:rsidRPr="00762C5E" w:rsidRDefault="005F6035" w:rsidP="00762C5E">
      <w:pPr>
        <w:pStyle w:val="p1"/>
        <w:spacing w:line="360" w:lineRule="auto"/>
        <w:jc w:val="center"/>
        <w:rPr>
          <w:rFonts w:ascii="Times New Roman" w:hAnsi="Times New Roman"/>
          <w:b/>
          <w:bCs/>
          <w:color w:val="000000" w:themeColor="text1"/>
          <w:sz w:val="24"/>
          <w:szCs w:val="24"/>
          <w:shd w:val="clear" w:color="auto" w:fill="FFFFFF"/>
        </w:rPr>
      </w:pPr>
      <w:r w:rsidRPr="00762C5E">
        <w:rPr>
          <w:rFonts w:ascii="Times New Roman" w:hAnsi="Times New Roman"/>
          <w:b/>
          <w:bCs/>
          <w:color w:val="000000" w:themeColor="text1"/>
          <w:sz w:val="24"/>
          <w:szCs w:val="24"/>
          <w:shd w:val="clear" w:color="auto" w:fill="FFFFFF"/>
        </w:rPr>
        <w:t xml:space="preserve">ANALYSING SOCIAL, ECONOMIC AND ENVIRONMENTAL FACTORS </w:t>
      </w:r>
      <w:r w:rsidRPr="00762C5E">
        <w:rPr>
          <w:rFonts w:ascii="Times New Roman" w:hAnsi="Times New Roman"/>
          <w:b/>
          <w:bCs/>
          <w:color w:val="000000" w:themeColor="text1"/>
          <w:sz w:val="24"/>
          <w:szCs w:val="24"/>
          <w:shd w:val="clear" w:color="auto" w:fill="FFFFFF"/>
          <w:lang w:val="uk-UA"/>
        </w:rPr>
        <w:br/>
      </w:r>
      <w:r w:rsidRPr="00762C5E">
        <w:rPr>
          <w:rFonts w:ascii="Times New Roman" w:hAnsi="Times New Roman"/>
          <w:b/>
          <w:bCs/>
          <w:color w:val="000000" w:themeColor="text1"/>
          <w:sz w:val="24"/>
          <w:szCs w:val="24"/>
          <w:shd w:val="clear" w:color="auto" w:fill="FFFFFF"/>
        </w:rPr>
        <w:t>AND INTERVENTIONS</w:t>
      </w:r>
    </w:p>
    <w:p w14:paraId="77906394" w14:textId="77777777" w:rsidR="003F56EC" w:rsidRPr="00762C5E" w:rsidRDefault="003F56EC" w:rsidP="00762C5E">
      <w:pPr>
        <w:pStyle w:val="p1"/>
        <w:spacing w:line="360" w:lineRule="auto"/>
        <w:jc w:val="both"/>
        <w:rPr>
          <w:rFonts w:ascii="Times New Roman" w:hAnsi="Times New Roman"/>
          <w:color w:val="000000" w:themeColor="text1"/>
          <w:sz w:val="24"/>
          <w:szCs w:val="24"/>
        </w:rPr>
      </w:pPr>
    </w:p>
    <w:p w14:paraId="54C053EF" w14:textId="419B22BC"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br/>
      </w:r>
    </w:p>
    <w:tbl>
      <w:tblPr>
        <w:tblStyle w:val="ac"/>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268"/>
        <w:gridCol w:w="6748"/>
      </w:tblGrid>
      <w:tr w:rsidR="008E57C5" w:rsidRPr="00762C5E" w14:paraId="3ADEE995" w14:textId="77777777" w:rsidTr="005956EB">
        <w:trPr>
          <w:trHeight w:val="1009"/>
        </w:trPr>
        <w:tc>
          <w:tcPr>
            <w:tcW w:w="2268" w:type="dxa"/>
          </w:tcPr>
          <w:p w14:paraId="0C057D34" w14:textId="411F5096"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Module</w:t>
            </w:r>
            <w:r w:rsidR="00A97252" w:rsidRPr="00762C5E">
              <w:rPr>
                <w:rFonts w:ascii="Times New Roman" w:hAnsi="Times New Roman"/>
                <w:color w:val="000000" w:themeColor="text1"/>
                <w:sz w:val="24"/>
                <w:szCs w:val="24"/>
              </w:rPr>
              <w:t>:</w:t>
            </w:r>
            <w:r w:rsidRPr="00762C5E">
              <w:rPr>
                <w:rFonts w:ascii="Times New Roman" w:hAnsi="Times New Roman"/>
                <w:color w:val="000000" w:themeColor="text1"/>
                <w:sz w:val="24"/>
                <w:szCs w:val="24"/>
              </w:rPr>
              <w:t xml:space="preserve"> </w:t>
            </w:r>
          </w:p>
        </w:tc>
        <w:tc>
          <w:tcPr>
            <w:tcW w:w="6748" w:type="dxa"/>
          </w:tcPr>
          <w:p w14:paraId="49A0DA2E" w14:textId="7E2D4AFD"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shd w:val="clear" w:color="auto" w:fill="FFFFFF"/>
              </w:rPr>
              <w:t xml:space="preserve">Living Well: A Life Course Approach to Health and Wellbeing </w:t>
            </w:r>
            <w:r w:rsidR="00A97252" w:rsidRPr="00762C5E">
              <w:rPr>
                <w:rFonts w:ascii="Times New Roman" w:hAnsi="Times New Roman"/>
                <w:color w:val="000000" w:themeColor="text1"/>
                <w:sz w:val="24"/>
                <w:szCs w:val="24"/>
                <w:shd w:val="clear" w:color="auto" w:fill="FFFFFF"/>
              </w:rPr>
              <w:t xml:space="preserve">- </w:t>
            </w:r>
            <w:r w:rsidRPr="00762C5E">
              <w:rPr>
                <w:rFonts w:ascii="Times New Roman" w:hAnsi="Times New Roman"/>
                <w:color w:val="000000" w:themeColor="text1"/>
                <w:sz w:val="24"/>
                <w:szCs w:val="24"/>
              </w:rPr>
              <w:t>BMNS4014</w:t>
            </w:r>
          </w:p>
        </w:tc>
      </w:tr>
      <w:tr w:rsidR="008E57C5" w:rsidRPr="00762C5E" w14:paraId="55F3F37F" w14:textId="77777777" w:rsidTr="00A97252">
        <w:tc>
          <w:tcPr>
            <w:tcW w:w="2268" w:type="dxa"/>
          </w:tcPr>
          <w:p w14:paraId="20DE5C4B"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Student name:</w:t>
            </w:r>
            <w:r w:rsidRPr="00762C5E">
              <w:rPr>
                <w:rStyle w:val="apple-converted-space"/>
                <w:rFonts w:ascii="Times New Roman" w:hAnsi="Times New Roman"/>
                <w:color w:val="000000" w:themeColor="text1"/>
                <w:sz w:val="24"/>
                <w:szCs w:val="24"/>
              </w:rPr>
              <w:t> </w:t>
            </w:r>
          </w:p>
          <w:p w14:paraId="14B3CEED"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p>
        </w:tc>
        <w:tc>
          <w:tcPr>
            <w:tcW w:w="6748" w:type="dxa"/>
          </w:tcPr>
          <w:p w14:paraId="51160CC0" w14:textId="62A5A9B6"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Svitlana Osiptsova</w:t>
            </w:r>
          </w:p>
        </w:tc>
      </w:tr>
      <w:tr w:rsidR="008E57C5" w:rsidRPr="00762C5E" w14:paraId="2DC247A7" w14:textId="77777777" w:rsidTr="00A97252">
        <w:tc>
          <w:tcPr>
            <w:tcW w:w="2268" w:type="dxa"/>
          </w:tcPr>
          <w:p w14:paraId="560E436F"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Student number:</w:t>
            </w:r>
          </w:p>
          <w:p w14:paraId="0AD12F80"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p>
        </w:tc>
        <w:tc>
          <w:tcPr>
            <w:tcW w:w="6748" w:type="dxa"/>
          </w:tcPr>
          <w:p w14:paraId="1617E53E" w14:textId="1A3C30A6"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2510348</w:t>
            </w:r>
          </w:p>
        </w:tc>
      </w:tr>
      <w:tr w:rsidR="008E57C5" w:rsidRPr="00762C5E" w14:paraId="69C3394F" w14:textId="77777777" w:rsidTr="00A97252">
        <w:tc>
          <w:tcPr>
            <w:tcW w:w="2268" w:type="dxa"/>
          </w:tcPr>
          <w:p w14:paraId="78D68B3E"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r w:rsidRPr="00762C5E">
              <w:rPr>
                <w:rFonts w:ascii="Times New Roman" w:hAnsi="Times New Roman"/>
                <w:color w:val="000000" w:themeColor="text1"/>
                <w:sz w:val="24"/>
                <w:szCs w:val="24"/>
              </w:rPr>
              <w:t>Lecturer name:</w:t>
            </w:r>
          </w:p>
          <w:p w14:paraId="11439A20"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p>
        </w:tc>
        <w:tc>
          <w:tcPr>
            <w:tcW w:w="6748" w:type="dxa"/>
          </w:tcPr>
          <w:p w14:paraId="697C89E6" w14:textId="08C73A96" w:rsidR="008E57C5" w:rsidRPr="00762C5E" w:rsidRDefault="008E57C5" w:rsidP="00762C5E">
            <w:pPr>
              <w:pStyle w:val="1"/>
              <w:spacing w:before="0" w:after="0" w:line="360" w:lineRule="auto"/>
              <w:jc w:val="both"/>
              <w:rPr>
                <w:rFonts w:ascii="Times New Roman" w:eastAsia="Times New Roman" w:hAnsi="Times New Roman" w:cs="Times New Roman"/>
                <w:color w:val="000000" w:themeColor="text1"/>
                <w:sz w:val="24"/>
                <w:szCs w:val="24"/>
              </w:rPr>
            </w:pPr>
            <w:r w:rsidRPr="00762C5E">
              <w:rPr>
                <w:rFonts w:ascii="Times New Roman" w:eastAsia="Times New Roman" w:hAnsi="Times New Roman" w:cs="Times New Roman"/>
                <w:color w:val="000000" w:themeColor="text1"/>
                <w:sz w:val="24"/>
                <w:szCs w:val="24"/>
              </w:rPr>
              <w:t>Dr</w:t>
            </w:r>
            <w:r w:rsidR="00A71059" w:rsidRPr="00762C5E">
              <w:rPr>
                <w:rFonts w:ascii="Times New Roman" w:eastAsia="Times New Roman" w:hAnsi="Times New Roman" w:cs="Times New Roman"/>
                <w:color w:val="000000" w:themeColor="text1"/>
                <w:sz w:val="24"/>
                <w:szCs w:val="24"/>
              </w:rPr>
              <w:t>.</w:t>
            </w:r>
            <w:r w:rsidRPr="00762C5E">
              <w:rPr>
                <w:rFonts w:ascii="Times New Roman" w:eastAsia="Times New Roman" w:hAnsi="Times New Roman" w:cs="Times New Roman"/>
                <w:color w:val="000000" w:themeColor="text1"/>
                <w:sz w:val="24"/>
                <w:szCs w:val="24"/>
              </w:rPr>
              <w:t xml:space="preserve"> Ben Duxbury</w:t>
            </w:r>
          </w:p>
        </w:tc>
      </w:tr>
    </w:tbl>
    <w:p w14:paraId="3B683622" w14:textId="77777777" w:rsidR="008E57C5" w:rsidRPr="00762C5E" w:rsidRDefault="008E57C5" w:rsidP="00762C5E">
      <w:pPr>
        <w:pStyle w:val="p1"/>
        <w:spacing w:line="360" w:lineRule="auto"/>
        <w:jc w:val="both"/>
        <w:rPr>
          <w:rFonts w:ascii="Times New Roman" w:hAnsi="Times New Roman"/>
          <w:color w:val="000000" w:themeColor="text1"/>
          <w:sz w:val="24"/>
          <w:szCs w:val="24"/>
        </w:rPr>
      </w:pPr>
    </w:p>
    <w:p w14:paraId="1348AD62" w14:textId="77777777" w:rsidR="008E57C5" w:rsidRPr="00762C5E" w:rsidRDefault="008E57C5" w:rsidP="00762C5E">
      <w:pPr>
        <w:spacing w:line="360" w:lineRule="auto"/>
        <w:jc w:val="both"/>
        <w:rPr>
          <w:color w:val="000000" w:themeColor="text1"/>
        </w:rPr>
      </w:pPr>
    </w:p>
    <w:p w14:paraId="2051B66E" w14:textId="77777777" w:rsidR="00A97252" w:rsidRPr="00762C5E" w:rsidRDefault="00A97252" w:rsidP="00762C5E">
      <w:pPr>
        <w:spacing w:line="360" w:lineRule="auto"/>
        <w:jc w:val="both"/>
        <w:rPr>
          <w:color w:val="000000" w:themeColor="text1"/>
        </w:rPr>
      </w:pPr>
    </w:p>
    <w:p w14:paraId="4C229AB7" w14:textId="77777777" w:rsidR="00A97252" w:rsidRPr="00762C5E" w:rsidRDefault="00A97252" w:rsidP="00762C5E">
      <w:pPr>
        <w:spacing w:line="360" w:lineRule="auto"/>
        <w:jc w:val="both"/>
        <w:rPr>
          <w:color w:val="000000" w:themeColor="text1"/>
        </w:rPr>
      </w:pPr>
    </w:p>
    <w:p w14:paraId="2B9F779A" w14:textId="77777777" w:rsidR="00A97252" w:rsidRPr="00762C5E" w:rsidRDefault="00A97252" w:rsidP="00762C5E">
      <w:pPr>
        <w:spacing w:line="360" w:lineRule="auto"/>
        <w:jc w:val="both"/>
        <w:rPr>
          <w:color w:val="000000" w:themeColor="text1"/>
        </w:rPr>
      </w:pPr>
    </w:p>
    <w:p w14:paraId="0D285EB7" w14:textId="77777777" w:rsidR="00A97252" w:rsidRPr="00762C5E" w:rsidRDefault="00A97252" w:rsidP="00762C5E">
      <w:pPr>
        <w:spacing w:line="360" w:lineRule="auto"/>
        <w:jc w:val="both"/>
        <w:rPr>
          <w:color w:val="000000" w:themeColor="text1"/>
        </w:rPr>
      </w:pPr>
    </w:p>
    <w:p w14:paraId="34BDF3EA" w14:textId="77777777" w:rsidR="00A97252" w:rsidRPr="00762C5E" w:rsidRDefault="00A97252" w:rsidP="00762C5E">
      <w:pPr>
        <w:spacing w:line="360" w:lineRule="auto"/>
        <w:jc w:val="both"/>
        <w:rPr>
          <w:color w:val="000000" w:themeColor="text1"/>
        </w:rPr>
      </w:pPr>
    </w:p>
    <w:p w14:paraId="68AA0F00" w14:textId="77777777" w:rsidR="00381A58" w:rsidRPr="00762C5E" w:rsidRDefault="00381A58" w:rsidP="00762C5E">
      <w:pPr>
        <w:spacing w:before="100" w:beforeAutospacing="1" w:after="100" w:afterAutospacing="1" w:line="360" w:lineRule="auto"/>
        <w:jc w:val="both"/>
        <w:rPr>
          <w:color w:val="000000" w:themeColor="text1"/>
        </w:rPr>
      </w:pPr>
      <w:r w:rsidRPr="00762C5E">
        <w:rPr>
          <w:color w:val="000000" w:themeColor="text1"/>
        </w:rPr>
        <w:br w:type="page"/>
      </w:r>
    </w:p>
    <w:p w14:paraId="25C5215E" w14:textId="1713AB94" w:rsidR="003952CA" w:rsidRPr="00762C5E" w:rsidRDefault="00982AB9" w:rsidP="00762C5E">
      <w:pPr>
        <w:spacing w:before="100" w:beforeAutospacing="1" w:after="100" w:afterAutospacing="1" w:line="360" w:lineRule="auto"/>
        <w:jc w:val="both"/>
        <w:rPr>
          <w:color w:val="000000" w:themeColor="text1"/>
          <w:lang w:val="uk-UA"/>
        </w:rPr>
      </w:pPr>
      <w:r w:rsidRPr="00762C5E">
        <w:rPr>
          <w:b/>
          <w:bCs/>
          <w:color w:val="000000" w:themeColor="text1"/>
        </w:rPr>
        <w:lastRenderedPageBreak/>
        <w:t>ABSTRACT</w:t>
      </w:r>
    </w:p>
    <w:p w14:paraId="6674F580" w14:textId="2988E0A5" w:rsidR="00A97252" w:rsidRPr="00762C5E" w:rsidRDefault="00011B58" w:rsidP="00762C5E">
      <w:pPr>
        <w:spacing w:line="360" w:lineRule="auto"/>
        <w:ind w:firstLine="708"/>
        <w:jc w:val="both"/>
        <w:rPr>
          <w:rStyle w:val="ng-star-inserted"/>
          <w:color w:val="000000" w:themeColor="text1"/>
        </w:rPr>
      </w:pPr>
      <w:r w:rsidRPr="00762C5E">
        <w:rPr>
          <w:rStyle w:val="ng-star-inserted"/>
          <w:color w:val="000000" w:themeColor="text1"/>
        </w:rPr>
        <w:t>This report critically examines the life course approach to health and well-being, focusing on the complex interaction of social, economic, and environmental determinants across the lifespan. Drawing on a range of academic literature, policy documents, and research evidence, the report analyses how these interrelated factors collectively shape health trajectories and contribute to persistent health inequalities. The findings emphasise the foundational role of early life experiences, including the prevention of adverse childhood experiences (ACEs) and supportive family environments, alongside the ongoing influence of adequate income, sustainable employment, and living conditions such as housing quality, access to green spaces, and reduced environmental risks. Importantly, the analysis highlights that these determinants do not operate in isolation but interact cumulatively over time, reinforcing patterns of advantage and disadvantage. The report further evaluates the effectiveness of life course interventions, demonstrating that early, preventative, and integrated approaches are most effective in improving long-term outcomes and preventing the biological embedding of stress. However, it also identifies limitations in current policy and practice, particularly in addressing structural inequalities and financial barriers. Overall, the report argues that achieving sustainable improvements in health and well-being requires coordinated, multi-sectoral action across the life course. It concludes by proposing targeted recommendations to strengthen policy, professional practice, education, and future research.</w:t>
      </w:r>
    </w:p>
    <w:p w14:paraId="60904903" w14:textId="77777777" w:rsidR="00381A58" w:rsidRPr="00762C5E" w:rsidRDefault="00381A58" w:rsidP="00762C5E">
      <w:pPr>
        <w:spacing w:line="360" w:lineRule="auto"/>
        <w:jc w:val="both"/>
        <w:rPr>
          <w:color w:val="000000" w:themeColor="text1"/>
          <w:lang w:val="uk-UA"/>
        </w:rPr>
      </w:pPr>
      <w:r w:rsidRPr="00762C5E">
        <w:rPr>
          <w:color w:val="000000" w:themeColor="text1"/>
          <w:lang w:val="uk-UA"/>
        </w:rPr>
        <w:br w:type="page"/>
      </w:r>
    </w:p>
    <w:p w14:paraId="0B670BF8" w14:textId="3BDB2110" w:rsidR="007C1379" w:rsidRPr="00762C5E" w:rsidRDefault="002F5BE2" w:rsidP="00762C5E">
      <w:pPr>
        <w:spacing w:line="360" w:lineRule="auto"/>
        <w:jc w:val="both"/>
        <w:rPr>
          <w:b/>
          <w:color w:val="000000" w:themeColor="text1"/>
        </w:rPr>
      </w:pPr>
      <w:r w:rsidRPr="00762C5E">
        <w:rPr>
          <w:b/>
          <w:color w:val="000000" w:themeColor="text1"/>
        </w:rPr>
        <w:lastRenderedPageBreak/>
        <w:t>CONTENTS</w:t>
      </w:r>
      <w:r w:rsidR="007C1379" w:rsidRPr="00762C5E">
        <w:rPr>
          <w:b/>
          <w:color w:val="000000" w:themeColor="text1"/>
        </w:rPr>
        <w:br/>
      </w:r>
      <w:r w:rsidR="007C1379" w:rsidRPr="00762C5E">
        <w:rPr>
          <w:b/>
          <w:color w:val="000000" w:themeColor="text1"/>
        </w:rPr>
        <w:br/>
      </w:r>
    </w:p>
    <w:tbl>
      <w:tblPr>
        <w:tblStyle w:val="ac"/>
        <w:tblW w:w="0" w:type="auto"/>
        <w:tblLook w:val="04A0" w:firstRow="1" w:lastRow="0" w:firstColumn="1" w:lastColumn="0" w:noHBand="0" w:noVBand="1"/>
      </w:tblPr>
      <w:tblGrid>
        <w:gridCol w:w="6946"/>
        <w:gridCol w:w="2070"/>
      </w:tblGrid>
      <w:tr w:rsidR="007C1379" w:rsidRPr="00762C5E" w14:paraId="5BC45F24" w14:textId="77777777" w:rsidTr="00F037B3">
        <w:trPr>
          <w:trHeight w:val="397"/>
        </w:trPr>
        <w:tc>
          <w:tcPr>
            <w:tcW w:w="6946" w:type="dxa"/>
            <w:tcBorders>
              <w:left w:val="nil"/>
              <w:bottom w:val="single" w:sz="4" w:space="0" w:color="auto"/>
              <w:right w:val="nil"/>
            </w:tcBorders>
            <w:shd w:val="clear" w:color="auto" w:fill="F2F2F2" w:themeFill="background1" w:themeFillShade="F2"/>
            <w:vAlign w:val="center"/>
          </w:tcPr>
          <w:p w14:paraId="0B42D1DC" w14:textId="43C668C7" w:rsidR="007C1379" w:rsidRPr="00762C5E" w:rsidRDefault="007C1379" w:rsidP="00762C5E">
            <w:pPr>
              <w:spacing w:line="360" w:lineRule="auto"/>
              <w:jc w:val="both"/>
              <w:rPr>
                <w:b/>
                <w:color w:val="000000" w:themeColor="text1"/>
              </w:rPr>
            </w:pPr>
            <w:r w:rsidRPr="00762C5E">
              <w:rPr>
                <w:color w:val="000000" w:themeColor="text1"/>
                <w:lang w:eastAsia="en-GB"/>
              </w:rPr>
              <w:t>Section</w:t>
            </w:r>
          </w:p>
        </w:tc>
        <w:tc>
          <w:tcPr>
            <w:tcW w:w="2070" w:type="dxa"/>
            <w:tcBorders>
              <w:left w:val="nil"/>
              <w:bottom w:val="single" w:sz="4" w:space="0" w:color="auto"/>
              <w:right w:val="nil"/>
            </w:tcBorders>
            <w:shd w:val="clear" w:color="auto" w:fill="F2F2F2" w:themeFill="background1" w:themeFillShade="F2"/>
            <w:vAlign w:val="center"/>
          </w:tcPr>
          <w:p w14:paraId="6F862B10" w14:textId="3AE171F2" w:rsidR="0051188B" w:rsidRPr="00762C5E" w:rsidRDefault="007C1379" w:rsidP="00762C5E">
            <w:pPr>
              <w:spacing w:line="360" w:lineRule="auto"/>
              <w:rPr>
                <w:color w:val="000000" w:themeColor="text1"/>
                <w:lang w:eastAsia="en-GB"/>
              </w:rPr>
            </w:pPr>
            <w:r w:rsidRPr="00762C5E">
              <w:rPr>
                <w:color w:val="000000" w:themeColor="text1"/>
                <w:lang w:eastAsia="en-GB"/>
              </w:rPr>
              <w:t xml:space="preserve">Page </w:t>
            </w:r>
            <w:r w:rsidR="0051188B" w:rsidRPr="00762C5E">
              <w:rPr>
                <w:color w:val="000000" w:themeColor="text1"/>
                <w:lang w:eastAsia="en-GB"/>
              </w:rPr>
              <w:t>No</w:t>
            </w:r>
          </w:p>
          <w:p w14:paraId="1D799135" w14:textId="092EFDD3" w:rsidR="007C1379" w:rsidRPr="00762C5E" w:rsidRDefault="007C1379" w:rsidP="00762C5E">
            <w:pPr>
              <w:spacing w:line="360" w:lineRule="auto"/>
              <w:jc w:val="both"/>
              <w:rPr>
                <w:b/>
                <w:color w:val="000000" w:themeColor="text1"/>
              </w:rPr>
            </w:pPr>
          </w:p>
        </w:tc>
      </w:tr>
      <w:tr w:rsidR="007C1379" w:rsidRPr="00762C5E" w14:paraId="705A008C" w14:textId="77777777" w:rsidTr="00F037B3">
        <w:trPr>
          <w:trHeight w:val="397"/>
        </w:trPr>
        <w:tc>
          <w:tcPr>
            <w:tcW w:w="6946" w:type="dxa"/>
            <w:tcBorders>
              <w:left w:val="nil"/>
              <w:right w:val="nil"/>
            </w:tcBorders>
            <w:vAlign w:val="center"/>
          </w:tcPr>
          <w:p w14:paraId="1782CD75" w14:textId="04BB4149" w:rsidR="007C1379" w:rsidRPr="00762C5E" w:rsidRDefault="007C1379" w:rsidP="00762C5E">
            <w:pPr>
              <w:spacing w:line="360" w:lineRule="auto"/>
              <w:jc w:val="both"/>
              <w:rPr>
                <w:b/>
                <w:color w:val="000000" w:themeColor="text1"/>
              </w:rPr>
            </w:pPr>
            <w:r w:rsidRPr="00762C5E">
              <w:rPr>
                <w:color w:val="000000" w:themeColor="text1"/>
                <w:lang w:eastAsia="en-GB"/>
              </w:rPr>
              <w:t>Title</w:t>
            </w:r>
          </w:p>
        </w:tc>
        <w:tc>
          <w:tcPr>
            <w:tcW w:w="2070" w:type="dxa"/>
            <w:tcBorders>
              <w:left w:val="nil"/>
              <w:right w:val="nil"/>
            </w:tcBorders>
            <w:vAlign w:val="center"/>
          </w:tcPr>
          <w:p w14:paraId="1010D221" w14:textId="49B131B6" w:rsidR="007C1379" w:rsidRPr="00762C5E" w:rsidRDefault="007C1379" w:rsidP="00762C5E">
            <w:pPr>
              <w:spacing w:line="360" w:lineRule="auto"/>
              <w:jc w:val="both"/>
              <w:rPr>
                <w:bCs/>
                <w:color w:val="000000" w:themeColor="text1"/>
              </w:rPr>
            </w:pPr>
            <w:r w:rsidRPr="00762C5E">
              <w:rPr>
                <w:bCs/>
                <w:color w:val="000000" w:themeColor="text1"/>
              </w:rPr>
              <w:t>I</w:t>
            </w:r>
          </w:p>
        </w:tc>
      </w:tr>
      <w:tr w:rsidR="007C1379" w:rsidRPr="00762C5E" w14:paraId="2E104F28" w14:textId="77777777" w:rsidTr="00F037B3">
        <w:trPr>
          <w:trHeight w:val="397"/>
        </w:trPr>
        <w:tc>
          <w:tcPr>
            <w:tcW w:w="6946" w:type="dxa"/>
            <w:tcBorders>
              <w:left w:val="nil"/>
              <w:right w:val="nil"/>
            </w:tcBorders>
            <w:vAlign w:val="center"/>
          </w:tcPr>
          <w:p w14:paraId="47D3DC6A" w14:textId="6172999F" w:rsidR="007C1379" w:rsidRPr="00762C5E" w:rsidRDefault="007C1379" w:rsidP="00762C5E">
            <w:pPr>
              <w:spacing w:line="360" w:lineRule="auto"/>
              <w:jc w:val="both"/>
              <w:rPr>
                <w:b/>
                <w:color w:val="000000" w:themeColor="text1"/>
              </w:rPr>
            </w:pPr>
            <w:r w:rsidRPr="00762C5E">
              <w:rPr>
                <w:color w:val="000000" w:themeColor="text1"/>
                <w:lang w:eastAsia="en-GB"/>
              </w:rPr>
              <w:t>Abstract</w:t>
            </w:r>
          </w:p>
        </w:tc>
        <w:tc>
          <w:tcPr>
            <w:tcW w:w="2070" w:type="dxa"/>
            <w:tcBorders>
              <w:left w:val="nil"/>
              <w:right w:val="nil"/>
            </w:tcBorders>
            <w:vAlign w:val="center"/>
          </w:tcPr>
          <w:p w14:paraId="25BBBB61" w14:textId="2A9145CC" w:rsidR="007C1379" w:rsidRPr="00762C5E" w:rsidRDefault="007C1379" w:rsidP="00762C5E">
            <w:pPr>
              <w:spacing w:line="360" w:lineRule="auto"/>
              <w:jc w:val="both"/>
              <w:rPr>
                <w:bCs/>
                <w:color w:val="000000" w:themeColor="text1"/>
              </w:rPr>
            </w:pPr>
            <w:r w:rsidRPr="00762C5E">
              <w:rPr>
                <w:bCs/>
                <w:color w:val="000000" w:themeColor="text1"/>
              </w:rPr>
              <w:t>II</w:t>
            </w:r>
          </w:p>
        </w:tc>
      </w:tr>
      <w:tr w:rsidR="007C1379" w:rsidRPr="00762C5E" w14:paraId="127A3E16" w14:textId="77777777" w:rsidTr="00F037B3">
        <w:trPr>
          <w:trHeight w:val="397"/>
        </w:trPr>
        <w:tc>
          <w:tcPr>
            <w:tcW w:w="6946" w:type="dxa"/>
            <w:tcBorders>
              <w:left w:val="nil"/>
              <w:right w:val="nil"/>
            </w:tcBorders>
            <w:vAlign w:val="center"/>
          </w:tcPr>
          <w:p w14:paraId="42B97FFB" w14:textId="063AE28E" w:rsidR="007C1379" w:rsidRPr="00762C5E" w:rsidRDefault="007C1379" w:rsidP="00762C5E">
            <w:pPr>
              <w:spacing w:line="360" w:lineRule="auto"/>
              <w:jc w:val="both"/>
              <w:rPr>
                <w:b/>
                <w:color w:val="000000" w:themeColor="text1"/>
              </w:rPr>
            </w:pPr>
            <w:r w:rsidRPr="00762C5E">
              <w:rPr>
                <w:color w:val="000000" w:themeColor="text1"/>
                <w:lang w:eastAsia="en-GB"/>
              </w:rPr>
              <w:t>Contents</w:t>
            </w:r>
          </w:p>
        </w:tc>
        <w:tc>
          <w:tcPr>
            <w:tcW w:w="2070" w:type="dxa"/>
            <w:tcBorders>
              <w:left w:val="nil"/>
              <w:right w:val="nil"/>
            </w:tcBorders>
            <w:vAlign w:val="center"/>
          </w:tcPr>
          <w:p w14:paraId="616FA0D7" w14:textId="13F79243" w:rsidR="007C1379" w:rsidRPr="00762C5E" w:rsidRDefault="007C1379" w:rsidP="00762C5E">
            <w:pPr>
              <w:spacing w:line="360" w:lineRule="auto"/>
              <w:jc w:val="both"/>
              <w:rPr>
                <w:bCs/>
                <w:color w:val="000000" w:themeColor="text1"/>
              </w:rPr>
            </w:pPr>
            <w:r w:rsidRPr="00762C5E">
              <w:rPr>
                <w:bCs/>
                <w:color w:val="000000" w:themeColor="text1"/>
              </w:rPr>
              <w:t>III</w:t>
            </w:r>
          </w:p>
        </w:tc>
      </w:tr>
      <w:tr w:rsidR="007C1379" w:rsidRPr="00762C5E" w14:paraId="42560640" w14:textId="77777777" w:rsidTr="00F037B3">
        <w:trPr>
          <w:trHeight w:val="397"/>
        </w:trPr>
        <w:tc>
          <w:tcPr>
            <w:tcW w:w="6946" w:type="dxa"/>
            <w:tcBorders>
              <w:left w:val="nil"/>
              <w:right w:val="nil"/>
            </w:tcBorders>
            <w:vAlign w:val="center"/>
          </w:tcPr>
          <w:p w14:paraId="76AC8DA2" w14:textId="0AC64A58" w:rsidR="007C1379" w:rsidRPr="00762C5E" w:rsidRDefault="007C1379" w:rsidP="00762C5E">
            <w:pPr>
              <w:spacing w:line="360" w:lineRule="auto"/>
              <w:jc w:val="both"/>
              <w:rPr>
                <w:b/>
                <w:color w:val="000000" w:themeColor="text1"/>
              </w:rPr>
            </w:pPr>
            <w:r w:rsidRPr="00762C5E">
              <w:rPr>
                <w:color w:val="000000" w:themeColor="text1"/>
                <w:lang w:eastAsia="en-GB"/>
              </w:rPr>
              <w:t>List of figures</w:t>
            </w:r>
          </w:p>
        </w:tc>
        <w:tc>
          <w:tcPr>
            <w:tcW w:w="2070" w:type="dxa"/>
            <w:tcBorders>
              <w:left w:val="nil"/>
              <w:right w:val="nil"/>
            </w:tcBorders>
            <w:vAlign w:val="center"/>
          </w:tcPr>
          <w:p w14:paraId="54C2702B" w14:textId="2D7E0F8E" w:rsidR="007C1379" w:rsidRPr="00762C5E" w:rsidRDefault="007C1379" w:rsidP="00762C5E">
            <w:pPr>
              <w:spacing w:line="360" w:lineRule="auto"/>
              <w:jc w:val="both"/>
              <w:rPr>
                <w:bCs/>
                <w:color w:val="000000" w:themeColor="text1"/>
              </w:rPr>
            </w:pPr>
            <w:r w:rsidRPr="00762C5E">
              <w:rPr>
                <w:bCs/>
                <w:color w:val="000000" w:themeColor="text1"/>
              </w:rPr>
              <w:t>IV</w:t>
            </w:r>
          </w:p>
        </w:tc>
      </w:tr>
      <w:tr w:rsidR="007C1379" w:rsidRPr="00762C5E" w14:paraId="737E722D" w14:textId="77777777" w:rsidTr="009B6FB4">
        <w:trPr>
          <w:trHeight w:val="113"/>
        </w:trPr>
        <w:tc>
          <w:tcPr>
            <w:tcW w:w="6946" w:type="dxa"/>
            <w:tcBorders>
              <w:left w:val="nil"/>
              <w:right w:val="nil"/>
            </w:tcBorders>
            <w:shd w:val="clear" w:color="auto" w:fill="F2F2F2" w:themeFill="background1" w:themeFillShade="F2"/>
            <w:vAlign w:val="center"/>
          </w:tcPr>
          <w:p w14:paraId="793A9CEA" w14:textId="77777777" w:rsidR="007C1379" w:rsidRPr="00762C5E" w:rsidRDefault="007C1379" w:rsidP="00762C5E">
            <w:pPr>
              <w:spacing w:line="360" w:lineRule="auto"/>
              <w:jc w:val="both"/>
              <w:rPr>
                <w:b/>
                <w:color w:val="000000" w:themeColor="text1"/>
                <w:lang w:val="uk-UA"/>
              </w:rPr>
            </w:pPr>
          </w:p>
        </w:tc>
        <w:tc>
          <w:tcPr>
            <w:tcW w:w="2070" w:type="dxa"/>
            <w:tcBorders>
              <w:left w:val="nil"/>
              <w:right w:val="nil"/>
            </w:tcBorders>
            <w:shd w:val="clear" w:color="auto" w:fill="F2F2F2" w:themeFill="background1" w:themeFillShade="F2"/>
            <w:vAlign w:val="center"/>
          </w:tcPr>
          <w:p w14:paraId="58A2AAC7" w14:textId="77777777" w:rsidR="007C1379" w:rsidRPr="00762C5E" w:rsidRDefault="007C1379" w:rsidP="00762C5E">
            <w:pPr>
              <w:spacing w:line="360" w:lineRule="auto"/>
              <w:jc w:val="both"/>
              <w:rPr>
                <w:b/>
                <w:color w:val="000000" w:themeColor="text1"/>
              </w:rPr>
            </w:pPr>
          </w:p>
        </w:tc>
      </w:tr>
      <w:tr w:rsidR="007C1379" w:rsidRPr="00762C5E" w14:paraId="6DCEDD36" w14:textId="77777777" w:rsidTr="00F037B3">
        <w:trPr>
          <w:trHeight w:val="397"/>
        </w:trPr>
        <w:tc>
          <w:tcPr>
            <w:tcW w:w="6946" w:type="dxa"/>
            <w:tcBorders>
              <w:left w:val="nil"/>
              <w:right w:val="nil"/>
            </w:tcBorders>
            <w:vAlign w:val="center"/>
          </w:tcPr>
          <w:p w14:paraId="54EF190A" w14:textId="741ECD29" w:rsidR="007C1379" w:rsidRPr="00762C5E" w:rsidRDefault="007C1379" w:rsidP="00762C5E">
            <w:pPr>
              <w:spacing w:line="360" w:lineRule="auto"/>
              <w:jc w:val="both"/>
              <w:rPr>
                <w:b/>
                <w:color w:val="000000" w:themeColor="text1"/>
              </w:rPr>
            </w:pPr>
            <w:r w:rsidRPr="00762C5E">
              <w:rPr>
                <w:color w:val="000000" w:themeColor="text1"/>
                <w:lang w:eastAsia="en-GB"/>
              </w:rPr>
              <w:t>Introduction to the life course approach to health and well</w:t>
            </w:r>
            <w:r w:rsidR="005956EB" w:rsidRPr="00762C5E">
              <w:rPr>
                <w:color w:val="000000" w:themeColor="text1"/>
                <w:lang w:eastAsia="en-GB"/>
              </w:rPr>
              <w:t>-</w:t>
            </w:r>
            <w:r w:rsidRPr="00762C5E">
              <w:rPr>
                <w:color w:val="000000" w:themeColor="text1"/>
                <w:lang w:eastAsia="en-GB"/>
              </w:rPr>
              <w:t>being</w:t>
            </w:r>
          </w:p>
        </w:tc>
        <w:tc>
          <w:tcPr>
            <w:tcW w:w="2070" w:type="dxa"/>
            <w:tcBorders>
              <w:left w:val="nil"/>
              <w:right w:val="nil"/>
            </w:tcBorders>
            <w:vAlign w:val="center"/>
          </w:tcPr>
          <w:p w14:paraId="73A075AA" w14:textId="15CDE31E" w:rsidR="007C1379" w:rsidRPr="00762C5E" w:rsidRDefault="009B6FB4" w:rsidP="00762C5E">
            <w:pPr>
              <w:spacing w:line="360" w:lineRule="auto"/>
              <w:jc w:val="both"/>
              <w:rPr>
                <w:b/>
                <w:color w:val="000000" w:themeColor="text1"/>
                <w:highlight w:val="yellow"/>
              </w:rPr>
            </w:pPr>
            <w:r w:rsidRPr="00762C5E">
              <w:rPr>
                <w:b/>
                <w:color w:val="000000" w:themeColor="text1"/>
              </w:rPr>
              <w:t>5</w:t>
            </w:r>
          </w:p>
        </w:tc>
      </w:tr>
      <w:tr w:rsidR="007C1379" w:rsidRPr="00762C5E" w14:paraId="72B4D1C6" w14:textId="77777777" w:rsidTr="00F037B3">
        <w:trPr>
          <w:trHeight w:val="397"/>
        </w:trPr>
        <w:tc>
          <w:tcPr>
            <w:tcW w:w="6946" w:type="dxa"/>
            <w:tcBorders>
              <w:left w:val="nil"/>
              <w:right w:val="nil"/>
            </w:tcBorders>
            <w:vAlign w:val="center"/>
          </w:tcPr>
          <w:p w14:paraId="34095462" w14:textId="31EE6F57" w:rsidR="007C1379" w:rsidRPr="00762C5E" w:rsidRDefault="007C1379" w:rsidP="00762C5E">
            <w:pPr>
              <w:spacing w:line="360" w:lineRule="auto"/>
              <w:jc w:val="both"/>
              <w:rPr>
                <w:b/>
                <w:color w:val="000000" w:themeColor="text1"/>
              </w:rPr>
            </w:pPr>
            <w:r w:rsidRPr="00762C5E">
              <w:rPr>
                <w:color w:val="000000" w:themeColor="text1"/>
              </w:rPr>
              <w:t>The life course approach and</w:t>
            </w:r>
            <w:r w:rsidR="00B2155B" w:rsidRPr="00762C5E">
              <w:rPr>
                <w:color w:val="000000" w:themeColor="text1"/>
              </w:rPr>
              <w:t xml:space="preserve"> social factors</w:t>
            </w:r>
          </w:p>
        </w:tc>
        <w:tc>
          <w:tcPr>
            <w:tcW w:w="2070" w:type="dxa"/>
            <w:tcBorders>
              <w:left w:val="nil"/>
              <w:right w:val="nil"/>
            </w:tcBorders>
            <w:vAlign w:val="center"/>
          </w:tcPr>
          <w:p w14:paraId="64F6FF81" w14:textId="7E34C94E" w:rsidR="007C1379" w:rsidRPr="00762C5E" w:rsidRDefault="009B6FB4" w:rsidP="00762C5E">
            <w:pPr>
              <w:spacing w:line="360" w:lineRule="auto"/>
              <w:jc w:val="both"/>
              <w:rPr>
                <w:b/>
                <w:color w:val="000000" w:themeColor="text1"/>
              </w:rPr>
            </w:pPr>
            <w:r w:rsidRPr="00762C5E">
              <w:rPr>
                <w:b/>
                <w:color w:val="000000" w:themeColor="text1"/>
              </w:rPr>
              <w:t>6</w:t>
            </w:r>
          </w:p>
        </w:tc>
      </w:tr>
      <w:tr w:rsidR="007C1379" w:rsidRPr="00762C5E" w14:paraId="69002DCE" w14:textId="77777777" w:rsidTr="00F037B3">
        <w:trPr>
          <w:trHeight w:val="397"/>
        </w:trPr>
        <w:tc>
          <w:tcPr>
            <w:tcW w:w="6946" w:type="dxa"/>
            <w:tcBorders>
              <w:left w:val="nil"/>
              <w:right w:val="nil"/>
            </w:tcBorders>
            <w:vAlign w:val="center"/>
          </w:tcPr>
          <w:p w14:paraId="3C5EABA5" w14:textId="5CB1A1C2" w:rsidR="007C1379" w:rsidRPr="00762C5E" w:rsidRDefault="007C1379" w:rsidP="00762C5E">
            <w:pPr>
              <w:spacing w:line="360" w:lineRule="auto"/>
              <w:jc w:val="both"/>
              <w:rPr>
                <w:b/>
                <w:color w:val="000000" w:themeColor="text1"/>
              </w:rPr>
            </w:pPr>
            <w:r w:rsidRPr="00762C5E">
              <w:rPr>
                <w:color w:val="000000" w:themeColor="text1"/>
              </w:rPr>
              <w:t>The life course approach and economic factors</w:t>
            </w:r>
          </w:p>
        </w:tc>
        <w:tc>
          <w:tcPr>
            <w:tcW w:w="2070" w:type="dxa"/>
            <w:tcBorders>
              <w:left w:val="nil"/>
              <w:right w:val="nil"/>
            </w:tcBorders>
            <w:vAlign w:val="center"/>
          </w:tcPr>
          <w:p w14:paraId="16EBA406" w14:textId="308AFA30" w:rsidR="007C1379" w:rsidRPr="00762C5E" w:rsidRDefault="002B581B" w:rsidP="00762C5E">
            <w:pPr>
              <w:spacing w:line="360" w:lineRule="auto"/>
              <w:jc w:val="both"/>
              <w:rPr>
                <w:b/>
                <w:color w:val="000000" w:themeColor="text1"/>
              </w:rPr>
            </w:pPr>
            <w:r w:rsidRPr="00762C5E">
              <w:rPr>
                <w:b/>
                <w:color w:val="000000" w:themeColor="text1"/>
              </w:rPr>
              <w:t>8</w:t>
            </w:r>
          </w:p>
        </w:tc>
      </w:tr>
      <w:tr w:rsidR="007C1379" w:rsidRPr="00762C5E" w14:paraId="750A1F59" w14:textId="77777777" w:rsidTr="00F037B3">
        <w:trPr>
          <w:trHeight w:val="397"/>
        </w:trPr>
        <w:tc>
          <w:tcPr>
            <w:tcW w:w="6946" w:type="dxa"/>
            <w:tcBorders>
              <w:left w:val="nil"/>
              <w:right w:val="nil"/>
            </w:tcBorders>
            <w:vAlign w:val="center"/>
          </w:tcPr>
          <w:p w14:paraId="0EEA004A" w14:textId="0A2ACD0E" w:rsidR="007C1379" w:rsidRPr="00762C5E" w:rsidRDefault="007C1379" w:rsidP="00762C5E">
            <w:pPr>
              <w:spacing w:line="360" w:lineRule="auto"/>
              <w:jc w:val="both"/>
              <w:rPr>
                <w:b/>
                <w:color w:val="000000" w:themeColor="text1"/>
              </w:rPr>
            </w:pPr>
            <w:r w:rsidRPr="00762C5E">
              <w:rPr>
                <w:color w:val="000000" w:themeColor="text1"/>
              </w:rPr>
              <w:t>The life course approach and environmental factors</w:t>
            </w:r>
          </w:p>
        </w:tc>
        <w:tc>
          <w:tcPr>
            <w:tcW w:w="2070" w:type="dxa"/>
            <w:tcBorders>
              <w:left w:val="nil"/>
              <w:right w:val="nil"/>
            </w:tcBorders>
            <w:vAlign w:val="center"/>
          </w:tcPr>
          <w:p w14:paraId="4219DB98" w14:textId="4622EED5" w:rsidR="007C1379" w:rsidRPr="00762C5E" w:rsidRDefault="002B581B" w:rsidP="00762C5E">
            <w:pPr>
              <w:spacing w:line="360" w:lineRule="auto"/>
              <w:jc w:val="both"/>
              <w:rPr>
                <w:b/>
                <w:color w:val="000000" w:themeColor="text1"/>
              </w:rPr>
            </w:pPr>
            <w:r w:rsidRPr="00762C5E">
              <w:rPr>
                <w:b/>
                <w:color w:val="000000" w:themeColor="text1"/>
              </w:rPr>
              <w:t>10</w:t>
            </w:r>
          </w:p>
        </w:tc>
      </w:tr>
      <w:tr w:rsidR="007C1379" w:rsidRPr="00762C5E" w14:paraId="1E7F7EF6" w14:textId="77777777" w:rsidTr="00F037B3">
        <w:trPr>
          <w:trHeight w:val="397"/>
        </w:trPr>
        <w:tc>
          <w:tcPr>
            <w:tcW w:w="6946" w:type="dxa"/>
            <w:tcBorders>
              <w:left w:val="nil"/>
              <w:right w:val="nil"/>
            </w:tcBorders>
            <w:vAlign w:val="center"/>
          </w:tcPr>
          <w:p w14:paraId="05D1E68D" w14:textId="4BB74475" w:rsidR="007C1379" w:rsidRPr="00762C5E" w:rsidRDefault="007C1379" w:rsidP="00762C5E">
            <w:pPr>
              <w:spacing w:line="360" w:lineRule="auto"/>
              <w:jc w:val="both"/>
              <w:rPr>
                <w:b/>
                <w:color w:val="000000" w:themeColor="text1"/>
              </w:rPr>
            </w:pPr>
            <w:r w:rsidRPr="00762C5E">
              <w:rPr>
                <w:color w:val="000000" w:themeColor="text1"/>
                <w:lang w:eastAsia="en-GB"/>
              </w:rPr>
              <w:t>Conclusions and recommendations</w:t>
            </w:r>
          </w:p>
        </w:tc>
        <w:tc>
          <w:tcPr>
            <w:tcW w:w="2070" w:type="dxa"/>
            <w:tcBorders>
              <w:left w:val="nil"/>
              <w:right w:val="nil"/>
            </w:tcBorders>
            <w:vAlign w:val="center"/>
          </w:tcPr>
          <w:p w14:paraId="6086628C" w14:textId="1F38F9E6" w:rsidR="007C1379" w:rsidRPr="00762C5E" w:rsidRDefault="002B581B" w:rsidP="00762C5E">
            <w:pPr>
              <w:spacing w:line="360" w:lineRule="auto"/>
              <w:jc w:val="both"/>
              <w:rPr>
                <w:b/>
                <w:color w:val="000000" w:themeColor="text1"/>
              </w:rPr>
            </w:pPr>
            <w:r w:rsidRPr="00762C5E">
              <w:rPr>
                <w:b/>
                <w:color w:val="000000" w:themeColor="text1"/>
              </w:rPr>
              <w:t>13</w:t>
            </w:r>
          </w:p>
        </w:tc>
      </w:tr>
      <w:tr w:rsidR="007C1379" w:rsidRPr="00762C5E" w14:paraId="45F3A070" w14:textId="77777777" w:rsidTr="00F037B3">
        <w:trPr>
          <w:trHeight w:val="397"/>
        </w:trPr>
        <w:tc>
          <w:tcPr>
            <w:tcW w:w="6946" w:type="dxa"/>
            <w:tcBorders>
              <w:left w:val="nil"/>
              <w:right w:val="nil"/>
            </w:tcBorders>
            <w:vAlign w:val="center"/>
          </w:tcPr>
          <w:p w14:paraId="674A8B9F" w14:textId="25977468" w:rsidR="007C1379" w:rsidRPr="00762C5E" w:rsidRDefault="00B2155B" w:rsidP="00762C5E">
            <w:pPr>
              <w:spacing w:line="360" w:lineRule="auto"/>
              <w:jc w:val="both"/>
              <w:rPr>
                <w:b/>
                <w:color w:val="000000" w:themeColor="text1"/>
              </w:rPr>
            </w:pPr>
            <w:r w:rsidRPr="00762C5E">
              <w:rPr>
                <w:color w:val="000000" w:themeColor="text1"/>
                <w:lang w:eastAsia="en-GB"/>
              </w:rPr>
              <w:t>A</w:t>
            </w:r>
            <w:r w:rsidR="00D42AD4" w:rsidRPr="00762C5E">
              <w:rPr>
                <w:color w:val="000000" w:themeColor="text1"/>
                <w:lang w:eastAsia="en-GB"/>
              </w:rPr>
              <w:t>ppendices</w:t>
            </w:r>
          </w:p>
        </w:tc>
        <w:tc>
          <w:tcPr>
            <w:tcW w:w="2070" w:type="dxa"/>
            <w:tcBorders>
              <w:left w:val="nil"/>
              <w:right w:val="nil"/>
            </w:tcBorders>
            <w:vAlign w:val="center"/>
          </w:tcPr>
          <w:p w14:paraId="31DB525E" w14:textId="7AF8245B" w:rsidR="007C1379" w:rsidRPr="00762C5E" w:rsidRDefault="002B581B" w:rsidP="00762C5E">
            <w:pPr>
              <w:spacing w:line="360" w:lineRule="auto"/>
              <w:jc w:val="both"/>
              <w:rPr>
                <w:b/>
                <w:color w:val="000000" w:themeColor="text1"/>
              </w:rPr>
            </w:pPr>
            <w:r w:rsidRPr="00762C5E">
              <w:rPr>
                <w:b/>
                <w:color w:val="000000" w:themeColor="text1"/>
              </w:rPr>
              <w:t>16</w:t>
            </w:r>
          </w:p>
        </w:tc>
      </w:tr>
      <w:tr w:rsidR="007C1379" w:rsidRPr="00762C5E" w14:paraId="5353D121" w14:textId="77777777" w:rsidTr="00F037B3">
        <w:trPr>
          <w:trHeight w:val="397"/>
        </w:trPr>
        <w:tc>
          <w:tcPr>
            <w:tcW w:w="6946" w:type="dxa"/>
            <w:tcBorders>
              <w:left w:val="nil"/>
              <w:right w:val="nil"/>
            </w:tcBorders>
            <w:vAlign w:val="center"/>
          </w:tcPr>
          <w:p w14:paraId="601DB066" w14:textId="3E5986F5" w:rsidR="007C1379" w:rsidRPr="00762C5E" w:rsidRDefault="007C1379" w:rsidP="00762C5E">
            <w:pPr>
              <w:spacing w:line="360" w:lineRule="auto"/>
              <w:jc w:val="both"/>
              <w:rPr>
                <w:b/>
                <w:color w:val="000000" w:themeColor="text1"/>
              </w:rPr>
            </w:pPr>
            <w:r w:rsidRPr="00762C5E">
              <w:rPr>
                <w:color w:val="000000" w:themeColor="text1"/>
                <w:lang w:eastAsia="en-GB"/>
              </w:rPr>
              <w:t>References</w:t>
            </w:r>
          </w:p>
        </w:tc>
        <w:tc>
          <w:tcPr>
            <w:tcW w:w="2070" w:type="dxa"/>
            <w:tcBorders>
              <w:left w:val="nil"/>
              <w:right w:val="nil"/>
            </w:tcBorders>
            <w:vAlign w:val="center"/>
          </w:tcPr>
          <w:p w14:paraId="6E05106B" w14:textId="31E8D85E" w:rsidR="007C1379" w:rsidRPr="00762C5E" w:rsidRDefault="002B581B" w:rsidP="00762C5E">
            <w:pPr>
              <w:spacing w:line="360" w:lineRule="auto"/>
              <w:jc w:val="both"/>
              <w:rPr>
                <w:b/>
                <w:color w:val="000000" w:themeColor="text1"/>
                <w:highlight w:val="yellow"/>
                <w:lang w:val="uk-UA"/>
              </w:rPr>
            </w:pPr>
            <w:r w:rsidRPr="00762C5E">
              <w:rPr>
                <w:b/>
                <w:color w:val="000000" w:themeColor="text1"/>
              </w:rPr>
              <w:t>18</w:t>
            </w:r>
          </w:p>
        </w:tc>
      </w:tr>
      <w:tr w:rsidR="007C1379" w:rsidRPr="00762C5E" w14:paraId="43D9AA28" w14:textId="77777777" w:rsidTr="00F037B3">
        <w:trPr>
          <w:trHeight w:val="397"/>
        </w:trPr>
        <w:tc>
          <w:tcPr>
            <w:tcW w:w="6946" w:type="dxa"/>
            <w:tcBorders>
              <w:left w:val="nil"/>
              <w:bottom w:val="nil"/>
              <w:right w:val="nil"/>
            </w:tcBorders>
            <w:vAlign w:val="center"/>
          </w:tcPr>
          <w:p w14:paraId="35004B1D" w14:textId="77777777" w:rsidR="007C1379" w:rsidRPr="00762C5E" w:rsidRDefault="007C1379" w:rsidP="00762C5E">
            <w:pPr>
              <w:spacing w:line="360" w:lineRule="auto"/>
              <w:jc w:val="both"/>
              <w:rPr>
                <w:b/>
                <w:color w:val="000000" w:themeColor="text1"/>
              </w:rPr>
            </w:pPr>
          </w:p>
        </w:tc>
        <w:tc>
          <w:tcPr>
            <w:tcW w:w="2070" w:type="dxa"/>
            <w:tcBorders>
              <w:left w:val="nil"/>
              <w:bottom w:val="nil"/>
              <w:right w:val="nil"/>
            </w:tcBorders>
            <w:vAlign w:val="center"/>
          </w:tcPr>
          <w:p w14:paraId="674E59D8" w14:textId="77777777" w:rsidR="007C1379" w:rsidRPr="00762C5E" w:rsidRDefault="007C1379" w:rsidP="00762C5E">
            <w:pPr>
              <w:spacing w:line="360" w:lineRule="auto"/>
              <w:jc w:val="both"/>
              <w:rPr>
                <w:b/>
                <w:color w:val="000000" w:themeColor="text1"/>
              </w:rPr>
            </w:pPr>
          </w:p>
        </w:tc>
      </w:tr>
    </w:tbl>
    <w:p w14:paraId="56328CA2" w14:textId="05A6F1DF" w:rsidR="007C1379" w:rsidRPr="00762C5E" w:rsidRDefault="007C1379" w:rsidP="00762C5E">
      <w:pPr>
        <w:spacing w:line="360" w:lineRule="auto"/>
        <w:jc w:val="both"/>
        <w:rPr>
          <w:color w:val="000000" w:themeColor="text1"/>
          <w:lang w:eastAsia="en-GB"/>
        </w:rPr>
      </w:pPr>
      <w:r w:rsidRPr="00762C5E">
        <w:rPr>
          <w:b/>
          <w:color w:val="000000" w:themeColor="text1"/>
        </w:rPr>
        <w:br/>
      </w:r>
    </w:p>
    <w:p w14:paraId="72D59B7A" w14:textId="77777777" w:rsidR="00381A58" w:rsidRPr="00762C5E" w:rsidRDefault="00381A58" w:rsidP="00762C5E">
      <w:pPr>
        <w:spacing w:before="100" w:beforeAutospacing="1" w:after="100" w:afterAutospacing="1" w:line="360" w:lineRule="auto"/>
        <w:jc w:val="both"/>
        <w:rPr>
          <w:b/>
          <w:bCs/>
          <w:color w:val="000000" w:themeColor="text1"/>
        </w:rPr>
      </w:pPr>
      <w:r w:rsidRPr="00762C5E">
        <w:rPr>
          <w:b/>
          <w:bCs/>
          <w:color w:val="000000" w:themeColor="text1"/>
        </w:rPr>
        <w:br w:type="page"/>
      </w:r>
    </w:p>
    <w:p w14:paraId="5487D3EC" w14:textId="3386DA60" w:rsidR="00381A58" w:rsidRPr="00762C5E" w:rsidRDefault="002B581B" w:rsidP="00762C5E">
      <w:pPr>
        <w:spacing w:before="100" w:beforeAutospacing="1" w:after="100" w:afterAutospacing="1" w:line="360" w:lineRule="auto"/>
        <w:jc w:val="both"/>
        <w:rPr>
          <w:b/>
          <w:bCs/>
          <w:color w:val="000000" w:themeColor="text1"/>
          <w:lang w:val="uk-UA"/>
        </w:rPr>
      </w:pPr>
      <w:r w:rsidRPr="00762C5E">
        <w:rPr>
          <w:b/>
          <w:bCs/>
          <w:color w:val="000000" w:themeColor="text1"/>
        </w:rPr>
        <w:lastRenderedPageBreak/>
        <w:t>LIST OF FIGURES</w:t>
      </w:r>
    </w:p>
    <w:p w14:paraId="5A2569C0" w14:textId="77777777" w:rsidR="009979CE" w:rsidRPr="00762C5E" w:rsidRDefault="009979CE" w:rsidP="00762C5E">
      <w:pPr>
        <w:spacing w:before="100" w:beforeAutospacing="1" w:after="100" w:afterAutospacing="1" w:line="360" w:lineRule="auto"/>
        <w:jc w:val="both"/>
        <w:rPr>
          <w:color w:val="000000" w:themeColor="text1"/>
          <w:lang w:val="uk-UA"/>
        </w:rPr>
      </w:pPr>
    </w:p>
    <w:tbl>
      <w:tblPr>
        <w:tblStyle w:val="ac"/>
        <w:tblW w:w="0" w:type="auto"/>
        <w:tblLook w:val="04A0" w:firstRow="1" w:lastRow="0" w:firstColumn="1" w:lastColumn="0" w:noHBand="0" w:noVBand="1"/>
      </w:tblPr>
      <w:tblGrid>
        <w:gridCol w:w="1129"/>
        <w:gridCol w:w="4881"/>
        <w:gridCol w:w="3006"/>
      </w:tblGrid>
      <w:tr w:rsidR="00381A58" w:rsidRPr="00762C5E" w14:paraId="5EDCEE18" w14:textId="77777777" w:rsidTr="002B581B">
        <w:trPr>
          <w:trHeight w:val="454"/>
        </w:trPr>
        <w:tc>
          <w:tcPr>
            <w:tcW w:w="1129" w:type="dxa"/>
            <w:tcBorders>
              <w:left w:val="nil"/>
            </w:tcBorders>
            <w:vAlign w:val="bottom"/>
          </w:tcPr>
          <w:p w14:paraId="79D9DF2B" w14:textId="77777777" w:rsidR="00381A58" w:rsidRPr="00762C5E" w:rsidRDefault="00381A58" w:rsidP="00762C5E">
            <w:pPr>
              <w:spacing w:before="100" w:beforeAutospacing="1" w:after="100" w:afterAutospacing="1" w:line="360" w:lineRule="auto"/>
              <w:jc w:val="both"/>
              <w:rPr>
                <w:color w:val="000000" w:themeColor="text1"/>
                <w:lang w:val="uk-UA"/>
              </w:rPr>
            </w:pPr>
            <w:r w:rsidRPr="00762C5E">
              <w:rPr>
                <w:color w:val="000000" w:themeColor="text1"/>
              </w:rPr>
              <w:t>Figure 1:</w:t>
            </w:r>
          </w:p>
        </w:tc>
        <w:tc>
          <w:tcPr>
            <w:tcW w:w="4881" w:type="dxa"/>
            <w:tcBorders>
              <w:right w:val="nil"/>
            </w:tcBorders>
            <w:vAlign w:val="bottom"/>
          </w:tcPr>
          <w:p w14:paraId="36537E0A" w14:textId="6448CC1E" w:rsidR="00381A58" w:rsidRPr="00762C5E" w:rsidRDefault="00381A58" w:rsidP="00762C5E">
            <w:pPr>
              <w:spacing w:before="100" w:beforeAutospacing="1" w:after="100" w:afterAutospacing="1" w:line="360" w:lineRule="auto"/>
              <w:jc w:val="both"/>
              <w:rPr>
                <w:color w:val="000000" w:themeColor="text1"/>
                <w:lang w:val="uk-UA"/>
              </w:rPr>
            </w:pPr>
            <w:r w:rsidRPr="00762C5E">
              <w:rPr>
                <w:color w:val="000000" w:themeColor="text1"/>
              </w:rPr>
              <w:t>The Main Determinants of Health</w:t>
            </w:r>
            <w:r w:rsidR="009979CE" w:rsidRPr="00762C5E">
              <w:rPr>
                <w:color w:val="000000" w:themeColor="text1"/>
                <w:lang w:val="uk-UA"/>
              </w:rPr>
              <w:t xml:space="preserve"> </w:t>
            </w:r>
          </w:p>
        </w:tc>
        <w:tc>
          <w:tcPr>
            <w:tcW w:w="3006" w:type="dxa"/>
            <w:tcBorders>
              <w:left w:val="nil"/>
              <w:bottom w:val="single" w:sz="4" w:space="0" w:color="auto"/>
              <w:right w:val="nil"/>
            </w:tcBorders>
            <w:vAlign w:val="bottom"/>
          </w:tcPr>
          <w:p w14:paraId="3C17246B" w14:textId="62BA3F8F" w:rsidR="00381A58" w:rsidRPr="00762C5E" w:rsidRDefault="00381A58" w:rsidP="00762C5E">
            <w:pPr>
              <w:spacing w:before="100" w:beforeAutospacing="1" w:after="100" w:afterAutospacing="1" w:line="360" w:lineRule="auto"/>
              <w:jc w:val="both"/>
              <w:rPr>
                <w:color w:val="000000" w:themeColor="text1"/>
                <w:lang w:val="uk-UA"/>
              </w:rPr>
            </w:pPr>
            <w:r w:rsidRPr="00762C5E">
              <w:rPr>
                <w:color w:val="000000" w:themeColor="text1"/>
                <w:lang w:val="uk-UA"/>
              </w:rPr>
              <w:t>6</w:t>
            </w:r>
          </w:p>
        </w:tc>
      </w:tr>
    </w:tbl>
    <w:p w14:paraId="6FB9143C" w14:textId="77777777" w:rsidR="00381A58" w:rsidRPr="00762C5E" w:rsidRDefault="00381A58" w:rsidP="00762C5E">
      <w:pPr>
        <w:spacing w:line="360" w:lineRule="auto"/>
        <w:jc w:val="both"/>
        <w:rPr>
          <w:color w:val="000000" w:themeColor="text1"/>
        </w:rPr>
      </w:pPr>
    </w:p>
    <w:p w14:paraId="2A4A442C" w14:textId="77777777" w:rsidR="00381A58" w:rsidRPr="00762C5E" w:rsidRDefault="00381A58" w:rsidP="00762C5E">
      <w:pPr>
        <w:spacing w:line="360" w:lineRule="auto"/>
        <w:jc w:val="both"/>
        <w:rPr>
          <w:color w:val="000000" w:themeColor="text1"/>
        </w:rPr>
      </w:pPr>
    </w:p>
    <w:p w14:paraId="73DAED15" w14:textId="77777777" w:rsidR="00381A58" w:rsidRPr="00762C5E" w:rsidRDefault="00381A58" w:rsidP="00762C5E">
      <w:pPr>
        <w:spacing w:line="360" w:lineRule="auto"/>
        <w:jc w:val="both"/>
        <w:rPr>
          <w:b/>
          <w:bCs/>
          <w:color w:val="000000" w:themeColor="text1"/>
          <w:lang w:val="en-US"/>
        </w:rPr>
        <w:sectPr w:rsidR="00381A58" w:rsidRPr="00762C5E">
          <w:footerReference w:type="default" r:id="rId8"/>
          <w:pgSz w:w="11906" w:h="16838"/>
          <w:pgMar w:top="1440" w:right="1440" w:bottom="1440" w:left="1440" w:header="708" w:footer="708" w:gutter="0"/>
          <w:cols w:space="708"/>
          <w:docGrid w:linePitch="360"/>
        </w:sectPr>
      </w:pPr>
    </w:p>
    <w:p w14:paraId="1C26D4A5" w14:textId="77777777" w:rsidR="00CD6BE7" w:rsidRPr="00762C5E" w:rsidRDefault="00CD6BE7" w:rsidP="00762C5E">
      <w:pPr>
        <w:spacing w:line="360" w:lineRule="auto"/>
        <w:jc w:val="both"/>
        <w:rPr>
          <w:rStyle w:val="ng-star-inserted"/>
          <w:b/>
          <w:bCs/>
          <w:color w:val="000000" w:themeColor="text1"/>
        </w:rPr>
      </w:pPr>
      <w:r w:rsidRPr="00762C5E">
        <w:rPr>
          <w:rStyle w:val="ng-star-inserted"/>
          <w:b/>
          <w:bCs/>
          <w:color w:val="000000" w:themeColor="text1"/>
        </w:rPr>
        <w:lastRenderedPageBreak/>
        <w:t>INTRODUCTION</w:t>
      </w:r>
    </w:p>
    <w:p w14:paraId="0C693F3B" w14:textId="77777777" w:rsidR="005665AB" w:rsidRPr="00762C5E" w:rsidRDefault="005665AB" w:rsidP="00762C5E">
      <w:pPr>
        <w:pStyle w:val="p3"/>
        <w:spacing w:line="360" w:lineRule="auto"/>
        <w:ind w:firstLine="708"/>
        <w:jc w:val="both"/>
        <w:rPr>
          <w:rStyle w:val="ng-star-inserted"/>
          <w:color w:val="303030"/>
          <w:shd w:val="clear" w:color="auto" w:fill="FFFFFF"/>
          <w:lang w:val="uk-UA"/>
        </w:rPr>
      </w:pPr>
      <w:r w:rsidRPr="00762C5E">
        <w:rPr>
          <w:rStyle w:val="ng-star-inserted"/>
          <w:color w:val="303030"/>
          <w:shd w:val="clear" w:color="auto" w:fill="FFFFFF"/>
        </w:rPr>
        <w:t xml:space="preserve">This report examines the life course approach to health and well-being. According to the </w:t>
      </w:r>
      <w:r w:rsidRPr="00762C5E">
        <w:rPr>
          <w:color w:val="303030"/>
          <w:shd w:val="clear" w:color="auto" w:fill="FFFFFF"/>
        </w:rPr>
        <w:t>World Health Organisation</w:t>
      </w:r>
      <w:r w:rsidRPr="00762C5E">
        <w:rPr>
          <w:rStyle w:val="ng-star-inserted"/>
          <w:color w:val="303030"/>
          <w:shd w:val="clear" w:color="auto" w:fill="FFFFFF"/>
        </w:rPr>
        <w:t>, this approach acknowledges that health depends on the interaction of multiple factors over time, providing "a temporal and societal perspective on the health of individuals and on the intergenerational determinants of health" (</w:t>
      </w:r>
      <w:r w:rsidRPr="00762C5E">
        <w:rPr>
          <w:color w:val="303030"/>
          <w:shd w:val="clear" w:color="auto" w:fill="FFFFFF"/>
        </w:rPr>
        <w:t>World Health Organisation</w:t>
      </w:r>
      <w:r w:rsidRPr="00762C5E">
        <w:rPr>
          <w:rStyle w:val="ng-star-inserted"/>
          <w:color w:val="303030"/>
          <w:shd w:val="clear" w:color="auto" w:fill="FFFFFF"/>
        </w:rPr>
        <w:t>, 2025, p. xvi). It is widely understood as a contextual, processual, and dynamic framework that spans from preconception into older age (Bengtson and Allen, 2003).</w:t>
      </w:r>
    </w:p>
    <w:p w14:paraId="7D539E4A" w14:textId="77777777" w:rsidR="00C537A5" w:rsidRPr="00762C5E" w:rsidRDefault="0074579C" w:rsidP="00762C5E">
      <w:pPr>
        <w:pStyle w:val="p3"/>
        <w:spacing w:line="360" w:lineRule="auto"/>
        <w:ind w:firstLine="708"/>
        <w:jc w:val="both"/>
        <w:rPr>
          <w:rStyle w:val="ng-star-inserted"/>
          <w:color w:val="303030"/>
          <w:shd w:val="clear" w:color="auto" w:fill="FFFFFF"/>
          <w:lang w:val="uk-UA"/>
        </w:rPr>
      </w:pPr>
      <w:r w:rsidRPr="00762C5E">
        <w:rPr>
          <w:rStyle w:val="ng-star-inserted"/>
          <w:color w:val="000000" w:themeColor="text1"/>
          <w:shd w:val="clear" w:color="auto" w:fill="FFFFFF"/>
        </w:rPr>
        <w:t xml:space="preserve">Influenced by developments in research techniques and significant demographic and epidemiological changes, such as a globally ageing population and increasing rates of chronic conditions, the life course approach has become an area of increased global interest and investment in recent years </w:t>
      </w:r>
      <w:r w:rsidRPr="00762C5E">
        <w:rPr>
          <w:color w:val="000000" w:themeColor="text1"/>
          <w:shd w:val="clear" w:color="auto" w:fill="FFFFFF"/>
        </w:rPr>
        <w:t>(Mikkelsen et al., 2019)</w:t>
      </w:r>
      <w:r w:rsidRPr="00762C5E">
        <w:rPr>
          <w:rStyle w:val="ng-star-inserted"/>
          <w:color w:val="000000" w:themeColor="text1"/>
          <w:shd w:val="clear" w:color="auto" w:fill="FFFFFF"/>
        </w:rPr>
        <w:t xml:space="preserve">. An increase in the use of longitudinal studies into the course of human lives, such as the Doetinchem Cohort Study </w:t>
      </w:r>
      <w:r w:rsidRPr="00762C5E">
        <w:rPr>
          <w:color w:val="000000" w:themeColor="text1"/>
          <w:shd w:val="clear" w:color="auto" w:fill="FFFFFF"/>
        </w:rPr>
        <w:t>(Nooyens et al., 2021)</w:t>
      </w:r>
      <w:r w:rsidRPr="00762C5E">
        <w:rPr>
          <w:rStyle w:val="ng-star-inserted"/>
          <w:color w:val="000000" w:themeColor="text1"/>
          <w:shd w:val="clear" w:color="auto" w:fill="FFFFFF"/>
        </w:rPr>
        <w:t xml:space="preserve"> and the Dunedin Multidisciplinary Health and Development Study </w:t>
      </w:r>
      <w:r w:rsidRPr="00762C5E">
        <w:rPr>
          <w:color w:val="000000" w:themeColor="text1"/>
          <w:shd w:val="clear" w:color="auto" w:fill="FFFFFF"/>
        </w:rPr>
        <w:t>(Yay-Lee et al., 2021)</w:t>
      </w:r>
      <w:r w:rsidRPr="00762C5E">
        <w:rPr>
          <w:rStyle w:val="ng-star-inserted"/>
          <w:color w:val="000000" w:themeColor="text1"/>
          <w:shd w:val="clear" w:color="auto" w:fill="FFFFFF"/>
        </w:rPr>
        <w:t xml:space="preserve">, has allowed researchers to understand the cumulative effect on lifelong health and wellbeing of biological, social, and environmental factors. </w:t>
      </w:r>
      <w:r w:rsidR="00872B67" w:rsidRPr="00762C5E">
        <w:rPr>
          <w:rStyle w:val="ng-star-inserted"/>
          <w:color w:val="303030"/>
          <w:shd w:val="clear" w:color="auto" w:fill="FFFFFF"/>
        </w:rPr>
        <w:t xml:space="preserve">This has been accompanied by an increased interest in appropriate interventions at different stages of life to help maximise health and wellbeing, with the </w:t>
      </w:r>
      <w:r w:rsidR="00872B67" w:rsidRPr="00762C5E">
        <w:rPr>
          <w:color w:val="303030"/>
          <w:shd w:val="clear" w:color="auto" w:fill="FFFFFF"/>
        </w:rPr>
        <w:t>World Health Organisation</w:t>
      </w:r>
      <w:r w:rsidR="00872B67" w:rsidRPr="00762C5E">
        <w:rPr>
          <w:rStyle w:val="ng-star-inserted"/>
          <w:color w:val="303030"/>
          <w:shd w:val="clear" w:color="auto" w:fill="FFFFFF"/>
        </w:rPr>
        <w:t xml:space="preserve"> explaining that a significant part of its global efforts is devoted to implementing life course interventions (</w:t>
      </w:r>
      <w:r w:rsidR="00872B67" w:rsidRPr="00762C5E">
        <w:rPr>
          <w:color w:val="303030"/>
          <w:shd w:val="clear" w:color="auto" w:fill="FFFFFF"/>
        </w:rPr>
        <w:t>World Health Organisation</w:t>
      </w:r>
      <w:r w:rsidR="00872B67" w:rsidRPr="00762C5E">
        <w:rPr>
          <w:rStyle w:val="ng-star-inserted"/>
          <w:color w:val="303030"/>
          <w:shd w:val="clear" w:color="auto" w:fill="FFFFFF"/>
        </w:rPr>
        <w:t>, 2025). Strategically timed interventions are now recognised as essential to optimising health trajectories and promoting health equity (Russ et al., 2022).</w:t>
      </w:r>
    </w:p>
    <w:p w14:paraId="50C4539F" w14:textId="263998EB" w:rsidR="00C537A5" w:rsidRPr="00762C5E" w:rsidRDefault="00C537A5" w:rsidP="00762C5E">
      <w:pPr>
        <w:pStyle w:val="p3"/>
        <w:spacing w:line="360" w:lineRule="auto"/>
        <w:ind w:firstLine="708"/>
        <w:jc w:val="both"/>
        <w:rPr>
          <w:rStyle w:val="ng-star-inserted"/>
          <w:color w:val="303030"/>
          <w:shd w:val="clear" w:color="auto" w:fill="FFFFFF"/>
          <w:lang w:val="en-US"/>
        </w:rPr>
      </w:pPr>
      <w:r w:rsidRPr="00762C5E">
        <w:rPr>
          <w:rStyle w:val="ng-star-inserted"/>
          <w:color w:val="303030"/>
          <w:shd w:val="clear" w:color="auto" w:fill="FFFFFF"/>
        </w:rPr>
        <w:t xml:space="preserve">Ultimately, the central ambition of this paradigm is to enable individuals and populations to live well through the life course. As Duxbury (2026b) outlines, evaluating health outcomes over a lifespan requires a deep understanding of cumulative meso- and macro-level exposures - specifically the complex interplay of social, economic, and environmental factors. </w:t>
      </w:r>
      <w:r w:rsidRPr="00762C5E">
        <w:rPr>
          <w:rStyle w:val="ng-star-inserted"/>
        </w:rPr>
        <w:t>However, while the life course approach provides a comprehensive framework, it has been criticised for its complexity and the challenges associated with translating theory into practice across different policy contexts.</w:t>
      </w:r>
      <w:r w:rsidRPr="00762C5E">
        <w:rPr>
          <w:rStyle w:val="ng-star-inserted"/>
          <w:color w:val="303030"/>
          <w:shd w:val="clear" w:color="auto" w:fill="FFFFFF"/>
        </w:rPr>
        <w:t xml:space="preserve"> With this context established, the remainder of this report focuses on analysing how these specific determinants influence lifelong health trajectories, alongside evaluating the effectiveness of corresponding interventions. It will conclude with evidence-based recommendations for future policy and practice</w:t>
      </w:r>
      <w:r w:rsidRPr="00762C5E">
        <w:rPr>
          <w:rStyle w:val="ng-star-inserted"/>
          <w:color w:val="303030"/>
          <w:shd w:val="clear" w:color="auto" w:fill="FFFFFF"/>
          <w:lang w:val="en-US"/>
        </w:rPr>
        <w:t>.</w:t>
      </w:r>
    </w:p>
    <w:p w14:paraId="3DA142DE" w14:textId="38B69D7B" w:rsidR="00212894" w:rsidRPr="00762C5E" w:rsidRDefault="002B581B" w:rsidP="00762C5E">
      <w:pPr>
        <w:pStyle w:val="3"/>
        <w:spacing w:line="360" w:lineRule="auto"/>
        <w:jc w:val="both"/>
        <w:rPr>
          <w:rStyle w:val="ng-star-inserted"/>
          <w:rFonts w:eastAsia="Times New Roman" w:cs="Times New Roman"/>
          <w:b/>
          <w:bCs/>
          <w:color w:val="000000" w:themeColor="text1"/>
          <w:sz w:val="24"/>
          <w:szCs w:val="24"/>
        </w:rPr>
      </w:pPr>
      <w:r w:rsidRPr="00762C5E">
        <w:rPr>
          <w:rStyle w:val="ng-star-inserted"/>
          <w:rFonts w:eastAsia="Times New Roman" w:cs="Times New Roman"/>
          <w:b/>
          <w:bCs/>
          <w:color w:val="000000" w:themeColor="text1"/>
          <w:sz w:val="24"/>
          <w:szCs w:val="24"/>
        </w:rPr>
        <w:lastRenderedPageBreak/>
        <w:t>THE LIFE COURSE APPROACH AND SOCIAL FACTORS</w:t>
      </w:r>
    </w:p>
    <w:p w14:paraId="02DF02C2" w14:textId="44A42600" w:rsidR="00212894" w:rsidRPr="00762C5E" w:rsidRDefault="006C1E00" w:rsidP="00762C5E">
      <w:pPr>
        <w:pStyle w:val="p3"/>
        <w:spacing w:line="360" w:lineRule="auto"/>
        <w:ind w:firstLine="708"/>
        <w:jc w:val="both"/>
        <w:rPr>
          <w:rStyle w:val="ng-star-inserted"/>
          <w:color w:val="000000" w:themeColor="text1"/>
        </w:rPr>
      </w:pPr>
      <w:r w:rsidRPr="00762C5E">
        <w:rPr>
          <w:noProof/>
          <w:color w:val="000000" w:themeColor="text1"/>
          <w14:ligatures w14:val="standardContextual"/>
        </w:rPr>
        <w:drawing>
          <wp:anchor distT="0" distB="0" distL="114300" distR="114300" simplePos="0" relativeHeight="251659264" behindDoc="1" locked="0" layoutInCell="1" allowOverlap="1" wp14:anchorId="16CC2DEC" wp14:editId="00E55E46">
            <wp:simplePos x="0" y="0"/>
            <wp:positionH relativeFrom="column">
              <wp:posOffset>0</wp:posOffset>
            </wp:positionH>
            <wp:positionV relativeFrom="paragraph">
              <wp:posOffset>3289935</wp:posOffset>
            </wp:positionV>
            <wp:extent cx="5543550" cy="4779010"/>
            <wp:effectExtent l="0" t="0" r="6350" b="0"/>
            <wp:wrapTight wrapText="bothSides">
              <wp:wrapPolygon edited="0">
                <wp:start x="0" y="0"/>
                <wp:lineTo x="0" y="21525"/>
                <wp:lineTo x="21575" y="21525"/>
                <wp:lineTo x="21575" y="0"/>
                <wp:lineTo x="0" y="0"/>
              </wp:wrapPolygon>
            </wp:wrapTight>
            <wp:docPr id="39930893"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0893" name="Рисунок 39930893"/>
                    <pic:cNvPicPr/>
                  </pic:nvPicPr>
                  <pic:blipFill>
                    <a:blip r:embed="rId9" cstate="print">
                      <a:extLst>
                        <a:ext uri="{28A0092B-C50C-407E-A947-70E740481C1C}">
                          <a14:useLocalDpi xmlns:a14="http://schemas.microsoft.com/office/drawing/2010/main" val="0"/>
                        </a:ext>
                      </a:extLst>
                    </a:blip>
                    <a:stretch>
                      <a:fillRect/>
                    </a:stretch>
                  </pic:blipFill>
                  <pic:spPr>
                    <a:xfrm>
                      <a:off x="0" y="0"/>
                      <a:ext cx="5543550" cy="4779010"/>
                    </a:xfrm>
                    <a:prstGeom prst="rect">
                      <a:avLst/>
                    </a:prstGeom>
                  </pic:spPr>
                </pic:pic>
              </a:graphicData>
            </a:graphic>
            <wp14:sizeRelH relativeFrom="page">
              <wp14:pctWidth>0</wp14:pctWidth>
            </wp14:sizeRelH>
            <wp14:sizeRelV relativeFrom="page">
              <wp14:pctHeight>0</wp14:pctHeight>
            </wp14:sizeRelV>
          </wp:anchor>
        </w:drawing>
      </w:r>
      <w:r w:rsidR="00EB4434" w:rsidRPr="00762C5E">
        <w:rPr>
          <w:rStyle w:val="ng-star-inserted"/>
          <w:color w:val="000000" w:themeColor="text1"/>
        </w:rPr>
        <w:t>First</w:t>
      </w:r>
      <w:r w:rsidR="00212894" w:rsidRPr="00762C5E">
        <w:rPr>
          <w:rStyle w:val="ng-star-inserted"/>
          <w:color w:val="000000" w:themeColor="text1"/>
        </w:rPr>
        <w:t>, this report considers the life course approach to health and well-being in terms of social factors. Understanding health through a social model, which recognises the profound impact of social conditions on well-being, gained significant traction in the latter part of the twentieth century. During this period, models were developed seeking to systematically account for these ‘wider determinants’ of health (Dahlgren and Whitehead, 2006, p. 20). Figure 1 displays Dahlgren and Whitehead’s (2006) “Main Determinants of Health”, a model that sets out the multifactorial nature of health and the ways that different aspects interconnect. It illustrates how individual lifestyle factors are embedded within social and community networks, highlighting that health is not merely a biological phenomenon but a deeply social one (Dahlgren and Whitehead, 2006). Within this framework, several specific social sub-themes are particularly critical across the lifespan.</w:t>
      </w:r>
    </w:p>
    <w:p w14:paraId="39AFD43A" w14:textId="228C89FF" w:rsidR="002245CF" w:rsidRPr="00762C5E" w:rsidRDefault="006C1E00" w:rsidP="00762C5E">
      <w:pPr>
        <w:spacing w:line="360" w:lineRule="auto"/>
        <w:ind w:firstLine="708"/>
        <w:jc w:val="both"/>
        <w:rPr>
          <w:color w:val="303030"/>
          <w:shd w:val="clear" w:color="auto" w:fill="FFFFFF"/>
          <w:lang w:val="uk-UA"/>
        </w:rPr>
      </w:pPr>
      <w:r w:rsidRPr="00762C5E">
        <w:rPr>
          <w:rStyle w:val="ng-star-inserted"/>
          <w:color w:val="000000" w:themeColor="text1"/>
        </w:rPr>
        <w:t xml:space="preserve">One social factor of particular interest in the life course approach to health and well-being is the impact of family structures and relationships. Children who are exposed to adverse </w:t>
      </w:r>
      <w:r w:rsidRPr="00762C5E">
        <w:rPr>
          <w:rStyle w:val="ng-star-inserted"/>
          <w:color w:val="000000" w:themeColor="text1"/>
        </w:rPr>
        <w:lastRenderedPageBreak/>
        <w:t xml:space="preserve">childhood experiences (ACEs) such as household dysfunction, parental separation, neglect, or domestic abuse suffer from psychological stressors that can disrupt their developing physiological systems (Felitti et al., 1998). This early disruption acts as a major risk factor, increasing their vulnerability to chronic diseases, substance misuse, and mental illness as they progress through the life course (Hughes et al., 2017). </w:t>
      </w:r>
      <w:r w:rsidR="002245CF" w:rsidRPr="00762C5E">
        <w:rPr>
          <w:rStyle w:val="ng-star-inserted"/>
          <w:color w:val="000000" w:themeColor="text1"/>
        </w:rPr>
        <w:t xml:space="preserve">However, it is important to recognise that not all individuals exposed to adverse childhood experiences experience negative outcomes, as resilience, protective relationships, and supportive interventions can moderate these effects. </w:t>
      </w:r>
      <w:r w:rsidRPr="00762C5E">
        <w:rPr>
          <w:rStyle w:val="ng-star-inserted"/>
          <w:color w:val="000000" w:themeColor="text1"/>
        </w:rPr>
        <w:t xml:space="preserve">Addressing these early social determinants is critical to preventing long-term harm, as early intervention can mitigate the </w:t>
      </w:r>
      <w:r w:rsidRPr="00762C5E">
        <w:rPr>
          <w:rStyle w:val="ng-star-inserted"/>
          <w:color w:val="000000" w:themeColor="text1"/>
          <w:shd w:val="clear" w:color="auto" w:fill="FFFFFF"/>
        </w:rPr>
        <w:t xml:space="preserve">biological embedding of toxic stress and improve </w:t>
      </w:r>
      <w:r w:rsidRPr="00762C5E">
        <w:rPr>
          <w:color w:val="303030"/>
        </w:rPr>
        <w:t xml:space="preserve">future health trajectories (Public </w:t>
      </w:r>
      <w:r w:rsidRPr="00762C5E">
        <w:rPr>
          <w:color w:val="303030"/>
          <w:shd w:val="clear" w:color="auto" w:fill="FFFFFF"/>
        </w:rPr>
        <w:t>Health England, 2019).</w:t>
      </w:r>
    </w:p>
    <w:p w14:paraId="335FD847" w14:textId="77777777" w:rsidR="00C537A5" w:rsidRPr="00762C5E" w:rsidRDefault="00C537A5" w:rsidP="00762C5E">
      <w:pPr>
        <w:pStyle w:val="p3"/>
        <w:spacing w:line="360" w:lineRule="auto"/>
        <w:ind w:firstLine="708"/>
        <w:jc w:val="both"/>
        <w:rPr>
          <w:rStyle w:val="ng-star-inserted"/>
          <w:color w:val="000000" w:themeColor="text1"/>
        </w:rPr>
      </w:pPr>
      <w:r w:rsidRPr="00762C5E">
        <w:rPr>
          <w:rStyle w:val="ng-star-inserted"/>
          <w:color w:val="000000" w:themeColor="text1"/>
        </w:rPr>
        <w:t>Another critical social sub-theme is the role of education and early learning programmes in shaping lifelong well-being. The acquisition of cognitive and non-cognitive skills begins early and significantly influences future employment, income, and health behaviours (Heckman et al., 2010). Strategically timed interventions during these critical periods have proven highly effective; for instance, the High/Scope Perry Preschool Program, a targeted early childhood intervention that provided high-quality preschool education to children from disadvantaged communities (Marmot, 2010), demonstrated that providing early educational and psychosocial support yields significant, long-term returns in health, employment, and social behaviour (Heckman et al., 2010). Nevertheless, it must be acknowledged that such targeted early learning programmes can be resource-intensive and may not always be scalable across different socioeconomic and policy contexts. As children grow, schools continue to play a pivotal role by providing ‘whole-child’ support. This approach extends beyond traditional academic achievement to actively promote students' physical and mental health, alongside the ongoing acquisition of non-cognitive and social skills (Marmot, 2010). By bridging the school-home boundary, evidence shows that this type of intervention effectively improves pupil attainment, increases engagement with learning, enhances family stability, and builds emotional resilience to protect against future health inequalities (Marmot, 2010; World Health Organisation, 2024)</w:t>
      </w:r>
    </w:p>
    <w:p w14:paraId="430F54CD" w14:textId="4CE2C9AD" w:rsidR="00834219" w:rsidRPr="00762C5E" w:rsidRDefault="00834219" w:rsidP="00762C5E">
      <w:pPr>
        <w:pStyle w:val="p3"/>
        <w:spacing w:line="360" w:lineRule="auto"/>
        <w:ind w:firstLine="708"/>
        <w:jc w:val="both"/>
        <w:rPr>
          <w:rStyle w:val="ng-star-inserted"/>
          <w:color w:val="000000" w:themeColor="text1"/>
          <w:shd w:val="clear" w:color="auto" w:fill="FFFFFF"/>
        </w:rPr>
      </w:pPr>
      <w:r w:rsidRPr="00762C5E">
        <w:rPr>
          <w:rStyle w:val="ng-star-inserted"/>
          <w:color w:val="000000" w:themeColor="text1"/>
          <w:shd w:val="clear" w:color="auto" w:fill="FFFFFF"/>
        </w:rPr>
        <w:t>Finally, as individuals</w:t>
      </w:r>
      <w:r w:rsidRPr="00762C5E">
        <w:rPr>
          <w:rStyle w:val="ng-star-inserted"/>
          <w:color w:val="000000" w:themeColor="text1"/>
        </w:rPr>
        <w:t xml:space="preserve"> transition into older adulthood, social support networks and community integration emerge as vital protective factors. Life events such as retirement, illness, or bereavement often lead to social isolation, which severely threatens both mental and physical well-being in older age (Public Health England, 2019). Specific research highlights </w:t>
      </w:r>
      <w:r w:rsidRPr="00762C5E">
        <w:rPr>
          <w:rStyle w:val="ng-star-inserted"/>
          <w:color w:val="000000" w:themeColor="text1"/>
        </w:rPr>
        <w:lastRenderedPageBreak/>
        <w:t xml:space="preserve">this severe impact; for example, Public Health England (2019) reports that experiencing social isolation at older ages increases the risk of premature mortality by up to 26%, while several longitudinal studies show that a lack of social networks and participation acts as a precursor to incident cognitive decline and dementia (Marmot, 2010). Consequently, community-based support is essential. Psychosocial interventions, such as structured social gatherings, arts-based activities, and peer-led discussions (Keane et al., 2025), that increase social participation and foster a sense of community can effectively reduce depression, build psychological resilience, and improve overall health trajectories among the elderly (Li et al., 2023). Furthermore, group-based trajectory analysis using data from the Dunedin Multidisciplinary Health and Development Study indicates that socially isolated adults often come from disadvantaged family backgrounds, further highlighting the interconnected nature of social factors across the entire </w:t>
      </w:r>
      <w:r w:rsidRPr="00762C5E">
        <w:rPr>
          <w:rStyle w:val="ng-star-inserted"/>
          <w:color w:val="000000" w:themeColor="text1"/>
          <w:shd w:val="clear" w:color="auto" w:fill="FFFFFF"/>
        </w:rPr>
        <w:t>lifespan (Yay-Lee et al., 2021).</w:t>
      </w:r>
    </w:p>
    <w:p w14:paraId="371B4075" w14:textId="18421EBE" w:rsidR="00834219" w:rsidRPr="00762C5E" w:rsidRDefault="00834219" w:rsidP="00762C5E">
      <w:pPr>
        <w:pStyle w:val="p3"/>
        <w:spacing w:line="360" w:lineRule="auto"/>
        <w:ind w:firstLine="708"/>
        <w:jc w:val="both"/>
        <w:rPr>
          <w:rStyle w:val="ng-star-inserted"/>
          <w:color w:val="000000" w:themeColor="text1"/>
        </w:rPr>
      </w:pPr>
      <w:r w:rsidRPr="00762C5E">
        <w:rPr>
          <w:rStyle w:val="ng-star-inserted"/>
          <w:color w:val="000000" w:themeColor="text1"/>
          <w:shd w:val="clear" w:color="auto" w:fill="FFFFFF"/>
        </w:rPr>
        <w:t>Building</w:t>
      </w:r>
      <w:r w:rsidRPr="00762C5E">
        <w:rPr>
          <w:rStyle w:val="ng-star-inserted"/>
          <w:color w:val="000000" w:themeColor="text1"/>
        </w:rPr>
        <w:t xml:space="preserve"> on this understanding of social influences, the subsequent section will examine the critical role of economic circumstances in shaping health outcomes over the life course.</w:t>
      </w:r>
    </w:p>
    <w:p w14:paraId="2B2CD657" w14:textId="77777777" w:rsidR="00C537A5" w:rsidRPr="00762C5E" w:rsidRDefault="00C537A5" w:rsidP="00762C5E">
      <w:pPr>
        <w:spacing w:line="360" w:lineRule="auto"/>
        <w:jc w:val="both"/>
        <w:rPr>
          <w:b/>
          <w:bCs/>
          <w:color w:val="000000" w:themeColor="text1"/>
        </w:rPr>
      </w:pPr>
    </w:p>
    <w:p w14:paraId="100182E8" w14:textId="01F18FF8" w:rsidR="0041725E" w:rsidRPr="00762C5E" w:rsidRDefault="002B581B" w:rsidP="00762C5E">
      <w:pPr>
        <w:spacing w:line="360" w:lineRule="auto"/>
        <w:jc w:val="both"/>
        <w:rPr>
          <w:rStyle w:val="ng-star-inserted"/>
          <w:b/>
          <w:bCs/>
          <w:color w:val="000000" w:themeColor="text1"/>
        </w:rPr>
      </w:pPr>
      <w:r w:rsidRPr="00762C5E">
        <w:rPr>
          <w:b/>
          <w:bCs/>
          <w:color w:val="000000" w:themeColor="text1"/>
        </w:rPr>
        <w:t>THE LIFE COURSE APPROACH AND ECONOMIC FACTORS</w:t>
      </w:r>
    </w:p>
    <w:p w14:paraId="523873D4" w14:textId="77777777" w:rsidR="00C537A5" w:rsidRPr="00762C5E" w:rsidRDefault="00C537A5" w:rsidP="00762C5E">
      <w:pPr>
        <w:pStyle w:val="p3"/>
        <w:spacing w:line="360" w:lineRule="auto"/>
        <w:ind w:firstLine="708"/>
        <w:jc w:val="both"/>
        <w:rPr>
          <w:rStyle w:val="ng-star-inserted"/>
          <w:color w:val="000000" w:themeColor="text1"/>
        </w:rPr>
      </w:pPr>
      <w:r w:rsidRPr="00762C5E">
        <w:rPr>
          <w:rStyle w:val="ng-star-inserted"/>
          <w:color w:val="000000" w:themeColor="text1"/>
          <w:shd w:val="clear" w:color="auto" w:fill="FFFFFF"/>
        </w:rPr>
        <w:t xml:space="preserve">Economic circumstances, including income inequality and material deprivation, strongly influence health and well-being trajectories across the lifespan. A fundamental driver of health inequality is insufficient income, which adversely affects individuals from the very beginning of life, as low income prevents people from purchasing the goods and services required to maintain health (Marmot, 2010). Child poverty, in particular, has profound intergenerational impacts on long-term educational and physical health outcomes. This occurs because children living in poverty face greater exposure to health-damaging environments, poorer nutrition, and heightened psychosocial stress, which collectively disrupt healthy biological development (Academy of Medical Sciences, 2024). Consequently, this accumulation of early adversity puts children at a higher risk of premature mortality and obesity in later life (Academy of Medical Sciences, 2024; Joseph Rowntree Foundation, 2024). To counteract these risks, research highlights the critical importance of individuals having access to a “Minimum Income for Healthy Living” (MIHL) to ensure they have adequate resources for nutrition, secure housing, physical activity, and social participation across the life course (Marmot, 2010; Marmot et al., 2020). Furthermore, lifelong economic stability heavily depends on avoiding financial “cliff edges” within the welfare system, where state support is withdrawn </w:t>
      </w:r>
      <w:r w:rsidRPr="00762C5E">
        <w:rPr>
          <w:rStyle w:val="ng-star-inserted"/>
          <w:color w:val="000000" w:themeColor="text1"/>
          <w:shd w:val="clear" w:color="auto" w:fill="FFFFFF"/>
        </w:rPr>
        <w:lastRenderedPageBreak/>
        <w:t xml:space="preserve">too rapidly as individuals transition into low-paid work. These 'cliff edges' occur when a small increase in earnings leads to a sudden loss of state benefits, destroying the financial incentive to seek employment and effectively trapping families in a cycle of poverty (Marmot, 2010; Joseph Rowntree Foundation, 2024). </w:t>
      </w:r>
      <w:r w:rsidRPr="00762C5E">
        <w:rPr>
          <w:rStyle w:val="ng-star-inserted"/>
          <w:color w:val="000000" w:themeColor="text1"/>
        </w:rPr>
        <w:t>However, addressing income inequality alone may be insufficient without simultaneously tackling broader structural determinants such as education, housing, and employment opportunities.</w:t>
      </w:r>
    </w:p>
    <w:p w14:paraId="08BAB608" w14:textId="57116ABB" w:rsidR="00CD674C" w:rsidRPr="00762C5E" w:rsidRDefault="00CD674C" w:rsidP="00762C5E">
      <w:pPr>
        <w:pStyle w:val="p3"/>
        <w:spacing w:line="360" w:lineRule="auto"/>
        <w:ind w:firstLine="708"/>
        <w:jc w:val="both"/>
        <w:rPr>
          <w:rStyle w:val="ng-star-inserted"/>
          <w:color w:val="000000" w:themeColor="text1"/>
          <w:shd w:val="clear" w:color="auto" w:fill="FFFFFF"/>
        </w:rPr>
      </w:pPr>
      <w:r w:rsidRPr="00762C5E">
        <w:rPr>
          <w:rStyle w:val="ng-star-inserted"/>
          <w:color w:val="000000" w:themeColor="text1"/>
        </w:rPr>
        <w:t>Employment status</w:t>
      </w:r>
      <w:r w:rsidRPr="00762C5E">
        <w:rPr>
          <w:rStyle w:val="ng-star-inserted"/>
          <w:color w:val="000000" w:themeColor="text1"/>
          <w:shd w:val="clear" w:color="auto" w:fill="FFFFFF"/>
        </w:rPr>
        <w:t xml:space="preserve"> represents another critical economic determinant of lifelong health. Being in good, secure employment is highly protective of physical and mental well-being. </w:t>
      </w:r>
      <w:r w:rsidRPr="00762C5E">
        <w:rPr>
          <w:color w:val="000000" w:themeColor="text1"/>
          <w:shd w:val="clear" w:color="auto" w:fill="FFFFFF"/>
        </w:rPr>
        <w:t>This protective effect occurs because 'good work' provides the financial income necessary to maintain a healthy standard of living, while also fostering a sense of security, social status, and opportunities to participate fully in society (Public Health England, 2019). In contrast,</w:t>
      </w:r>
      <w:r w:rsidRPr="00762C5E">
        <w:rPr>
          <w:rStyle w:val="ng-star-inserted"/>
          <w:color w:val="000000" w:themeColor="text1"/>
          <w:shd w:val="clear" w:color="auto" w:fill="FFFFFF"/>
        </w:rPr>
        <w:t xml:space="preserve"> unemployment contributes significantly to illness, triggering financial distress, anxiety, depression, and the adoption of health-risk behaviours (Marmot, 2010; Marshall, 2024). However, simply securing a job is insufficient; the psychosocial quality of the work environment is equally vital. Jobs characterised by low pay, high instability, and a lack of control over work tasks create severe psychosocial stress that directly contributes to physical and mental illness, such as cardiovascular disease (Marmot, 2010; Public Health England, 2019). Currently, there is a rising trend of economic inactivity due to long-term sickness, primarily driven by mental health issues and musculoskeletal conditions, which further marginalises vulnerable individuals from the labour market and limits their health trajectories (Buckinghamshire Health and Wellbeing Board, 2024; Academy of Medical Sciences, 2024).</w:t>
      </w:r>
    </w:p>
    <w:p w14:paraId="027E5C54" w14:textId="29D65A51" w:rsidR="00001D29" w:rsidRPr="00762C5E" w:rsidRDefault="00001D29" w:rsidP="00762C5E">
      <w:pPr>
        <w:pStyle w:val="p3"/>
        <w:spacing w:line="360" w:lineRule="auto"/>
        <w:ind w:firstLine="708"/>
        <w:jc w:val="both"/>
        <w:rPr>
          <w:rStyle w:val="ng-star-inserted"/>
          <w:color w:val="000000" w:themeColor="text1"/>
          <w:shd w:val="clear" w:color="auto" w:fill="FFFFFF"/>
          <w:lang w:val="uk-UA"/>
        </w:rPr>
      </w:pPr>
      <w:r w:rsidRPr="00762C5E">
        <w:rPr>
          <w:rStyle w:val="ng-star-inserted"/>
          <w:color w:val="000000" w:themeColor="text1"/>
          <w:shd w:val="clear" w:color="auto" w:fill="FFFFFF"/>
          <w:lang w:val="en-GB"/>
        </w:rPr>
        <w:t xml:space="preserve">To address these economic disparities, strategically timed life course interventions are essential. Active Labour Market Programmes (ALMPs), which seek to actively integrate the unemployed into work rather than providing passive income support through mechanisms like wage subsidies and retraining schemes (Marmot, 2010), act as effective interventions by assisting disadvantaged groups, such as the long-term unemployed and lone parents, into sustainable employment through job search assistance and training. </w:t>
      </w:r>
      <w:r w:rsidR="0051188B" w:rsidRPr="00762C5E">
        <w:rPr>
          <w:rStyle w:val="ng-star-inserted"/>
          <w:color w:val="000000" w:themeColor="text1"/>
          <w:shd w:val="clear" w:color="auto" w:fill="FFFFFF"/>
          <w:lang w:val="en-GB"/>
        </w:rPr>
        <w:t>These programmes have demonstrated success in improving psychological well-being; however, their effectiveness may vary depending on implementation and accessibility.</w:t>
      </w:r>
      <w:r w:rsidR="0051188B" w:rsidRPr="00762C5E">
        <w:rPr>
          <w:color w:val="000000" w:themeColor="text1"/>
          <w:shd w:val="clear" w:color="auto" w:fill="FFFFFF"/>
          <w:lang w:val="uk-UA"/>
        </w:rPr>
        <w:t xml:space="preserve"> </w:t>
      </w:r>
      <w:r w:rsidRPr="00762C5E">
        <w:rPr>
          <w:rStyle w:val="ng-star-inserted"/>
          <w:color w:val="000000" w:themeColor="text1"/>
          <w:shd w:val="clear" w:color="auto" w:fill="FFFFFF"/>
          <w:lang w:val="en-GB"/>
        </w:rPr>
        <w:t xml:space="preserve">For example, the Individual Placement and Support (IPS) vocational rehabilitation model has proven highly successful in helping individuals with severe mental illnesses secure and sustain open employment, thereby dramatically improving their recovery rates (Marmot, 2010). Additionally, workplace </w:t>
      </w:r>
      <w:r w:rsidRPr="00762C5E">
        <w:rPr>
          <w:rStyle w:val="ng-star-inserted"/>
          <w:color w:val="000000" w:themeColor="text1"/>
          <w:shd w:val="clear" w:color="auto" w:fill="FFFFFF"/>
          <w:lang w:val="en-GB"/>
        </w:rPr>
        <w:lastRenderedPageBreak/>
        <w:t xml:space="preserve">interventions, such as offering flexible working hours, enabling participatory decision-making through employee committees, and providing occupational health support (Marmot, 2010), that enhance employee control, improve work-life balance, and provide stress management support are crucial for maintaining health and building adult resilience. This is primarily because increasing a worker's autonomy and support directly reduces the severe psychosocial stress that otherwise leads to cardiovascular and mental illnesses (Public Health England, 2019). By implementing progressive fiscal policies, such as adjusting the tax and benefits system to reduce the overall tax burden on lower earners and incentivise work (Marmot, 2010), and ensuring access to fair employment, society can mitigate the biological embedding of economic disadvantage. This embedding occurs when prolonged exposure to financial insecurity triggers chronic, toxic stress, which hyperactivates the body's physiological responses and causes irreversible wear-and-tear on the cardiovascular and immune </w:t>
      </w:r>
      <w:r w:rsidRPr="00762C5E">
        <w:rPr>
          <w:rStyle w:val="ng-star-inserted"/>
          <w:color w:val="000000" w:themeColor="text1"/>
          <w:shd w:val="clear" w:color="auto" w:fill="FFFFFF"/>
        </w:rPr>
        <w:t>systems over time (Tomlinson et al., 2022).</w:t>
      </w:r>
    </w:p>
    <w:p w14:paraId="7098A28C" w14:textId="77777777" w:rsidR="00001D29" w:rsidRPr="00762C5E" w:rsidRDefault="00001D29" w:rsidP="00762C5E">
      <w:pPr>
        <w:pStyle w:val="p3"/>
        <w:spacing w:line="360" w:lineRule="auto"/>
        <w:ind w:firstLine="708"/>
        <w:jc w:val="both"/>
        <w:rPr>
          <w:rStyle w:val="ng-star-inserted"/>
          <w:color w:val="000000" w:themeColor="text1"/>
          <w:shd w:val="clear" w:color="auto" w:fill="FFFFFF"/>
          <w:lang w:val="en-GB"/>
        </w:rPr>
      </w:pPr>
      <w:r w:rsidRPr="00762C5E">
        <w:rPr>
          <w:rStyle w:val="ng-star-inserted"/>
          <w:color w:val="000000" w:themeColor="text1"/>
          <w:shd w:val="clear" w:color="auto" w:fill="FFFFFF"/>
        </w:rPr>
        <w:t>While economic stability is</w:t>
      </w:r>
      <w:r w:rsidRPr="00762C5E">
        <w:rPr>
          <w:rStyle w:val="ng-star-inserted"/>
          <w:color w:val="000000" w:themeColor="text1"/>
          <w:shd w:val="clear" w:color="auto" w:fill="FFFFFF"/>
          <w:lang w:val="en-GB"/>
        </w:rPr>
        <w:t xml:space="preserve"> clearly a fundamental determinant, the physical surroundings in which individuals live also play a vital role. The socio-ecological life course perspective demonstrates that children and adults require 'enabling environments', encompassing safe housing, secure places for recreation, and clean air, to realise their full developmental potential (Tomlinson et al., 2022). Furthermore, addressing these physical characteristics is now recognised as a critical dual opportunity to simultaneously reduce health inequalities and mitigate the long-term impacts of climate change (Marmot, 2010). This interconnectedness leads to the analysis of environmental factors in the next section.</w:t>
      </w:r>
    </w:p>
    <w:p w14:paraId="2AA0BFC9" w14:textId="77777777" w:rsidR="00001D29" w:rsidRPr="00762C5E" w:rsidRDefault="00001D29" w:rsidP="00762C5E">
      <w:pPr>
        <w:spacing w:line="360" w:lineRule="auto"/>
        <w:jc w:val="both"/>
        <w:rPr>
          <w:color w:val="000000" w:themeColor="text1"/>
        </w:rPr>
      </w:pPr>
    </w:p>
    <w:p w14:paraId="6C3BA002" w14:textId="5AFF8C8B" w:rsidR="000806BF" w:rsidRPr="00762C5E" w:rsidRDefault="002B581B" w:rsidP="00762C5E">
      <w:pPr>
        <w:spacing w:line="360" w:lineRule="auto"/>
        <w:jc w:val="both"/>
        <w:rPr>
          <w:b/>
          <w:bCs/>
          <w:color w:val="000000" w:themeColor="text1"/>
        </w:rPr>
      </w:pPr>
      <w:r w:rsidRPr="00762C5E">
        <w:rPr>
          <w:b/>
          <w:bCs/>
          <w:color w:val="000000" w:themeColor="text1"/>
        </w:rPr>
        <w:t>THE LIFE COURSE APPROACH AND ENVIRONMENTAL FACTORS</w:t>
      </w:r>
    </w:p>
    <w:p w14:paraId="7290162B" w14:textId="77777777" w:rsidR="0041725E" w:rsidRPr="00762C5E" w:rsidRDefault="0041725E" w:rsidP="00762C5E">
      <w:pPr>
        <w:spacing w:line="360" w:lineRule="auto"/>
        <w:jc w:val="both"/>
        <w:rPr>
          <w:b/>
          <w:bCs/>
          <w:color w:val="000000" w:themeColor="text1"/>
          <w:lang w:val="uk-UA"/>
        </w:rPr>
      </w:pPr>
    </w:p>
    <w:p w14:paraId="771D26E1" w14:textId="42872834" w:rsidR="0041725E" w:rsidRPr="00762C5E" w:rsidRDefault="00C537A5" w:rsidP="00762C5E">
      <w:pPr>
        <w:spacing w:line="360" w:lineRule="auto"/>
        <w:ind w:firstLine="708"/>
        <w:jc w:val="both"/>
        <w:rPr>
          <w:rStyle w:val="ng-star-inserted"/>
          <w:color w:val="000000" w:themeColor="text1"/>
          <w:lang w:val="en-GB"/>
        </w:rPr>
      </w:pPr>
      <w:r w:rsidRPr="00762C5E">
        <w:rPr>
          <w:rStyle w:val="ng-star-inserted"/>
          <w:color w:val="000000" w:themeColor="text1"/>
          <w:shd w:val="clear" w:color="auto" w:fill="FFFFFF"/>
          <w:lang w:val="en-GB"/>
        </w:rPr>
        <w:t xml:space="preserve">The physical surroundings and built environment in which individuals reside are fundamental determinants that shape their long-term health and well-being trajectories. Housing quality serves as a critical environmental factor; specifically, hazardous conditions such as dampness, overcrowding, and inadequate indoor temperatures are recognised globally as primary triggers for respiratory infections and excess winter mortality (World Health Organisation, 2018). Furthermore, fuel poverty, defined as a household's inability to afford adequate heating, disproportionately impacts vulnerable populations, particularly young children and older adults, thereby worsening both physical illnesses and mental health </w:t>
      </w:r>
      <w:r w:rsidRPr="00762C5E">
        <w:rPr>
          <w:rStyle w:val="ng-star-inserted"/>
          <w:color w:val="000000" w:themeColor="text1"/>
          <w:shd w:val="clear" w:color="auto" w:fill="FFFFFF"/>
          <w:lang w:val="en-GB"/>
        </w:rPr>
        <w:lastRenderedPageBreak/>
        <w:t xml:space="preserve">inequalities (Institute of Health Equity, 2022). Consequently, implementing interventions targeted at the home environment, such as upgrading energy efficiency, enhancing insulation, and ensuring housing designs meet minimum health standards, not only alleviates respiratory conditions but also plays a vital role in reducing social isolation and enabling active, healthy ageing within the community (Public Health England, 2019; World Health Organisation, 2018). </w:t>
      </w:r>
      <w:r w:rsidRPr="00762C5E">
        <w:rPr>
          <w:rStyle w:val="ng-star-inserted"/>
          <w:color w:val="000000" w:themeColor="text1"/>
          <w:lang w:val="en-GB"/>
        </w:rPr>
        <w:t>However, improving housing conditions often requires substantial financial investment, which can limit the implementation of large-scale interventions.</w:t>
      </w:r>
    </w:p>
    <w:p w14:paraId="379866FB" w14:textId="77777777" w:rsidR="00C537A5" w:rsidRPr="00762C5E" w:rsidRDefault="00C537A5" w:rsidP="00762C5E">
      <w:pPr>
        <w:spacing w:line="360" w:lineRule="auto"/>
        <w:ind w:firstLine="708"/>
        <w:jc w:val="both"/>
        <w:rPr>
          <w:rStyle w:val="ng-star-inserted"/>
          <w:color w:val="0E0E0E"/>
        </w:rPr>
      </w:pPr>
    </w:p>
    <w:p w14:paraId="787A5DC0" w14:textId="152DB269" w:rsidR="0026306D" w:rsidRPr="00762C5E" w:rsidRDefault="0026306D" w:rsidP="00762C5E">
      <w:pPr>
        <w:spacing w:line="360" w:lineRule="auto"/>
        <w:ind w:firstLine="708"/>
        <w:jc w:val="both"/>
        <w:rPr>
          <w:rStyle w:val="ng-star-inserted"/>
          <w:color w:val="000000" w:themeColor="text1"/>
          <w:shd w:val="clear" w:color="auto" w:fill="FFFFFF"/>
        </w:rPr>
      </w:pPr>
      <w:r w:rsidRPr="00762C5E">
        <w:rPr>
          <w:rStyle w:val="ng-star-inserted"/>
          <w:color w:val="000000" w:themeColor="text1"/>
          <w:shd w:val="clear" w:color="auto" w:fill="FFFFFF"/>
        </w:rPr>
        <w:t>Beyond the home,</w:t>
      </w:r>
      <w:r w:rsidRPr="00762C5E">
        <w:rPr>
          <w:color w:val="000000" w:themeColor="text1"/>
        </w:rPr>
        <w:t xml:space="preserve"> access to high-quality green spaces and safe urban environments plays a vital role in shaping lifelong health. Proximity to parks and natural environments acts as a powerful protective factor; evidence demonstrates that income-related health inequalities, particularly mortality from circulatory diseases, are significantly lower among populations living in the greenest areas (Mitchell and Popham, 2008). </w:t>
      </w:r>
      <w:r w:rsidR="0041725E" w:rsidRPr="00762C5E">
        <w:rPr>
          <w:color w:val="000000" w:themeColor="text1"/>
        </w:rPr>
        <w:t xml:space="preserve">However, access to such environments remains unequally distributed, reflecting wider structural inequalities. </w:t>
      </w:r>
      <w:r w:rsidRPr="00762C5E">
        <w:rPr>
          <w:color w:val="000000" w:themeColor="text1"/>
        </w:rPr>
        <w:t xml:space="preserve">Ensuring equitable access is crucial, as individuals from lower socioeconomic </w:t>
      </w:r>
      <w:r w:rsidR="0041725E" w:rsidRPr="00762C5E">
        <w:rPr>
          <w:color w:val="000000" w:themeColor="text1"/>
          <w:lang w:val="en-US"/>
        </w:rPr>
        <w:t>background</w:t>
      </w:r>
      <w:r w:rsidRPr="00762C5E">
        <w:rPr>
          <w:color w:val="000000" w:themeColor="text1"/>
        </w:rPr>
        <w:t xml:space="preserve">s currently visit green spaces far less frequently (Department for Environment, Food and Rural Affairs, 2009). Additionally, child-friendly urban design and active travel infrastructure, including safe walking and cycling routes, are essential life course interventions (Tomlinson et al., 2022). These environmental modifications not only combat the rising trend of childhood obesity but also enhance </w:t>
      </w:r>
      <w:r w:rsidR="0041725E" w:rsidRPr="00762C5E">
        <w:rPr>
          <w:color w:val="000000" w:themeColor="text1"/>
        </w:rPr>
        <w:t xml:space="preserve">the </w:t>
      </w:r>
      <w:r w:rsidRPr="00762C5E">
        <w:rPr>
          <w:color w:val="000000" w:themeColor="text1"/>
        </w:rPr>
        <w:t xml:space="preserve">functional ability and </w:t>
      </w:r>
      <w:r w:rsidRPr="00762C5E">
        <w:rPr>
          <w:rStyle w:val="ng-star-inserted"/>
          <w:color w:val="000000" w:themeColor="text1"/>
          <w:shd w:val="clear" w:color="auto" w:fill="FFFFFF"/>
        </w:rPr>
        <w:t xml:space="preserve">intrinsic capacity </w:t>
      </w:r>
      <w:r w:rsidR="0041725E" w:rsidRPr="00762C5E">
        <w:rPr>
          <w:rStyle w:val="ng-star-inserted"/>
          <w:color w:val="000000" w:themeColor="text1"/>
          <w:shd w:val="clear" w:color="auto" w:fill="FFFFFF"/>
        </w:rPr>
        <w:t>of</w:t>
      </w:r>
      <w:r w:rsidRPr="00762C5E">
        <w:rPr>
          <w:rStyle w:val="ng-star-inserted"/>
          <w:color w:val="000000" w:themeColor="text1"/>
          <w:shd w:val="clear" w:color="auto" w:fill="FFFFFF"/>
        </w:rPr>
        <w:t xml:space="preserve"> older adults by ensuring safe, accessible communities (Public Health England, 2019).</w:t>
      </w:r>
    </w:p>
    <w:p w14:paraId="511EF4F2" w14:textId="77777777" w:rsidR="0041725E" w:rsidRPr="00762C5E" w:rsidRDefault="0041725E" w:rsidP="00762C5E">
      <w:pPr>
        <w:spacing w:line="360" w:lineRule="auto"/>
        <w:ind w:firstLine="708"/>
        <w:jc w:val="both"/>
        <w:rPr>
          <w:rStyle w:val="ng-star-inserted"/>
          <w:color w:val="0E0E0E"/>
          <w:lang w:val="en-US"/>
        </w:rPr>
      </w:pPr>
    </w:p>
    <w:p w14:paraId="7AC3B9CE" w14:textId="77777777" w:rsidR="00C537A5" w:rsidRPr="00762C5E" w:rsidRDefault="00C537A5" w:rsidP="00762C5E">
      <w:pPr>
        <w:spacing w:line="360" w:lineRule="auto"/>
        <w:ind w:firstLine="708"/>
        <w:jc w:val="both"/>
        <w:rPr>
          <w:color w:val="000000" w:themeColor="text1"/>
        </w:rPr>
      </w:pPr>
      <w:r w:rsidRPr="00762C5E">
        <w:rPr>
          <w:color w:val="000000" w:themeColor="text1"/>
        </w:rPr>
        <w:t xml:space="preserve">Finally, overarching environmental threats such as poor air quality and climate change present unprecedented risks to public health, disproportionately impacting disadvantaged populations. This disproportionate impact occurs because poorer communities tend to experience much higher concentrations of pollution, with the majority of airborne carcinogenic chemicals being released in the most deprived wards (Marmot, 2010). Furthermore, low-income populations often reside in densely populated urban areas and housing that is less well protected against weather extremes (Marmot, 2010). Exposure to outdoor air pollution and toxic emissions is a primary driver of chronic cardio-respiratory morbidity and mortality from early childhood into later life (Mikkelsen et al., 2019; Marmot, 2010). Consequently, aligning public health strategies with sustainable development and climate change mitigation is imperative (Marmot, 2010). Interventions, such as the implementation of urban Congestion Charges, 20mph traffic-calming zones, and the expansion of active travel networks (Tonne et </w:t>
      </w:r>
      <w:r w:rsidRPr="00762C5E">
        <w:rPr>
          <w:color w:val="000000" w:themeColor="text1"/>
        </w:rPr>
        <w:lastRenderedPageBreak/>
        <w:t>al., 2008; Grundy et al., 2009), that reduce carbon emissions, promote clean energy, and establish smoke-free public spaces yield mutual benefits, protecting vulnerable generations while fostering healthier, more resilient communities (Tomlinson et al., 2022). However, policy responses to environmental challenges are often fragmented, limiting their effectiveness in addressing health inequalities.</w:t>
      </w:r>
    </w:p>
    <w:p w14:paraId="64D5B259" w14:textId="77777777" w:rsidR="00C537A5" w:rsidRPr="00762C5E" w:rsidRDefault="00C537A5" w:rsidP="00762C5E">
      <w:pPr>
        <w:spacing w:line="360" w:lineRule="auto"/>
        <w:ind w:firstLine="708"/>
        <w:jc w:val="both"/>
        <w:rPr>
          <w:b/>
          <w:bCs/>
          <w:color w:val="303030"/>
          <w:shd w:val="clear" w:color="auto" w:fill="FFFFFF"/>
        </w:rPr>
      </w:pPr>
    </w:p>
    <w:p w14:paraId="0A30A13E" w14:textId="41BC0341" w:rsidR="0026306D" w:rsidRPr="00762C5E" w:rsidRDefault="0026306D" w:rsidP="00762C5E">
      <w:pPr>
        <w:spacing w:line="360" w:lineRule="auto"/>
        <w:ind w:firstLine="708"/>
        <w:jc w:val="both"/>
        <w:rPr>
          <w:color w:val="000000" w:themeColor="text1"/>
        </w:rPr>
      </w:pPr>
      <w:r w:rsidRPr="00762C5E">
        <w:rPr>
          <w:color w:val="000000" w:themeColor="text1"/>
        </w:rPr>
        <w:t>Having evaluated the cumulative impact of social, economic, and environmental determinants, it is evident that a person's health trajectory is shaped by a complex, interconnected ecosystem of lifelong exposures (Tomlinson et al., 2022). As demonstrated throughout this report, addressing these wider determinants ranging from early childhood adversity to workplace quality and housing conditions is essential for mitigating health inequalities and preventing chronic diseases (Marmot, 2010; Public Health England, 2019). Therefore, the final section of this report will draw overall conclusions and present evidence-based recommendations for advancing the life course approach in policy, practice, education, and future research to ensure equitable health outcomes across all life stages (World Health Organisation, 2025).</w:t>
      </w:r>
    </w:p>
    <w:p w14:paraId="06A68C76" w14:textId="77777777" w:rsidR="0026306D" w:rsidRPr="00762C5E" w:rsidRDefault="0026306D" w:rsidP="00762C5E">
      <w:pPr>
        <w:spacing w:line="360" w:lineRule="auto"/>
        <w:jc w:val="both"/>
        <w:rPr>
          <w:color w:val="000000" w:themeColor="text1"/>
        </w:rPr>
      </w:pPr>
    </w:p>
    <w:p w14:paraId="2594E0D1" w14:textId="77777777" w:rsidR="00212894" w:rsidRPr="00762C5E" w:rsidRDefault="00212894" w:rsidP="00762C5E">
      <w:pPr>
        <w:spacing w:line="360" w:lineRule="auto"/>
        <w:jc w:val="both"/>
        <w:rPr>
          <w:b/>
          <w:bCs/>
          <w:color w:val="000000" w:themeColor="text1"/>
        </w:rPr>
      </w:pPr>
    </w:p>
    <w:p w14:paraId="1D10591B" w14:textId="77777777" w:rsidR="001056EB" w:rsidRPr="00762C5E" w:rsidRDefault="001056EB" w:rsidP="00762C5E">
      <w:pPr>
        <w:spacing w:line="360" w:lineRule="auto"/>
        <w:ind w:firstLine="708"/>
        <w:jc w:val="both"/>
        <w:rPr>
          <w:rStyle w:val="ng-star-inserted"/>
          <w:color w:val="000000" w:themeColor="text1"/>
        </w:rPr>
      </w:pPr>
    </w:p>
    <w:p w14:paraId="69344B22" w14:textId="77777777" w:rsidR="00526DDD" w:rsidRPr="00762C5E" w:rsidRDefault="00526DDD" w:rsidP="00762C5E">
      <w:pPr>
        <w:spacing w:line="360" w:lineRule="auto"/>
        <w:jc w:val="both"/>
        <w:rPr>
          <w:b/>
          <w:bCs/>
          <w:color w:val="000000" w:themeColor="text1"/>
        </w:rPr>
        <w:sectPr w:rsidR="00526DDD" w:rsidRPr="00762C5E">
          <w:footerReference w:type="default" r:id="rId10"/>
          <w:pgSz w:w="11906" w:h="16838"/>
          <w:pgMar w:top="1440" w:right="1440" w:bottom="1440" w:left="1440" w:header="708" w:footer="708" w:gutter="0"/>
          <w:cols w:space="708"/>
          <w:docGrid w:linePitch="360"/>
        </w:sectPr>
      </w:pPr>
    </w:p>
    <w:p w14:paraId="72B596C7" w14:textId="1021375D" w:rsidR="00526DDD" w:rsidRPr="00762C5E" w:rsidRDefault="002F5BE2" w:rsidP="00762C5E">
      <w:pPr>
        <w:spacing w:line="360" w:lineRule="auto"/>
        <w:jc w:val="both"/>
        <w:rPr>
          <w:b/>
          <w:bCs/>
          <w:color w:val="000000" w:themeColor="text1"/>
        </w:rPr>
      </w:pPr>
      <w:r w:rsidRPr="00762C5E">
        <w:rPr>
          <w:b/>
          <w:bCs/>
          <w:color w:val="000000" w:themeColor="text1"/>
        </w:rPr>
        <w:lastRenderedPageBreak/>
        <w:t>CONCLUSIONS AND RECOMMENDATIONS</w:t>
      </w:r>
    </w:p>
    <w:p w14:paraId="3B2B7795" w14:textId="0CA62B75" w:rsidR="003A55BF" w:rsidRPr="00762C5E" w:rsidRDefault="00C30850" w:rsidP="00762C5E">
      <w:pPr>
        <w:pStyle w:val="p3"/>
        <w:spacing w:line="360" w:lineRule="auto"/>
        <w:ind w:firstLine="708"/>
        <w:jc w:val="both"/>
        <w:rPr>
          <w:rStyle w:val="ng-star-inserted"/>
          <w:color w:val="000000" w:themeColor="text1"/>
          <w:shd w:val="clear" w:color="auto" w:fill="FFFFFF"/>
          <w:lang w:val="uk-UA"/>
        </w:rPr>
      </w:pPr>
      <w:r w:rsidRPr="00762C5E">
        <w:rPr>
          <w:rStyle w:val="ng-star-inserted"/>
          <w:color w:val="000000" w:themeColor="text1"/>
          <w:shd w:val="clear" w:color="auto" w:fill="FFFFFF"/>
        </w:rPr>
        <w:t xml:space="preserve">In summary, this report has explored the life course approach by evaluating how various wider determinants impact lifelong health. The analysis began with social determinants, highlighting the protective role of early childhood development and strong support networks, alongside the prevention of adverse childhood experiences (ACEs). It then examined economic factors, highlighting that adequate income and good quality employment are vital for breaking intergenerational cycles of poverty. Finally, the report analysed environmental determinants, demonstrating how housing conditions, access to green spaces, and air quality profoundly shape long-term health. </w:t>
      </w:r>
      <w:r w:rsidR="003A55BF" w:rsidRPr="00762C5E">
        <w:rPr>
          <w:rStyle w:val="ng-star-inserted"/>
          <w:color w:val="303030"/>
          <w:shd w:val="clear" w:color="auto" w:fill="FFFFFF"/>
        </w:rPr>
        <w:t xml:space="preserve">The central conclusion is that achieving the goal of 'living well' requires recognising the cumulative impact of these wider determinants. </w:t>
      </w:r>
      <w:bookmarkStart w:id="0" w:name="OLE_LINK2"/>
      <w:r w:rsidR="003A55BF" w:rsidRPr="00762C5E">
        <w:rPr>
          <w:color w:val="303030"/>
          <w:shd w:val="clear" w:color="auto" w:fill="FFFFFF"/>
        </w:rPr>
        <w:t>As Duxbury (2026</w:t>
      </w:r>
      <w:r w:rsidR="00C20D5E" w:rsidRPr="00762C5E">
        <w:rPr>
          <w:color w:val="303030"/>
          <w:shd w:val="clear" w:color="auto" w:fill="FFFFFF"/>
          <w:lang w:val="en-US"/>
        </w:rPr>
        <w:t>a</w:t>
      </w:r>
      <w:r w:rsidR="003A55BF" w:rsidRPr="00762C5E">
        <w:rPr>
          <w:color w:val="303030"/>
          <w:shd w:val="clear" w:color="auto" w:fill="FFFFFF"/>
        </w:rPr>
        <w:t>) emphasises, implementing a life course approach and intervening at critical periods can significantly contribute to longer lives in good health and increased well-being.</w:t>
      </w:r>
      <w:r w:rsidR="003A55BF" w:rsidRPr="00762C5E">
        <w:rPr>
          <w:rStyle w:val="ng-star-inserted"/>
          <w:color w:val="303030"/>
          <w:shd w:val="clear" w:color="auto" w:fill="FFFFFF"/>
        </w:rPr>
        <w:t xml:space="preserve"> </w:t>
      </w:r>
      <w:bookmarkEnd w:id="0"/>
      <w:r w:rsidR="003A55BF" w:rsidRPr="00762C5E">
        <w:rPr>
          <w:rStyle w:val="ng-star-inserted"/>
          <w:color w:val="303030"/>
          <w:shd w:val="clear" w:color="auto" w:fill="FFFFFF"/>
        </w:rPr>
        <w:t>Strategically timed, holistic interventions are therefore essential to optimise health trajectories, reduce inequalities, and ensure health equity across the lifespan.</w:t>
      </w:r>
    </w:p>
    <w:p w14:paraId="545BC1B2" w14:textId="252366DC" w:rsidR="002F5BE2" w:rsidRPr="00762C5E" w:rsidRDefault="00C30850" w:rsidP="00762C5E">
      <w:pPr>
        <w:spacing w:line="360" w:lineRule="auto"/>
        <w:ind w:firstLine="708"/>
        <w:jc w:val="both"/>
        <w:rPr>
          <w:rStyle w:val="ng-star-inserted"/>
          <w:color w:val="0E0E0E"/>
        </w:rPr>
      </w:pPr>
      <w:r w:rsidRPr="00762C5E">
        <w:rPr>
          <w:rStyle w:val="ng-star-inserted"/>
          <w:color w:val="000000" w:themeColor="text1"/>
          <w:shd w:val="clear" w:color="auto" w:fill="FFFFFF"/>
        </w:rPr>
        <w:t>While current global investments demonstrate a clear commitment to optimising health across life stages and addressing demographic shifts, this review has identified several areas requiring further enhancement.</w:t>
      </w:r>
      <w:r w:rsidR="0041725E" w:rsidRPr="00762C5E">
        <w:rPr>
          <w:rStyle w:val="ng-star-inserted"/>
          <w:color w:val="000000" w:themeColor="text1"/>
          <w:shd w:val="clear" w:color="auto" w:fill="FFFFFF"/>
        </w:rPr>
        <w:t xml:space="preserve"> However, despite increasing recognition of the life course approach, significant challenges remain in achieving coordinated, multi-sectoral action across policy, practice, and research.</w:t>
      </w:r>
      <w:r w:rsidRPr="00762C5E">
        <w:rPr>
          <w:rStyle w:val="ng-star-inserted"/>
          <w:color w:val="000000" w:themeColor="text1"/>
          <w:shd w:val="clear" w:color="auto" w:fill="FFFFFF"/>
        </w:rPr>
        <w:t xml:space="preserve"> Consequently, the following recommendations are proposed to strengthen future policy, professional practice, educational initiatives, and research endeavours. To support these proposals, </w:t>
      </w:r>
      <w:r w:rsidR="0051188B" w:rsidRPr="00762C5E">
        <w:rPr>
          <w:rStyle w:val="ng-star-inserted"/>
          <w:color w:val="000000" w:themeColor="text1"/>
          <w:shd w:val="clear" w:color="auto" w:fill="FFFFFF"/>
        </w:rPr>
        <w:t xml:space="preserve">(see </w:t>
      </w:r>
      <w:r w:rsidRPr="00762C5E">
        <w:rPr>
          <w:rStyle w:val="ng-star-inserted"/>
          <w:color w:val="000000" w:themeColor="text1"/>
          <w:shd w:val="clear" w:color="auto" w:fill="FFFFFF"/>
        </w:rPr>
        <w:t>Appendix 1</w:t>
      </w:r>
      <w:r w:rsidR="0051188B" w:rsidRPr="00762C5E">
        <w:rPr>
          <w:rStyle w:val="ng-star-inserted"/>
          <w:color w:val="000000" w:themeColor="text1"/>
          <w:shd w:val="clear" w:color="auto" w:fill="FFFFFF"/>
        </w:rPr>
        <w:t>)</w:t>
      </w:r>
      <w:r w:rsidRPr="00762C5E">
        <w:rPr>
          <w:rStyle w:val="ng-star-inserted"/>
          <w:color w:val="000000" w:themeColor="text1"/>
          <w:shd w:val="clear" w:color="auto" w:fill="FFFFFF"/>
        </w:rPr>
        <w:t xml:space="preserve"> provides a systematic tabular overview categorising the recommended interventions, while </w:t>
      </w:r>
      <w:r w:rsidR="0051188B" w:rsidRPr="00762C5E">
        <w:rPr>
          <w:rStyle w:val="ng-star-inserted"/>
          <w:color w:val="000000" w:themeColor="text1"/>
          <w:shd w:val="clear" w:color="auto" w:fill="FFFFFF"/>
        </w:rPr>
        <w:t xml:space="preserve">(see </w:t>
      </w:r>
      <w:r w:rsidRPr="00762C5E">
        <w:rPr>
          <w:rStyle w:val="ng-star-inserted"/>
          <w:color w:val="000000" w:themeColor="text1"/>
          <w:shd w:val="clear" w:color="auto" w:fill="FFFFFF"/>
        </w:rPr>
        <w:t>Appendix 2</w:t>
      </w:r>
      <w:r w:rsidR="0051188B" w:rsidRPr="00762C5E">
        <w:rPr>
          <w:rStyle w:val="ng-star-inserted"/>
          <w:color w:val="000000" w:themeColor="text1"/>
          <w:shd w:val="clear" w:color="auto" w:fill="FFFFFF"/>
        </w:rPr>
        <w:t>)</w:t>
      </w:r>
      <w:r w:rsidRPr="00762C5E">
        <w:rPr>
          <w:rStyle w:val="ng-star-inserted"/>
          <w:color w:val="000000" w:themeColor="text1"/>
          <w:shd w:val="clear" w:color="auto" w:fill="FFFFFF"/>
        </w:rPr>
        <w:t xml:space="preserve"> offers a visual framework mapping the wider determinants of health across the lifespan.</w:t>
      </w:r>
    </w:p>
    <w:p w14:paraId="66F880F8" w14:textId="623F1CA5" w:rsidR="00526DDD" w:rsidRPr="00762C5E" w:rsidRDefault="00526DDD" w:rsidP="00762C5E">
      <w:pPr>
        <w:spacing w:line="360" w:lineRule="auto"/>
        <w:jc w:val="both"/>
        <w:rPr>
          <w:color w:val="000000" w:themeColor="text1"/>
        </w:rPr>
      </w:pPr>
      <w:r w:rsidRPr="00762C5E">
        <w:rPr>
          <w:b/>
          <w:bCs/>
          <w:color w:val="000000" w:themeColor="text1"/>
        </w:rPr>
        <w:t>In terms of policy, firstly:</w:t>
      </w:r>
    </w:p>
    <w:p w14:paraId="21063439" w14:textId="77777777" w:rsidR="00E74E6D" w:rsidRPr="00762C5E" w:rsidRDefault="00E74E6D" w:rsidP="00762C5E">
      <w:pPr>
        <w:pStyle w:val="paragraph"/>
        <w:numPr>
          <w:ilvl w:val="0"/>
          <w:numId w:val="17"/>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Careful consideration should be given to issues of resourcing, with adequate funds made available for the implementation of the life course interventions identified in this report, such as early educational programmes and Active Labour Market Programmes (ALMPs).</w:t>
      </w:r>
    </w:p>
    <w:p w14:paraId="060E2B2E" w14:textId="77777777" w:rsidR="00E74E6D" w:rsidRPr="00762C5E" w:rsidRDefault="00E74E6D" w:rsidP="00762C5E">
      <w:pPr>
        <w:pStyle w:val="paragraph"/>
        <w:numPr>
          <w:ilvl w:val="0"/>
          <w:numId w:val="17"/>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New policies should be introduced to prioritise early childhood development and the prevention of Adverse Childhood Experiences (ACEs), ensuring vulnerable families receive timely, integrated support.</w:t>
      </w:r>
    </w:p>
    <w:p w14:paraId="689B273A" w14:textId="77777777" w:rsidR="00E74E6D" w:rsidRPr="00762C5E" w:rsidRDefault="00E74E6D" w:rsidP="00762C5E">
      <w:pPr>
        <w:pStyle w:val="paragraph"/>
        <w:numPr>
          <w:ilvl w:val="0"/>
          <w:numId w:val="17"/>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lastRenderedPageBreak/>
        <w:t>National and local governments should reform the welfare and tax systems to eliminate financial 'cliff edges' that trap families in poverty, and establish a 'Minimum Income for Healthy Living' (MIHL) across the social gradient.</w:t>
      </w:r>
    </w:p>
    <w:p w14:paraId="6B50255A" w14:textId="520DFFE4" w:rsidR="00526DDD" w:rsidRPr="00762C5E" w:rsidRDefault="00E74E6D" w:rsidP="00762C5E">
      <w:pPr>
        <w:pStyle w:val="paragraph"/>
        <w:numPr>
          <w:ilvl w:val="0"/>
          <w:numId w:val="17"/>
        </w:numPr>
        <w:shd w:val="clear" w:color="auto" w:fill="FFFFFF"/>
        <w:spacing w:line="360" w:lineRule="auto"/>
        <w:jc w:val="both"/>
        <w:rPr>
          <w:color w:val="000000" w:themeColor="text1"/>
          <w:shd w:val="clear" w:color="auto" w:fill="FFFFFF"/>
        </w:rPr>
      </w:pPr>
      <w:r w:rsidRPr="00762C5E">
        <w:rPr>
          <w:rStyle w:val="ng-star-inserted"/>
          <w:color w:val="000000" w:themeColor="text1"/>
          <w:shd w:val="clear" w:color="auto" w:fill="FFFFFF"/>
        </w:rPr>
        <w:t>Policymakers must integrate housing, transport, and health strategies to mandate minimum housing standards, improve energy-efficient homes, and expand active travel networks and Ultra-Low Emission Zones (ULEZ), thereby mitigating both health inequalities and climate change.</w:t>
      </w:r>
    </w:p>
    <w:p w14:paraId="426553B2" w14:textId="07232BB3" w:rsidR="00526DDD" w:rsidRPr="00762C5E" w:rsidRDefault="00526DDD" w:rsidP="00762C5E">
      <w:pPr>
        <w:spacing w:line="360" w:lineRule="auto"/>
        <w:jc w:val="both"/>
        <w:rPr>
          <w:color w:val="000000" w:themeColor="text1"/>
        </w:rPr>
      </w:pPr>
      <w:r w:rsidRPr="00762C5E">
        <w:rPr>
          <w:b/>
          <w:bCs/>
          <w:color w:val="000000" w:themeColor="text1"/>
        </w:rPr>
        <w:t>In terms of practice, secondly:</w:t>
      </w:r>
    </w:p>
    <w:p w14:paraId="1A3495F9" w14:textId="77777777" w:rsidR="00E74E6D" w:rsidRPr="00762C5E" w:rsidRDefault="00E74E6D" w:rsidP="00762C5E">
      <w:pPr>
        <w:pStyle w:val="paragraph"/>
        <w:numPr>
          <w:ilvl w:val="0"/>
          <w:numId w:val="18"/>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Funds should be made available to allow for the training of front-line practitioners to learn about how to better implement the specific life course interventions discussed in this report, ensuring they can effectively identify vulnerabilities such as psychosocial stress.</w:t>
      </w:r>
    </w:p>
    <w:p w14:paraId="6E6A3BC9" w14:textId="77777777" w:rsidR="00E74E6D" w:rsidRPr="00762C5E" w:rsidRDefault="00E74E6D" w:rsidP="00762C5E">
      <w:pPr>
        <w:pStyle w:val="paragraph"/>
        <w:numPr>
          <w:ilvl w:val="0"/>
          <w:numId w:val="18"/>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Health and social care practitioners should adopt holistic, community-based models of care that look beyond clinical treatments to actively combat social isolation, particularly among older adults.</w:t>
      </w:r>
    </w:p>
    <w:p w14:paraId="7C846F0C" w14:textId="77777777" w:rsidR="00E74E6D" w:rsidRPr="00762C5E" w:rsidRDefault="00E74E6D" w:rsidP="00762C5E">
      <w:pPr>
        <w:pStyle w:val="paragraph"/>
        <w:numPr>
          <w:ilvl w:val="0"/>
          <w:numId w:val="18"/>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Maternity and early years services must implement early, targeted interventions to identify and support families experiencing Adverse Childhood Experiences (ACEs) to prevent the biological embedding of toxic stress.</w:t>
      </w:r>
    </w:p>
    <w:p w14:paraId="0F15506A" w14:textId="77777777" w:rsidR="00526DDD" w:rsidRPr="00762C5E" w:rsidRDefault="00526DDD" w:rsidP="00762C5E">
      <w:pPr>
        <w:spacing w:line="360" w:lineRule="auto"/>
        <w:jc w:val="both"/>
        <w:rPr>
          <w:color w:val="000000" w:themeColor="text1"/>
        </w:rPr>
      </w:pPr>
      <w:r w:rsidRPr="00762C5E">
        <w:rPr>
          <w:b/>
          <w:bCs/>
          <w:color w:val="000000" w:themeColor="text1"/>
        </w:rPr>
        <w:t>In terms of education, thirdly:</w:t>
      </w:r>
    </w:p>
    <w:p w14:paraId="465ED950" w14:textId="77777777" w:rsidR="00DF2012" w:rsidRPr="00762C5E" w:rsidRDefault="00DF2012" w:rsidP="00762C5E">
      <w:pPr>
        <w:pStyle w:val="paragraph"/>
        <w:numPr>
          <w:ilvl w:val="0"/>
          <w:numId w:val="19"/>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Schools should adopt a 'whole-child' approach to education by providing extended services that build emotional resilience and bridge the school-home boundary.</w:t>
      </w:r>
    </w:p>
    <w:p w14:paraId="3FC3AF80" w14:textId="77777777" w:rsidR="00DF2012" w:rsidRPr="00762C5E" w:rsidRDefault="00DF2012" w:rsidP="00762C5E">
      <w:pPr>
        <w:pStyle w:val="paragraph"/>
        <w:numPr>
          <w:ilvl w:val="0"/>
          <w:numId w:val="19"/>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Access to Active Labour Market Programmes (ALMPs) and work-based training must be expanded to equip disadvantaged groups with the skills necessary to secure good-quality, sustainable employment.</w:t>
      </w:r>
    </w:p>
    <w:p w14:paraId="7AD5B88A" w14:textId="77777777" w:rsidR="00526DDD" w:rsidRPr="00762C5E" w:rsidRDefault="00526DDD" w:rsidP="00762C5E">
      <w:pPr>
        <w:spacing w:line="360" w:lineRule="auto"/>
        <w:jc w:val="both"/>
        <w:rPr>
          <w:color w:val="000000" w:themeColor="text1"/>
        </w:rPr>
      </w:pPr>
      <w:r w:rsidRPr="00762C5E">
        <w:rPr>
          <w:b/>
          <w:bCs/>
          <w:color w:val="000000" w:themeColor="text1"/>
        </w:rPr>
        <w:t>In terms of future research, fourthly:</w:t>
      </w:r>
    </w:p>
    <w:p w14:paraId="0369EBB7" w14:textId="77777777" w:rsidR="004B0D6A" w:rsidRPr="00762C5E" w:rsidRDefault="004B0D6A" w:rsidP="00762C5E">
      <w:pPr>
        <w:pStyle w:val="paragraph"/>
        <w:numPr>
          <w:ilvl w:val="0"/>
          <w:numId w:val="20"/>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t>Further longitudinal research should be conducted to evaluate the long-term health impacts and cost-effectiveness of specific early childhood and psychosocial interventions.</w:t>
      </w:r>
    </w:p>
    <w:p w14:paraId="1184804F" w14:textId="77777777" w:rsidR="004B0D6A" w:rsidRPr="00762C5E" w:rsidRDefault="004B0D6A" w:rsidP="00762C5E">
      <w:pPr>
        <w:pStyle w:val="paragraph"/>
        <w:numPr>
          <w:ilvl w:val="0"/>
          <w:numId w:val="20"/>
        </w:numPr>
        <w:shd w:val="clear" w:color="auto" w:fill="FFFFFF"/>
        <w:spacing w:line="360" w:lineRule="auto"/>
        <w:jc w:val="both"/>
        <w:rPr>
          <w:rStyle w:val="ng-star-inserted"/>
          <w:color w:val="000000" w:themeColor="text1"/>
          <w:shd w:val="clear" w:color="auto" w:fill="FFFFFF"/>
        </w:rPr>
      </w:pPr>
      <w:r w:rsidRPr="00762C5E">
        <w:rPr>
          <w:rStyle w:val="ng-star-inserted"/>
          <w:color w:val="000000" w:themeColor="text1"/>
          <w:shd w:val="clear" w:color="auto" w:fill="FFFFFF"/>
        </w:rPr>
        <w:lastRenderedPageBreak/>
        <w:t>Future studies must consistently investigate how specific environmental modifications (such as expanding green spaces and reducing air pollution) actively reduce the social gradient in health inequalities.</w:t>
      </w:r>
    </w:p>
    <w:p w14:paraId="62A3856A" w14:textId="77777777" w:rsidR="007810C7" w:rsidRPr="00762C5E" w:rsidRDefault="007810C7" w:rsidP="003A55BF">
      <w:pPr>
        <w:spacing w:line="360" w:lineRule="auto"/>
        <w:jc w:val="both"/>
        <w:rPr>
          <w:color w:val="000000" w:themeColor="text1"/>
        </w:rPr>
        <w:sectPr w:rsidR="007810C7" w:rsidRPr="00762C5E">
          <w:pgSz w:w="11906" w:h="16838"/>
          <w:pgMar w:top="1440" w:right="1440" w:bottom="1440" w:left="1440" w:header="708" w:footer="708" w:gutter="0"/>
          <w:cols w:space="708"/>
          <w:docGrid w:linePitch="360"/>
        </w:sectPr>
      </w:pPr>
    </w:p>
    <w:p w14:paraId="6A890F71" w14:textId="4F4196E6" w:rsidR="002F5BE2" w:rsidRPr="00762C5E" w:rsidRDefault="002F5BE2" w:rsidP="003A55BF">
      <w:pPr>
        <w:spacing w:line="360" w:lineRule="auto"/>
        <w:jc w:val="both"/>
        <w:rPr>
          <w:color w:val="000000" w:themeColor="text1"/>
        </w:rPr>
      </w:pPr>
      <w:r w:rsidRPr="00762C5E">
        <w:rPr>
          <w:b/>
          <w:bCs/>
          <w:color w:val="000000" w:themeColor="text1"/>
        </w:rPr>
        <w:lastRenderedPageBreak/>
        <w:t>APPENDICES</w:t>
      </w:r>
      <w:r w:rsidRPr="00762C5E">
        <w:rPr>
          <w:b/>
          <w:bCs/>
          <w:color w:val="000000" w:themeColor="text1"/>
        </w:rPr>
        <w:br/>
      </w:r>
    </w:p>
    <w:p w14:paraId="272255AB" w14:textId="702F089F" w:rsidR="002F5BE2" w:rsidRPr="00762C5E" w:rsidRDefault="00D14C2C" w:rsidP="003A55BF">
      <w:pPr>
        <w:spacing w:line="360" w:lineRule="auto"/>
        <w:jc w:val="both"/>
        <w:rPr>
          <w:color w:val="000000" w:themeColor="text1"/>
        </w:rPr>
      </w:pPr>
      <w:r w:rsidRPr="00762C5E">
        <w:rPr>
          <w:b/>
          <w:bCs/>
          <w:color w:val="000000" w:themeColor="text1"/>
          <w:shd w:val="clear" w:color="auto" w:fill="FFFFFF"/>
        </w:rPr>
        <w:t xml:space="preserve">Appendix </w:t>
      </w:r>
      <w:r w:rsidR="002F5BE2" w:rsidRPr="00762C5E">
        <w:rPr>
          <w:b/>
          <w:bCs/>
          <w:color w:val="000000" w:themeColor="text1"/>
        </w:rPr>
        <w:t>1: Summary of Life Course Interventions and Recommendations</w:t>
      </w:r>
    </w:p>
    <w:p w14:paraId="477B1DA0" w14:textId="77777777" w:rsidR="004B0D6A" w:rsidRPr="00762C5E" w:rsidRDefault="004B0D6A" w:rsidP="003A55BF">
      <w:pPr>
        <w:spacing w:line="360" w:lineRule="auto"/>
        <w:ind w:firstLine="708"/>
        <w:jc w:val="both"/>
        <w:rPr>
          <w:rStyle w:val="ng-star-inserted"/>
          <w:color w:val="000000" w:themeColor="text1"/>
        </w:rPr>
      </w:pPr>
      <w:r w:rsidRPr="00762C5E">
        <w:rPr>
          <w:rStyle w:val="ng-star-inserted"/>
          <w:color w:val="000000" w:themeColor="text1"/>
        </w:rPr>
        <w:t>This table provides a systematic overview of the proposed recommendations, categorising them by their primary area of action and highlighting their core objectives across the life course.</w:t>
      </w:r>
    </w:p>
    <w:p w14:paraId="28B8D4D8" w14:textId="77777777" w:rsidR="004B0D6A" w:rsidRPr="00762C5E" w:rsidRDefault="004B0D6A" w:rsidP="003A55BF">
      <w:pPr>
        <w:spacing w:line="360" w:lineRule="auto"/>
        <w:jc w:val="both"/>
        <w:rPr>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41"/>
        <w:gridCol w:w="5305"/>
        <w:gridCol w:w="2470"/>
      </w:tblGrid>
      <w:tr w:rsidR="004B0D6A" w:rsidRPr="00762C5E" w14:paraId="0BD496C7" w14:textId="77777777" w:rsidTr="007E3CCB">
        <w:tc>
          <w:tcPr>
            <w:tcW w:w="0" w:type="auto"/>
            <w:tcBorders>
              <w:bottom w:val="single" w:sz="4" w:space="0" w:color="auto"/>
            </w:tcBorders>
            <w:shd w:val="clear" w:color="auto" w:fill="F2F2F2" w:themeFill="background1" w:themeFillShade="F2"/>
            <w:vAlign w:val="center"/>
            <w:hideMark/>
          </w:tcPr>
          <w:p w14:paraId="7FF8467E" w14:textId="019339D9" w:rsidR="00D808CE" w:rsidRPr="00762C5E" w:rsidRDefault="004B0D6A" w:rsidP="00D808CE">
            <w:pPr>
              <w:jc w:val="center"/>
              <w:rPr>
                <w:rStyle w:val="ng-star-inserted"/>
                <w:b/>
                <w:bCs/>
                <w:color w:val="000000" w:themeColor="text1"/>
              </w:rPr>
            </w:pPr>
            <w:r w:rsidRPr="00762C5E">
              <w:rPr>
                <w:rStyle w:val="ng-star-inserted"/>
                <w:b/>
                <w:bCs/>
                <w:color w:val="000000" w:themeColor="text1"/>
              </w:rPr>
              <w:t>Area</w:t>
            </w:r>
          </w:p>
          <w:p w14:paraId="1B68ECEE" w14:textId="2386A86E" w:rsidR="004B0D6A" w:rsidRPr="00762C5E" w:rsidRDefault="004B0D6A" w:rsidP="0051188B">
            <w:pPr>
              <w:jc w:val="center"/>
              <w:rPr>
                <w:b/>
                <w:bCs/>
                <w:color w:val="000000" w:themeColor="text1"/>
              </w:rPr>
            </w:pPr>
            <w:r w:rsidRPr="00762C5E">
              <w:rPr>
                <w:rStyle w:val="ng-star-inserted"/>
                <w:b/>
                <w:bCs/>
                <w:color w:val="000000" w:themeColor="text1"/>
              </w:rPr>
              <w:t>of Action</w:t>
            </w:r>
          </w:p>
        </w:tc>
        <w:tc>
          <w:tcPr>
            <w:tcW w:w="0" w:type="auto"/>
            <w:shd w:val="clear" w:color="auto" w:fill="F2F2F2" w:themeFill="background1" w:themeFillShade="F2"/>
            <w:vAlign w:val="center"/>
            <w:hideMark/>
          </w:tcPr>
          <w:p w14:paraId="235628B3" w14:textId="77777777" w:rsidR="004B0D6A" w:rsidRPr="00762C5E" w:rsidRDefault="004B0D6A" w:rsidP="00D808CE">
            <w:pPr>
              <w:jc w:val="center"/>
              <w:rPr>
                <w:b/>
                <w:bCs/>
                <w:color w:val="000000" w:themeColor="text1"/>
              </w:rPr>
            </w:pPr>
            <w:r w:rsidRPr="00762C5E">
              <w:rPr>
                <w:rStyle w:val="ng-star-inserted"/>
                <w:b/>
                <w:bCs/>
                <w:color w:val="000000" w:themeColor="text1"/>
              </w:rPr>
              <w:t>Proposed Recommendation</w:t>
            </w:r>
          </w:p>
        </w:tc>
        <w:tc>
          <w:tcPr>
            <w:tcW w:w="0" w:type="auto"/>
            <w:shd w:val="clear" w:color="auto" w:fill="F2F2F2" w:themeFill="background1" w:themeFillShade="F2"/>
            <w:vAlign w:val="center"/>
            <w:hideMark/>
          </w:tcPr>
          <w:p w14:paraId="0C89F4F2" w14:textId="081EE18C" w:rsidR="00D808CE" w:rsidRPr="00762C5E" w:rsidRDefault="004B0D6A" w:rsidP="00D808CE">
            <w:pPr>
              <w:jc w:val="center"/>
              <w:rPr>
                <w:rStyle w:val="ng-star-inserted"/>
                <w:b/>
                <w:bCs/>
                <w:color w:val="000000" w:themeColor="text1"/>
              </w:rPr>
            </w:pPr>
            <w:r w:rsidRPr="00762C5E">
              <w:rPr>
                <w:rStyle w:val="ng-star-inserted"/>
                <w:b/>
                <w:bCs/>
                <w:color w:val="000000" w:themeColor="text1"/>
              </w:rPr>
              <w:t>Targeted Life</w:t>
            </w:r>
          </w:p>
          <w:p w14:paraId="3B642462" w14:textId="3C57BA11" w:rsidR="004B0D6A" w:rsidRPr="00762C5E" w:rsidRDefault="004B0D6A" w:rsidP="00D808CE">
            <w:pPr>
              <w:jc w:val="center"/>
              <w:rPr>
                <w:b/>
                <w:bCs/>
                <w:color w:val="000000" w:themeColor="text1"/>
              </w:rPr>
            </w:pPr>
            <w:r w:rsidRPr="00762C5E">
              <w:rPr>
                <w:rStyle w:val="ng-star-inserted"/>
                <w:b/>
                <w:bCs/>
                <w:color w:val="000000" w:themeColor="text1"/>
              </w:rPr>
              <w:t>Stage / Objective</w:t>
            </w:r>
          </w:p>
        </w:tc>
      </w:tr>
      <w:tr w:rsidR="004B0D6A" w:rsidRPr="00762C5E" w14:paraId="04F66F31" w14:textId="77777777" w:rsidTr="007E3CCB">
        <w:tc>
          <w:tcPr>
            <w:tcW w:w="0" w:type="auto"/>
            <w:tcBorders>
              <w:bottom w:val="nil"/>
            </w:tcBorders>
            <w:shd w:val="clear" w:color="auto" w:fill="F2F2F2" w:themeFill="background1" w:themeFillShade="F2"/>
            <w:vAlign w:val="center"/>
            <w:hideMark/>
          </w:tcPr>
          <w:p w14:paraId="75A8F53B" w14:textId="77777777" w:rsidR="004B0D6A" w:rsidRPr="00762C5E" w:rsidRDefault="004B0D6A" w:rsidP="00F6655A">
            <w:pPr>
              <w:jc w:val="center"/>
              <w:rPr>
                <w:color w:val="000000" w:themeColor="text1"/>
              </w:rPr>
            </w:pPr>
            <w:r w:rsidRPr="00762C5E">
              <w:rPr>
                <w:b/>
                <w:bCs/>
                <w:color w:val="000000" w:themeColor="text1"/>
              </w:rPr>
              <w:t>Policy</w:t>
            </w:r>
          </w:p>
        </w:tc>
        <w:tc>
          <w:tcPr>
            <w:tcW w:w="0" w:type="auto"/>
            <w:vAlign w:val="center"/>
            <w:hideMark/>
          </w:tcPr>
          <w:p w14:paraId="6DD4C753" w14:textId="77777777" w:rsidR="004B0D6A" w:rsidRPr="00762C5E" w:rsidRDefault="004B0D6A" w:rsidP="003A55BF">
            <w:pPr>
              <w:jc w:val="both"/>
              <w:rPr>
                <w:color w:val="000000" w:themeColor="text1"/>
              </w:rPr>
            </w:pPr>
            <w:r w:rsidRPr="00762C5E">
              <w:rPr>
                <w:rStyle w:val="ng-star-inserted"/>
                <w:color w:val="000000" w:themeColor="text1"/>
              </w:rPr>
              <w:t>Allocate adequate funding for life course interventions identified in the report (e.g., early educational programmes and ALMPs).</w:t>
            </w:r>
          </w:p>
        </w:tc>
        <w:tc>
          <w:tcPr>
            <w:tcW w:w="0" w:type="auto"/>
            <w:vAlign w:val="center"/>
            <w:hideMark/>
          </w:tcPr>
          <w:p w14:paraId="16EFB4C4" w14:textId="502BE1B2" w:rsidR="004B0D6A" w:rsidRPr="00762C5E" w:rsidRDefault="004B0D6A" w:rsidP="003A55BF">
            <w:pPr>
              <w:jc w:val="both"/>
              <w:rPr>
                <w:color w:val="000000" w:themeColor="text1"/>
              </w:rPr>
            </w:pPr>
            <w:r w:rsidRPr="00762C5E">
              <w:rPr>
                <w:rStyle w:val="ng-star-inserted"/>
                <w:color w:val="000000" w:themeColor="text1"/>
              </w:rPr>
              <w:t xml:space="preserve">Early years </w:t>
            </w:r>
            <w:r w:rsidR="007E3CCB" w:rsidRPr="00762C5E">
              <w:rPr>
                <w:rStyle w:val="ng-star-inserted"/>
                <w:color w:val="000000" w:themeColor="text1"/>
              </w:rPr>
              <w:t>and</w:t>
            </w:r>
            <w:r w:rsidRPr="00762C5E">
              <w:rPr>
                <w:rStyle w:val="ng-star-inserted"/>
                <w:color w:val="000000" w:themeColor="text1"/>
              </w:rPr>
              <w:t xml:space="preserve"> Adulthood / Effective implementation</w:t>
            </w:r>
          </w:p>
        </w:tc>
      </w:tr>
      <w:tr w:rsidR="004B0D6A" w:rsidRPr="00762C5E" w14:paraId="3D39F3B9" w14:textId="77777777" w:rsidTr="007E3CCB">
        <w:tc>
          <w:tcPr>
            <w:tcW w:w="0" w:type="auto"/>
            <w:tcBorders>
              <w:top w:val="nil"/>
              <w:bottom w:val="nil"/>
            </w:tcBorders>
            <w:shd w:val="clear" w:color="auto" w:fill="F2F2F2" w:themeFill="background1" w:themeFillShade="F2"/>
            <w:vAlign w:val="center"/>
            <w:hideMark/>
          </w:tcPr>
          <w:p w14:paraId="7D144FD0" w14:textId="77777777" w:rsidR="004B0D6A" w:rsidRPr="00762C5E" w:rsidRDefault="004B0D6A" w:rsidP="003A55BF">
            <w:pPr>
              <w:jc w:val="both"/>
              <w:rPr>
                <w:color w:val="000000" w:themeColor="text1"/>
              </w:rPr>
            </w:pPr>
          </w:p>
        </w:tc>
        <w:tc>
          <w:tcPr>
            <w:tcW w:w="0" w:type="auto"/>
            <w:vAlign w:val="center"/>
            <w:hideMark/>
          </w:tcPr>
          <w:p w14:paraId="0F46D46E" w14:textId="77777777" w:rsidR="004B0D6A" w:rsidRPr="00762C5E" w:rsidRDefault="004B0D6A" w:rsidP="003A55BF">
            <w:pPr>
              <w:jc w:val="both"/>
              <w:rPr>
                <w:color w:val="000000" w:themeColor="text1"/>
              </w:rPr>
            </w:pPr>
            <w:r w:rsidRPr="00762C5E">
              <w:rPr>
                <w:rStyle w:val="ng-star-inserted"/>
                <w:color w:val="000000" w:themeColor="text1"/>
              </w:rPr>
              <w:t>Introduce new policies to prioritise early childhood development and the prevention of Adverse Childhood Experiences (ACEs).</w:t>
            </w:r>
          </w:p>
        </w:tc>
        <w:tc>
          <w:tcPr>
            <w:tcW w:w="0" w:type="auto"/>
            <w:vAlign w:val="center"/>
            <w:hideMark/>
          </w:tcPr>
          <w:p w14:paraId="2B5028CC" w14:textId="680C85B5" w:rsidR="004B0D6A" w:rsidRPr="00762C5E" w:rsidRDefault="004B0D6A" w:rsidP="003A55BF">
            <w:pPr>
              <w:jc w:val="both"/>
              <w:rPr>
                <w:color w:val="000000" w:themeColor="text1"/>
              </w:rPr>
            </w:pPr>
            <w:r w:rsidRPr="00762C5E">
              <w:rPr>
                <w:rStyle w:val="ng-star-inserted"/>
                <w:color w:val="000000" w:themeColor="text1"/>
              </w:rPr>
              <w:t xml:space="preserve">Maternity </w:t>
            </w:r>
            <w:r w:rsidR="007E3CCB" w:rsidRPr="00762C5E">
              <w:rPr>
                <w:rStyle w:val="ng-star-inserted"/>
                <w:color w:val="000000" w:themeColor="text1"/>
              </w:rPr>
              <w:t>and</w:t>
            </w:r>
            <w:r w:rsidRPr="00762C5E">
              <w:rPr>
                <w:rStyle w:val="ng-star-inserted"/>
                <w:color w:val="000000" w:themeColor="text1"/>
              </w:rPr>
              <w:t xml:space="preserve"> Early years / Vulnerable family support</w:t>
            </w:r>
          </w:p>
        </w:tc>
      </w:tr>
      <w:tr w:rsidR="004B0D6A" w:rsidRPr="00762C5E" w14:paraId="19C8B6FB" w14:textId="77777777" w:rsidTr="007E3CCB">
        <w:tc>
          <w:tcPr>
            <w:tcW w:w="0" w:type="auto"/>
            <w:tcBorders>
              <w:top w:val="nil"/>
              <w:bottom w:val="nil"/>
            </w:tcBorders>
            <w:shd w:val="clear" w:color="auto" w:fill="F2F2F2" w:themeFill="background1" w:themeFillShade="F2"/>
            <w:vAlign w:val="center"/>
            <w:hideMark/>
          </w:tcPr>
          <w:p w14:paraId="7347E356" w14:textId="77777777" w:rsidR="004B0D6A" w:rsidRPr="00762C5E" w:rsidRDefault="004B0D6A" w:rsidP="003A55BF">
            <w:pPr>
              <w:jc w:val="both"/>
              <w:rPr>
                <w:color w:val="000000" w:themeColor="text1"/>
              </w:rPr>
            </w:pPr>
          </w:p>
        </w:tc>
        <w:tc>
          <w:tcPr>
            <w:tcW w:w="0" w:type="auto"/>
            <w:vAlign w:val="center"/>
            <w:hideMark/>
          </w:tcPr>
          <w:p w14:paraId="27E93FFF" w14:textId="77777777" w:rsidR="004B0D6A" w:rsidRPr="00762C5E" w:rsidRDefault="004B0D6A" w:rsidP="003A55BF">
            <w:pPr>
              <w:jc w:val="both"/>
              <w:rPr>
                <w:color w:val="000000" w:themeColor="text1"/>
              </w:rPr>
            </w:pPr>
            <w:r w:rsidRPr="00762C5E">
              <w:rPr>
                <w:rStyle w:val="ng-star-inserted"/>
                <w:color w:val="000000" w:themeColor="text1"/>
              </w:rPr>
              <w:t>Reform welfare and tax systems to eliminate financial 'cliff edges' and establish a 'Minimum Income for Healthy Living' (MIHL).</w:t>
            </w:r>
          </w:p>
        </w:tc>
        <w:tc>
          <w:tcPr>
            <w:tcW w:w="0" w:type="auto"/>
            <w:vAlign w:val="center"/>
            <w:hideMark/>
          </w:tcPr>
          <w:p w14:paraId="3A48E6BD" w14:textId="77777777" w:rsidR="004B0D6A" w:rsidRPr="00762C5E" w:rsidRDefault="004B0D6A" w:rsidP="003A55BF">
            <w:pPr>
              <w:jc w:val="both"/>
              <w:rPr>
                <w:color w:val="000000" w:themeColor="text1"/>
              </w:rPr>
            </w:pPr>
            <w:r w:rsidRPr="00762C5E">
              <w:rPr>
                <w:rStyle w:val="ng-star-inserted"/>
                <w:color w:val="000000" w:themeColor="text1"/>
              </w:rPr>
              <w:t>Adulthood / Poverty reduction</w:t>
            </w:r>
          </w:p>
        </w:tc>
      </w:tr>
      <w:tr w:rsidR="004B0D6A" w:rsidRPr="00762C5E" w14:paraId="48B686DB" w14:textId="77777777" w:rsidTr="007E3CCB">
        <w:tc>
          <w:tcPr>
            <w:tcW w:w="0" w:type="auto"/>
            <w:tcBorders>
              <w:top w:val="nil"/>
              <w:bottom w:val="single" w:sz="4" w:space="0" w:color="auto"/>
            </w:tcBorders>
            <w:shd w:val="clear" w:color="auto" w:fill="F2F2F2" w:themeFill="background1" w:themeFillShade="F2"/>
            <w:vAlign w:val="center"/>
            <w:hideMark/>
          </w:tcPr>
          <w:p w14:paraId="44207840" w14:textId="77777777" w:rsidR="004B0D6A" w:rsidRPr="00762C5E" w:rsidRDefault="004B0D6A" w:rsidP="003A55BF">
            <w:pPr>
              <w:jc w:val="both"/>
              <w:rPr>
                <w:color w:val="000000" w:themeColor="text1"/>
              </w:rPr>
            </w:pPr>
          </w:p>
        </w:tc>
        <w:tc>
          <w:tcPr>
            <w:tcW w:w="0" w:type="auto"/>
            <w:vAlign w:val="center"/>
            <w:hideMark/>
          </w:tcPr>
          <w:p w14:paraId="2CB20A84" w14:textId="77777777" w:rsidR="004B0D6A" w:rsidRPr="00762C5E" w:rsidRDefault="004B0D6A" w:rsidP="003A55BF">
            <w:pPr>
              <w:jc w:val="both"/>
              <w:rPr>
                <w:color w:val="000000" w:themeColor="text1"/>
              </w:rPr>
            </w:pPr>
            <w:r w:rsidRPr="00762C5E">
              <w:rPr>
                <w:rStyle w:val="ng-star-inserted"/>
                <w:color w:val="000000" w:themeColor="text1"/>
              </w:rPr>
              <w:t>Integrate housing, transport, and health strategies to mandate minimum housing standards, energy-efficient homes, active travel networks, and ULEZ.</w:t>
            </w:r>
          </w:p>
        </w:tc>
        <w:tc>
          <w:tcPr>
            <w:tcW w:w="0" w:type="auto"/>
            <w:vAlign w:val="center"/>
            <w:hideMark/>
          </w:tcPr>
          <w:p w14:paraId="454A2692" w14:textId="11F92FD6" w:rsidR="004B0D6A" w:rsidRPr="00762C5E" w:rsidRDefault="004B0D6A" w:rsidP="003A55BF">
            <w:pPr>
              <w:jc w:val="both"/>
              <w:rPr>
                <w:color w:val="000000" w:themeColor="text1"/>
              </w:rPr>
            </w:pPr>
            <w:r w:rsidRPr="00762C5E">
              <w:rPr>
                <w:rStyle w:val="ng-star-inserted"/>
                <w:color w:val="000000" w:themeColor="text1"/>
              </w:rPr>
              <w:t xml:space="preserve">All stages / Environmental health </w:t>
            </w:r>
            <w:r w:rsidR="007E3CCB" w:rsidRPr="00762C5E">
              <w:rPr>
                <w:rStyle w:val="ng-star-inserted"/>
                <w:color w:val="000000" w:themeColor="text1"/>
              </w:rPr>
              <w:t>and</w:t>
            </w:r>
            <w:r w:rsidRPr="00762C5E">
              <w:rPr>
                <w:rStyle w:val="ng-star-inserted"/>
                <w:color w:val="000000" w:themeColor="text1"/>
              </w:rPr>
              <w:t xml:space="preserve"> climate mitigation</w:t>
            </w:r>
          </w:p>
        </w:tc>
      </w:tr>
      <w:tr w:rsidR="004B0D6A" w:rsidRPr="00762C5E" w14:paraId="6015DE6D" w14:textId="77777777" w:rsidTr="007E3CCB">
        <w:tc>
          <w:tcPr>
            <w:tcW w:w="0" w:type="auto"/>
            <w:tcBorders>
              <w:bottom w:val="nil"/>
            </w:tcBorders>
            <w:shd w:val="clear" w:color="auto" w:fill="F2F2F2" w:themeFill="background1" w:themeFillShade="F2"/>
            <w:vAlign w:val="center"/>
            <w:hideMark/>
          </w:tcPr>
          <w:p w14:paraId="1D6054E8" w14:textId="77777777" w:rsidR="004B0D6A" w:rsidRPr="00762C5E" w:rsidRDefault="004B0D6A" w:rsidP="00F6655A">
            <w:pPr>
              <w:jc w:val="center"/>
              <w:rPr>
                <w:color w:val="000000" w:themeColor="text1"/>
              </w:rPr>
            </w:pPr>
            <w:r w:rsidRPr="00762C5E">
              <w:rPr>
                <w:b/>
                <w:bCs/>
                <w:color w:val="000000" w:themeColor="text1"/>
              </w:rPr>
              <w:t>Practice</w:t>
            </w:r>
          </w:p>
        </w:tc>
        <w:tc>
          <w:tcPr>
            <w:tcW w:w="0" w:type="auto"/>
            <w:vAlign w:val="center"/>
            <w:hideMark/>
          </w:tcPr>
          <w:p w14:paraId="13A5F77D" w14:textId="77777777" w:rsidR="004B0D6A" w:rsidRPr="00762C5E" w:rsidRDefault="004B0D6A" w:rsidP="003A55BF">
            <w:pPr>
              <w:jc w:val="both"/>
              <w:rPr>
                <w:color w:val="000000" w:themeColor="text1"/>
              </w:rPr>
            </w:pPr>
            <w:r w:rsidRPr="00762C5E">
              <w:rPr>
                <w:rStyle w:val="ng-star-inserted"/>
                <w:color w:val="000000" w:themeColor="text1"/>
              </w:rPr>
              <w:t>Provide funding for the training of front-line practitioners to implement specific interventions and identify vulnerabilities like psychosocial stress.</w:t>
            </w:r>
          </w:p>
        </w:tc>
        <w:tc>
          <w:tcPr>
            <w:tcW w:w="0" w:type="auto"/>
            <w:vAlign w:val="center"/>
            <w:hideMark/>
          </w:tcPr>
          <w:p w14:paraId="61143A85" w14:textId="77777777" w:rsidR="004B0D6A" w:rsidRPr="00762C5E" w:rsidRDefault="004B0D6A" w:rsidP="003A55BF">
            <w:pPr>
              <w:jc w:val="both"/>
              <w:rPr>
                <w:color w:val="000000" w:themeColor="text1"/>
              </w:rPr>
            </w:pPr>
            <w:r w:rsidRPr="00762C5E">
              <w:rPr>
                <w:rStyle w:val="ng-star-inserted"/>
                <w:color w:val="000000" w:themeColor="text1"/>
              </w:rPr>
              <w:t>Workforce / Effective delivery</w:t>
            </w:r>
          </w:p>
        </w:tc>
      </w:tr>
      <w:tr w:rsidR="004B0D6A" w:rsidRPr="00762C5E" w14:paraId="6FC17563" w14:textId="77777777" w:rsidTr="007E3CCB">
        <w:tc>
          <w:tcPr>
            <w:tcW w:w="0" w:type="auto"/>
            <w:tcBorders>
              <w:top w:val="nil"/>
              <w:bottom w:val="nil"/>
            </w:tcBorders>
            <w:shd w:val="clear" w:color="auto" w:fill="F2F2F2" w:themeFill="background1" w:themeFillShade="F2"/>
            <w:vAlign w:val="center"/>
            <w:hideMark/>
          </w:tcPr>
          <w:p w14:paraId="4202DAD5" w14:textId="77777777" w:rsidR="004B0D6A" w:rsidRPr="00762C5E" w:rsidRDefault="004B0D6A" w:rsidP="003A55BF">
            <w:pPr>
              <w:jc w:val="both"/>
              <w:rPr>
                <w:color w:val="000000" w:themeColor="text1"/>
              </w:rPr>
            </w:pPr>
          </w:p>
        </w:tc>
        <w:tc>
          <w:tcPr>
            <w:tcW w:w="0" w:type="auto"/>
            <w:vAlign w:val="center"/>
            <w:hideMark/>
          </w:tcPr>
          <w:p w14:paraId="0291F20D" w14:textId="77777777" w:rsidR="004B0D6A" w:rsidRPr="00762C5E" w:rsidRDefault="004B0D6A" w:rsidP="003A55BF">
            <w:pPr>
              <w:jc w:val="both"/>
              <w:rPr>
                <w:color w:val="000000" w:themeColor="text1"/>
              </w:rPr>
            </w:pPr>
            <w:r w:rsidRPr="00762C5E">
              <w:rPr>
                <w:rStyle w:val="ng-star-inserted"/>
                <w:color w:val="000000" w:themeColor="text1"/>
              </w:rPr>
              <w:t>Adopt holistic, community-based care models to actively combat social isolation.</w:t>
            </w:r>
          </w:p>
        </w:tc>
        <w:tc>
          <w:tcPr>
            <w:tcW w:w="0" w:type="auto"/>
            <w:vAlign w:val="center"/>
            <w:hideMark/>
          </w:tcPr>
          <w:p w14:paraId="33FF99F1" w14:textId="77777777" w:rsidR="004B0D6A" w:rsidRPr="00762C5E" w:rsidRDefault="004B0D6A" w:rsidP="003A55BF">
            <w:pPr>
              <w:jc w:val="both"/>
              <w:rPr>
                <w:color w:val="000000" w:themeColor="text1"/>
              </w:rPr>
            </w:pPr>
            <w:r w:rsidRPr="00762C5E">
              <w:rPr>
                <w:rStyle w:val="ng-star-inserted"/>
                <w:color w:val="000000" w:themeColor="text1"/>
              </w:rPr>
              <w:t>Older Adulthood / Mental wellbeing</w:t>
            </w:r>
          </w:p>
        </w:tc>
      </w:tr>
      <w:tr w:rsidR="004B0D6A" w:rsidRPr="00762C5E" w14:paraId="5CF8F040" w14:textId="77777777" w:rsidTr="007E3CCB">
        <w:tc>
          <w:tcPr>
            <w:tcW w:w="0" w:type="auto"/>
            <w:tcBorders>
              <w:top w:val="nil"/>
              <w:bottom w:val="single" w:sz="4" w:space="0" w:color="auto"/>
            </w:tcBorders>
            <w:shd w:val="clear" w:color="auto" w:fill="F2F2F2" w:themeFill="background1" w:themeFillShade="F2"/>
            <w:vAlign w:val="center"/>
            <w:hideMark/>
          </w:tcPr>
          <w:p w14:paraId="6BC148B4" w14:textId="77777777" w:rsidR="004B0D6A" w:rsidRPr="00762C5E" w:rsidRDefault="004B0D6A" w:rsidP="00F6655A">
            <w:pPr>
              <w:jc w:val="center"/>
              <w:rPr>
                <w:color w:val="000000" w:themeColor="text1"/>
              </w:rPr>
            </w:pPr>
          </w:p>
        </w:tc>
        <w:tc>
          <w:tcPr>
            <w:tcW w:w="0" w:type="auto"/>
            <w:vAlign w:val="center"/>
            <w:hideMark/>
          </w:tcPr>
          <w:p w14:paraId="710F1740" w14:textId="77777777" w:rsidR="004B0D6A" w:rsidRPr="00762C5E" w:rsidRDefault="004B0D6A" w:rsidP="003A55BF">
            <w:pPr>
              <w:jc w:val="both"/>
              <w:rPr>
                <w:color w:val="000000" w:themeColor="text1"/>
              </w:rPr>
            </w:pPr>
            <w:r w:rsidRPr="00762C5E">
              <w:rPr>
                <w:rStyle w:val="ng-star-inserted"/>
                <w:color w:val="000000" w:themeColor="text1"/>
              </w:rPr>
              <w:t>Implement early, targeted interventions to support families experiencing Adverse Childhood Experiences (ACEs).</w:t>
            </w:r>
          </w:p>
        </w:tc>
        <w:tc>
          <w:tcPr>
            <w:tcW w:w="0" w:type="auto"/>
            <w:vAlign w:val="center"/>
            <w:hideMark/>
          </w:tcPr>
          <w:p w14:paraId="6AFBE7CF" w14:textId="466FF3E2" w:rsidR="004B0D6A" w:rsidRPr="00762C5E" w:rsidRDefault="004B0D6A" w:rsidP="003A55BF">
            <w:pPr>
              <w:jc w:val="both"/>
              <w:rPr>
                <w:color w:val="000000" w:themeColor="text1"/>
              </w:rPr>
            </w:pPr>
            <w:r w:rsidRPr="00762C5E">
              <w:rPr>
                <w:rStyle w:val="ng-star-inserted"/>
                <w:color w:val="000000" w:themeColor="text1"/>
              </w:rPr>
              <w:t xml:space="preserve">Maternity </w:t>
            </w:r>
            <w:r w:rsidR="007E3CCB" w:rsidRPr="00762C5E">
              <w:rPr>
                <w:rStyle w:val="ng-star-inserted"/>
                <w:color w:val="000000" w:themeColor="text1"/>
              </w:rPr>
              <w:t>and</w:t>
            </w:r>
            <w:r w:rsidRPr="00762C5E">
              <w:rPr>
                <w:rStyle w:val="ng-star-inserted"/>
                <w:color w:val="000000" w:themeColor="text1"/>
              </w:rPr>
              <w:t xml:space="preserve"> Early years / Resilience</w:t>
            </w:r>
          </w:p>
        </w:tc>
      </w:tr>
      <w:tr w:rsidR="004B0D6A" w:rsidRPr="00762C5E" w14:paraId="0EB4A541" w14:textId="77777777" w:rsidTr="007E3CCB">
        <w:tc>
          <w:tcPr>
            <w:tcW w:w="0" w:type="auto"/>
            <w:tcBorders>
              <w:bottom w:val="nil"/>
            </w:tcBorders>
            <w:shd w:val="clear" w:color="auto" w:fill="F2F2F2" w:themeFill="background1" w:themeFillShade="F2"/>
            <w:vAlign w:val="center"/>
            <w:hideMark/>
          </w:tcPr>
          <w:p w14:paraId="5525B16C" w14:textId="77777777" w:rsidR="004B0D6A" w:rsidRPr="00762C5E" w:rsidRDefault="004B0D6A" w:rsidP="00F6655A">
            <w:pPr>
              <w:jc w:val="center"/>
              <w:rPr>
                <w:color w:val="000000" w:themeColor="text1"/>
              </w:rPr>
            </w:pPr>
            <w:r w:rsidRPr="00762C5E">
              <w:rPr>
                <w:b/>
                <w:bCs/>
                <w:color w:val="000000" w:themeColor="text1"/>
              </w:rPr>
              <w:t>Education</w:t>
            </w:r>
          </w:p>
        </w:tc>
        <w:tc>
          <w:tcPr>
            <w:tcW w:w="0" w:type="auto"/>
            <w:vAlign w:val="center"/>
            <w:hideMark/>
          </w:tcPr>
          <w:p w14:paraId="221464D6" w14:textId="77777777" w:rsidR="004B0D6A" w:rsidRPr="00762C5E" w:rsidRDefault="004B0D6A" w:rsidP="003A55BF">
            <w:pPr>
              <w:jc w:val="both"/>
              <w:rPr>
                <w:color w:val="000000" w:themeColor="text1"/>
              </w:rPr>
            </w:pPr>
            <w:r w:rsidRPr="00762C5E">
              <w:rPr>
                <w:rStyle w:val="ng-star-inserted"/>
                <w:color w:val="000000" w:themeColor="text1"/>
              </w:rPr>
              <w:t>Adopt a 'whole-child' approach by providing extended services that build emotional resilience.</w:t>
            </w:r>
          </w:p>
        </w:tc>
        <w:tc>
          <w:tcPr>
            <w:tcW w:w="0" w:type="auto"/>
            <w:vAlign w:val="center"/>
            <w:hideMark/>
          </w:tcPr>
          <w:p w14:paraId="036D2F1A" w14:textId="19ADC795" w:rsidR="004B0D6A" w:rsidRPr="00762C5E" w:rsidRDefault="004B0D6A" w:rsidP="003A55BF">
            <w:pPr>
              <w:jc w:val="both"/>
              <w:rPr>
                <w:color w:val="000000" w:themeColor="text1"/>
              </w:rPr>
            </w:pPr>
            <w:r w:rsidRPr="00762C5E">
              <w:rPr>
                <w:rStyle w:val="ng-star-inserted"/>
                <w:color w:val="000000" w:themeColor="text1"/>
              </w:rPr>
              <w:t xml:space="preserve">Childhood </w:t>
            </w:r>
            <w:r w:rsidR="007E3CCB" w:rsidRPr="00762C5E">
              <w:rPr>
                <w:rStyle w:val="ng-star-inserted"/>
                <w:color w:val="000000" w:themeColor="text1"/>
              </w:rPr>
              <w:t>and</w:t>
            </w:r>
            <w:r w:rsidRPr="00762C5E">
              <w:rPr>
                <w:rStyle w:val="ng-star-inserted"/>
                <w:color w:val="000000" w:themeColor="text1"/>
              </w:rPr>
              <w:t xml:space="preserve"> Adolescence / Emotional resilience</w:t>
            </w:r>
          </w:p>
        </w:tc>
      </w:tr>
      <w:tr w:rsidR="004B0D6A" w:rsidRPr="00762C5E" w14:paraId="1895BE88" w14:textId="77777777" w:rsidTr="007E3CCB">
        <w:tc>
          <w:tcPr>
            <w:tcW w:w="0" w:type="auto"/>
            <w:tcBorders>
              <w:top w:val="nil"/>
              <w:bottom w:val="single" w:sz="4" w:space="0" w:color="auto"/>
            </w:tcBorders>
            <w:shd w:val="clear" w:color="auto" w:fill="F2F2F2" w:themeFill="background1" w:themeFillShade="F2"/>
            <w:vAlign w:val="center"/>
            <w:hideMark/>
          </w:tcPr>
          <w:p w14:paraId="433479EB" w14:textId="77777777" w:rsidR="004B0D6A" w:rsidRPr="00762C5E" w:rsidRDefault="004B0D6A" w:rsidP="00F6655A">
            <w:pPr>
              <w:jc w:val="center"/>
              <w:rPr>
                <w:color w:val="000000" w:themeColor="text1"/>
              </w:rPr>
            </w:pPr>
          </w:p>
        </w:tc>
        <w:tc>
          <w:tcPr>
            <w:tcW w:w="0" w:type="auto"/>
            <w:vAlign w:val="center"/>
            <w:hideMark/>
          </w:tcPr>
          <w:p w14:paraId="4F35F4E7" w14:textId="77777777" w:rsidR="004B0D6A" w:rsidRPr="00762C5E" w:rsidRDefault="004B0D6A" w:rsidP="003A55BF">
            <w:pPr>
              <w:jc w:val="both"/>
              <w:rPr>
                <w:color w:val="000000" w:themeColor="text1"/>
              </w:rPr>
            </w:pPr>
            <w:r w:rsidRPr="00762C5E">
              <w:rPr>
                <w:rStyle w:val="ng-star-inserted"/>
                <w:color w:val="000000" w:themeColor="text1"/>
              </w:rPr>
              <w:t>Expand access to Active Labour Market Programmes (ALMPs) and work-based training.</w:t>
            </w:r>
          </w:p>
        </w:tc>
        <w:tc>
          <w:tcPr>
            <w:tcW w:w="0" w:type="auto"/>
            <w:vAlign w:val="center"/>
            <w:hideMark/>
          </w:tcPr>
          <w:p w14:paraId="64011529" w14:textId="77777777" w:rsidR="004B0D6A" w:rsidRPr="00762C5E" w:rsidRDefault="004B0D6A" w:rsidP="003A55BF">
            <w:pPr>
              <w:jc w:val="both"/>
              <w:rPr>
                <w:color w:val="000000" w:themeColor="text1"/>
              </w:rPr>
            </w:pPr>
            <w:r w:rsidRPr="00762C5E">
              <w:rPr>
                <w:rStyle w:val="ng-star-inserted"/>
                <w:color w:val="000000" w:themeColor="text1"/>
              </w:rPr>
              <w:t>Adulthood / Sustainable employment</w:t>
            </w:r>
          </w:p>
        </w:tc>
      </w:tr>
      <w:tr w:rsidR="004B0D6A" w:rsidRPr="00762C5E" w14:paraId="7F7A1FE9" w14:textId="77777777" w:rsidTr="007E3CCB">
        <w:tc>
          <w:tcPr>
            <w:tcW w:w="0" w:type="auto"/>
            <w:tcBorders>
              <w:bottom w:val="nil"/>
            </w:tcBorders>
            <w:shd w:val="clear" w:color="auto" w:fill="F2F2F2" w:themeFill="background1" w:themeFillShade="F2"/>
            <w:vAlign w:val="center"/>
            <w:hideMark/>
          </w:tcPr>
          <w:p w14:paraId="43BB2BD1" w14:textId="77777777" w:rsidR="004B0D6A" w:rsidRPr="00762C5E" w:rsidRDefault="004B0D6A" w:rsidP="00F6655A">
            <w:pPr>
              <w:jc w:val="center"/>
              <w:rPr>
                <w:color w:val="000000" w:themeColor="text1"/>
              </w:rPr>
            </w:pPr>
            <w:r w:rsidRPr="00762C5E">
              <w:rPr>
                <w:b/>
                <w:bCs/>
                <w:color w:val="000000" w:themeColor="text1"/>
              </w:rPr>
              <w:t>Future Research</w:t>
            </w:r>
          </w:p>
        </w:tc>
        <w:tc>
          <w:tcPr>
            <w:tcW w:w="0" w:type="auto"/>
            <w:vAlign w:val="center"/>
            <w:hideMark/>
          </w:tcPr>
          <w:p w14:paraId="7E8CC48B" w14:textId="77777777" w:rsidR="004B0D6A" w:rsidRPr="00762C5E" w:rsidRDefault="004B0D6A" w:rsidP="003A55BF">
            <w:pPr>
              <w:jc w:val="both"/>
              <w:rPr>
                <w:color w:val="000000" w:themeColor="text1"/>
              </w:rPr>
            </w:pPr>
            <w:r w:rsidRPr="00762C5E">
              <w:rPr>
                <w:rStyle w:val="ng-star-inserted"/>
                <w:color w:val="000000" w:themeColor="text1"/>
              </w:rPr>
              <w:t>Conduct longitudinal research to evaluate the long-term impacts and cost-effectiveness of early childhood and psychosocial interventions.</w:t>
            </w:r>
          </w:p>
        </w:tc>
        <w:tc>
          <w:tcPr>
            <w:tcW w:w="0" w:type="auto"/>
            <w:vAlign w:val="center"/>
            <w:hideMark/>
          </w:tcPr>
          <w:p w14:paraId="795CFD9B" w14:textId="5CDF4DCE" w:rsidR="004B0D6A" w:rsidRPr="00762C5E" w:rsidRDefault="004B0D6A" w:rsidP="003A55BF">
            <w:pPr>
              <w:jc w:val="both"/>
              <w:rPr>
                <w:color w:val="000000" w:themeColor="text1"/>
              </w:rPr>
            </w:pPr>
            <w:r w:rsidRPr="00762C5E">
              <w:rPr>
                <w:rStyle w:val="ng-star-inserted"/>
                <w:color w:val="000000" w:themeColor="text1"/>
              </w:rPr>
              <w:t xml:space="preserve">Early years </w:t>
            </w:r>
            <w:r w:rsidR="007E3CCB" w:rsidRPr="00762C5E">
              <w:rPr>
                <w:rStyle w:val="ng-star-inserted"/>
                <w:color w:val="000000" w:themeColor="text1"/>
              </w:rPr>
              <w:t>and</w:t>
            </w:r>
            <w:r w:rsidRPr="00762C5E">
              <w:rPr>
                <w:rStyle w:val="ng-star-inserted"/>
                <w:color w:val="000000" w:themeColor="text1"/>
              </w:rPr>
              <w:t xml:space="preserve"> Older Adulthood / Cost-effectiveness</w:t>
            </w:r>
          </w:p>
        </w:tc>
      </w:tr>
      <w:tr w:rsidR="004B0D6A" w:rsidRPr="00762C5E" w14:paraId="049F5A08" w14:textId="77777777" w:rsidTr="007E3CCB">
        <w:tc>
          <w:tcPr>
            <w:tcW w:w="0" w:type="auto"/>
            <w:tcBorders>
              <w:top w:val="nil"/>
            </w:tcBorders>
            <w:shd w:val="clear" w:color="auto" w:fill="F2F2F2" w:themeFill="background1" w:themeFillShade="F2"/>
            <w:vAlign w:val="center"/>
            <w:hideMark/>
          </w:tcPr>
          <w:p w14:paraId="0B27308C" w14:textId="77777777" w:rsidR="004B0D6A" w:rsidRPr="00762C5E" w:rsidRDefault="004B0D6A" w:rsidP="00F6655A">
            <w:pPr>
              <w:jc w:val="center"/>
              <w:rPr>
                <w:color w:val="000000" w:themeColor="text1"/>
              </w:rPr>
            </w:pPr>
          </w:p>
        </w:tc>
        <w:tc>
          <w:tcPr>
            <w:tcW w:w="0" w:type="auto"/>
            <w:vAlign w:val="center"/>
            <w:hideMark/>
          </w:tcPr>
          <w:p w14:paraId="797E2AEB" w14:textId="77777777" w:rsidR="004B0D6A" w:rsidRPr="00762C5E" w:rsidRDefault="004B0D6A" w:rsidP="003A55BF">
            <w:pPr>
              <w:jc w:val="both"/>
              <w:rPr>
                <w:color w:val="000000" w:themeColor="text1"/>
              </w:rPr>
            </w:pPr>
            <w:r w:rsidRPr="00762C5E">
              <w:rPr>
                <w:rStyle w:val="ng-star-inserted"/>
                <w:color w:val="000000" w:themeColor="text1"/>
              </w:rPr>
              <w:t>Investigate how specific environmental modifications (such as expanding green spaces and reducing air pollution) actively reduce the social gradient in health inequalities.</w:t>
            </w:r>
          </w:p>
        </w:tc>
        <w:tc>
          <w:tcPr>
            <w:tcW w:w="0" w:type="auto"/>
            <w:vAlign w:val="center"/>
            <w:hideMark/>
          </w:tcPr>
          <w:p w14:paraId="7841852F" w14:textId="77777777" w:rsidR="004B0D6A" w:rsidRPr="00762C5E" w:rsidRDefault="004B0D6A" w:rsidP="003A55BF">
            <w:pPr>
              <w:jc w:val="both"/>
              <w:rPr>
                <w:color w:val="000000" w:themeColor="text1"/>
              </w:rPr>
            </w:pPr>
            <w:r w:rsidRPr="00762C5E">
              <w:rPr>
                <w:rStyle w:val="ng-star-inserted"/>
                <w:color w:val="000000" w:themeColor="text1"/>
              </w:rPr>
              <w:t>All stages / Evidence-based policy</w:t>
            </w:r>
          </w:p>
        </w:tc>
      </w:tr>
    </w:tbl>
    <w:p w14:paraId="704DA56B" w14:textId="77777777" w:rsidR="004B0D6A" w:rsidRPr="00762C5E" w:rsidRDefault="004B0D6A" w:rsidP="003A55BF">
      <w:pPr>
        <w:spacing w:line="360" w:lineRule="auto"/>
        <w:jc w:val="both"/>
        <w:rPr>
          <w:color w:val="000000" w:themeColor="text1"/>
        </w:rPr>
      </w:pPr>
    </w:p>
    <w:p w14:paraId="54FC8C74" w14:textId="77777777" w:rsidR="007810C7" w:rsidRPr="00762C5E" w:rsidRDefault="007810C7" w:rsidP="003A55BF">
      <w:pPr>
        <w:spacing w:line="360" w:lineRule="auto"/>
        <w:jc w:val="both"/>
        <w:rPr>
          <w:color w:val="000000" w:themeColor="text1"/>
          <w:lang w:val="uk-UA"/>
        </w:rPr>
      </w:pPr>
    </w:p>
    <w:p w14:paraId="7ABAB898" w14:textId="77777777" w:rsidR="00627F64" w:rsidRPr="00762C5E" w:rsidRDefault="00627F64" w:rsidP="003A55BF">
      <w:pPr>
        <w:spacing w:line="360" w:lineRule="auto"/>
        <w:jc w:val="both"/>
        <w:rPr>
          <w:b/>
          <w:bCs/>
          <w:color w:val="000000" w:themeColor="text1"/>
        </w:rPr>
      </w:pPr>
    </w:p>
    <w:p w14:paraId="3439F9A3" w14:textId="77777777" w:rsidR="00C24600" w:rsidRPr="00762C5E" w:rsidRDefault="00C24600" w:rsidP="003A55BF">
      <w:pPr>
        <w:spacing w:line="360" w:lineRule="auto"/>
        <w:jc w:val="both"/>
        <w:rPr>
          <w:b/>
          <w:bCs/>
          <w:color w:val="000000" w:themeColor="text1"/>
        </w:rPr>
        <w:sectPr w:rsidR="00C24600" w:rsidRPr="00762C5E">
          <w:pgSz w:w="11906" w:h="16838"/>
          <w:pgMar w:top="1440" w:right="1440" w:bottom="1440" w:left="1440" w:header="708" w:footer="708" w:gutter="0"/>
          <w:cols w:space="708"/>
          <w:docGrid w:linePitch="360"/>
        </w:sectPr>
      </w:pPr>
    </w:p>
    <w:p w14:paraId="5943E3C7" w14:textId="77777777" w:rsidR="00A66F87" w:rsidRPr="00762C5E" w:rsidRDefault="003F56EC" w:rsidP="003A55BF">
      <w:pPr>
        <w:spacing w:line="360" w:lineRule="auto"/>
        <w:jc w:val="both"/>
        <w:rPr>
          <w:b/>
          <w:bCs/>
          <w:color w:val="000000" w:themeColor="text1"/>
        </w:rPr>
      </w:pPr>
      <w:r w:rsidRPr="00762C5E">
        <w:rPr>
          <w:b/>
          <w:bCs/>
          <w:color w:val="000000" w:themeColor="text1"/>
        </w:rPr>
        <w:lastRenderedPageBreak/>
        <w:t>Appendix 2:</w:t>
      </w:r>
    </w:p>
    <w:p w14:paraId="3BF6DDE0" w14:textId="72C09EFE" w:rsidR="009979CE" w:rsidRPr="00762C5E" w:rsidRDefault="00627F64" w:rsidP="003A55BF">
      <w:pPr>
        <w:spacing w:line="360" w:lineRule="auto"/>
        <w:jc w:val="both"/>
        <w:rPr>
          <w:b/>
          <w:bCs/>
          <w:color w:val="000000" w:themeColor="text1"/>
          <w:lang w:val="uk-UA"/>
        </w:rPr>
      </w:pPr>
      <w:r w:rsidRPr="00762C5E">
        <w:rPr>
          <w:b/>
          <w:bCs/>
          <w:color w:val="000000" w:themeColor="text1"/>
        </w:rPr>
        <w:t xml:space="preserve">Shaping the Lifespan: The Social, Economic, and Environmental </w:t>
      </w:r>
      <w:r w:rsidR="00A66F87" w:rsidRPr="00762C5E">
        <w:rPr>
          <w:b/>
          <w:bCs/>
          <w:color w:val="000000" w:themeColor="text1"/>
        </w:rPr>
        <w:t xml:space="preserve"> </w:t>
      </w:r>
      <w:r w:rsidRPr="00762C5E">
        <w:rPr>
          <w:b/>
          <w:bCs/>
          <w:color w:val="000000" w:themeColor="text1"/>
        </w:rPr>
        <w:t>Determinants of Health</w:t>
      </w:r>
      <w:r w:rsidR="007810C7" w:rsidRPr="00762C5E">
        <w:rPr>
          <w:color w:val="000000" w:themeColor="text1"/>
          <w:lang w:eastAsia="en-GB"/>
        </w:rPr>
        <w:br/>
      </w:r>
      <w:r w:rsidR="003F56EC" w:rsidRPr="00762C5E">
        <w:rPr>
          <w:noProof/>
          <w:color w:val="000000" w:themeColor="text1"/>
          <w14:ligatures w14:val="standardContextual"/>
        </w:rPr>
        <w:drawing>
          <wp:inline distT="0" distB="0" distL="0" distR="0" wp14:anchorId="14248871" wp14:editId="0F437737">
            <wp:extent cx="5731510" cy="3124863"/>
            <wp:effectExtent l="0" t="0" r="0" b="0"/>
            <wp:docPr id="102379817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798171" name="Рисунок 1023798171"/>
                    <pic:cNvPicPr/>
                  </pic:nvPicPr>
                  <pic:blipFill rotWithShape="1">
                    <a:blip r:embed="rId11" cstate="print">
                      <a:extLst>
                        <a:ext uri="{28A0092B-C50C-407E-A947-70E740481C1C}">
                          <a14:useLocalDpi xmlns:a14="http://schemas.microsoft.com/office/drawing/2010/main" val="0"/>
                        </a:ext>
                      </a:extLst>
                    </a:blip>
                    <a:srcRect t="1" b="2321"/>
                    <a:stretch>
                      <a:fillRect/>
                    </a:stretch>
                  </pic:blipFill>
                  <pic:spPr bwMode="auto">
                    <a:xfrm>
                      <a:off x="0" y="0"/>
                      <a:ext cx="5731510" cy="3124863"/>
                    </a:xfrm>
                    <a:prstGeom prst="rect">
                      <a:avLst/>
                    </a:prstGeom>
                    <a:ln>
                      <a:noFill/>
                    </a:ln>
                    <a:extLst>
                      <a:ext uri="{53640926-AAD7-44D8-BBD7-CCE9431645EC}">
                        <a14:shadowObscured xmlns:a14="http://schemas.microsoft.com/office/drawing/2010/main"/>
                      </a:ext>
                    </a:extLst>
                  </pic:spPr>
                </pic:pic>
              </a:graphicData>
            </a:graphic>
          </wp:inline>
        </w:drawing>
      </w:r>
      <w:r w:rsidR="008346AD" w:rsidRPr="00762C5E">
        <w:rPr>
          <w:color w:val="000000" w:themeColor="text1"/>
        </w:rPr>
        <w:br/>
      </w:r>
    </w:p>
    <w:p w14:paraId="40CE596A" w14:textId="77777777" w:rsidR="009979CE" w:rsidRPr="00762C5E" w:rsidRDefault="009979CE" w:rsidP="003A55BF">
      <w:pPr>
        <w:spacing w:line="360" w:lineRule="auto"/>
        <w:jc w:val="both"/>
        <w:rPr>
          <w:b/>
          <w:bCs/>
          <w:color w:val="000000" w:themeColor="text1"/>
          <w:lang w:val="uk-UA"/>
        </w:rPr>
      </w:pPr>
    </w:p>
    <w:p w14:paraId="44F252D2" w14:textId="567572C4" w:rsidR="00A66F87" w:rsidRPr="00762C5E" w:rsidRDefault="009979CE" w:rsidP="003A55BF">
      <w:pPr>
        <w:spacing w:line="360" w:lineRule="auto"/>
        <w:jc w:val="both"/>
        <w:rPr>
          <w:b/>
          <w:bCs/>
          <w:color w:val="000000" w:themeColor="text1"/>
          <w:lang w:val="uk-UA"/>
        </w:rPr>
      </w:pPr>
      <w:r w:rsidRPr="00762C5E">
        <w:rPr>
          <w:b/>
          <w:bCs/>
          <w:color w:val="000000" w:themeColor="text1"/>
          <w:lang w:val="uk-UA"/>
        </w:rPr>
        <w:t>__________________________________________________________________________</w:t>
      </w:r>
      <w:r w:rsidR="006A4F95" w:rsidRPr="00762C5E">
        <w:rPr>
          <w:b/>
          <w:bCs/>
          <w:color w:val="000000" w:themeColor="text1"/>
        </w:rPr>
        <w:br/>
      </w:r>
      <w:r w:rsidR="008346AD" w:rsidRPr="00762C5E">
        <w:rPr>
          <w:b/>
          <w:bCs/>
          <w:color w:val="000000" w:themeColor="text1"/>
        </w:rPr>
        <w:t xml:space="preserve">Appendix 3: </w:t>
      </w:r>
    </w:p>
    <w:p w14:paraId="0F1FC306" w14:textId="2E286E8D" w:rsidR="006A4F95" w:rsidRPr="00762C5E" w:rsidRDefault="006A4F95" w:rsidP="003A55B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i/>
          <w:iCs/>
          <w:color w:val="000000" w:themeColor="text1"/>
        </w:rPr>
      </w:pPr>
      <w:r w:rsidRPr="00762C5E">
        <w:rPr>
          <w:b/>
          <w:bCs/>
          <w:color w:val="000000" w:themeColor="text1"/>
        </w:rPr>
        <w:t xml:space="preserve">Main determinants of health: life course and environmental model </w:t>
      </w:r>
      <w:r w:rsidRPr="00762C5E">
        <w:rPr>
          <w:b/>
          <w:bCs/>
          <w:color w:val="000000" w:themeColor="text1"/>
        </w:rPr>
        <w:br/>
      </w:r>
      <w:r w:rsidRPr="00762C5E">
        <w:rPr>
          <w:i/>
          <w:iCs/>
          <w:color w:val="000000" w:themeColor="text1"/>
        </w:rPr>
        <w:t>(Based on Dahlgren and Whitehead, 2006)</w:t>
      </w:r>
      <w:r w:rsidR="00A46DC1" w:rsidRPr="00762C5E">
        <w:rPr>
          <w:i/>
          <w:iCs/>
          <w:color w:val="000000" w:themeColor="text1"/>
        </w:rPr>
        <w:tab/>
      </w:r>
    </w:p>
    <w:p w14:paraId="65C12C0D" w14:textId="67BEA9C7" w:rsidR="0043109C" w:rsidRPr="00762C5E" w:rsidRDefault="006A4F95" w:rsidP="003A55BF">
      <w:pPr>
        <w:spacing w:line="360" w:lineRule="auto"/>
        <w:jc w:val="both"/>
        <w:rPr>
          <w:color w:val="000000" w:themeColor="text1"/>
        </w:rPr>
        <w:sectPr w:rsidR="0043109C" w:rsidRPr="00762C5E">
          <w:pgSz w:w="11906" w:h="16838"/>
          <w:pgMar w:top="1440" w:right="1440" w:bottom="1440" w:left="1440" w:header="708" w:footer="708" w:gutter="0"/>
          <w:cols w:space="708"/>
          <w:docGrid w:linePitch="360"/>
        </w:sectPr>
      </w:pPr>
      <w:r w:rsidRPr="00762C5E">
        <w:rPr>
          <w:noProof/>
          <w:color w:val="000000" w:themeColor="text1"/>
          <w14:ligatures w14:val="standardContextual"/>
        </w:rPr>
        <w:drawing>
          <wp:inline distT="0" distB="0" distL="0" distR="0" wp14:anchorId="18843327" wp14:editId="35C9DB52">
            <wp:extent cx="5687251" cy="3196590"/>
            <wp:effectExtent l="0" t="0" r="2540" b="3810"/>
            <wp:docPr id="1646911305"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911305" name="Рисунок 1646911305"/>
                    <pic:cNvPicPr/>
                  </pic:nvPicPr>
                  <pic:blipFill rotWithShape="1">
                    <a:blip r:embed="rId12" cstate="print">
                      <a:extLst>
                        <a:ext uri="{28A0092B-C50C-407E-A947-70E740481C1C}">
                          <a14:useLocalDpi xmlns:a14="http://schemas.microsoft.com/office/drawing/2010/main" val="0"/>
                        </a:ext>
                      </a:extLst>
                    </a:blip>
                    <a:srcRect r="772"/>
                    <a:stretch>
                      <a:fillRect/>
                    </a:stretch>
                  </pic:blipFill>
                  <pic:spPr bwMode="auto">
                    <a:xfrm>
                      <a:off x="0" y="0"/>
                      <a:ext cx="5687251" cy="3196590"/>
                    </a:xfrm>
                    <a:prstGeom prst="rect">
                      <a:avLst/>
                    </a:prstGeom>
                    <a:ln>
                      <a:noFill/>
                    </a:ln>
                    <a:extLst>
                      <a:ext uri="{53640926-AAD7-44D8-BBD7-CCE9431645EC}">
                        <a14:shadowObscured xmlns:a14="http://schemas.microsoft.com/office/drawing/2010/main"/>
                      </a:ext>
                    </a:extLst>
                  </pic:spPr>
                </pic:pic>
              </a:graphicData>
            </a:graphic>
          </wp:inline>
        </w:drawing>
      </w:r>
    </w:p>
    <w:p w14:paraId="5DF5E959" w14:textId="5C4879B1" w:rsidR="00690329" w:rsidRPr="00762C5E" w:rsidRDefault="00B179B5" w:rsidP="003A55BF">
      <w:pPr>
        <w:spacing w:line="360" w:lineRule="auto"/>
        <w:jc w:val="both"/>
        <w:rPr>
          <w:b/>
          <w:bCs/>
          <w:color w:val="000000" w:themeColor="text1"/>
        </w:rPr>
      </w:pPr>
      <w:r w:rsidRPr="00762C5E">
        <w:rPr>
          <w:b/>
          <w:bCs/>
          <w:color w:val="000000" w:themeColor="text1"/>
        </w:rPr>
        <w:lastRenderedPageBreak/>
        <w:t xml:space="preserve">REFERENCES </w:t>
      </w:r>
    </w:p>
    <w:p w14:paraId="0F68D15F" w14:textId="77777777" w:rsidR="00B179B5" w:rsidRPr="00762C5E" w:rsidRDefault="00B179B5" w:rsidP="003A55BF">
      <w:pPr>
        <w:spacing w:line="360" w:lineRule="auto"/>
        <w:jc w:val="both"/>
        <w:rPr>
          <w:color w:val="000000" w:themeColor="text1"/>
        </w:rPr>
      </w:pPr>
    </w:p>
    <w:p w14:paraId="0BA962F6"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Academy</w:t>
      </w:r>
      <w:r w:rsidRPr="00762C5E">
        <w:rPr>
          <w:rStyle w:val="ng-star-inserted"/>
          <w:color w:val="000000" w:themeColor="text1"/>
        </w:rPr>
        <w:t xml:space="preserve"> of Medical Sciences (2024). </w:t>
      </w:r>
      <w:r w:rsidRPr="00762C5E">
        <w:rPr>
          <w:i/>
          <w:iCs/>
          <w:color w:val="000000" w:themeColor="text1"/>
        </w:rPr>
        <w:t>Prioritising early childhood to promote the nation's health, wellbeing and prosperity</w:t>
      </w:r>
      <w:r w:rsidRPr="00762C5E">
        <w:rPr>
          <w:rStyle w:val="ng-star-inserted"/>
          <w:color w:val="000000" w:themeColor="text1"/>
        </w:rPr>
        <w:t>. London: Academy of Medical Sciences. Available at: https://acmedsci.ac.uk/ (Accessed: 15th March, 2026).</w:t>
      </w:r>
    </w:p>
    <w:p w14:paraId="0A132D65" w14:textId="77777777" w:rsidR="00B179B5" w:rsidRPr="00762C5E" w:rsidRDefault="00B179B5" w:rsidP="003A55BF">
      <w:pPr>
        <w:spacing w:line="360" w:lineRule="auto"/>
        <w:jc w:val="both"/>
        <w:rPr>
          <w:color w:val="000000" w:themeColor="text1"/>
        </w:rPr>
      </w:pPr>
    </w:p>
    <w:p w14:paraId="2A035C5C"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Bengtson</w:t>
      </w:r>
      <w:r w:rsidRPr="00762C5E">
        <w:rPr>
          <w:rStyle w:val="ng-star-inserted"/>
          <w:color w:val="000000" w:themeColor="text1"/>
        </w:rPr>
        <w:t xml:space="preserve">, V.L. and Allen, K.R. (2003). 'The Life Course Perspective Applied to Families Over Time', in Boss, P., Doherty, W.J., LaRossa, R., Schumm, W.R. and Steinmetz, S.K. (Eds). </w:t>
      </w:r>
      <w:r w:rsidRPr="00762C5E">
        <w:rPr>
          <w:i/>
          <w:iCs/>
          <w:color w:val="000000" w:themeColor="text1"/>
        </w:rPr>
        <w:t>Sourcebook of Family Theories and Methods: a Contextual Approach</w:t>
      </w:r>
      <w:r w:rsidRPr="00762C5E">
        <w:rPr>
          <w:rStyle w:val="ng-star-inserted"/>
          <w:color w:val="000000" w:themeColor="text1"/>
        </w:rPr>
        <w:t>. Boston, MA: Springer, pp. 469-498.</w:t>
      </w:r>
    </w:p>
    <w:p w14:paraId="39D3DAF3" w14:textId="77777777" w:rsidR="00B179B5" w:rsidRPr="00762C5E" w:rsidRDefault="00B179B5" w:rsidP="003A55BF">
      <w:pPr>
        <w:spacing w:line="360" w:lineRule="auto"/>
        <w:jc w:val="both"/>
        <w:rPr>
          <w:color w:val="000000" w:themeColor="text1"/>
        </w:rPr>
      </w:pPr>
    </w:p>
    <w:p w14:paraId="5DFAFB2E"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Buckinghamshire</w:t>
      </w:r>
      <w:r w:rsidRPr="00762C5E">
        <w:rPr>
          <w:rStyle w:val="ng-star-inserted"/>
          <w:color w:val="000000" w:themeColor="text1"/>
        </w:rPr>
        <w:t xml:space="preserve"> Health and Wellbeing Board (2024). </w:t>
      </w:r>
      <w:r w:rsidRPr="00762C5E">
        <w:rPr>
          <w:i/>
          <w:iCs/>
          <w:color w:val="000000" w:themeColor="text1"/>
        </w:rPr>
        <w:t>Tomorrows Region Report: Start Well Live Well Age Well</w:t>
      </w:r>
      <w:r w:rsidRPr="00762C5E">
        <w:rPr>
          <w:rStyle w:val="ng-star-inserted"/>
          <w:color w:val="000000" w:themeColor="text1"/>
        </w:rPr>
        <w:t>. Buckinghamshire: Health and Wellbeing Board.</w:t>
      </w:r>
    </w:p>
    <w:p w14:paraId="40827824" w14:textId="77777777" w:rsidR="00B179B5" w:rsidRPr="00762C5E" w:rsidRDefault="00B179B5" w:rsidP="003A55BF">
      <w:pPr>
        <w:spacing w:line="360" w:lineRule="auto"/>
        <w:jc w:val="both"/>
        <w:rPr>
          <w:color w:val="000000" w:themeColor="text1"/>
        </w:rPr>
      </w:pPr>
    </w:p>
    <w:p w14:paraId="2967FAA0" w14:textId="77777777" w:rsidR="008B5FC2" w:rsidRPr="00762C5E" w:rsidRDefault="00B179B5" w:rsidP="003A55BF">
      <w:pPr>
        <w:spacing w:line="360" w:lineRule="auto"/>
        <w:jc w:val="both"/>
        <w:rPr>
          <w:rStyle w:val="ng-star-inserted"/>
          <w:color w:val="000000" w:themeColor="text1"/>
          <w:lang w:val="uk-UA"/>
        </w:rPr>
      </w:pPr>
      <w:r w:rsidRPr="00762C5E">
        <w:rPr>
          <w:color w:val="000000" w:themeColor="text1"/>
        </w:rPr>
        <w:t>Dahlgren</w:t>
      </w:r>
      <w:r w:rsidRPr="00762C5E">
        <w:rPr>
          <w:rStyle w:val="ng-star-inserted"/>
          <w:color w:val="000000" w:themeColor="text1"/>
        </w:rPr>
        <w:t xml:space="preserve">, G. and Whitehead, M. (2006). </w:t>
      </w:r>
      <w:r w:rsidRPr="00762C5E">
        <w:rPr>
          <w:i/>
          <w:iCs/>
          <w:color w:val="000000" w:themeColor="text1"/>
        </w:rPr>
        <w:t>European strategies for tackling social inequities in health: Levelling up Part 2</w:t>
      </w:r>
      <w:r w:rsidRPr="00762C5E">
        <w:rPr>
          <w:rStyle w:val="ng-star-inserted"/>
          <w:color w:val="000000" w:themeColor="text1"/>
        </w:rPr>
        <w:t>. Copenhagen: World Health Organisation Regional Office for Europe. Available at:</w:t>
      </w:r>
    </w:p>
    <w:p w14:paraId="0082F1AD" w14:textId="1506A225" w:rsidR="00B179B5" w:rsidRPr="00762C5E" w:rsidRDefault="00B179B5" w:rsidP="003A55BF">
      <w:pPr>
        <w:spacing w:line="360" w:lineRule="auto"/>
        <w:jc w:val="both"/>
        <w:rPr>
          <w:rStyle w:val="ng-star-inserted"/>
          <w:color w:val="000000" w:themeColor="text1"/>
          <w:lang w:val="uk-UA"/>
        </w:rPr>
      </w:pPr>
      <w:r w:rsidRPr="00762C5E">
        <w:rPr>
          <w:rStyle w:val="ng-star-inserted"/>
          <w:color w:val="000000" w:themeColor="text1"/>
        </w:rPr>
        <w:t>https://iris.who.int/bitstream/handle/10665/107791/E89384.pdf?sequence=1 (Accessed: 25th January, 2026).</w:t>
      </w:r>
    </w:p>
    <w:p w14:paraId="5AAC6A3B" w14:textId="77777777" w:rsidR="003A55BF" w:rsidRPr="00762C5E" w:rsidRDefault="003A55BF" w:rsidP="00C20D5E">
      <w:pPr>
        <w:spacing w:line="360" w:lineRule="auto"/>
        <w:jc w:val="both"/>
        <w:rPr>
          <w:rStyle w:val="ng-star-inserted"/>
          <w:color w:val="000000" w:themeColor="text1"/>
        </w:rPr>
      </w:pPr>
    </w:p>
    <w:p w14:paraId="20A35A8D" w14:textId="12F96014" w:rsidR="00C20D5E" w:rsidRPr="00762C5E" w:rsidRDefault="00C20D5E" w:rsidP="0051188B">
      <w:pPr>
        <w:rPr>
          <w:rStyle w:val="ng-star-inserted"/>
          <w:color w:val="0E0E0E"/>
          <w:lang w:val="uk-UA"/>
        </w:rPr>
      </w:pPr>
      <w:r w:rsidRPr="00762C5E">
        <w:rPr>
          <w:rStyle w:val="ng-star-inserted"/>
          <w:color w:val="000000" w:themeColor="text1"/>
        </w:rPr>
        <w:t xml:space="preserve">Duxbury, B. (2026a). BMNS4014. Living well: a Life course approach to Health and Wellbeing. Lecture three: A life course approach: trajectories, transitions and interventions </w:t>
      </w:r>
      <w:r w:rsidR="0051188B" w:rsidRPr="00762C5E">
        <w:rPr>
          <w:rStyle w:val="ng-star-inserted"/>
          <w:color w:val="000000" w:themeColor="text1"/>
        </w:rPr>
        <w:t>[PowerPoint slides].</w:t>
      </w:r>
    </w:p>
    <w:p w14:paraId="1B2BE9F1" w14:textId="77777777" w:rsidR="0051188B" w:rsidRPr="00762C5E" w:rsidRDefault="0051188B" w:rsidP="0051188B">
      <w:pPr>
        <w:rPr>
          <w:rStyle w:val="ng-star-inserted"/>
          <w:color w:val="0E0E0E"/>
          <w:lang w:val="uk-UA"/>
        </w:rPr>
      </w:pPr>
    </w:p>
    <w:p w14:paraId="04344E4E" w14:textId="4B7A725B" w:rsidR="00C20D5E" w:rsidRPr="00762C5E" w:rsidRDefault="00C20D5E" w:rsidP="00C20D5E">
      <w:pPr>
        <w:spacing w:line="360" w:lineRule="auto"/>
        <w:jc w:val="both"/>
        <w:rPr>
          <w:rStyle w:val="ng-star-inserted"/>
          <w:color w:val="000000" w:themeColor="text1"/>
        </w:rPr>
      </w:pPr>
      <w:r w:rsidRPr="00762C5E">
        <w:rPr>
          <w:rStyle w:val="ng-star-inserted"/>
          <w:color w:val="000000" w:themeColor="text1"/>
        </w:rPr>
        <w:t xml:space="preserve">Duxbury, B. (2026b). BMNS4014. Living well: a Life course approach to Health and Wellbeing. Lecture six: The life course: the bigger picture </w:t>
      </w:r>
      <w:r w:rsidR="0051188B" w:rsidRPr="00762C5E">
        <w:rPr>
          <w:rStyle w:val="ng-star-inserted"/>
          <w:color w:val="000000" w:themeColor="text1"/>
        </w:rPr>
        <w:t>[PowerPoint slides].</w:t>
      </w:r>
    </w:p>
    <w:p w14:paraId="45F1BFCE" w14:textId="77777777" w:rsidR="003A55BF" w:rsidRPr="00762C5E" w:rsidRDefault="003A55BF" w:rsidP="003A55BF">
      <w:pPr>
        <w:spacing w:line="360" w:lineRule="auto"/>
        <w:jc w:val="both"/>
        <w:rPr>
          <w:color w:val="000000" w:themeColor="text1"/>
        </w:rPr>
      </w:pPr>
    </w:p>
    <w:p w14:paraId="3A7E24C8"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Department</w:t>
      </w:r>
      <w:r w:rsidRPr="00762C5E">
        <w:rPr>
          <w:rStyle w:val="ng-star-inserted"/>
          <w:color w:val="000000" w:themeColor="text1"/>
        </w:rPr>
        <w:t xml:space="preserve"> for Environment, Food and Rural Affairs (2009). </w:t>
      </w:r>
      <w:r w:rsidRPr="00762C5E">
        <w:rPr>
          <w:i/>
          <w:iCs/>
          <w:color w:val="000000" w:themeColor="text1"/>
        </w:rPr>
        <w:t>Survey of Public Attitudes and Behaviours towards the Environment</w:t>
      </w:r>
      <w:r w:rsidRPr="00762C5E">
        <w:rPr>
          <w:rStyle w:val="ng-star-inserted"/>
          <w:color w:val="000000" w:themeColor="text1"/>
        </w:rPr>
        <w:t>.</w:t>
      </w:r>
    </w:p>
    <w:p w14:paraId="5BA4238E" w14:textId="77777777" w:rsidR="00B179B5" w:rsidRPr="00762C5E" w:rsidRDefault="00B179B5" w:rsidP="003A55BF">
      <w:pPr>
        <w:spacing w:line="360" w:lineRule="auto"/>
        <w:jc w:val="both"/>
        <w:rPr>
          <w:color w:val="000000" w:themeColor="text1"/>
          <w:lang w:val="uk-UA"/>
        </w:rPr>
      </w:pPr>
    </w:p>
    <w:p w14:paraId="3EEE4DF8"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Felitti</w:t>
      </w:r>
      <w:r w:rsidRPr="00762C5E">
        <w:rPr>
          <w:rStyle w:val="ng-star-inserted"/>
          <w:color w:val="000000" w:themeColor="text1"/>
        </w:rPr>
        <w:t xml:space="preserve">, V.J., Anda, R.F., Nordenberg, D., Williamson, D.F., Spitz, A.M., Edwards, V., Koss, M.P. and Marks, J.S. (1998). 'Relationship of childhood abuse and household dysfunction to many of the leading causes of death in adults: the Adverse Childhood Experiences (ACE) Study', </w:t>
      </w:r>
      <w:r w:rsidRPr="00762C5E">
        <w:rPr>
          <w:i/>
          <w:iCs/>
          <w:color w:val="000000" w:themeColor="text1"/>
        </w:rPr>
        <w:t>American Journal of Preventive Medicine</w:t>
      </w:r>
      <w:r w:rsidRPr="00762C5E">
        <w:rPr>
          <w:rStyle w:val="ng-star-inserted"/>
          <w:color w:val="000000" w:themeColor="text1"/>
        </w:rPr>
        <w:t>, 14(4), pp. 245-258.</w:t>
      </w:r>
    </w:p>
    <w:p w14:paraId="04AD3E36" w14:textId="77777777" w:rsidR="00B179B5" w:rsidRPr="00762C5E" w:rsidRDefault="00B179B5" w:rsidP="003A55BF">
      <w:pPr>
        <w:spacing w:line="360" w:lineRule="auto"/>
        <w:jc w:val="both"/>
        <w:rPr>
          <w:color w:val="000000" w:themeColor="text1"/>
          <w:lang w:val="uk-UA"/>
        </w:rPr>
      </w:pPr>
    </w:p>
    <w:p w14:paraId="35E915AB"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lastRenderedPageBreak/>
        <w:t>Grundy</w:t>
      </w:r>
      <w:r w:rsidRPr="00762C5E">
        <w:rPr>
          <w:rStyle w:val="ng-star-inserted"/>
          <w:color w:val="000000" w:themeColor="text1"/>
        </w:rPr>
        <w:t xml:space="preserve">, C., Steinbach, R., Edwards, P., Green, J., Armstrong, B. and Wilkinson, P. (2009). 'The effect of 20 mph traffic speed zones on road injuries in London, 1986–2006: A controlled interrupted time series analysis', </w:t>
      </w:r>
      <w:r w:rsidRPr="00762C5E">
        <w:rPr>
          <w:i/>
          <w:iCs/>
          <w:color w:val="000000" w:themeColor="text1"/>
        </w:rPr>
        <w:t>BMJ</w:t>
      </w:r>
      <w:r w:rsidRPr="00762C5E">
        <w:rPr>
          <w:rStyle w:val="ng-star-inserted"/>
          <w:color w:val="000000" w:themeColor="text1"/>
        </w:rPr>
        <w:t>, 339:b4469.</w:t>
      </w:r>
    </w:p>
    <w:p w14:paraId="5F157A29" w14:textId="77777777" w:rsidR="00B179B5" w:rsidRPr="00762C5E" w:rsidRDefault="00B179B5" w:rsidP="003A55BF">
      <w:pPr>
        <w:spacing w:line="360" w:lineRule="auto"/>
        <w:jc w:val="both"/>
        <w:rPr>
          <w:color w:val="000000" w:themeColor="text1"/>
        </w:rPr>
      </w:pPr>
    </w:p>
    <w:p w14:paraId="49F10289"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Heckman</w:t>
      </w:r>
      <w:r w:rsidRPr="00762C5E">
        <w:rPr>
          <w:rStyle w:val="ng-star-inserted"/>
          <w:color w:val="000000" w:themeColor="text1"/>
        </w:rPr>
        <w:t xml:space="preserve">, J.J., Moon, S.H., Pinto, R., Savelyev, P.A. and Yavitz, A. (2010). 'The rate of return to the High/Scope Perry Preschool Program', </w:t>
      </w:r>
      <w:r w:rsidRPr="00762C5E">
        <w:rPr>
          <w:i/>
          <w:iCs/>
          <w:color w:val="000000" w:themeColor="text1"/>
        </w:rPr>
        <w:t>Journal of Public Economics</w:t>
      </w:r>
      <w:r w:rsidRPr="00762C5E">
        <w:rPr>
          <w:rStyle w:val="ng-star-inserted"/>
          <w:color w:val="000000" w:themeColor="text1"/>
        </w:rPr>
        <w:t>, 94(1-2), pp. 114-128.</w:t>
      </w:r>
    </w:p>
    <w:p w14:paraId="4FC85EE5" w14:textId="77777777" w:rsidR="00B179B5" w:rsidRPr="00762C5E" w:rsidRDefault="00B179B5" w:rsidP="003A55BF">
      <w:pPr>
        <w:spacing w:line="360" w:lineRule="auto"/>
        <w:jc w:val="both"/>
        <w:rPr>
          <w:color w:val="000000" w:themeColor="text1"/>
        </w:rPr>
      </w:pPr>
    </w:p>
    <w:p w14:paraId="3DFB0B33"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Hughes</w:t>
      </w:r>
      <w:r w:rsidRPr="00762C5E">
        <w:rPr>
          <w:rStyle w:val="ng-star-inserted"/>
          <w:color w:val="000000" w:themeColor="text1"/>
        </w:rPr>
        <w:t xml:space="preserve">, K., Bellis, M.A., Hardcastle, K.A., Sethi, D., Butchart, A., Mikton, C., Jones, L. and Dunne, M.P. (2017). 'The effect of multiple adverse childhood experiences on health: a systematic review and meta-analysis', </w:t>
      </w:r>
      <w:r w:rsidRPr="00762C5E">
        <w:rPr>
          <w:i/>
          <w:iCs/>
          <w:color w:val="000000" w:themeColor="text1"/>
        </w:rPr>
        <w:t>Lancet Public Health</w:t>
      </w:r>
      <w:r w:rsidRPr="00762C5E">
        <w:rPr>
          <w:rStyle w:val="ng-star-inserted"/>
          <w:color w:val="000000" w:themeColor="text1"/>
        </w:rPr>
        <w:t>, 2: e356-e366.</w:t>
      </w:r>
    </w:p>
    <w:p w14:paraId="2EA3B915" w14:textId="77777777" w:rsidR="00B179B5" w:rsidRPr="00762C5E" w:rsidRDefault="00B179B5" w:rsidP="003A55BF">
      <w:pPr>
        <w:spacing w:line="360" w:lineRule="auto"/>
        <w:jc w:val="both"/>
        <w:rPr>
          <w:color w:val="000000" w:themeColor="text1"/>
        </w:rPr>
      </w:pPr>
    </w:p>
    <w:p w14:paraId="62E97DAA"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Institute</w:t>
      </w:r>
      <w:r w:rsidRPr="00762C5E">
        <w:rPr>
          <w:rStyle w:val="ng-star-inserted"/>
          <w:color w:val="000000" w:themeColor="text1"/>
        </w:rPr>
        <w:t xml:space="preserve"> of Health Equity (2022). </w:t>
      </w:r>
      <w:r w:rsidRPr="00762C5E">
        <w:rPr>
          <w:i/>
          <w:iCs/>
          <w:color w:val="000000" w:themeColor="text1"/>
        </w:rPr>
        <w:t>Fuel Poverty, Cold Homes and Health Inequalities in the UK</w:t>
      </w:r>
      <w:r w:rsidRPr="00762C5E">
        <w:rPr>
          <w:rStyle w:val="ng-star-inserted"/>
          <w:color w:val="000000" w:themeColor="text1"/>
        </w:rPr>
        <w:t>. London: Institute of Health Equity.</w:t>
      </w:r>
    </w:p>
    <w:p w14:paraId="506BE4FF" w14:textId="77777777" w:rsidR="00B179B5" w:rsidRPr="00762C5E" w:rsidRDefault="00B179B5" w:rsidP="003A55BF">
      <w:pPr>
        <w:spacing w:line="360" w:lineRule="auto"/>
        <w:jc w:val="both"/>
        <w:rPr>
          <w:color w:val="000000" w:themeColor="text1"/>
        </w:rPr>
      </w:pPr>
    </w:p>
    <w:p w14:paraId="3286D04E"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Joseph</w:t>
      </w:r>
      <w:r w:rsidRPr="00762C5E">
        <w:rPr>
          <w:rStyle w:val="ng-star-inserted"/>
          <w:color w:val="000000" w:themeColor="text1"/>
        </w:rPr>
        <w:t xml:space="preserve"> Rowntree Foundation (2024). </w:t>
      </w:r>
      <w:r w:rsidRPr="00762C5E">
        <w:rPr>
          <w:i/>
          <w:iCs/>
          <w:color w:val="000000" w:themeColor="text1"/>
        </w:rPr>
        <w:t>UK Poverty 2024: The essential guide to understanding poverty in the UK</w:t>
      </w:r>
      <w:r w:rsidRPr="00762C5E">
        <w:rPr>
          <w:rStyle w:val="ng-star-inserted"/>
          <w:color w:val="000000" w:themeColor="text1"/>
        </w:rPr>
        <w:t>. York: Joseph Rowntree Foundation.</w:t>
      </w:r>
    </w:p>
    <w:p w14:paraId="78D6B0D6" w14:textId="77777777" w:rsidR="00B179B5" w:rsidRPr="00762C5E" w:rsidRDefault="00B179B5" w:rsidP="003A55BF">
      <w:pPr>
        <w:spacing w:line="360" w:lineRule="auto"/>
        <w:jc w:val="both"/>
        <w:rPr>
          <w:color w:val="000000" w:themeColor="text1"/>
        </w:rPr>
      </w:pPr>
    </w:p>
    <w:p w14:paraId="78F2093D"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Keane</w:t>
      </w:r>
      <w:r w:rsidRPr="00762C5E">
        <w:rPr>
          <w:rStyle w:val="ng-star-inserted"/>
          <w:color w:val="000000" w:themeColor="text1"/>
        </w:rPr>
        <w:t xml:space="preserve">, A-M., Bright, A-M., Greenan, L. and Grealish, A. (2025). 'The Impact of Psychosocial Interventions on Older Adults in the Community Experiencing Social Isolation: an Integrative Review', </w:t>
      </w:r>
      <w:r w:rsidRPr="00762C5E">
        <w:rPr>
          <w:i/>
          <w:iCs/>
          <w:color w:val="000000" w:themeColor="text1"/>
        </w:rPr>
        <w:t>International Journal of Mental Health Nursing</w:t>
      </w:r>
      <w:r w:rsidRPr="00762C5E">
        <w:rPr>
          <w:rStyle w:val="ng-star-inserted"/>
          <w:color w:val="000000" w:themeColor="text1"/>
        </w:rPr>
        <w:t>, 34:e70186.</w:t>
      </w:r>
    </w:p>
    <w:p w14:paraId="57DC1D99" w14:textId="77777777" w:rsidR="00B179B5" w:rsidRPr="00762C5E" w:rsidRDefault="00B179B5" w:rsidP="003A55BF">
      <w:pPr>
        <w:spacing w:line="360" w:lineRule="auto"/>
        <w:jc w:val="both"/>
        <w:rPr>
          <w:color w:val="000000" w:themeColor="text1"/>
        </w:rPr>
      </w:pPr>
    </w:p>
    <w:p w14:paraId="78595F3E"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Li</w:t>
      </w:r>
      <w:r w:rsidRPr="00762C5E">
        <w:rPr>
          <w:rStyle w:val="ng-star-inserted"/>
          <w:color w:val="000000" w:themeColor="text1"/>
        </w:rPr>
        <w:t xml:space="preserve">, X., Ge, T., Dong, Q. and Jiang, Q. (2023). 'Social participation, psychological resilience and depression among widowed older adults in China', </w:t>
      </w:r>
      <w:r w:rsidRPr="00762C5E">
        <w:rPr>
          <w:i/>
          <w:iCs/>
          <w:color w:val="000000" w:themeColor="text1"/>
        </w:rPr>
        <w:t>BMC Geriatrics</w:t>
      </w:r>
      <w:r w:rsidRPr="00762C5E">
        <w:rPr>
          <w:rStyle w:val="ng-star-inserted"/>
          <w:color w:val="000000" w:themeColor="text1"/>
        </w:rPr>
        <w:t>, 23:454.</w:t>
      </w:r>
    </w:p>
    <w:p w14:paraId="65EDBBE6" w14:textId="77777777" w:rsidR="00B179B5" w:rsidRPr="00762C5E" w:rsidRDefault="00B179B5" w:rsidP="003A55BF">
      <w:pPr>
        <w:spacing w:line="360" w:lineRule="auto"/>
        <w:jc w:val="both"/>
        <w:rPr>
          <w:color w:val="000000" w:themeColor="text1"/>
        </w:rPr>
      </w:pPr>
    </w:p>
    <w:p w14:paraId="17A7D7EB"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Marmot</w:t>
      </w:r>
      <w:r w:rsidRPr="00762C5E">
        <w:rPr>
          <w:rStyle w:val="ng-star-inserted"/>
          <w:color w:val="000000" w:themeColor="text1"/>
        </w:rPr>
        <w:t xml:space="preserve">, M. (2010). </w:t>
      </w:r>
      <w:r w:rsidRPr="00762C5E">
        <w:rPr>
          <w:i/>
          <w:iCs/>
          <w:color w:val="000000" w:themeColor="text1"/>
        </w:rPr>
        <w:t>Fair Society, Healthy Lives: The Marmot Review</w:t>
      </w:r>
      <w:r w:rsidRPr="00762C5E">
        <w:rPr>
          <w:rStyle w:val="ng-star-inserted"/>
          <w:color w:val="000000" w:themeColor="text1"/>
        </w:rPr>
        <w:t>. London: UCL Institute of Health Equity.</w:t>
      </w:r>
    </w:p>
    <w:p w14:paraId="11B88C7A" w14:textId="77777777" w:rsidR="00B179B5" w:rsidRPr="00762C5E" w:rsidRDefault="00B179B5" w:rsidP="003A55BF">
      <w:pPr>
        <w:spacing w:line="360" w:lineRule="auto"/>
        <w:jc w:val="both"/>
        <w:rPr>
          <w:color w:val="000000" w:themeColor="text1"/>
        </w:rPr>
      </w:pPr>
    </w:p>
    <w:p w14:paraId="1D1318BB"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Marmot</w:t>
      </w:r>
      <w:r w:rsidRPr="00762C5E">
        <w:rPr>
          <w:rStyle w:val="ng-star-inserted"/>
          <w:color w:val="000000" w:themeColor="text1"/>
        </w:rPr>
        <w:t xml:space="preserve">, M., Allen, J., Boyce, T., Goldblatt, P. and Morrison, J. (2020). </w:t>
      </w:r>
      <w:r w:rsidRPr="00762C5E">
        <w:rPr>
          <w:i/>
          <w:iCs/>
          <w:color w:val="000000" w:themeColor="text1"/>
        </w:rPr>
        <w:t>Health equity in England: the Marmot Review 10 years on</w:t>
      </w:r>
      <w:r w:rsidRPr="00762C5E">
        <w:rPr>
          <w:rStyle w:val="ng-star-inserted"/>
          <w:color w:val="000000" w:themeColor="text1"/>
        </w:rPr>
        <w:t>. London: Institute of Health Equity.</w:t>
      </w:r>
    </w:p>
    <w:p w14:paraId="2E7461D0" w14:textId="77777777" w:rsidR="00B179B5" w:rsidRPr="00762C5E" w:rsidRDefault="00B179B5" w:rsidP="003A55BF">
      <w:pPr>
        <w:spacing w:line="360" w:lineRule="auto"/>
        <w:jc w:val="both"/>
        <w:rPr>
          <w:color w:val="000000" w:themeColor="text1"/>
        </w:rPr>
      </w:pPr>
    </w:p>
    <w:p w14:paraId="00A886EB"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Marshall</w:t>
      </w:r>
      <w:r w:rsidRPr="00762C5E">
        <w:rPr>
          <w:rStyle w:val="ng-star-inserted"/>
          <w:color w:val="000000" w:themeColor="text1"/>
        </w:rPr>
        <w:t xml:space="preserve">, L. (2024). </w:t>
      </w:r>
      <w:r w:rsidRPr="00762C5E">
        <w:rPr>
          <w:i/>
          <w:iCs/>
          <w:color w:val="000000" w:themeColor="text1"/>
        </w:rPr>
        <w:t>What builds good health? An introduction to the building blocks of health</w:t>
      </w:r>
      <w:r w:rsidRPr="00762C5E">
        <w:rPr>
          <w:rStyle w:val="ng-star-inserted"/>
          <w:color w:val="000000" w:themeColor="text1"/>
        </w:rPr>
        <w:t>. London: Health Foundation.</w:t>
      </w:r>
    </w:p>
    <w:p w14:paraId="46680001" w14:textId="77777777" w:rsidR="00B179B5" w:rsidRPr="00762C5E" w:rsidRDefault="00B179B5" w:rsidP="003A55BF">
      <w:pPr>
        <w:spacing w:line="360" w:lineRule="auto"/>
        <w:jc w:val="both"/>
        <w:rPr>
          <w:color w:val="000000" w:themeColor="text1"/>
        </w:rPr>
      </w:pPr>
    </w:p>
    <w:p w14:paraId="5C4C95B3" w14:textId="42017902" w:rsidR="00B179B5" w:rsidRPr="00762C5E" w:rsidRDefault="00B179B5" w:rsidP="003A55BF">
      <w:pPr>
        <w:spacing w:line="360" w:lineRule="auto"/>
        <w:jc w:val="both"/>
        <w:rPr>
          <w:rStyle w:val="ng-star-inserted"/>
          <w:color w:val="000000" w:themeColor="text1"/>
        </w:rPr>
      </w:pPr>
      <w:r w:rsidRPr="00762C5E">
        <w:rPr>
          <w:color w:val="000000" w:themeColor="text1"/>
        </w:rPr>
        <w:lastRenderedPageBreak/>
        <w:t>Mikkelsen</w:t>
      </w:r>
      <w:r w:rsidRPr="00762C5E">
        <w:rPr>
          <w:rStyle w:val="ng-star-inserted"/>
          <w:color w:val="000000" w:themeColor="text1"/>
        </w:rPr>
        <w:t xml:space="preserve">, B., Williams, J., Rakovac, I., Wickramasinghe, K., Hennis, A., Shin, H-R., Farmer, M., Weber, M., Berdzuli, N., Borges, C., Huber, M. and Breda, J. (2019). 'Life course approach to prevention and control of non-communicable diseases', </w:t>
      </w:r>
      <w:r w:rsidRPr="00762C5E">
        <w:rPr>
          <w:i/>
          <w:iCs/>
          <w:color w:val="000000" w:themeColor="text1"/>
        </w:rPr>
        <w:t>BMJ</w:t>
      </w:r>
      <w:r w:rsidRPr="00762C5E">
        <w:rPr>
          <w:rStyle w:val="ng-star-inserted"/>
          <w:color w:val="000000" w:themeColor="text1"/>
        </w:rPr>
        <w:t xml:space="preserve">, 364: l257. Available at: </w:t>
      </w:r>
      <w:hyperlink r:id="rId13" w:history="1">
        <w:r w:rsidRPr="00762C5E">
          <w:rPr>
            <w:rStyle w:val="af6"/>
            <w:color w:val="000000" w:themeColor="text1"/>
          </w:rPr>
          <w:t>http://dx.doi.org/10.1136/bmj.l257</w:t>
        </w:r>
      </w:hyperlink>
      <w:r w:rsidRPr="00762C5E">
        <w:rPr>
          <w:rStyle w:val="ng-star-inserted"/>
          <w:color w:val="000000" w:themeColor="text1"/>
        </w:rPr>
        <w:t>.</w:t>
      </w:r>
    </w:p>
    <w:p w14:paraId="6CDD17E8" w14:textId="77777777" w:rsidR="00B179B5" w:rsidRPr="00762C5E" w:rsidRDefault="00B179B5" w:rsidP="003A55BF">
      <w:pPr>
        <w:spacing w:line="360" w:lineRule="auto"/>
        <w:jc w:val="both"/>
        <w:rPr>
          <w:color w:val="000000" w:themeColor="text1"/>
        </w:rPr>
      </w:pPr>
    </w:p>
    <w:p w14:paraId="0117D3F1"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Mitchell</w:t>
      </w:r>
      <w:r w:rsidRPr="00762C5E">
        <w:rPr>
          <w:rStyle w:val="ng-star-inserted"/>
          <w:color w:val="000000" w:themeColor="text1"/>
        </w:rPr>
        <w:t xml:space="preserve">, R. and Popham, F. (2008). 'Effect of exposure to natural environment on health inequalities: An observational population study', </w:t>
      </w:r>
      <w:r w:rsidRPr="00762C5E">
        <w:rPr>
          <w:i/>
          <w:iCs/>
          <w:color w:val="000000" w:themeColor="text1"/>
        </w:rPr>
        <w:t>The Lancet</w:t>
      </w:r>
      <w:r w:rsidRPr="00762C5E">
        <w:rPr>
          <w:rStyle w:val="ng-star-inserted"/>
          <w:color w:val="000000" w:themeColor="text1"/>
        </w:rPr>
        <w:t>, 372(9650), pp. 1655-1660.</w:t>
      </w:r>
    </w:p>
    <w:p w14:paraId="2FC29F66" w14:textId="77777777" w:rsidR="00B179B5" w:rsidRPr="00762C5E" w:rsidRDefault="00B179B5" w:rsidP="003A55BF">
      <w:pPr>
        <w:spacing w:line="360" w:lineRule="auto"/>
        <w:jc w:val="both"/>
        <w:rPr>
          <w:color w:val="000000" w:themeColor="text1"/>
        </w:rPr>
      </w:pPr>
    </w:p>
    <w:p w14:paraId="0A2A7050"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Nooyens</w:t>
      </w:r>
      <w:r w:rsidRPr="00762C5E">
        <w:rPr>
          <w:rStyle w:val="ng-star-inserted"/>
          <w:color w:val="000000" w:themeColor="text1"/>
        </w:rPr>
        <w:t xml:space="preserve">, A.C.J., Yildiz, B., Hendriks, L.G., Bas, S., van Boxtel, M.P.J., Picavet, H.S.J., Boer, J.M.A. and Verschuren, W.M.M. (2021). 'Adherence to dietary guidelines and cognitive decline from middle age: the Doetinchem Cohort Study', </w:t>
      </w:r>
      <w:r w:rsidRPr="00762C5E">
        <w:rPr>
          <w:i/>
          <w:iCs/>
          <w:color w:val="000000" w:themeColor="text1"/>
        </w:rPr>
        <w:t>American Journal of Clinical Nutrition</w:t>
      </w:r>
      <w:r w:rsidRPr="00762C5E">
        <w:rPr>
          <w:rStyle w:val="ng-star-inserted"/>
          <w:color w:val="000000" w:themeColor="text1"/>
        </w:rPr>
        <w:t>, 114(3), pp. 871-881.</w:t>
      </w:r>
    </w:p>
    <w:p w14:paraId="6CD42B57" w14:textId="77777777" w:rsidR="00B179B5" w:rsidRPr="00762C5E" w:rsidRDefault="00B179B5" w:rsidP="003A55BF">
      <w:pPr>
        <w:spacing w:line="360" w:lineRule="auto"/>
        <w:jc w:val="both"/>
        <w:rPr>
          <w:color w:val="000000" w:themeColor="text1"/>
        </w:rPr>
      </w:pPr>
    </w:p>
    <w:p w14:paraId="4AAB5391" w14:textId="37CD57C9" w:rsidR="008B5FC2" w:rsidRPr="00762C5E" w:rsidRDefault="00B179B5" w:rsidP="008B5FC2">
      <w:pPr>
        <w:spacing w:line="360" w:lineRule="auto"/>
        <w:jc w:val="both"/>
        <w:rPr>
          <w:rStyle w:val="ng-star-inserted"/>
          <w:color w:val="000000" w:themeColor="text1"/>
          <w:lang w:val="uk-UA"/>
        </w:rPr>
      </w:pPr>
      <w:r w:rsidRPr="00762C5E">
        <w:rPr>
          <w:color w:val="000000" w:themeColor="text1"/>
        </w:rPr>
        <w:t>Public</w:t>
      </w:r>
      <w:r w:rsidRPr="00762C5E">
        <w:rPr>
          <w:rStyle w:val="ng-star-inserted"/>
          <w:color w:val="000000" w:themeColor="text1"/>
        </w:rPr>
        <w:t xml:space="preserve"> Health England (2019). </w:t>
      </w:r>
      <w:r w:rsidRPr="00762C5E">
        <w:rPr>
          <w:i/>
          <w:iCs/>
          <w:color w:val="000000" w:themeColor="text1"/>
        </w:rPr>
        <w:t xml:space="preserve">Guidance: Health matters: Prevention </w:t>
      </w:r>
      <w:r w:rsidR="008B5FC2" w:rsidRPr="00762C5E">
        <w:rPr>
          <w:i/>
          <w:iCs/>
          <w:color w:val="000000" w:themeColor="text1"/>
          <w:lang w:val="uk-UA"/>
        </w:rPr>
        <w:t>-</w:t>
      </w:r>
      <w:r w:rsidRPr="00762C5E">
        <w:rPr>
          <w:i/>
          <w:iCs/>
          <w:color w:val="000000" w:themeColor="text1"/>
        </w:rPr>
        <w:t xml:space="preserve"> a life course approach</w:t>
      </w:r>
      <w:r w:rsidRPr="00762C5E">
        <w:rPr>
          <w:rStyle w:val="ng-star-inserted"/>
          <w:color w:val="000000" w:themeColor="text1"/>
        </w:rPr>
        <w:t>. London: Public Health England. Available at:</w:t>
      </w:r>
    </w:p>
    <w:p w14:paraId="1923638A" w14:textId="29B1CCAD" w:rsidR="00B179B5" w:rsidRPr="00762C5E" w:rsidRDefault="00B179B5" w:rsidP="008B5FC2">
      <w:pPr>
        <w:spacing w:line="360" w:lineRule="auto"/>
        <w:jc w:val="both"/>
        <w:rPr>
          <w:rStyle w:val="ng-star-inserted"/>
          <w:color w:val="000000" w:themeColor="text1"/>
        </w:rPr>
      </w:pPr>
      <w:r w:rsidRPr="00762C5E">
        <w:rPr>
          <w:rStyle w:val="ng-star-inserted"/>
          <w:color w:val="000000" w:themeColor="text1"/>
        </w:rPr>
        <w:t>https://www.gov.uk/government/publications/health-matters-life-course-approach-to-prevention/health-matters-prevention-a-life-course-approach (Accessed: 1st February, 2026).</w:t>
      </w:r>
    </w:p>
    <w:p w14:paraId="7CB63A15" w14:textId="77777777" w:rsidR="00B179B5" w:rsidRPr="00762C5E" w:rsidRDefault="00B179B5" w:rsidP="003A55BF">
      <w:pPr>
        <w:spacing w:line="360" w:lineRule="auto"/>
        <w:jc w:val="both"/>
        <w:rPr>
          <w:color w:val="000000" w:themeColor="text1"/>
        </w:rPr>
      </w:pPr>
    </w:p>
    <w:p w14:paraId="7DAE6621"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Russ</w:t>
      </w:r>
      <w:r w:rsidRPr="00762C5E">
        <w:rPr>
          <w:rStyle w:val="ng-star-inserted"/>
          <w:color w:val="000000" w:themeColor="text1"/>
        </w:rPr>
        <w:t xml:space="preserve">, S.A., Hotez, E., Berghaus, M., Verbiest, S., Hoover, C., Schor, E.L. and Halfon, N. (2022). 'What Makes an Intervention a Life Course Intervention?', </w:t>
      </w:r>
      <w:r w:rsidRPr="00762C5E">
        <w:rPr>
          <w:i/>
          <w:iCs/>
          <w:color w:val="000000" w:themeColor="text1"/>
        </w:rPr>
        <w:t>Pediatrics</w:t>
      </w:r>
      <w:r w:rsidRPr="00762C5E">
        <w:rPr>
          <w:rStyle w:val="ng-star-inserted"/>
          <w:color w:val="000000" w:themeColor="text1"/>
        </w:rPr>
        <w:t>, 149(s5). Available at: https://doi.org/10.1542/peds.2021-053509D (Accessed: 5th February, 2026).</w:t>
      </w:r>
    </w:p>
    <w:p w14:paraId="0F81D726" w14:textId="77777777" w:rsidR="00B179B5" w:rsidRPr="00762C5E" w:rsidRDefault="00B179B5" w:rsidP="003A55BF">
      <w:pPr>
        <w:spacing w:line="360" w:lineRule="auto"/>
        <w:jc w:val="both"/>
        <w:rPr>
          <w:color w:val="000000" w:themeColor="text1"/>
        </w:rPr>
      </w:pPr>
    </w:p>
    <w:p w14:paraId="26910301"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Tomlinson</w:t>
      </w:r>
      <w:r w:rsidRPr="00762C5E">
        <w:rPr>
          <w:rStyle w:val="ng-star-inserted"/>
          <w:color w:val="000000" w:themeColor="text1"/>
        </w:rPr>
        <w:t xml:space="preserve">, M., Hunt, X., Daelmans, B., Rollins, N., Ross, D. and Oberklaid, F. (2022). 'Optimising child and adolescent health and development through an integrated ecological life course approach', </w:t>
      </w:r>
      <w:r w:rsidRPr="00762C5E">
        <w:rPr>
          <w:i/>
          <w:iCs/>
          <w:color w:val="000000" w:themeColor="text1"/>
        </w:rPr>
        <w:t>BMJ</w:t>
      </w:r>
      <w:r w:rsidRPr="00762C5E">
        <w:rPr>
          <w:rStyle w:val="ng-star-inserted"/>
          <w:color w:val="000000" w:themeColor="text1"/>
        </w:rPr>
        <w:t>, 372:m4784.</w:t>
      </w:r>
    </w:p>
    <w:p w14:paraId="1ECFCC0D" w14:textId="77777777" w:rsidR="00B179B5" w:rsidRPr="00762C5E" w:rsidRDefault="00B179B5" w:rsidP="003A55BF">
      <w:pPr>
        <w:spacing w:line="360" w:lineRule="auto"/>
        <w:jc w:val="both"/>
        <w:rPr>
          <w:color w:val="000000" w:themeColor="text1"/>
        </w:rPr>
      </w:pPr>
    </w:p>
    <w:p w14:paraId="242CF496" w14:textId="77777777" w:rsidR="00B179B5" w:rsidRPr="00762C5E" w:rsidRDefault="00B179B5" w:rsidP="003A55BF">
      <w:pPr>
        <w:spacing w:line="360" w:lineRule="auto"/>
        <w:jc w:val="both"/>
        <w:rPr>
          <w:rStyle w:val="ng-star-inserted"/>
          <w:color w:val="000000" w:themeColor="text1"/>
        </w:rPr>
      </w:pPr>
      <w:r w:rsidRPr="00762C5E">
        <w:rPr>
          <w:color w:val="000000" w:themeColor="text1"/>
        </w:rPr>
        <w:t>Tonne</w:t>
      </w:r>
      <w:r w:rsidRPr="00762C5E">
        <w:rPr>
          <w:rStyle w:val="ng-star-inserted"/>
          <w:color w:val="000000" w:themeColor="text1"/>
        </w:rPr>
        <w:t xml:space="preserve">, C., Beevers, S., Armstrong, B., Kelly, F. and Wilkinson, P. (2008). 'Air pollution and mortality benefits of the London Congestion Charge: Spatial and socioeconomic inequalities', </w:t>
      </w:r>
      <w:r w:rsidRPr="00762C5E">
        <w:rPr>
          <w:i/>
          <w:iCs/>
          <w:color w:val="000000" w:themeColor="text1"/>
        </w:rPr>
        <w:t>Occupational and Environmental Medicine</w:t>
      </w:r>
      <w:r w:rsidRPr="00762C5E">
        <w:rPr>
          <w:rStyle w:val="ng-star-inserted"/>
          <w:color w:val="000000" w:themeColor="text1"/>
        </w:rPr>
        <w:t>, 65, pp. 620-627.</w:t>
      </w:r>
    </w:p>
    <w:p w14:paraId="6FE14CBF" w14:textId="77777777" w:rsidR="00B179B5" w:rsidRPr="00762C5E" w:rsidRDefault="00B179B5" w:rsidP="003A55BF">
      <w:pPr>
        <w:spacing w:line="360" w:lineRule="auto"/>
        <w:jc w:val="both"/>
        <w:rPr>
          <w:color w:val="000000" w:themeColor="text1"/>
        </w:rPr>
      </w:pPr>
    </w:p>
    <w:p w14:paraId="6BAFF34F" w14:textId="21BF118D" w:rsidR="00B179B5" w:rsidRPr="00762C5E" w:rsidRDefault="00B179B5" w:rsidP="003A55BF">
      <w:pPr>
        <w:spacing w:line="360" w:lineRule="auto"/>
        <w:jc w:val="both"/>
        <w:rPr>
          <w:rStyle w:val="ng-star-inserted"/>
          <w:color w:val="000000" w:themeColor="text1"/>
        </w:rPr>
      </w:pPr>
      <w:r w:rsidRPr="00762C5E">
        <w:rPr>
          <w:color w:val="000000" w:themeColor="text1"/>
        </w:rPr>
        <w:t>World</w:t>
      </w:r>
      <w:r w:rsidRPr="00762C5E">
        <w:rPr>
          <w:rStyle w:val="ng-star-inserted"/>
          <w:color w:val="000000" w:themeColor="text1"/>
        </w:rPr>
        <w:t xml:space="preserve"> Health Organisation (2018). </w:t>
      </w:r>
      <w:r w:rsidRPr="00762C5E">
        <w:rPr>
          <w:i/>
          <w:iCs/>
          <w:color w:val="000000" w:themeColor="text1"/>
        </w:rPr>
        <w:t>WHO Housing and health guidelines</w:t>
      </w:r>
      <w:r w:rsidRPr="00762C5E">
        <w:rPr>
          <w:rStyle w:val="ng-star-inserted"/>
          <w:color w:val="000000" w:themeColor="text1"/>
        </w:rPr>
        <w:t>. Geneva: World Health Organisation.</w:t>
      </w:r>
    </w:p>
    <w:p w14:paraId="033F76AF" w14:textId="77777777" w:rsidR="00B179B5" w:rsidRPr="00762C5E" w:rsidRDefault="00B179B5" w:rsidP="003A55BF">
      <w:pPr>
        <w:spacing w:line="360" w:lineRule="auto"/>
        <w:jc w:val="both"/>
        <w:rPr>
          <w:color w:val="000000" w:themeColor="text1"/>
        </w:rPr>
      </w:pPr>
    </w:p>
    <w:p w14:paraId="58160F37" w14:textId="6B99D5D5" w:rsidR="00B179B5" w:rsidRPr="00762C5E" w:rsidRDefault="00B179B5" w:rsidP="003A55BF">
      <w:pPr>
        <w:spacing w:line="360" w:lineRule="auto"/>
        <w:jc w:val="both"/>
        <w:rPr>
          <w:rStyle w:val="ng-star-inserted"/>
          <w:color w:val="000000" w:themeColor="text1"/>
        </w:rPr>
      </w:pPr>
      <w:r w:rsidRPr="00762C5E">
        <w:rPr>
          <w:color w:val="000000" w:themeColor="text1"/>
        </w:rPr>
        <w:lastRenderedPageBreak/>
        <w:t>World</w:t>
      </w:r>
      <w:r w:rsidRPr="00762C5E">
        <w:rPr>
          <w:rStyle w:val="ng-star-inserted"/>
          <w:color w:val="000000" w:themeColor="text1"/>
        </w:rPr>
        <w:t xml:space="preserve"> Health Organisation (2024). </w:t>
      </w:r>
      <w:r w:rsidRPr="00762C5E">
        <w:rPr>
          <w:i/>
          <w:iCs/>
          <w:color w:val="000000" w:themeColor="text1"/>
        </w:rPr>
        <w:t>The adolescent health indicators recommended by the Global Action for Measurement of Adolescent Health Guidance for monitoring adolescent health at the country, regional and global levels</w:t>
      </w:r>
      <w:r w:rsidRPr="00762C5E">
        <w:rPr>
          <w:rStyle w:val="ng-star-inserted"/>
          <w:color w:val="000000" w:themeColor="text1"/>
        </w:rPr>
        <w:t>. Geneva: World Health Organisation.</w:t>
      </w:r>
    </w:p>
    <w:p w14:paraId="27AE8103" w14:textId="77777777" w:rsidR="00B179B5" w:rsidRPr="00762C5E" w:rsidRDefault="00B179B5" w:rsidP="003A55BF">
      <w:pPr>
        <w:spacing w:line="360" w:lineRule="auto"/>
        <w:jc w:val="both"/>
        <w:rPr>
          <w:color w:val="000000" w:themeColor="text1"/>
        </w:rPr>
      </w:pPr>
    </w:p>
    <w:p w14:paraId="6A49F479" w14:textId="77777777" w:rsidR="008B5FC2" w:rsidRPr="00762C5E" w:rsidRDefault="00B179B5" w:rsidP="003A55BF">
      <w:pPr>
        <w:spacing w:line="360" w:lineRule="auto"/>
        <w:jc w:val="both"/>
        <w:rPr>
          <w:rStyle w:val="ng-star-inserted"/>
          <w:color w:val="000000" w:themeColor="text1"/>
          <w:lang w:val="uk-UA"/>
        </w:rPr>
      </w:pPr>
      <w:r w:rsidRPr="00762C5E">
        <w:rPr>
          <w:color w:val="000000" w:themeColor="text1"/>
        </w:rPr>
        <w:t>World</w:t>
      </w:r>
      <w:r w:rsidRPr="00762C5E">
        <w:rPr>
          <w:rStyle w:val="ng-star-inserted"/>
          <w:color w:val="000000" w:themeColor="text1"/>
        </w:rPr>
        <w:t xml:space="preserve"> Health Organisation (2025). </w:t>
      </w:r>
      <w:r w:rsidRPr="00762C5E">
        <w:rPr>
          <w:i/>
          <w:iCs/>
          <w:color w:val="000000" w:themeColor="text1"/>
        </w:rPr>
        <w:t>Framework to implement a life course approach in practice</w:t>
      </w:r>
      <w:r w:rsidRPr="00762C5E">
        <w:rPr>
          <w:rStyle w:val="ng-star-inserted"/>
          <w:color w:val="000000" w:themeColor="text1"/>
        </w:rPr>
        <w:t>. Geneva: World Health Organisation. Available at:</w:t>
      </w:r>
    </w:p>
    <w:p w14:paraId="61529203" w14:textId="3234C39D" w:rsidR="00B179B5" w:rsidRPr="00762C5E" w:rsidRDefault="00B179B5" w:rsidP="003A55BF">
      <w:pPr>
        <w:spacing w:line="360" w:lineRule="auto"/>
        <w:jc w:val="both"/>
        <w:rPr>
          <w:rStyle w:val="ng-star-inserted"/>
          <w:color w:val="000000" w:themeColor="text1"/>
        </w:rPr>
      </w:pPr>
      <w:r w:rsidRPr="00762C5E">
        <w:rPr>
          <w:rStyle w:val="ng-star-inserted"/>
          <w:color w:val="000000" w:themeColor="text1"/>
        </w:rPr>
        <w:t>https://iris.who.int/server/api/core/bitstreams/fcb4f44b-ccc6-410e-8811-98b9affcb233/content (Accessed: 8th January, 2026).</w:t>
      </w:r>
    </w:p>
    <w:p w14:paraId="20743057" w14:textId="77777777" w:rsidR="00B179B5" w:rsidRPr="00762C5E" w:rsidRDefault="00B179B5" w:rsidP="003A55BF">
      <w:pPr>
        <w:spacing w:line="360" w:lineRule="auto"/>
        <w:jc w:val="both"/>
        <w:rPr>
          <w:color w:val="000000" w:themeColor="text1"/>
        </w:rPr>
      </w:pPr>
    </w:p>
    <w:p w14:paraId="37B85F8C" w14:textId="77777777" w:rsidR="00B179B5" w:rsidRPr="00762C5E" w:rsidRDefault="00B179B5" w:rsidP="003A55BF">
      <w:pPr>
        <w:spacing w:line="360" w:lineRule="auto"/>
        <w:jc w:val="both"/>
        <w:rPr>
          <w:color w:val="000000" w:themeColor="text1"/>
        </w:rPr>
      </w:pPr>
      <w:r w:rsidRPr="00762C5E">
        <w:rPr>
          <w:color w:val="000000" w:themeColor="text1"/>
        </w:rPr>
        <w:t>Yay-Lee</w:t>
      </w:r>
      <w:r w:rsidRPr="00762C5E">
        <w:rPr>
          <w:rStyle w:val="ng-star-inserted"/>
          <w:color w:val="000000" w:themeColor="text1"/>
        </w:rPr>
        <w:t xml:space="preserve">, R., Matthews, T., Moffitt, T., Poulton, R., Caspi, A. and Milne, B. (2021). 'Do socially isolated children become socially isolated adults?', </w:t>
      </w:r>
      <w:r w:rsidRPr="00762C5E">
        <w:rPr>
          <w:i/>
          <w:iCs/>
          <w:color w:val="000000" w:themeColor="text1"/>
        </w:rPr>
        <w:t>Advances in Life Course Research</w:t>
      </w:r>
      <w:r w:rsidRPr="00762C5E">
        <w:rPr>
          <w:rStyle w:val="ng-star-inserted"/>
          <w:color w:val="000000" w:themeColor="text1"/>
        </w:rPr>
        <w:t>, 50: 100419.</w:t>
      </w:r>
    </w:p>
    <w:p w14:paraId="4E0EA270" w14:textId="3D6FFEC8" w:rsidR="006C1E00" w:rsidRPr="00762C5E" w:rsidRDefault="00551A6D" w:rsidP="003A55BF">
      <w:pPr>
        <w:pStyle w:val="paragraph"/>
        <w:shd w:val="clear" w:color="auto" w:fill="FFFFFF"/>
        <w:spacing w:line="360" w:lineRule="auto"/>
        <w:jc w:val="both"/>
        <w:rPr>
          <w:color w:val="000000" w:themeColor="text1"/>
          <w:lang w:val="en-US"/>
        </w:rPr>
      </w:pPr>
      <w:r w:rsidRPr="00762C5E">
        <w:rPr>
          <w:rStyle w:val="ng-star-inserted"/>
          <w:color w:val="000000" w:themeColor="text1"/>
          <w:shd w:val="clear" w:color="auto" w:fill="FFFFFF"/>
          <w:lang w:val="en-US"/>
        </w:rPr>
        <w:br/>
      </w:r>
      <w:r w:rsidRPr="00762C5E">
        <w:rPr>
          <w:rStyle w:val="ng-star-inserted"/>
          <w:color w:val="000000" w:themeColor="text1"/>
          <w:shd w:val="clear" w:color="auto" w:fill="FFFFFF"/>
          <w:lang w:val="en-US"/>
        </w:rPr>
        <w:br/>
      </w:r>
    </w:p>
    <w:p w14:paraId="349A84EC" w14:textId="77777777" w:rsidR="00EA4DB5" w:rsidRPr="00762C5E" w:rsidRDefault="00EA4DB5" w:rsidP="003A55BF">
      <w:pPr>
        <w:spacing w:line="360" w:lineRule="auto"/>
        <w:jc w:val="both"/>
        <w:rPr>
          <w:color w:val="000000" w:themeColor="text1"/>
          <w:lang w:val="en-US"/>
        </w:rPr>
      </w:pPr>
    </w:p>
    <w:sectPr w:rsidR="00EA4DB5" w:rsidRPr="00762C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1BA772" w14:textId="77777777" w:rsidR="0033303F" w:rsidRDefault="0033303F" w:rsidP="005956EB">
      <w:r>
        <w:separator/>
      </w:r>
    </w:p>
  </w:endnote>
  <w:endnote w:type="continuationSeparator" w:id="0">
    <w:p w14:paraId="2D13AA9D" w14:textId="77777777" w:rsidR="0033303F" w:rsidRDefault="0033303F" w:rsidP="005956E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ac"/>
      <w:tblW w:w="991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86"/>
      <w:gridCol w:w="2410"/>
      <w:gridCol w:w="3822"/>
    </w:tblGrid>
    <w:tr w:rsidR="001127F1" w:rsidRPr="00A71059" w14:paraId="3E72C0E4" w14:textId="77777777" w:rsidTr="00A70DE4">
      <w:tc>
        <w:tcPr>
          <w:tcW w:w="3686" w:type="dxa"/>
        </w:tcPr>
        <w:p w14:paraId="00450FF3" w14:textId="77777777" w:rsidR="001127F1" w:rsidRPr="00A71059" w:rsidRDefault="001127F1" w:rsidP="005956EB">
          <w:pPr>
            <w:pStyle w:val="af2"/>
            <w:rPr>
              <w:color w:val="000000" w:themeColor="text1"/>
            </w:rPr>
          </w:pPr>
          <w:r w:rsidRPr="00A71059">
            <w:rPr>
              <w:color w:val="000000" w:themeColor="text1"/>
              <w:lang w:val="en-US"/>
            </w:rPr>
            <w:t>Svitlana Osiptsova:</w:t>
          </w:r>
        </w:p>
      </w:tc>
      <w:tc>
        <w:tcPr>
          <w:tcW w:w="2410" w:type="dxa"/>
        </w:tcPr>
        <w:p w14:paraId="74818E94" w14:textId="77777777" w:rsidR="001127F1" w:rsidRPr="00A71059" w:rsidRDefault="001127F1" w:rsidP="005956EB">
          <w:pPr>
            <w:pStyle w:val="af2"/>
            <w:rPr>
              <w:color w:val="000000" w:themeColor="text1"/>
            </w:rPr>
          </w:pPr>
          <w:r w:rsidRPr="00A71059">
            <w:rPr>
              <w:color w:val="000000" w:themeColor="text1"/>
              <w:lang w:val="en-US"/>
            </w:rPr>
            <w:t>2510348</w:t>
          </w:r>
        </w:p>
      </w:tc>
      <w:tc>
        <w:tcPr>
          <w:tcW w:w="3822" w:type="dxa"/>
        </w:tcPr>
        <w:p w14:paraId="2947B18A" w14:textId="33C8B14C" w:rsidR="001127F1" w:rsidRPr="00A71059" w:rsidRDefault="001127F1" w:rsidP="005956EB">
          <w:pPr>
            <w:pStyle w:val="af2"/>
            <w:rPr>
              <w:color w:val="000000" w:themeColor="text1"/>
            </w:rPr>
          </w:pPr>
          <w:r w:rsidRPr="00A71059">
            <w:rPr>
              <w:color w:val="000000" w:themeColor="text1"/>
              <w:lang w:val="en-US"/>
            </w:rPr>
            <w:t xml:space="preserve">       Module:</w:t>
          </w:r>
          <w:r w:rsidRPr="00A71059">
            <w:rPr>
              <w:color w:val="000000" w:themeColor="text1"/>
            </w:rPr>
            <w:t xml:space="preserve"> BMNS4014                                  </w:t>
          </w:r>
        </w:p>
      </w:tc>
    </w:tr>
  </w:tbl>
  <w:p w14:paraId="535EC8CA" w14:textId="77777777" w:rsidR="001127F1" w:rsidRPr="005956EB" w:rsidRDefault="001127F1">
    <w:pPr>
      <w:pStyle w:val="af2"/>
      <w:rPr>
        <w:i/>
        <w:iCs/>
        <w:lang w:val="en-US"/>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Style w:val="ac"/>
      <w:tblW w:w="900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317"/>
      <w:gridCol w:w="1410"/>
      <w:gridCol w:w="5276"/>
    </w:tblGrid>
    <w:tr w:rsidR="00381A58" w:rsidRPr="00A71059" w14:paraId="64B6AF07" w14:textId="77777777" w:rsidTr="003A55BF">
      <w:trPr>
        <w:trHeight w:val="271"/>
      </w:trPr>
      <w:tc>
        <w:tcPr>
          <w:tcW w:w="2317" w:type="dxa"/>
        </w:tcPr>
        <w:p w14:paraId="535DBF32" w14:textId="777FCEB6" w:rsidR="00381A58" w:rsidRPr="00A71059" w:rsidRDefault="00381A58" w:rsidP="005956EB">
          <w:pPr>
            <w:pStyle w:val="af2"/>
            <w:rPr>
              <w:color w:val="000000" w:themeColor="text1"/>
            </w:rPr>
          </w:pPr>
          <w:r w:rsidRPr="00A71059">
            <w:rPr>
              <w:color w:val="000000" w:themeColor="text1"/>
              <w:lang w:val="en-US"/>
            </w:rPr>
            <w:t>Svitlana Osiptsova:</w:t>
          </w:r>
        </w:p>
      </w:tc>
      <w:tc>
        <w:tcPr>
          <w:tcW w:w="1410" w:type="dxa"/>
        </w:tcPr>
        <w:p w14:paraId="4E7CD41A" w14:textId="77777777" w:rsidR="00381A58" w:rsidRPr="00A71059" w:rsidRDefault="00381A58" w:rsidP="005956EB">
          <w:pPr>
            <w:pStyle w:val="af2"/>
            <w:rPr>
              <w:color w:val="000000" w:themeColor="text1"/>
            </w:rPr>
          </w:pPr>
          <w:r w:rsidRPr="00A71059">
            <w:rPr>
              <w:color w:val="000000" w:themeColor="text1"/>
              <w:lang w:val="en-US"/>
            </w:rPr>
            <w:t>2510348</w:t>
          </w:r>
        </w:p>
      </w:tc>
      <w:tc>
        <w:tcPr>
          <w:tcW w:w="5276" w:type="dxa"/>
        </w:tcPr>
        <w:p w14:paraId="25E1DBB6" w14:textId="409AB99B" w:rsidR="00381A58" w:rsidRPr="00A71059" w:rsidRDefault="00381A58" w:rsidP="005956EB">
          <w:pPr>
            <w:pStyle w:val="af2"/>
            <w:rPr>
              <w:color w:val="000000" w:themeColor="text1"/>
            </w:rPr>
          </w:pPr>
          <w:r w:rsidRPr="00A71059">
            <w:rPr>
              <w:color w:val="000000" w:themeColor="text1"/>
              <w:lang w:val="en-US"/>
            </w:rPr>
            <w:t xml:space="preserve">       Module:</w:t>
          </w:r>
          <w:r w:rsidRPr="00A71059">
            <w:rPr>
              <w:color w:val="000000" w:themeColor="text1"/>
            </w:rPr>
            <w:t xml:space="preserve"> </w:t>
          </w:r>
          <w:r w:rsidRPr="00A71059">
            <w:rPr>
              <w:color w:val="000000" w:themeColor="text1"/>
            </w:rPr>
            <w:t xml:space="preserve">BMNS4014                        </w:t>
          </w:r>
          <w:r w:rsidR="0051188B">
            <w:rPr>
              <w:color w:val="000000" w:themeColor="text1"/>
              <w:lang w:val="en-US"/>
            </w:rPr>
            <w:t xml:space="preserve">p. </w:t>
          </w:r>
          <w:r w:rsidRPr="00A71059">
            <w:rPr>
              <w:color w:val="000000" w:themeColor="text1"/>
            </w:rPr>
            <w:fldChar w:fldCharType="begin"/>
          </w:r>
          <w:r w:rsidRPr="00A71059">
            <w:rPr>
              <w:color w:val="000000" w:themeColor="text1"/>
            </w:rPr>
            <w:instrText>PAGE  \* Arabic  \* MERGEFORMAT</w:instrText>
          </w:r>
          <w:r w:rsidRPr="00A71059">
            <w:rPr>
              <w:color w:val="000000" w:themeColor="text1"/>
            </w:rPr>
            <w:fldChar w:fldCharType="separate"/>
          </w:r>
          <w:r w:rsidRPr="00A71059">
            <w:rPr>
              <w:color w:val="000000" w:themeColor="text1"/>
            </w:rPr>
            <w:t>1</w:t>
          </w:r>
          <w:r w:rsidRPr="00A71059">
            <w:rPr>
              <w:color w:val="000000" w:themeColor="text1"/>
            </w:rPr>
            <w:fldChar w:fldCharType="end"/>
          </w:r>
          <w:r w:rsidRPr="00A71059">
            <w:rPr>
              <w:color w:val="000000" w:themeColor="text1"/>
            </w:rPr>
            <w:t xml:space="preserve"> - </w:t>
          </w:r>
          <w:r w:rsidRPr="00A71059">
            <w:rPr>
              <w:color w:val="000000" w:themeColor="text1"/>
            </w:rPr>
            <w:fldChar w:fldCharType="begin"/>
          </w:r>
          <w:r w:rsidRPr="00A71059">
            <w:rPr>
              <w:color w:val="000000" w:themeColor="text1"/>
            </w:rPr>
            <w:instrText>NUMPAGES \* арабский \* MERGEFORMAT</w:instrText>
          </w:r>
          <w:r w:rsidRPr="00A71059">
            <w:rPr>
              <w:color w:val="000000" w:themeColor="text1"/>
            </w:rPr>
            <w:fldChar w:fldCharType="separate"/>
          </w:r>
          <w:r w:rsidRPr="00A71059">
            <w:rPr>
              <w:color w:val="000000" w:themeColor="text1"/>
            </w:rPr>
            <w:t>13</w:t>
          </w:r>
          <w:r w:rsidRPr="00A71059">
            <w:rPr>
              <w:color w:val="000000" w:themeColor="text1"/>
            </w:rPr>
            <w:fldChar w:fldCharType="end"/>
          </w:r>
        </w:p>
      </w:tc>
    </w:tr>
  </w:tbl>
  <w:p w14:paraId="4F659E8C" w14:textId="77777777" w:rsidR="00381A58" w:rsidRPr="005956EB" w:rsidRDefault="00381A58">
    <w:pPr>
      <w:pStyle w:val="af2"/>
      <w:rPr>
        <w:i/>
        <w:iCs/>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7F1FC" w14:textId="77777777" w:rsidR="0033303F" w:rsidRDefault="0033303F" w:rsidP="005956EB">
      <w:r>
        <w:separator/>
      </w:r>
    </w:p>
  </w:footnote>
  <w:footnote w:type="continuationSeparator" w:id="0">
    <w:p w14:paraId="6CB67CB8" w14:textId="77777777" w:rsidR="0033303F" w:rsidRDefault="0033303F" w:rsidP="005956E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30E5D"/>
    <w:multiLevelType w:val="multilevel"/>
    <w:tmpl w:val="65888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7D39B9"/>
    <w:multiLevelType w:val="multilevel"/>
    <w:tmpl w:val="3364EB9E"/>
    <w:lvl w:ilvl="0">
      <w:start w:val="1"/>
      <w:numFmt w:val="bullet"/>
      <w:lvlText w:val=""/>
      <w:lvlJc w:val="left"/>
      <w:pPr>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2" w15:restartNumberingAfterBreak="0">
    <w:nsid w:val="19D81A14"/>
    <w:multiLevelType w:val="multilevel"/>
    <w:tmpl w:val="3E908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F120A0"/>
    <w:multiLevelType w:val="multilevel"/>
    <w:tmpl w:val="B10EF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D13FDB"/>
    <w:multiLevelType w:val="multilevel"/>
    <w:tmpl w:val="CB3C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F16B02"/>
    <w:multiLevelType w:val="multilevel"/>
    <w:tmpl w:val="E7B492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2903D4"/>
    <w:multiLevelType w:val="multilevel"/>
    <w:tmpl w:val="14D0B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6A4E91"/>
    <w:multiLevelType w:val="multilevel"/>
    <w:tmpl w:val="C3FC3A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0270CB"/>
    <w:multiLevelType w:val="multilevel"/>
    <w:tmpl w:val="BE042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8E57C1"/>
    <w:multiLevelType w:val="multilevel"/>
    <w:tmpl w:val="A434EC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2805C8"/>
    <w:multiLevelType w:val="multilevel"/>
    <w:tmpl w:val="005C4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6B38B2"/>
    <w:multiLevelType w:val="multilevel"/>
    <w:tmpl w:val="84367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B3C3C"/>
    <w:multiLevelType w:val="multilevel"/>
    <w:tmpl w:val="27EE5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90342D"/>
    <w:multiLevelType w:val="multilevel"/>
    <w:tmpl w:val="CB2E2C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BA5FD9"/>
    <w:multiLevelType w:val="hybridMultilevel"/>
    <w:tmpl w:val="8BE2E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4C3ECB"/>
    <w:multiLevelType w:val="multilevel"/>
    <w:tmpl w:val="428A0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6C57A75"/>
    <w:multiLevelType w:val="multilevel"/>
    <w:tmpl w:val="55C02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7DA1090"/>
    <w:multiLevelType w:val="multilevel"/>
    <w:tmpl w:val="14CAF0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813927"/>
    <w:multiLevelType w:val="multilevel"/>
    <w:tmpl w:val="B1D27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93E10A9"/>
    <w:multiLevelType w:val="hybridMultilevel"/>
    <w:tmpl w:val="9FD0A052"/>
    <w:lvl w:ilvl="0" w:tplc="6E0C3BEE">
      <w:start w:val="1"/>
      <w:numFmt w:val="bullet"/>
      <w:lvlText w:val="-"/>
      <w:lvlJc w:val="left"/>
      <w:pPr>
        <w:ind w:left="720" w:hanging="360"/>
      </w:pPr>
      <w:rPr>
        <w:rFonts w:ascii="Times New Roman" w:eastAsia="Times New Roman" w:hAnsi="Times New Roman" w:cs="Times New Roman" w:hint="default"/>
        <w:sz w:val="28"/>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117383123">
    <w:abstractNumId w:val="7"/>
  </w:num>
  <w:num w:numId="2" w16cid:durableId="234517366">
    <w:abstractNumId w:val="5"/>
  </w:num>
  <w:num w:numId="3" w16cid:durableId="1710570913">
    <w:abstractNumId w:val="0"/>
  </w:num>
  <w:num w:numId="4" w16cid:durableId="1282809453">
    <w:abstractNumId w:val="15"/>
  </w:num>
  <w:num w:numId="5" w16cid:durableId="1695885696">
    <w:abstractNumId w:val="12"/>
  </w:num>
  <w:num w:numId="6" w16cid:durableId="587539025">
    <w:abstractNumId w:val="13"/>
  </w:num>
  <w:num w:numId="7" w16cid:durableId="1373262711">
    <w:abstractNumId w:val="8"/>
  </w:num>
  <w:num w:numId="8" w16cid:durableId="788624108">
    <w:abstractNumId w:val="11"/>
  </w:num>
  <w:num w:numId="9" w16cid:durableId="1089043737">
    <w:abstractNumId w:val="1"/>
  </w:num>
  <w:num w:numId="10" w16cid:durableId="1473522375">
    <w:abstractNumId w:val="6"/>
  </w:num>
  <w:num w:numId="11" w16cid:durableId="1975404869">
    <w:abstractNumId w:val="17"/>
  </w:num>
  <w:num w:numId="12" w16cid:durableId="1695380141">
    <w:abstractNumId w:val="2"/>
  </w:num>
  <w:num w:numId="13" w16cid:durableId="796679503">
    <w:abstractNumId w:val="9"/>
  </w:num>
  <w:num w:numId="14" w16cid:durableId="531920047">
    <w:abstractNumId w:val="19"/>
  </w:num>
  <w:num w:numId="15" w16cid:durableId="665133126">
    <w:abstractNumId w:val="14"/>
  </w:num>
  <w:num w:numId="16" w16cid:durableId="1822117369">
    <w:abstractNumId w:val="18"/>
  </w:num>
  <w:num w:numId="17" w16cid:durableId="343047058">
    <w:abstractNumId w:val="4"/>
  </w:num>
  <w:num w:numId="18" w16cid:durableId="746268600">
    <w:abstractNumId w:val="3"/>
  </w:num>
  <w:num w:numId="19" w16cid:durableId="786240624">
    <w:abstractNumId w:val="16"/>
  </w:num>
  <w:num w:numId="20" w16cid:durableId="134397377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08"/>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7C5"/>
    <w:rsid w:val="00001D29"/>
    <w:rsid w:val="00011B58"/>
    <w:rsid w:val="0005207B"/>
    <w:rsid w:val="000621B8"/>
    <w:rsid w:val="000806BF"/>
    <w:rsid w:val="0008315D"/>
    <w:rsid w:val="001056EB"/>
    <w:rsid w:val="001127F1"/>
    <w:rsid w:val="00146F38"/>
    <w:rsid w:val="001D6367"/>
    <w:rsid w:val="001F1C01"/>
    <w:rsid w:val="00210560"/>
    <w:rsid w:val="00212894"/>
    <w:rsid w:val="00216C40"/>
    <w:rsid w:val="002245CF"/>
    <w:rsid w:val="0023026F"/>
    <w:rsid w:val="00241B2A"/>
    <w:rsid w:val="0026306D"/>
    <w:rsid w:val="00267A39"/>
    <w:rsid w:val="002B581B"/>
    <w:rsid w:val="002D6092"/>
    <w:rsid w:val="002F5BE2"/>
    <w:rsid w:val="00306FAB"/>
    <w:rsid w:val="0033303F"/>
    <w:rsid w:val="003620A5"/>
    <w:rsid w:val="00381A58"/>
    <w:rsid w:val="003830FA"/>
    <w:rsid w:val="003952CA"/>
    <w:rsid w:val="003A55BF"/>
    <w:rsid w:val="003F56EC"/>
    <w:rsid w:val="0041725E"/>
    <w:rsid w:val="0043109C"/>
    <w:rsid w:val="00480689"/>
    <w:rsid w:val="004A2FEB"/>
    <w:rsid w:val="004B0D6A"/>
    <w:rsid w:val="004B74CC"/>
    <w:rsid w:val="004B7C8E"/>
    <w:rsid w:val="00505C03"/>
    <w:rsid w:val="0051188B"/>
    <w:rsid w:val="00526DDD"/>
    <w:rsid w:val="00541433"/>
    <w:rsid w:val="00551A6D"/>
    <w:rsid w:val="005665AB"/>
    <w:rsid w:val="005956EB"/>
    <w:rsid w:val="005F6035"/>
    <w:rsid w:val="00627F64"/>
    <w:rsid w:val="00672727"/>
    <w:rsid w:val="00690329"/>
    <w:rsid w:val="006A4F95"/>
    <w:rsid w:val="006B7DAF"/>
    <w:rsid w:val="006C1E00"/>
    <w:rsid w:val="006C7914"/>
    <w:rsid w:val="006D55AE"/>
    <w:rsid w:val="0074579C"/>
    <w:rsid w:val="00747568"/>
    <w:rsid w:val="00762C5E"/>
    <w:rsid w:val="00775509"/>
    <w:rsid w:val="007810C7"/>
    <w:rsid w:val="007C1379"/>
    <w:rsid w:val="007E3CCB"/>
    <w:rsid w:val="00801482"/>
    <w:rsid w:val="00826BAA"/>
    <w:rsid w:val="00834219"/>
    <w:rsid w:val="008346AD"/>
    <w:rsid w:val="00872B67"/>
    <w:rsid w:val="00897C6D"/>
    <w:rsid w:val="008B5FC2"/>
    <w:rsid w:val="008E57C5"/>
    <w:rsid w:val="00911644"/>
    <w:rsid w:val="0092553D"/>
    <w:rsid w:val="00947A2B"/>
    <w:rsid w:val="0095697C"/>
    <w:rsid w:val="00982AB9"/>
    <w:rsid w:val="009979CE"/>
    <w:rsid w:val="009A2912"/>
    <w:rsid w:val="009B30E6"/>
    <w:rsid w:val="009B6FB4"/>
    <w:rsid w:val="00A05C11"/>
    <w:rsid w:val="00A411B0"/>
    <w:rsid w:val="00A45727"/>
    <w:rsid w:val="00A46DC1"/>
    <w:rsid w:val="00A66F87"/>
    <w:rsid w:val="00A70DE4"/>
    <w:rsid w:val="00A71059"/>
    <w:rsid w:val="00A7190A"/>
    <w:rsid w:val="00A73F04"/>
    <w:rsid w:val="00A97252"/>
    <w:rsid w:val="00AC7836"/>
    <w:rsid w:val="00B179B5"/>
    <w:rsid w:val="00B2155B"/>
    <w:rsid w:val="00B23C9F"/>
    <w:rsid w:val="00B7323B"/>
    <w:rsid w:val="00BC5644"/>
    <w:rsid w:val="00BD5224"/>
    <w:rsid w:val="00BF76C4"/>
    <w:rsid w:val="00C20D5E"/>
    <w:rsid w:val="00C24412"/>
    <w:rsid w:val="00C24600"/>
    <w:rsid w:val="00C30850"/>
    <w:rsid w:val="00C537A5"/>
    <w:rsid w:val="00CC24FF"/>
    <w:rsid w:val="00CD674C"/>
    <w:rsid w:val="00CD6BE7"/>
    <w:rsid w:val="00CE424F"/>
    <w:rsid w:val="00D11E21"/>
    <w:rsid w:val="00D14C2C"/>
    <w:rsid w:val="00D42AD4"/>
    <w:rsid w:val="00D808CE"/>
    <w:rsid w:val="00D97DE7"/>
    <w:rsid w:val="00DF2012"/>
    <w:rsid w:val="00DF5113"/>
    <w:rsid w:val="00E0327A"/>
    <w:rsid w:val="00E74E6D"/>
    <w:rsid w:val="00EA1E84"/>
    <w:rsid w:val="00EA4DB5"/>
    <w:rsid w:val="00EB4434"/>
    <w:rsid w:val="00EE1F52"/>
    <w:rsid w:val="00F037B3"/>
    <w:rsid w:val="00F6655A"/>
    <w:rsid w:val="00FE36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F76FBB"/>
  <w15:chartTrackingRefBased/>
  <w15:docId w15:val="{9F600368-05A1-BF4F-9F6A-A1F174499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188B"/>
    <w:pPr>
      <w:spacing w:after="0" w:line="240" w:lineRule="auto"/>
    </w:pPr>
    <w:rPr>
      <w:rFonts w:ascii="Times New Roman" w:eastAsia="Times New Roman" w:hAnsi="Times New Roman" w:cs="Times New Roman"/>
      <w:kern w:val="0"/>
      <w:lang w:val="ru-GB" w:eastAsia="ru-RU"/>
      <w14:ligatures w14:val="none"/>
    </w:rPr>
  </w:style>
  <w:style w:type="paragraph" w:styleId="1">
    <w:name w:val="heading 1"/>
    <w:basedOn w:val="a"/>
    <w:next w:val="a"/>
    <w:link w:val="10"/>
    <w:uiPriority w:val="9"/>
    <w:qFormat/>
    <w:rsid w:val="008E57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8E57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08E57C5"/>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8E57C5"/>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8E57C5"/>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8E57C5"/>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8E57C5"/>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8E57C5"/>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8E57C5"/>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8E57C5"/>
    <w:rPr>
      <w:rFonts w:asciiTheme="majorHAnsi" w:eastAsiaTheme="majorEastAsia" w:hAnsiTheme="majorHAnsi" w:cstheme="majorBidi"/>
      <w:color w:val="0F4761" w:themeColor="accent1" w:themeShade="BF"/>
      <w:sz w:val="40"/>
      <w:szCs w:val="40"/>
    </w:rPr>
  </w:style>
  <w:style w:type="character" w:customStyle="1" w:styleId="20">
    <w:name w:val="Заголовок 2 Знак"/>
    <w:basedOn w:val="a0"/>
    <w:link w:val="2"/>
    <w:uiPriority w:val="9"/>
    <w:semiHidden/>
    <w:rsid w:val="008E57C5"/>
    <w:rPr>
      <w:rFonts w:asciiTheme="majorHAnsi" w:eastAsiaTheme="majorEastAsia" w:hAnsiTheme="majorHAnsi" w:cstheme="majorBidi"/>
      <w:color w:val="0F4761" w:themeColor="accent1" w:themeShade="BF"/>
      <w:sz w:val="32"/>
      <w:szCs w:val="32"/>
    </w:rPr>
  </w:style>
  <w:style w:type="character" w:customStyle="1" w:styleId="30">
    <w:name w:val="Заголовок 3 Знак"/>
    <w:basedOn w:val="a0"/>
    <w:link w:val="3"/>
    <w:uiPriority w:val="9"/>
    <w:rsid w:val="008E57C5"/>
    <w:rPr>
      <w:rFonts w:eastAsiaTheme="majorEastAsia" w:cstheme="majorBidi"/>
      <w:color w:val="0F4761" w:themeColor="accent1" w:themeShade="BF"/>
      <w:sz w:val="28"/>
      <w:szCs w:val="28"/>
    </w:rPr>
  </w:style>
  <w:style w:type="character" w:customStyle="1" w:styleId="40">
    <w:name w:val="Заголовок 4 Знак"/>
    <w:basedOn w:val="a0"/>
    <w:link w:val="4"/>
    <w:uiPriority w:val="9"/>
    <w:semiHidden/>
    <w:rsid w:val="008E57C5"/>
    <w:rPr>
      <w:rFonts w:eastAsiaTheme="majorEastAsia" w:cstheme="majorBidi"/>
      <w:i/>
      <w:iCs/>
      <w:color w:val="0F4761" w:themeColor="accent1" w:themeShade="BF"/>
    </w:rPr>
  </w:style>
  <w:style w:type="character" w:customStyle="1" w:styleId="50">
    <w:name w:val="Заголовок 5 Знак"/>
    <w:basedOn w:val="a0"/>
    <w:link w:val="5"/>
    <w:uiPriority w:val="9"/>
    <w:semiHidden/>
    <w:rsid w:val="008E57C5"/>
    <w:rPr>
      <w:rFonts w:eastAsiaTheme="majorEastAsia" w:cstheme="majorBidi"/>
      <w:color w:val="0F4761" w:themeColor="accent1" w:themeShade="BF"/>
    </w:rPr>
  </w:style>
  <w:style w:type="character" w:customStyle="1" w:styleId="60">
    <w:name w:val="Заголовок 6 Знак"/>
    <w:basedOn w:val="a0"/>
    <w:link w:val="6"/>
    <w:uiPriority w:val="9"/>
    <w:semiHidden/>
    <w:rsid w:val="008E57C5"/>
    <w:rPr>
      <w:rFonts w:eastAsiaTheme="majorEastAsia" w:cstheme="majorBidi"/>
      <w:i/>
      <w:iCs/>
      <w:color w:val="595959" w:themeColor="text1" w:themeTint="A6"/>
    </w:rPr>
  </w:style>
  <w:style w:type="character" w:customStyle="1" w:styleId="70">
    <w:name w:val="Заголовок 7 Знак"/>
    <w:basedOn w:val="a0"/>
    <w:link w:val="7"/>
    <w:uiPriority w:val="9"/>
    <w:semiHidden/>
    <w:rsid w:val="008E57C5"/>
    <w:rPr>
      <w:rFonts w:eastAsiaTheme="majorEastAsia" w:cstheme="majorBidi"/>
      <w:color w:val="595959" w:themeColor="text1" w:themeTint="A6"/>
    </w:rPr>
  </w:style>
  <w:style w:type="character" w:customStyle="1" w:styleId="80">
    <w:name w:val="Заголовок 8 Знак"/>
    <w:basedOn w:val="a0"/>
    <w:link w:val="8"/>
    <w:uiPriority w:val="9"/>
    <w:semiHidden/>
    <w:rsid w:val="008E57C5"/>
    <w:rPr>
      <w:rFonts w:eastAsiaTheme="majorEastAsia" w:cstheme="majorBidi"/>
      <w:i/>
      <w:iCs/>
      <w:color w:val="272727" w:themeColor="text1" w:themeTint="D8"/>
    </w:rPr>
  </w:style>
  <w:style w:type="character" w:customStyle="1" w:styleId="90">
    <w:name w:val="Заголовок 9 Знак"/>
    <w:basedOn w:val="a0"/>
    <w:link w:val="9"/>
    <w:uiPriority w:val="9"/>
    <w:semiHidden/>
    <w:rsid w:val="008E57C5"/>
    <w:rPr>
      <w:rFonts w:eastAsiaTheme="majorEastAsia" w:cstheme="majorBidi"/>
      <w:color w:val="272727" w:themeColor="text1" w:themeTint="D8"/>
    </w:rPr>
  </w:style>
  <w:style w:type="paragraph" w:styleId="a3">
    <w:name w:val="Title"/>
    <w:basedOn w:val="a"/>
    <w:next w:val="a"/>
    <w:link w:val="a4"/>
    <w:uiPriority w:val="10"/>
    <w:qFormat/>
    <w:rsid w:val="008E57C5"/>
    <w:pPr>
      <w:spacing w:after="80"/>
      <w:contextualSpacing/>
    </w:pPr>
    <w:rPr>
      <w:rFonts w:asciiTheme="majorHAnsi" w:eastAsiaTheme="majorEastAsia" w:hAnsiTheme="majorHAnsi" w:cstheme="majorBidi"/>
      <w:spacing w:val="-10"/>
      <w:kern w:val="28"/>
      <w:sz w:val="56"/>
      <w:szCs w:val="56"/>
    </w:rPr>
  </w:style>
  <w:style w:type="character" w:customStyle="1" w:styleId="a4">
    <w:name w:val="Заголовок Знак"/>
    <w:basedOn w:val="a0"/>
    <w:link w:val="a3"/>
    <w:uiPriority w:val="10"/>
    <w:rsid w:val="008E57C5"/>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8E57C5"/>
    <w:pPr>
      <w:numPr>
        <w:ilvl w:val="1"/>
      </w:numPr>
    </w:pPr>
    <w:rPr>
      <w:rFonts w:eastAsiaTheme="majorEastAsia" w:cstheme="majorBidi"/>
      <w:color w:val="595959" w:themeColor="text1" w:themeTint="A6"/>
      <w:spacing w:val="15"/>
      <w:sz w:val="28"/>
      <w:szCs w:val="28"/>
    </w:rPr>
  </w:style>
  <w:style w:type="character" w:customStyle="1" w:styleId="a6">
    <w:name w:val="Подзаголовок Знак"/>
    <w:basedOn w:val="a0"/>
    <w:link w:val="a5"/>
    <w:uiPriority w:val="11"/>
    <w:rsid w:val="008E57C5"/>
    <w:rPr>
      <w:rFonts w:eastAsiaTheme="majorEastAsia" w:cstheme="majorBidi"/>
      <w:color w:val="595959" w:themeColor="text1" w:themeTint="A6"/>
      <w:spacing w:val="15"/>
      <w:sz w:val="28"/>
      <w:szCs w:val="28"/>
    </w:rPr>
  </w:style>
  <w:style w:type="paragraph" w:styleId="21">
    <w:name w:val="Quote"/>
    <w:basedOn w:val="a"/>
    <w:next w:val="a"/>
    <w:link w:val="22"/>
    <w:uiPriority w:val="29"/>
    <w:qFormat/>
    <w:rsid w:val="008E57C5"/>
    <w:pPr>
      <w:spacing w:before="160"/>
      <w:jc w:val="center"/>
    </w:pPr>
    <w:rPr>
      <w:i/>
      <w:iCs/>
      <w:color w:val="404040" w:themeColor="text1" w:themeTint="BF"/>
    </w:rPr>
  </w:style>
  <w:style w:type="character" w:customStyle="1" w:styleId="22">
    <w:name w:val="Цитата 2 Знак"/>
    <w:basedOn w:val="a0"/>
    <w:link w:val="21"/>
    <w:uiPriority w:val="29"/>
    <w:rsid w:val="008E57C5"/>
    <w:rPr>
      <w:i/>
      <w:iCs/>
      <w:color w:val="404040" w:themeColor="text1" w:themeTint="BF"/>
    </w:rPr>
  </w:style>
  <w:style w:type="paragraph" w:styleId="a7">
    <w:name w:val="List Paragraph"/>
    <w:basedOn w:val="a"/>
    <w:uiPriority w:val="34"/>
    <w:qFormat/>
    <w:rsid w:val="008E57C5"/>
    <w:pPr>
      <w:ind w:left="720"/>
      <w:contextualSpacing/>
    </w:pPr>
  </w:style>
  <w:style w:type="character" w:styleId="a8">
    <w:name w:val="Intense Emphasis"/>
    <w:basedOn w:val="a0"/>
    <w:uiPriority w:val="21"/>
    <w:qFormat/>
    <w:rsid w:val="008E57C5"/>
    <w:rPr>
      <w:i/>
      <w:iCs/>
      <w:color w:val="0F4761" w:themeColor="accent1" w:themeShade="BF"/>
    </w:rPr>
  </w:style>
  <w:style w:type="paragraph" w:styleId="a9">
    <w:name w:val="Intense Quote"/>
    <w:basedOn w:val="a"/>
    <w:next w:val="a"/>
    <w:link w:val="aa"/>
    <w:uiPriority w:val="30"/>
    <w:qFormat/>
    <w:rsid w:val="008E57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a">
    <w:name w:val="Выделенная цитата Знак"/>
    <w:basedOn w:val="a0"/>
    <w:link w:val="a9"/>
    <w:uiPriority w:val="30"/>
    <w:rsid w:val="008E57C5"/>
    <w:rPr>
      <w:i/>
      <w:iCs/>
      <w:color w:val="0F4761" w:themeColor="accent1" w:themeShade="BF"/>
    </w:rPr>
  </w:style>
  <w:style w:type="character" w:styleId="ab">
    <w:name w:val="Intense Reference"/>
    <w:basedOn w:val="a0"/>
    <w:uiPriority w:val="32"/>
    <w:qFormat/>
    <w:rsid w:val="008E57C5"/>
    <w:rPr>
      <w:b/>
      <w:bCs/>
      <w:smallCaps/>
      <w:color w:val="0F4761" w:themeColor="accent1" w:themeShade="BF"/>
      <w:spacing w:val="5"/>
    </w:rPr>
  </w:style>
  <w:style w:type="paragraph" w:customStyle="1" w:styleId="p1">
    <w:name w:val="p1"/>
    <w:basedOn w:val="a"/>
    <w:rsid w:val="008E57C5"/>
    <w:rPr>
      <w:rFonts w:ascii="Helvetica Neue" w:hAnsi="Helvetica Neue"/>
      <w:color w:val="000000"/>
      <w:sz w:val="29"/>
      <w:szCs w:val="29"/>
    </w:rPr>
  </w:style>
  <w:style w:type="character" w:customStyle="1" w:styleId="apple-converted-space">
    <w:name w:val="apple-converted-space"/>
    <w:basedOn w:val="a0"/>
    <w:rsid w:val="008E57C5"/>
  </w:style>
  <w:style w:type="table" w:styleId="ac">
    <w:name w:val="Table Grid"/>
    <w:basedOn w:val="a1"/>
    <w:uiPriority w:val="39"/>
    <w:rsid w:val="008E57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g-star-inserted">
    <w:name w:val="ng-star-inserted"/>
    <w:basedOn w:val="a0"/>
    <w:rsid w:val="00A97252"/>
  </w:style>
  <w:style w:type="paragraph" w:customStyle="1" w:styleId="paragraph">
    <w:name w:val="paragraph"/>
    <w:basedOn w:val="a"/>
    <w:rsid w:val="006B7DAF"/>
    <w:pPr>
      <w:spacing w:before="100" w:beforeAutospacing="1" w:after="100" w:afterAutospacing="1"/>
    </w:pPr>
  </w:style>
  <w:style w:type="character" w:styleId="ad">
    <w:name w:val="annotation reference"/>
    <w:uiPriority w:val="99"/>
    <w:semiHidden/>
    <w:unhideWhenUsed/>
    <w:rsid w:val="007C1379"/>
    <w:rPr>
      <w:sz w:val="16"/>
      <w:szCs w:val="16"/>
    </w:rPr>
  </w:style>
  <w:style w:type="paragraph" w:styleId="ae">
    <w:name w:val="annotation text"/>
    <w:basedOn w:val="a"/>
    <w:link w:val="af"/>
    <w:uiPriority w:val="99"/>
    <w:unhideWhenUsed/>
    <w:rsid w:val="007C1379"/>
    <w:pPr>
      <w:spacing w:after="200" w:line="360" w:lineRule="auto"/>
    </w:pPr>
    <w:rPr>
      <w:rFonts w:ascii="Calibri" w:eastAsia="Calibri" w:hAnsi="Calibri"/>
      <w:sz w:val="20"/>
      <w:szCs w:val="20"/>
      <w:lang w:val="x-none"/>
    </w:rPr>
  </w:style>
  <w:style w:type="character" w:customStyle="1" w:styleId="af">
    <w:name w:val="Текст примечания Знак"/>
    <w:basedOn w:val="a0"/>
    <w:link w:val="ae"/>
    <w:uiPriority w:val="99"/>
    <w:rsid w:val="007C1379"/>
    <w:rPr>
      <w:rFonts w:ascii="Calibri" w:eastAsia="Calibri" w:hAnsi="Calibri" w:cs="Times New Roman"/>
      <w:kern w:val="0"/>
      <w:sz w:val="20"/>
      <w:szCs w:val="20"/>
      <w:lang w:val="x-none"/>
      <w14:ligatures w14:val="none"/>
    </w:rPr>
  </w:style>
  <w:style w:type="paragraph" w:styleId="af0">
    <w:name w:val="header"/>
    <w:basedOn w:val="a"/>
    <w:link w:val="af1"/>
    <w:uiPriority w:val="99"/>
    <w:unhideWhenUsed/>
    <w:rsid w:val="005956EB"/>
    <w:pPr>
      <w:tabs>
        <w:tab w:val="center" w:pos="4513"/>
        <w:tab w:val="right" w:pos="9026"/>
      </w:tabs>
    </w:pPr>
  </w:style>
  <w:style w:type="character" w:customStyle="1" w:styleId="af1">
    <w:name w:val="Верхний колонтитул Знак"/>
    <w:basedOn w:val="a0"/>
    <w:link w:val="af0"/>
    <w:uiPriority w:val="99"/>
    <w:rsid w:val="005956EB"/>
    <w:rPr>
      <w:rFonts w:ascii="Times New Roman" w:eastAsia="Times New Roman" w:hAnsi="Times New Roman" w:cs="Times New Roman"/>
      <w:kern w:val="0"/>
      <w:lang w:eastAsia="ru-RU"/>
      <w14:ligatures w14:val="none"/>
    </w:rPr>
  </w:style>
  <w:style w:type="paragraph" w:styleId="af2">
    <w:name w:val="footer"/>
    <w:basedOn w:val="a"/>
    <w:link w:val="af3"/>
    <w:uiPriority w:val="99"/>
    <w:unhideWhenUsed/>
    <w:rsid w:val="005956EB"/>
    <w:pPr>
      <w:tabs>
        <w:tab w:val="center" w:pos="4513"/>
        <w:tab w:val="right" w:pos="9026"/>
      </w:tabs>
    </w:pPr>
  </w:style>
  <w:style w:type="character" w:customStyle="1" w:styleId="af3">
    <w:name w:val="Нижний колонтитул Знак"/>
    <w:basedOn w:val="a0"/>
    <w:link w:val="af2"/>
    <w:uiPriority w:val="99"/>
    <w:rsid w:val="005956EB"/>
    <w:rPr>
      <w:rFonts w:ascii="Times New Roman" w:eastAsia="Times New Roman" w:hAnsi="Times New Roman" w:cs="Times New Roman"/>
      <w:kern w:val="0"/>
      <w:lang w:eastAsia="ru-RU"/>
      <w14:ligatures w14:val="none"/>
    </w:rPr>
  </w:style>
  <w:style w:type="character" w:customStyle="1" w:styleId="s1">
    <w:name w:val="s1"/>
    <w:basedOn w:val="a0"/>
    <w:rsid w:val="00212894"/>
  </w:style>
  <w:style w:type="paragraph" w:customStyle="1" w:styleId="p2">
    <w:name w:val="p2"/>
    <w:basedOn w:val="a"/>
    <w:rsid w:val="00212894"/>
    <w:pPr>
      <w:spacing w:before="100" w:beforeAutospacing="1" w:after="100" w:afterAutospacing="1"/>
    </w:pPr>
  </w:style>
  <w:style w:type="paragraph" w:customStyle="1" w:styleId="p3">
    <w:name w:val="p3"/>
    <w:basedOn w:val="a"/>
    <w:rsid w:val="00212894"/>
    <w:pPr>
      <w:spacing w:before="100" w:beforeAutospacing="1" w:after="100" w:afterAutospacing="1"/>
    </w:pPr>
  </w:style>
  <w:style w:type="character" w:customStyle="1" w:styleId="s2">
    <w:name w:val="s2"/>
    <w:basedOn w:val="a0"/>
    <w:rsid w:val="00212894"/>
  </w:style>
  <w:style w:type="paragraph" w:styleId="af4">
    <w:name w:val="annotation subject"/>
    <w:basedOn w:val="ae"/>
    <w:next w:val="ae"/>
    <w:link w:val="af5"/>
    <w:uiPriority w:val="99"/>
    <w:semiHidden/>
    <w:unhideWhenUsed/>
    <w:rsid w:val="00A46DC1"/>
    <w:pPr>
      <w:spacing w:after="0" w:line="240" w:lineRule="auto"/>
    </w:pPr>
    <w:rPr>
      <w:rFonts w:ascii="Times New Roman" w:eastAsia="Times New Roman" w:hAnsi="Times New Roman"/>
      <w:b/>
      <w:bCs/>
    </w:rPr>
  </w:style>
  <w:style w:type="character" w:customStyle="1" w:styleId="af5">
    <w:name w:val="Тема примечания Знак"/>
    <w:basedOn w:val="af"/>
    <w:link w:val="af4"/>
    <w:uiPriority w:val="99"/>
    <w:semiHidden/>
    <w:rsid w:val="00A46DC1"/>
    <w:rPr>
      <w:rFonts w:ascii="Times New Roman" w:eastAsia="Times New Roman" w:hAnsi="Times New Roman" w:cs="Times New Roman"/>
      <w:b/>
      <w:bCs/>
      <w:kern w:val="0"/>
      <w:sz w:val="20"/>
      <w:szCs w:val="20"/>
      <w:lang w:val="x-none" w:eastAsia="ru-RU"/>
      <w14:ligatures w14:val="none"/>
    </w:rPr>
  </w:style>
  <w:style w:type="character" w:styleId="af6">
    <w:name w:val="Hyperlink"/>
    <w:basedOn w:val="a0"/>
    <w:uiPriority w:val="99"/>
    <w:unhideWhenUsed/>
    <w:rsid w:val="00B179B5"/>
    <w:rPr>
      <w:color w:val="467886" w:themeColor="hyperlink"/>
      <w:u w:val="single"/>
    </w:rPr>
  </w:style>
  <w:style w:type="character" w:styleId="af7">
    <w:name w:val="Unresolved Mention"/>
    <w:basedOn w:val="a0"/>
    <w:uiPriority w:val="99"/>
    <w:semiHidden/>
    <w:unhideWhenUsed/>
    <w:rsid w:val="00B179B5"/>
    <w:rPr>
      <w:color w:val="605E5C"/>
      <w:shd w:val="clear" w:color="auto" w:fill="E1DFDD"/>
    </w:rPr>
  </w:style>
  <w:style w:type="character" w:styleId="af8">
    <w:name w:val="FollowedHyperlink"/>
    <w:basedOn w:val="a0"/>
    <w:uiPriority w:val="99"/>
    <w:semiHidden/>
    <w:unhideWhenUsed/>
    <w:rsid w:val="00B179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dx.doi.org/10.1136/bmj.l25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33C91E-21AE-1543-B289-7B16D054D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21</Pages>
  <Words>5167</Words>
  <Characters>29452</Characters>
  <Application>Microsoft Office Word</Application>
  <DocSecurity>0</DocSecurity>
  <Lines>245</Lines>
  <Paragraphs>69</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OSI21866823 (Svitlena Osiptsova)</dc:creator>
  <cp:keywords/>
  <dc:description/>
  <cp:lastModifiedBy>OSI21866823 (Svitlena Osiptsova)</cp:lastModifiedBy>
  <cp:revision>2</cp:revision>
  <dcterms:created xsi:type="dcterms:W3CDTF">2026-04-30T10:48:00Z</dcterms:created>
  <dcterms:modified xsi:type="dcterms:W3CDTF">2026-04-30T10:48:00Z</dcterms:modified>
</cp:coreProperties>
</file>