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小标题"/>
      </w:pPr>
      <w:r>
        <w:rPr/>
        <w:fldChar w:fldCharType="begin" w:fldLock="0"/>
      </w:r>
      <w:r>
        <w:instrText xml:space="preserve"> TOC \t "小标题, 1,小标题 A, 2"</w:instrText>
      </w:r>
      <w:r>
        <w:rPr/>
        <w:fldChar w:fldCharType="separate" w:fldLock="0"/>
      </w:r>
    </w:p>
    <w:p>
      <w:pPr>
        <w:pStyle w:val="TOC 1"/>
      </w:pPr>
      <w:r>
        <w:rPr>
          <w:rtl w:val="0"/>
          <w:lang w:val="en-US"/>
        </w:rPr>
        <w:t>Summary</w:t>
        <w:tab/>
      </w:r>
      <w:r>
        <w:rPr/>
        <w:fldChar w:fldCharType="begin" w:fldLock="0"/>
      </w:r>
      <w:r>
        <w:instrText xml:space="preserve"> PAGEREF _Toc \h </w:instrText>
      </w:r>
      <w:r>
        <w:rPr/>
        <w:fldChar w:fldCharType="separate" w:fldLock="0"/>
      </w:r>
      <w:r>
        <w:rPr>
          <w:rtl w:val="0"/>
        </w:rPr>
        <w:t>2</w:t>
      </w:r>
      <w:r>
        <w:rPr/>
        <w:fldChar w:fldCharType="end" w:fldLock="0"/>
      </w:r>
    </w:p>
    <w:p>
      <w:pPr>
        <w:pStyle w:val="TOC 1"/>
      </w:pPr>
      <w:r>
        <w:rPr>
          <w:rtl w:val="0"/>
          <w:lang w:val="fr-FR"/>
        </w:rPr>
        <w:t>1.0 Introduction</w:t>
        <w:tab/>
      </w:r>
      <w:r>
        <w:rPr/>
        <w:fldChar w:fldCharType="begin" w:fldLock="0"/>
      </w:r>
      <w:r>
        <w:instrText xml:space="preserve"> PAGEREF _Toc1 \h </w:instrText>
      </w:r>
      <w:r>
        <w:rPr/>
        <w:fldChar w:fldCharType="separate" w:fldLock="0"/>
      </w:r>
      <w:r>
        <w:rPr>
          <w:rtl w:val="0"/>
        </w:rPr>
        <w:t>3</w:t>
      </w:r>
      <w:r>
        <w:rPr/>
        <w:fldChar w:fldCharType="end" w:fldLock="0"/>
      </w:r>
    </w:p>
    <w:p>
      <w:pPr>
        <w:pStyle w:val="TOC 1"/>
      </w:pPr>
      <w:r>
        <w:rPr>
          <w:rtl w:val="0"/>
          <w:lang w:val="en-US"/>
        </w:rPr>
        <w:t>2.0 market analysis</w:t>
        <w:tab/>
      </w:r>
      <w:r>
        <w:rPr/>
        <w:fldChar w:fldCharType="begin" w:fldLock="0"/>
      </w:r>
      <w:r>
        <w:instrText xml:space="preserve"> PAGEREF _Toc2 \h </w:instrText>
      </w:r>
      <w:r>
        <w:rPr/>
        <w:fldChar w:fldCharType="separate" w:fldLock="0"/>
      </w:r>
      <w:r>
        <w:rPr>
          <w:rtl w:val="0"/>
        </w:rPr>
        <w:t>5</w:t>
      </w:r>
      <w:r>
        <w:rPr/>
        <w:fldChar w:fldCharType="end" w:fldLock="0"/>
      </w:r>
    </w:p>
    <w:p>
      <w:pPr>
        <w:pStyle w:val="TOC 1"/>
      </w:pPr>
      <w:r>
        <w:rPr>
          <w:rtl w:val="0"/>
          <w:lang w:val="en-US"/>
        </w:rPr>
        <w:t>2.1 Corporate goals and tasks</w:t>
        <w:tab/>
      </w:r>
      <w:r>
        <w:rPr/>
        <w:fldChar w:fldCharType="begin" w:fldLock="0"/>
      </w:r>
      <w:r>
        <w:instrText xml:space="preserve"> PAGEREF _Toc3 \h </w:instrText>
      </w:r>
      <w:r>
        <w:rPr/>
        <w:fldChar w:fldCharType="separate" w:fldLock="0"/>
      </w:r>
      <w:r>
        <w:rPr>
          <w:rtl w:val="0"/>
        </w:rPr>
        <w:t>5</w:t>
      </w:r>
      <w:r>
        <w:rPr/>
        <w:fldChar w:fldCharType="end" w:fldLock="0"/>
      </w:r>
    </w:p>
    <w:p>
      <w:pPr>
        <w:pStyle w:val="TOC 2"/>
      </w:pPr>
      <w:r>
        <w:rPr>
          <w:rtl w:val="0"/>
          <w:lang w:val="en-US"/>
        </w:rPr>
        <w:t>2.2 Current Market Description</w:t>
        <w:tab/>
      </w:r>
      <w:r>
        <w:rPr/>
        <w:fldChar w:fldCharType="begin" w:fldLock="0"/>
      </w:r>
      <w:r>
        <w:instrText xml:space="preserve"> PAGEREF _Toc4 \h </w:instrText>
      </w:r>
      <w:r>
        <w:rPr/>
        <w:fldChar w:fldCharType="separate" w:fldLock="0"/>
      </w:r>
      <w:r>
        <w:rPr>
          <w:rtl w:val="0"/>
        </w:rPr>
        <w:t>5</w:t>
      </w:r>
      <w:r>
        <w:rPr/>
        <w:fldChar w:fldCharType="end" w:fldLock="0"/>
      </w:r>
    </w:p>
    <w:p>
      <w:pPr>
        <w:pStyle w:val="TOC 2"/>
      </w:pPr>
      <w:r>
        <w:rPr>
          <w:rtl w:val="0"/>
          <w:lang w:val="en-US"/>
        </w:rPr>
        <w:t>2.3 External environment analysis</w:t>
        <w:tab/>
      </w:r>
      <w:r>
        <w:rPr/>
        <w:fldChar w:fldCharType="begin" w:fldLock="0"/>
      </w:r>
      <w:r>
        <w:instrText xml:space="preserve"> PAGEREF _Toc5 \h </w:instrText>
      </w:r>
      <w:r>
        <w:rPr/>
        <w:fldChar w:fldCharType="separate" w:fldLock="0"/>
      </w:r>
      <w:r>
        <w:rPr>
          <w:rtl w:val="0"/>
        </w:rPr>
        <w:t>6</w:t>
      </w:r>
      <w:r>
        <w:rPr/>
        <w:fldChar w:fldCharType="end" w:fldLock="0"/>
      </w:r>
    </w:p>
    <w:p>
      <w:pPr>
        <w:pStyle w:val="TOC 2"/>
      </w:pPr>
      <w:r>
        <w:rPr>
          <w:rtl w:val="0"/>
          <w:lang w:val="it-IT"/>
        </w:rPr>
        <w:t>2.3.1 Economy</w:t>
        <w:tab/>
      </w:r>
      <w:r>
        <w:rPr/>
        <w:fldChar w:fldCharType="begin" w:fldLock="0"/>
      </w:r>
      <w:r>
        <w:instrText xml:space="preserve"> PAGEREF _Toc6 \h </w:instrText>
      </w:r>
      <w:r>
        <w:rPr/>
        <w:fldChar w:fldCharType="separate" w:fldLock="0"/>
      </w:r>
      <w:r>
        <w:rPr>
          <w:rtl w:val="0"/>
        </w:rPr>
        <w:t>6</w:t>
      </w:r>
      <w:r>
        <w:rPr/>
        <w:fldChar w:fldCharType="end" w:fldLock="0"/>
      </w:r>
    </w:p>
    <w:p>
      <w:pPr>
        <w:pStyle w:val="TOC 2"/>
      </w:pPr>
      <w:r>
        <w:rPr>
          <w:rtl w:val="0"/>
          <w:lang w:val="en-US"/>
        </w:rPr>
        <w:t>2.3.2 Laws and regulations</w:t>
        <w:tab/>
      </w:r>
      <w:r>
        <w:rPr/>
        <w:fldChar w:fldCharType="begin" w:fldLock="0"/>
      </w:r>
      <w:r>
        <w:instrText xml:space="preserve"> PAGEREF _Toc7 \h </w:instrText>
      </w:r>
      <w:r>
        <w:rPr/>
        <w:fldChar w:fldCharType="separate" w:fldLock="0"/>
      </w:r>
      <w:r>
        <w:rPr>
          <w:rtl w:val="0"/>
        </w:rPr>
        <w:t>7</w:t>
      </w:r>
      <w:r>
        <w:rPr/>
        <w:fldChar w:fldCharType="end" w:fldLock="0"/>
      </w:r>
    </w:p>
    <w:p>
      <w:pPr>
        <w:pStyle w:val="TOC 2"/>
      </w:pPr>
      <w:r>
        <w:rPr>
          <w:rtl w:val="0"/>
          <w:lang w:val="it-IT"/>
        </w:rPr>
        <w:t>2.3.3 cost</w:t>
        <w:tab/>
      </w:r>
      <w:r>
        <w:rPr/>
        <w:fldChar w:fldCharType="begin" w:fldLock="0"/>
      </w:r>
      <w:r>
        <w:instrText xml:space="preserve"> PAGEREF _Toc8 \h </w:instrText>
      </w:r>
      <w:r>
        <w:rPr/>
        <w:fldChar w:fldCharType="separate" w:fldLock="0"/>
      </w:r>
      <w:r>
        <w:rPr>
          <w:rtl w:val="0"/>
        </w:rPr>
        <w:t>7</w:t>
      </w:r>
      <w:r>
        <w:rPr/>
        <w:fldChar w:fldCharType="end" w:fldLock="0"/>
      </w:r>
    </w:p>
    <w:p>
      <w:pPr>
        <w:pStyle w:val="TOC 2"/>
      </w:pPr>
      <w:r>
        <w:rPr>
          <w:rtl w:val="0"/>
          <w:lang w:val="en-US"/>
        </w:rPr>
        <w:t>2.3.4 Competition</w:t>
        <w:tab/>
      </w:r>
      <w:r>
        <w:rPr/>
        <w:fldChar w:fldCharType="begin" w:fldLock="0"/>
      </w:r>
      <w:r>
        <w:instrText xml:space="preserve"> PAGEREF _Toc9 \h </w:instrText>
      </w:r>
      <w:r>
        <w:rPr/>
        <w:fldChar w:fldCharType="separate" w:fldLock="0"/>
      </w:r>
      <w:r>
        <w:rPr>
          <w:rtl w:val="0"/>
        </w:rPr>
        <w:t>7</w:t>
      </w:r>
      <w:r>
        <w:rPr/>
        <w:fldChar w:fldCharType="end" w:fldLock="0"/>
      </w:r>
    </w:p>
    <w:p>
      <w:pPr>
        <w:pStyle w:val="TOC 2"/>
      </w:pPr>
      <w:r>
        <w:rPr>
          <w:rtl w:val="0"/>
        </w:rPr>
        <w:t>2.3.5 Technology:</w:t>
        <w:tab/>
      </w:r>
      <w:r>
        <w:rPr/>
        <w:fldChar w:fldCharType="begin" w:fldLock="0"/>
      </w:r>
      <w:r>
        <w:instrText xml:space="preserve"> PAGEREF _Toc10 \h </w:instrText>
      </w:r>
      <w:r>
        <w:rPr/>
        <w:fldChar w:fldCharType="separate" w:fldLock="0"/>
      </w:r>
      <w:r>
        <w:rPr>
          <w:rtl w:val="0"/>
        </w:rPr>
        <w:t>8</w:t>
      </w:r>
      <w:r>
        <w:rPr/>
        <w:fldChar w:fldCharType="end" w:fldLock="0"/>
      </w:r>
    </w:p>
    <w:p>
      <w:pPr>
        <w:pStyle w:val="TOC 2"/>
      </w:pPr>
      <w:r>
        <w:rPr>
          <w:rtl w:val="0"/>
          <w:lang w:val="en-US"/>
        </w:rPr>
        <w:t>2.3.6 Social factors</w:t>
        <w:tab/>
      </w:r>
      <w:r>
        <w:rPr/>
        <w:fldChar w:fldCharType="begin" w:fldLock="0"/>
      </w:r>
      <w:r>
        <w:instrText xml:space="preserve"> PAGEREF _Toc11 \h </w:instrText>
      </w:r>
      <w:r>
        <w:rPr/>
        <w:fldChar w:fldCharType="separate" w:fldLock="0"/>
      </w:r>
      <w:r>
        <w:rPr>
          <w:rtl w:val="0"/>
        </w:rPr>
        <w:t>8</w:t>
      </w:r>
      <w:r>
        <w:rPr/>
        <w:fldChar w:fldCharType="end" w:fldLock="0"/>
      </w:r>
    </w:p>
    <w:p>
      <w:pPr>
        <w:pStyle w:val="TOC 2"/>
      </w:pPr>
      <w:r>
        <w:rPr>
          <w:rtl w:val="0"/>
          <w:lang w:val="en-US"/>
        </w:rPr>
        <w:t>2.4 Internal environment analysis</w:t>
        <w:tab/>
      </w:r>
      <w:r>
        <w:rPr/>
        <w:fldChar w:fldCharType="begin" w:fldLock="0"/>
      </w:r>
      <w:r>
        <w:instrText xml:space="preserve"> PAGEREF _Toc12 \h </w:instrText>
      </w:r>
      <w:r>
        <w:rPr/>
        <w:fldChar w:fldCharType="separate" w:fldLock="0"/>
      </w:r>
      <w:r>
        <w:rPr>
          <w:rtl w:val="0"/>
        </w:rPr>
        <w:t>8</w:t>
      </w:r>
      <w:r>
        <w:rPr/>
        <w:fldChar w:fldCharType="end" w:fldLock="0"/>
      </w:r>
    </w:p>
    <w:p>
      <w:pPr>
        <w:pStyle w:val="TOC 2"/>
      </w:pPr>
      <w:r>
        <w:rPr>
          <w:rtl w:val="0"/>
          <w:lang w:val="en-US"/>
        </w:rPr>
        <w:t>2.4.1 Advantages</w:t>
        <w:tab/>
      </w:r>
      <w:r>
        <w:rPr/>
        <w:fldChar w:fldCharType="begin" w:fldLock="0"/>
      </w:r>
      <w:r>
        <w:instrText xml:space="preserve"> PAGEREF _Toc13 \h </w:instrText>
      </w:r>
      <w:r>
        <w:rPr/>
        <w:fldChar w:fldCharType="separate" w:fldLock="0"/>
      </w:r>
      <w:r>
        <w:rPr>
          <w:rtl w:val="0"/>
        </w:rPr>
        <w:t>8</w:t>
      </w:r>
      <w:r>
        <w:rPr/>
        <w:fldChar w:fldCharType="end" w:fldLock="0"/>
      </w:r>
    </w:p>
    <w:p>
      <w:pPr>
        <w:pStyle w:val="TOC 2"/>
      </w:pPr>
      <w:r>
        <w:rPr>
          <w:rtl w:val="0"/>
          <w:lang w:val="en-US"/>
        </w:rPr>
        <w:t>2.4.2 disadvantages</w:t>
        <w:tab/>
      </w:r>
      <w:r>
        <w:rPr/>
        <w:fldChar w:fldCharType="begin" w:fldLock="0"/>
      </w:r>
      <w:r>
        <w:instrText xml:space="preserve"> PAGEREF _Toc14 \h </w:instrText>
      </w:r>
      <w:r>
        <w:rPr/>
        <w:fldChar w:fldCharType="separate" w:fldLock="0"/>
      </w:r>
      <w:r>
        <w:rPr>
          <w:rtl w:val="0"/>
        </w:rPr>
        <w:t>8</w:t>
      </w:r>
      <w:r>
        <w:rPr/>
        <w:fldChar w:fldCharType="end" w:fldLock="0"/>
      </w:r>
    </w:p>
    <w:p>
      <w:pPr>
        <w:pStyle w:val="TOC 2"/>
      </w:pPr>
      <w:r>
        <w:rPr>
          <w:rtl w:val="0"/>
          <w:lang w:val="en-US"/>
        </w:rPr>
        <w:t>2.4.3. Expected changes</w:t>
        <w:tab/>
      </w:r>
      <w:r>
        <w:rPr/>
        <w:fldChar w:fldCharType="begin" w:fldLock="0"/>
      </w:r>
      <w:r>
        <w:instrText xml:space="preserve"> PAGEREF _Toc15 \h </w:instrText>
      </w:r>
      <w:r>
        <w:rPr/>
        <w:fldChar w:fldCharType="separate" w:fldLock="0"/>
      </w:r>
      <w:r>
        <w:rPr>
          <w:rtl w:val="0"/>
        </w:rPr>
        <w:t>8</w:t>
      </w:r>
      <w:r>
        <w:rPr/>
        <w:fldChar w:fldCharType="end" w:fldLock="0"/>
      </w:r>
    </w:p>
    <w:p>
      <w:pPr>
        <w:pStyle w:val="TOC 2"/>
      </w:pPr>
      <w:r>
        <w:rPr>
          <w:rtl w:val="0"/>
          <w:lang w:val="en-US"/>
        </w:rPr>
        <w:t>3.2Social media and e-commerce have become a must.</w:t>
        <w:tab/>
      </w:r>
      <w:r>
        <w:rPr/>
        <w:fldChar w:fldCharType="begin" w:fldLock="0"/>
      </w:r>
      <w:r>
        <w:instrText xml:space="preserve"> PAGEREF _Toc16 \h </w:instrText>
      </w:r>
      <w:r>
        <w:rPr/>
        <w:fldChar w:fldCharType="separate" w:fldLock="0"/>
      </w:r>
      <w:r>
        <w:rPr>
          <w:rtl w:val="0"/>
        </w:rPr>
        <w:t>9</w:t>
      </w:r>
      <w:r>
        <w:rPr/>
        <w:fldChar w:fldCharType="end" w:fldLock="0"/>
      </w:r>
    </w:p>
    <w:p>
      <w:pPr>
        <w:pStyle w:val="TOC 2"/>
      </w:pPr>
      <w:r>
        <w:rPr>
          <w:rtl w:val="0"/>
          <w:lang w:val="en-US"/>
        </w:rPr>
        <w:t>4.1 Product / Service and Positioning</w:t>
        <w:tab/>
      </w:r>
      <w:r>
        <w:rPr/>
        <w:fldChar w:fldCharType="begin" w:fldLock="0"/>
      </w:r>
      <w:r>
        <w:instrText xml:space="preserve"> PAGEREF _Toc17 \h </w:instrText>
      </w:r>
      <w:r>
        <w:rPr/>
        <w:fldChar w:fldCharType="separate" w:fldLock="0"/>
      </w:r>
      <w:r>
        <w:rPr>
          <w:rtl w:val="0"/>
        </w:rPr>
        <w:t>10</w:t>
      </w:r>
      <w:r>
        <w:rPr/>
        <w:fldChar w:fldCharType="end" w:fldLock="0"/>
      </w:r>
    </w:p>
    <w:p>
      <w:pPr>
        <w:pStyle w:val="TOC 2"/>
      </w:pPr>
      <w:r>
        <w:rPr>
          <w:rtl w:val="0"/>
          <w:lang w:val="en-US"/>
        </w:rPr>
        <w:t>4.2. Distribution</w:t>
        <w:tab/>
      </w:r>
      <w:r>
        <w:rPr/>
        <w:fldChar w:fldCharType="begin" w:fldLock="0"/>
      </w:r>
      <w:r>
        <w:instrText xml:space="preserve"> PAGEREF _Toc18 \h </w:instrText>
      </w:r>
      <w:r>
        <w:rPr/>
        <w:fldChar w:fldCharType="separate" w:fldLock="0"/>
      </w:r>
      <w:r>
        <w:rPr>
          <w:rtl w:val="0"/>
        </w:rPr>
        <w:t>10</w:t>
      </w:r>
      <w:r>
        <w:rPr/>
        <w:fldChar w:fldCharType="end" w:fldLock="0"/>
      </w:r>
    </w:p>
    <w:p>
      <w:pPr>
        <w:pStyle w:val="TOC 2"/>
      </w:pPr>
      <w:r>
        <w:rPr>
          <w:rtl w:val="0"/>
          <w:lang w:val="de-DE"/>
        </w:rPr>
        <w:t>4.3 Pricing</w:t>
        <w:tab/>
      </w:r>
      <w:r>
        <w:rPr/>
        <w:fldChar w:fldCharType="begin" w:fldLock="0"/>
      </w:r>
      <w:r>
        <w:instrText xml:space="preserve"> PAGEREF _Toc19 \h </w:instrText>
      </w:r>
      <w:r>
        <w:rPr/>
        <w:fldChar w:fldCharType="separate" w:fldLock="0"/>
      </w:r>
      <w:r>
        <w:rPr>
          <w:rtl w:val="0"/>
        </w:rPr>
        <w:t>10</w:t>
      </w:r>
      <w:r>
        <w:rPr/>
        <w:fldChar w:fldCharType="end" w:fldLock="0"/>
      </w:r>
    </w:p>
    <w:p>
      <w:pPr>
        <w:pStyle w:val="TOC 2"/>
      </w:pPr>
      <w:r>
        <w:rPr>
          <w:rtl w:val="0"/>
          <w:lang w:val="en-US"/>
        </w:rPr>
        <w:t>4.4 Increase advertising investment</w:t>
        <w:tab/>
      </w:r>
      <w:r>
        <w:rPr/>
        <w:fldChar w:fldCharType="begin" w:fldLock="0"/>
      </w:r>
      <w:r>
        <w:instrText xml:space="preserve"> PAGEREF _Toc20 \h </w:instrText>
      </w:r>
      <w:r>
        <w:rPr/>
        <w:fldChar w:fldCharType="separate" w:fldLock="0"/>
      </w:r>
      <w:r>
        <w:rPr>
          <w:rtl w:val="0"/>
        </w:rPr>
        <w:t>11</w:t>
      </w:r>
      <w:r>
        <w:rPr/>
        <w:fldChar w:fldCharType="end" w:fldLock="0"/>
      </w:r>
    </w:p>
    <w:p>
      <w:pPr>
        <w:pStyle w:val="TOC 2"/>
      </w:pPr>
      <w:r>
        <w:rPr>
          <w:rtl w:val="0"/>
          <w:lang w:val="en-US"/>
        </w:rPr>
        <w:t>4.5 Do a good job in public relations</w:t>
        <w:tab/>
      </w:r>
      <w:r>
        <w:rPr/>
        <w:fldChar w:fldCharType="begin" w:fldLock="0"/>
      </w:r>
      <w:r>
        <w:instrText xml:space="preserve"> PAGEREF _Toc21 \h </w:instrText>
      </w:r>
      <w:r>
        <w:rPr/>
        <w:fldChar w:fldCharType="separate" w:fldLock="0"/>
      </w:r>
      <w:r>
        <w:rPr>
          <w:rtl w:val="0"/>
        </w:rPr>
        <w:t>11</w:t>
      </w:r>
      <w:r>
        <w:rPr/>
        <w:fldChar w:fldCharType="end" w:fldLock="0"/>
      </w:r>
    </w:p>
    <w:p>
      <w:pPr>
        <w:pStyle w:val="TOC 2"/>
      </w:pPr>
      <w:r>
        <w:rPr>
          <w:rtl w:val="0"/>
        </w:rPr>
        <w:t>4.6 Internet marketing</w:t>
        <w:tab/>
      </w:r>
      <w:r>
        <w:rPr/>
        <w:fldChar w:fldCharType="begin" w:fldLock="0"/>
      </w:r>
      <w:r>
        <w:instrText xml:space="preserve"> PAGEREF _Toc22 \h </w:instrText>
      </w:r>
      <w:r>
        <w:rPr/>
        <w:fldChar w:fldCharType="separate" w:fldLock="0"/>
      </w:r>
      <w:r>
        <w:rPr>
          <w:rtl w:val="0"/>
        </w:rPr>
        <w:t>11</w:t>
      </w:r>
      <w:r>
        <w:rPr/>
        <w:fldChar w:fldCharType="end" w:fldLock="0"/>
      </w:r>
    </w:p>
    <w:p>
      <w:pPr>
        <w:pStyle w:val="TOC 2"/>
      </w:pPr>
      <w:r>
        <w:rPr>
          <w:rtl w:val="0"/>
          <w:lang w:val="en-US"/>
        </w:rPr>
        <w:t>5.1 annual plan control</w:t>
        <w:tab/>
      </w:r>
      <w:r>
        <w:rPr/>
        <w:fldChar w:fldCharType="begin" w:fldLock="0"/>
      </w:r>
      <w:r>
        <w:instrText xml:space="preserve"> PAGEREF _Toc23 \h </w:instrText>
      </w:r>
      <w:r>
        <w:rPr/>
        <w:fldChar w:fldCharType="separate" w:fldLock="0"/>
      </w:r>
      <w:r>
        <w:rPr>
          <w:rtl w:val="0"/>
        </w:rPr>
        <w:t>12</w:t>
      </w:r>
      <w:r>
        <w:rPr/>
        <w:fldChar w:fldCharType="end" w:fldLock="0"/>
      </w:r>
    </w:p>
    <w:p>
      <w:pPr>
        <w:pStyle w:val="TOC 2"/>
      </w:pPr>
      <w:r>
        <w:rPr>
          <w:rtl w:val="0"/>
          <w:lang w:val="de-DE"/>
        </w:rPr>
        <w:t>5.2 Profit Control</w:t>
        <w:tab/>
      </w:r>
      <w:r>
        <w:rPr/>
        <w:fldChar w:fldCharType="begin" w:fldLock="0"/>
      </w:r>
      <w:r>
        <w:instrText xml:space="preserve"> PAGEREF _Toc24 \h </w:instrText>
      </w:r>
      <w:r>
        <w:rPr/>
        <w:fldChar w:fldCharType="separate" w:fldLock="0"/>
      </w:r>
      <w:r>
        <w:rPr>
          <w:rtl w:val="0"/>
        </w:rPr>
        <w:t>12</w:t>
      </w:r>
      <w:r>
        <w:rPr/>
        <w:fldChar w:fldCharType="end" w:fldLock="0"/>
      </w:r>
    </w:p>
    <w:p>
      <w:pPr>
        <w:pStyle w:val="TOC 2"/>
      </w:pPr>
      <w:r>
        <w:rPr>
          <w:rtl w:val="0"/>
          <w:lang w:val="en-US"/>
        </w:rPr>
        <w:t>5.3 efficiency control</w:t>
        <w:tab/>
      </w:r>
      <w:r>
        <w:rPr/>
        <w:fldChar w:fldCharType="begin" w:fldLock="0"/>
      </w:r>
      <w:r>
        <w:instrText xml:space="preserve"> PAGEREF _Toc25 \h </w:instrText>
      </w:r>
      <w:r>
        <w:rPr/>
        <w:fldChar w:fldCharType="separate" w:fldLock="0"/>
      </w:r>
      <w:r>
        <w:rPr>
          <w:rtl w:val="0"/>
        </w:rPr>
        <w:t>12</w:t>
      </w:r>
      <w:r>
        <w:rPr/>
        <w:fldChar w:fldCharType="end" w:fldLock="0"/>
      </w:r>
    </w:p>
    <w:p>
      <w:pPr>
        <w:pStyle w:val="TOC 2"/>
      </w:pPr>
      <w:r>
        <w:rPr>
          <w:rtl w:val="0"/>
          <w:lang w:val="it-IT"/>
        </w:rPr>
        <w:t>5.4 Strategic Control</w:t>
        <w:tab/>
      </w:r>
      <w:r>
        <w:rPr/>
        <w:fldChar w:fldCharType="begin" w:fldLock="0"/>
      </w:r>
      <w:r>
        <w:instrText xml:space="preserve"> PAGEREF _Toc26 \h </w:instrText>
      </w:r>
      <w:r>
        <w:rPr/>
        <w:fldChar w:fldCharType="separate" w:fldLock="0"/>
      </w:r>
      <w:r>
        <w:rPr>
          <w:rtl w:val="0"/>
        </w:rPr>
        <w:t>12</w:t>
      </w:r>
      <w:r>
        <w:rPr/>
        <w:fldChar w:fldCharType="end" w:fldLock="0"/>
      </w:r>
    </w:p>
    <w:p>
      <w:pPr>
        <w:pStyle w:val="TOC 1"/>
      </w:pPr>
      <w:r>
        <w:rPr>
          <w:rtl w:val="0"/>
          <w:lang w:val="pt-PT"/>
        </w:rPr>
        <w:t>6.0 Reference</w:t>
        <w:tab/>
      </w:r>
      <w:r>
        <w:rPr/>
        <w:fldChar w:fldCharType="begin" w:fldLock="0"/>
      </w:r>
      <w:r>
        <w:instrText xml:space="preserve"> PAGEREF _Toc27 \h </w:instrText>
      </w:r>
      <w:r>
        <w:rPr/>
        <w:fldChar w:fldCharType="separate" w:fldLock="0"/>
      </w:r>
      <w:r>
        <w:rPr>
          <w:rtl w:val="0"/>
        </w:rPr>
        <w:t>12</w:t>
      </w:r>
      <w:r>
        <w:rPr/>
        <w:fldChar w:fldCharType="end" w:fldLock="0"/>
      </w:r>
    </w:p>
    <w:p>
      <w:pPr>
        <w:pStyle w:val="小标题"/>
      </w:pPr>
      <w:r>
        <w:rPr/>
        <w:fldChar w:fldCharType="end" w:fldLock="0"/>
      </w:r>
      <w:r>
        <w:rPr>
          <w:rFonts w:ascii="Arial Unicode MS" w:cs="Arial Unicode MS" w:hAnsi="Arial Unicode MS" w:eastAsia="Arial Unicode MS"/>
          <w:b w:val="0"/>
          <w:bCs w:val="0"/>
          <w:i w:val="0"/>
          <w:iCs w:val="0"/>
        </w:rPr>
        <w:br w:type="page"/>
      </w:r>
    </w:p>
    <w:p>
      <w:pPr>
        <w:pStyle w:val="小标题"/>
      </w:pPr>
      <w:bookmarkStart w:name="_Toc" w:id="0"/>
      <w:r>
        <w:rPr>
          <w:rtl w:val="0"/>
          <w:lang w:val="en-US"/>
        </w:rPr>
        <w:t>Summary</w:t>
      </w:r>
      <w:bookmarkEnd w:id="0"/>
    </w:p>
    <w:p>
      <w:pPr>
        <w:pStyle w:val="Normal.0"/>
      </w:pPr>
      <w:r>
        <w:rPr>
          <w:rtl w:val="0"/>
        </w:rPr>
        <w:t>The Hiut Denim Company commissioned me and my team to promote the Chinese market, so we focused our attention on buying jeans in China. Of course, the Chinese market is huge and complex, and we have put our goal in Guangzhou, a big city in China. After a thorough understanding of the Guangzhou jeans market, we conducted an analysis of the market environment. We used SWOT analysis and PEST analysis to evaluate the external market and internal environment, and based on this, we developed a marketing plan. The overall plan includes promotion strategy, market segmentation, target market, brand positioning, strategic choice, strategy realization, and marketing mix. While making plans, we boldly predicted possible problems, such as: Hiut has a negative problem that needs to be dealt with, and the return rate is as high as 14% because it is not suitable after receiving the goods. How to promote in the Chinese e-commerce market. We also considered how to monitor the plan, which is very important for the implementation of the plan.</w:t>
      </w:r>
    </w:p>
    <w:p>
      <w:pPr>
        <w:pStyle w:val="Normal.0"/>
      </w:pPr>
    </w:p>
    <w:p>
      <w:pPr>
        <w:pStyle w:val="Normal.0"/>
      </w:pPr>
    </w:p>
    <w:p>
      <w:pPr>
        <w:pStyle w:val="Normal.0"/>
      </w:pPr>
    </w:p>
    <w:p>
      <w:pPr>
        <w:pStyle w:val="Normal.0"/>
      </w:pPr>
    </w:p>
    <w:p>
      <w:pPr>
        <w:pStyle w:val="Normal.0"/>
      </w:pPr>
    </w:p>
    <w:p>
      <w:pPr>
        <w:pStyle w:val="Normal.0"/>
      </w:pPr>
    </w:p>
    <w:p>
      <w:pPr>
        <w:pStyle w:val="Normal.0"/>
      </w:pPr>
    </w:p>
    <w:p>
      <w:pPr>
        <w:pStyle w:val="Normal.0"/>
      </w:pPr>
    </w:p>
    <w:p>
      <w:pPr>
        <w:pStyle w:val="Normal.0"/>
      </w:pPr>
    </w:p>
    <w:p>
      <w:pPr>
        <w:pStyle w:val="Normal.0"/>
      </w:pPr>
    </w:p>
    <w:p>
      <w:pPr>
        <w:pStyle w:val="Normal.0"/>
      </w:pPr>
    </w:p>
    <w:p>
      <w:pPr>
        <w:pStyle w:val="Normal.0"/>
      </w:pPr>
    </w:p>
    <w:p>
      <w:pPr>
        <w:pStyle w:val="Normal.0"/>
      </w:pPr>
    </w:p>
    <w:p>
      <w:pPr>
        <w:pStyle w:val="Normal.0"/>
      </w:pPr>
    </w:p>
    <w:p>
      <w:pPr>
        <w:pStyle w:val="Normal.0"/>
      </w:pPr>
    </w:p>
    <w:p>
      <w:pPr>
        <w:pStyle w:val="Normal.0"/>
      </w:pPr>
    </w:p>
    <w:p>
      <w:pPr>
        <w:pStyle w:val="Normal.0"/>
      </w:pPr>
    </w:p>
    <w:p>
      <w:pPr>
        <w:pStyle w:val="Normal.0"/>
      </w:pPr>
    </w:p>
    <w:p>
      <w:pPr>
        <w:pStyle w:val="Normal.0"/>
      </w:pPr>
    </w:p>
    <w:p>
      <w:pPr>
        <w:pStyle w:val="Normal.0"/>
      </w:pPr>
    </w:p>
    <w:p>
      <w:pPr>
        <w:pStyle w:val="大标题 A"/>
      </w:pPr>
    </w:p>
    <w:p>
      <w:pPr>
        <w:pStyle w:val="Normal.0"/>
      </w:pPr>
    </w:p>
    <w:p>
      <w:pPr>
        <w:pStyle w:val="Normal.0"/>
      </w:pPr>
    </w:p>
    <w:p>
      <w:pPr>
        <w:pStyle w:val="Normal.0"/>
      </w:pPr>
    </w:p>
    <w:p>
      <w:pPr>
        <w:pStyle w:val="小标题"/>
      </w:pPr>
      <w:bookmarkStart w:name="_Toc1" w:id="1"/>
      <w:r>
        <w:rPr>
          <w:rtl w:val="0"/>
          <w:lang w:val="fr-FR"/>
        </w:rPr>
        <w:t>1.0 Introduction</w:t>
      </w:r>
      <w:bookmarkEnd w:id="1"/>
    </w:p>
    <w:p>
      <w:pPr>
        <w:pStyle w:val="Normal.0"/>
      </w:pPr>
    </w:p>
    <w:p>
      <w:pPr>
        <w:pStyle w:val="Normal.0"/>
      </w:pPr>
      <w:r>
        <w:rPr>
          <w:rtl w:val="0"/>
        </w:rPr>
        <w:t xml:space="preserve">The Hiut Denim Company is a top of the line pants producer with a history in the core of Cardigan on the Welsh shoreline of Wales. In spite of the fact that the town of Cardigan has a populace of just 4,000, it has numerous memorable extravagance organizations, for example, Hiut. For a long time, the organization has delivered 35,000 pants for every year for British retailer Marks and Spencer. Be that as it may, in 2002, the creation was exchanged to Morocco to diminish costs, and the production line shut 400 occupations. </w:t>
      </w:r>
    </w:p>
    <w:p>
      <w:pPr>
        <w:pStyle w:val="Normal.0"/>
      </w:pPr>
    </w:p>
    <w:p>
      <w:pPr>
        <w:pStyle w:val="Normal.0"/>
      </w:pPr>
      <w:r>
        <w:rPr>
          <w:rtl w:val="0"/>
        </w:rPr>
        <w:t xml:space="preserve">After ten years, Hiut picked this town once more. So as to revive the plant, Hieatt procured a specialist who had worked in the old production line (right now just 15 representatives), and imported countless denim pants from Turkey and Japan. </w:t>
      </w:r>
    </w:p>
    <w:p>
      <w:pPr>
        <w:pStyle w:val="Normal.0"/>
      </w:pPr>
    </w:p>
    <w:p>
      <w:pPr>
        <w:pStyle w:val="Normal.0"/>
      </w:pPr>
      <w:r>
        <w:rPr>
          <w:rtl w:val="0"/>
        </w:rPr>
        <w:t>Originator David Hieatt stated, "He trusts that if Hiut can focus on promoting to shoppers around the globe by means of the Internet, it is probably going to sell. Truth be told, the request on the organization's site is continually streaming.</w:t>
      </w:r>
    </w:p>
    <w:p>
      <w:pPr>
        <w:pStyle w:val="Normal.0"/>
      </w:pPr>
      <w:r>
        <w:rPr>
          <w:rtl w:val="0"/>
        </w:rPr>
        <w:t xml:space="preserve">Hiut Denim presently can't seem to try and sell a couple of pants yet they've been working up the Interne with their breaking story and well-structured site. Hieatt, who left Howies two years prior, said that he needed to restore denim fabricating in the little seaside town. "In case you're going to make denim in the U.K., there isn't generally anyplace preferred to do it over Cardigan," he said. Hiut lays on the leaders of its amazingly gifted workforce. The business is based exclusively in Cardingan; a community of 4,000 great individuals where 400 of its inhabitants used to make pants. They made 35,000 sets every week for three decades; they were so gifted at making pants, it was the absolute last pants plant in Britain to close. As the organization site says, "It is said that in Hollywood, it's elusive a server who won't be an entertainer. In Cardigan, it's similarly as elusive somebody who hasn't made pants." </w:t>
      </w:r>
    </w:p>
    <w:p>
      <w:pPr>
        <w:pStyle w:val="Normal.0"/>
      </w:pPr>
      <w:r>
        <w:rPr>
          <w:rtl w:val="0"/>
        </w:rPr>
        <w:t xml:space="preserve">The old processing plant may never again exist in Cardigan, yet the aptitudes stay lethargic, rising under the surface anticipating a chance to touch off the denim business by and by. David is energetic about developing this workmanship and utilized ex-assembly line laborers for his undertaking. The great people of Cardigan have gone through more than 30,000 hours learning their exchange, rehearsing their aptitudes to progress toward becoming "Amazing Masters of pants making". At first, the manufacturing plant will dispatch with only six representatives including Hieatt, two evaluation A mechanical engineers, a piece of clothing specialist, low maintenance design shaper and Hieatt's colleague and spouse, Clare. </w:t>
      </w:r>
    </w:p>
    <w:p>
      <w:pPr>
        <w:pStyle w:val="Normal.0"/>
      </w:pPr>
      <w:r>
        <w:rPr>
          <w:rtl w:val="0"/>
        </w:rPr>
        <w:t>Hiut plans to recover this town by assembling the most elevated quality denim for what David expectations will turn into a worldwide denim brand. This organization promises to just deliver the best quality denim, cut with a specialist eye and just in Cardigan. This is surely a denim organization with a distinction; an assurance to create the best with an ethical remaining to remain consistent with its underlying foundations in Cardigan.</w:t>
      </w:r>
    </w:p>
    <w:p>
      <w:pPr>
        <w:pStyle w:val="Normal.0"/>
      </w:pPr>
      <w:r>
        <w:rPr>
          <w:rtl w:val="0"/>
        </w:rPr>
        <w:t>As a luxury brand in jeans, Hiut began to adjust the price to narrow the price difference between the Chinese market and the European market, relying on "balanced" prices to expand the number of sales in the Chinese market, thereby driving overall data growth. So David Hieatt commissioned me and my team to promote the Chinese market, so we focused our attention on buying jeans in China. Of course, the Chinese market is huge and complex, and we have put our goal in Guangzhou, a big city in China. Although the production of denim and jeans produced in China ranks first in the world, the per capita jeans of our country are not the most. There are only 4 per capita, just over half of the global consumers have 7 per capita, and Chinese consumers per capita. There are 2 denim shorts, shirts, jackets and skirts, which are equal or slightly higher than the world average. There are 8 American consumers. Relative to jeans, Italy is the EU's largest importer of cotton denim. Historic denim fabrics are loved by consumers around the world for their leisure, comfort and durability. In recent years, continuous innovation in craftsmanship and design financing has increased the fashion elements and has become a driving factor in the popularity of denim clothing textiles. 90% of consumers around the world have at least one pair of jeans, and the per capita possession has increased by 29% compared to 1999. Surveys in China have shown that denim fabrics are particularly popular among young people between the ages of 15 and 24, and they are most likely to wear denim. According to the survey, 64% of consumers are willing to pay more for clothing made of natural fiber fabrics than synthetic fabrics. In all product categories, Chinese consumers prefer 100% cotton products to fabrics such as 100% polyester, cotton/chemical fiber blends, wool, spandex, and nylon.</w:t>
      </w:r>
    </w:p>
    <w:p>
      <w:pPr>
        <w:pStyle w:val="Normal.0"/>
      </w:pPr>
    </w:p>
    <w:p>
      <w:pPr>
        <w:pStyle w:val="Normal.0"/>
      </w:pPr>
      <w:r>
        <w:rPr>
          <w:rtl w:val="0"/>
        </w:rPr>
        <w:t>      </w:t>
      </w:r>
      <w:r>
        <w:rPr>
          <w:rtl w:val="0"/>
        </w:rPr>
        <w:t>Since 2009, affected by many unfavorable factors such as adjustment of national policies, appreciation of the renminbi, increase in labor costs, high raw material prices, and increased technical barriers to foreign trade, the garment export enterprises that were originally marginally profitable have become more difficult, facing increasingly severe foreign trade. The environment and the pressure of survival have appeared that some small businesses are overwhelmed and forced to shut down. In recent years, textile and garment enterprises in the eastern coastal areas of China have increased their investment in the central and western regions, and the pace of industrial transfer has accelerated. At present, garment production in the eastern region has begun to shrink, and the output of provinces and cities in the central and western regions has increased substantially.</w:t>
      </w:r>
    </w:p>
    <w:p>
      <w:pPr>
        <w:pStyle w:val="Normal.0"/>
      </w:pPr>
      <w:r>
        <w:rPr>
          <w:rtl w:val="0"/>
        </w:rPr>
        <w:t>At present, China has formed three major jeans production bases, Guangdong Zengcheng area, Jiangsu Changzhou area and Shandong Zibo area. This shows that China's jeans industry has formed a scale, and a complete industrial chain has been formed. What we have to do now is the issue of industrial upgrading. We have reached international standards in product quality, but in brand building and channel expansion, we have realized Not enough, OEM is always the end of the industry chain. The current status of the Chinese jeans brand is: no denim brand recognized by the international market. It can be seen that the potential of the Chinese market and the imported brands in the Chinese market are chosen by Chinese customers. Especially in the mid-to-high-end market, most Chinese customers will choose to import brands, so Hiut entering China can bring new development to the company.</w:t>
      </w:r>
    </w:p>
    <w:p>
      <w:pPr>
        <w:pStyle w:val="Normal.0"/>
      </w:pPr>
    </w:p>
    <w:p>
      <w:pPr>
        <w:pStyle w:val="小标题"/>
      </w:pPr>
      <w:bookmarkStart w:name="_Toc2" w:id="2"/>
      <w:r>
        <w:rPr>
          <w:rtl w:val="0"/>
          <w:lang w:val="en-US"/>
        </w:rPr>
        <w:t>2.0 market analysis</w:t>
      </w:r>
      <w:bookmarkEnd w:id="2"/>
    </w:p>
    <w:p>
      <w:pPr>
        <w:pStyle w:val="小标题"/>
      </w:pPr>
      <w:bookmarkStart w:name="_Toc3" w:id="3"/>
      <w:r>
        <w:rPr>
          <w:rtl w:val="0"/>
          <w:lang w:val="en-US"/>
        </w:rPr>
        <w:t>2.1 Corporate goals and tasks</w:t>
      </w:r>
      <w:bookmarkEnd w:id="3"/>
    </w:p>
    <w:p>
      <w:pPr>
        <w:pStyle w:val="Normal.0"/>
      </w:pPr>
      <w:r>
        <w:rPr>
          <w:rtl w:val="0"/>
        </w:rPr>
        <w:t>In the current brand jeans market, the domestic local jeans company relies on the strong brand advantage of its products, as a market with great market growth space, Hiut mainly produces high quality, branded jeans as a positioning, with a pure hand-made The main goal is to improve the quality of the products through the deep processing of the cowboys, to achieve steady growth of profits, and to strengthen the cultural construction of the Hiut brand, to achieve the company's market transformation and maximize the brand value.</w:t>
      </w:r>
    </w:p>
    <w:p>
      <w:pPr>
        <w:pStyle w:val="Subtitle"/>
      </w:pPr>
    </w:p>
    <w:p>
      <w:pPr>
        <w:pStyle w:val="小标题 A"/>
      </w:pPr>
      <w:bookmarkStart w:name="_Toc4" w:id="4"/>
      <w:r>
        <w:rPr>
          <w:rtl w:val="0"/>
        </w:rPr>
        <w:t>2.2 Current Market Description</w:t>
      </w:r>
      <w:bookmarkEnd w:id="4"/>
    </w:p>
    <w:p>
      <w:pPr>
        <w:pStyle w:val="Normal.0"/>
      </w:pPr>
      <w:r>
        <w:rPr>
          <w:rtl w:val="0"/>
        </w:rPr>
        <w:t>In the Guangzhou market, it is mainly concentrated in the denim wholesale market in Guangzhou. Its main buyers are students, ordinary office workers, and freelancers. The monthly income is generally between 6,000 and 10,000, generally 15-40 years old. I also have a certain understanding of the brand. While pursuing quality, I know how to pursue fashion.</w:t>
      </w:r>
    </w:p>
    <w:p>
      <w:pPr>
        <w:pStyle w:val="Normal.0"/>
      </w:pPr>
    </w:p>
    <w:p>
      <w:pPr>
        <w:pStyle w:val="Normal.0"/>
      </w:pPr>
      <w:r>
        <w:rPr>
          <w:rtl w:val="0"/>
        </w:rPr>
        <w:t>The main jeans brand has been downgraded from the beginning of the year. On the one hand, the jeans export business was hindered by the financial crisis, and on the other hand, the rising cost of raw materials and the loss of laborers. At present, Xintang is the largest denim production base in the country. Nearly half of the country's denim garments are from Xintang. About 30% of the country's denim garments are exported from Xintang. There are more than 3,000 denim garments and related supporting enterprises in the town, more than 1,000 registered denim clothing brands, and more than 100,000 foreigners in the denim clothing industry.</w:t>
      </w:r>
    </w:p>
    <w:p>
      <w:pPr>
        <w:pStyle w:val="Normal.0"/>
      </w:pPr>
    </w:p>
    <w:p>
      <w:pPr>
        <w:pStyle w:val="Normal.0"/>
      </w:pPr>
      <w:r>
        <w:rPr>
          <w:rtl w:val="0"/>
        </w:rPr>
        <w:t>Guangdong's Pearl River Delta region, Jiangsu Changzhou region and Shandong Zibo region are China's three major denim production bases. The Pearl River Delta region is the largest denim industry base with a large area. According to incomplete statistics, there are no less than 200 dyeing and dyeing lines for denim production, about 18,000 loom, and about 40 finishing lines. . The annual production capacity of denim in the Pearl River Delta exceeds 1 billion meters, accounting for 40% of the total production of denim in the country. It ranks first in the country and has become a world-famous "denim industry" base. Guangdong has cattle</w:t>
      </w:r>
    </w:p>
    <w:p>
      <w:pPr>
        <w:pStyle w:val="Normal.0"/>
      </w:pPr>
      <w:r>
        <w:rPr>
          <w:rtl w:val="0"/>
        </w:rPr>
        <w:t>The areas where the industrial clusters are superior are mainly concentrated in Guangzhou Xintang, Zhongshan City, Dayong, Shunde, and other places. These areas have emerged as one batch of denim garment production advantage enterprises.</w:t>
      </w:r>
    </w:p>
    <w:p>
      <w:pPr>
        <w:pStyle w:val="Normal.0"/>
      </w:pPr>
      <w:r>
        <w:rPr>
          <w:rtl w:val="0"/>
        </w:rPr>
        <w:t>Under the influence of many jeans brands, other brands have joined the current price war. Our company's original price advantage is gradually lost. Some small-scale enterprises have been greatly affected, slowly exposing some problems and autonomy. Weak development and design, lack of corporate culture, bad brand image, lack of operational experience</w:t>
      </w:r>
    </w:p>
    <w:p>
      <w:pPr>
        <w:pStyle w:val="Normal.0"/>
      </w:pPr>
      <w:r>
        <w:rPr>
          <w:rtl w:val="0"/>
        </w:rPr>
        <w:t xml:space="preserve">There are many local brands in China that have joined the current price wars, and Hiut began to adjust the price to narrow the price difference between the Chinese market and the European market, relying on </w:t>
      </w:r>
      <w:r>
        <w:rPr>
          <w:rtl w:val="0"/>
        </w:rPr>
        <w:t>“</w:t>
      </w:r>
      <w:r>
        <w:rPr>
          <w:rtl w:val="0"/>
        </w:rPr>
        <w:t>balanced</w:t>
      </w:r>
      <w:r>
        <w:rPr>
          <w:rtl w:val="0"/>
        </w:rPr>
        <w:t xml:space="preserve">” </w:t>
      </w:r>
      <w:r>
        <w:rPr>
          <w:rtl w:val="0"/>
        </w:rPr>
        <w:t>prices to expand the sales volume in the Chinese market, thus driving overall data growth. This is the key to the Chinese market</w:t>
      </w:r>
    </w:p>
    <w:p>
      <w:pPr>
        <w:pStyle w:val="Normal.0"/>
      </w:pPr>
    </w:p>
    <w:p>
      <w:pPr>
        <w:pStyle w:val="Normal.0"/>
      </w:pPr>
      <w:r>
        <w:rPr>
          <w:rtl w:val="0"/>
        </w:rPr>
        <w:t>      </w:t>
      </w:r>
    </w:p>
    <w:p>
      <w:pPr>
        <w:pStyle w:val="Normal.0"/>
      </w:pPr>
    </w:p>
    <w:p>
      <w:pPr>
        <w:pStyle w:val="小标题 A"/>
      </w:pPr>
      <w:bookmarkStart w:name="_Toc5" w:id="5"/>
      <w:r>
        <w:rPr>
          <w:rtl w:val="0"/>
        </w:rPr>
        <w:t>2.3 External environment analysis</w:t>
      </w:r>
      <w:bookmarkEnd w:id="5"/>
    </w:p>
    <w:p>
      <w:pPr>
        <w:pStyle w:val="Normal.0"/>
      </w:pPr>
    </w:p>
    <w:p>
      <w:pPr>
        <w:pStyle w:val="小标题 A"/>
        <w:rPr>
          <w:lang w:val="it-IT"/>
        </w:rPr>
      </w:pPr>
      <w:bookmarkStart w:name="_Toc6" w:id="6"/>
      <w:r>
        <w:rPr>
          <w:rtl w:val="0"/>
          <w:lang w:val="it-IT"/>
        </w:rPr>
        <w:t>2.3.1 Economy</w:t>
      </w:r>
      <w:bookmarkEnd w:id="6"/>
    </w:p>
    <w:p>
      <w:pPr>
        <w:pStyle w:val="Normal.0"/>
      </w:pPr>
    </w:p>
    <w:p>
      <w:pPr>
        <w:pStyle w:val="Normal.0"/>
      </w:pPr>
      <w:r>
        <w:rPr>
          <w:rtl w:val="0"/>
        </w:rPr>
        <w:t>      </w:t>
      </w:r>
      <w:r>
        <w:rPr>
          <w:rtl w:val="0"/>
        </w:rPr>
        <w:t>The Chinese denim market is showing strong demand. The consumption scale of China's nearly 1.4 billion people has grown rapidly with the improvement of living standards and lifestyles. According to the 2004 survey:</w:t>
      </w:r>
    </w:p>
    <w:p>
      <w:pPr>
        <w:pStyle w:val="Normal.0"/>
      </w:pPr>
    </w:p>
    <w:p>
      <w:pPr>
        <w:pStyle w:val="Normal.0"/>
      </w:pPr>
      <w:r>
        <w:rPr>
          <w:rtl w:val="0"/>
        </w:rPr>
        <w:t>75% of consumers said that denim is a must-have item, with 45% per person having 3'5 pieces and as many as 5% in another 20%. The output value of the textile and garment industry in Xinzhen reached RMB 10.9 billion and the export of foreign trade exceeded RMB 400 million. The Xintang denim garment industry has formed an industrial value system that has begun to compete in the market, forming a relatively complete professional production system such as spinning, dyeing, weaving, finishing, printing and garment manufacturing.</w:t>
      </w:r>
    </w:p>
    <w:p>
      <w:pPr>
        <w:pStyle w:val="Normal.0"/>
      </w:pPr>
    </w:p>
    <w:p>
      <w:pPr>
        <w:pStyle w:val="小标题 A"/>
      </w:pPr>
    </w:p>
    <w:p>
      <w:pPr>
        <w:pStyle w:val="小标题 A"/>
      </w:pPr>
      <w:bookmarkStart w:name="_Toc7" w:id="7"/>
      <w:r>
        <w:rPr>
          <w:rtl w:val="0"/>
        </w:rPr>
        <w:t>2.3.2 Laws and regulations</w:t>
      </w:r>
      <w:bookmarkEnd w:id="7"/>
    </w:p>
    <w:p>
      <w:pPr>
        <w:pStyle w:val="Normal.0"/>
      </w:pPr>
    </w:p>
    <w:p>
      <w:pPr>
        <w:pStyle w:val="Normal.0"/>
      </w:pPr>
      <w:r>
        <w:rPr>
          <w:rtl w:val="0"/>
        </w:rPr>
        <w:t>      </w:t>
      </w:r>
      <w:r>
        <w:rPr>
          <w:rtl w:val="0"/>
        </w:rPr>
        <w:t>China's jeans market is developing rapidly, and product output continues to expand. The national industrial policy encourages the jeans industry to develop toward high-tech products, and domestic enterprises' investment in new investment projects is gradually increasing. Investors are paying more and more attention to the jeans market.</w:t>
      </w:r>
    </w:p>
    <w:p>
      <w:pPr>
        <w:pStyle w:val="Normal.0"/>
      </w:pPr>
    </w:p>
    <w:p>
      <w:pPr>
        <w:pStyle w:val="小标题 A"/>
        <w:rPr>
          <w:lang w:val="it-IT"/>
        </w:rPr>
      </w:pPr>
      <w:bookmarkStart w:name="_Toc8" w:id="8"/>
      <w:r>
        <w:rPr>
          <w:rtl w:val="0"/>
          <w:lang w:val="it-IT"/>
        </w:rPr>
        <w:t>2.3.3 cost</w:t>
      </w:r>
      <w:bookmarkEnd w:id="8"/>
    </w:p>
    <w:p>
      <w:pPr>
        <w:pStyle w:val="Normal.0"/>
      </w:pPr>
      <w:r>
        <w:rPr>
          <w:rtl w:val="0"/>
        </w:rPr>
        <w:t>Pure hand and ritual</w:t>
      </w:r>
    </w:p>
    <w:p>
      <w:pPr>
        <w:pStyle w:val="Normal.0"/>
      </w:pPr>
      <w:r>
        <w:rPr>
          <w:rtl w:val="0"/>
        </w:rPr>
        <w:t>Hiut's craftsmen need about an hour and a ten minutes to make a pair of jeans, while in a highly mechanized jeans company it takes only 11 minutes. And everyone will sign on their own jeans.</w:t>
      </w:r>
    </w:p>
    <w:p>
      <w:pPr>
        <w:pStyle w:val="Normal.0"/>
      </w:pPr>
      <w:r>
        <w:rPr>
          <w:rtl w:val="0"/>
        </w:rPr>
        <w:t>David Hieatt called the workers "masters." Because some of them have more than 40 years of experience in jeans making, and novices have to train for three years to start making jeans for customers.</w:t>
      </w:r>
    </w:p>
    <w:p>
      <w:pPr>
        <w:pStyle w:val="Normal.0"/>
      </w:pPr>
    </w:p>
    <w:p>
      <w:pPr>
        <w:pStyle w:val="Normal.0"/>
      </w:pPr>
      <w:r>
        <w:rPr>
          <w:rtl w:val="0"/>
        </w:rPr>
        <w:t>Not only the trousers and zippers are handmade, but in Hiut, the entire trousers are hand-stitched, so the output is extremely limited. Only about 120 jeans are produced each week, but founder David Hieatt has a lot of expansion ambitions.</w:t>
      </w:r>
    </w:p>
    <w:p>
      <w:pPr>
        <w:pStyle w:val="Normal.0"/>
      </w:pPr>
      <w:r>
        <w:rPr>
          <w:rtl w:val="0"/>
        </w:rPr>
        <w:t>Since the hand-stitched version fits the human body curve, from New York, Paris, to London, Melbourne, Hiut's jeans are loved by more and more fashionistas, shipping expensive jeans around the world (</w:t>
      </w:r>
      <w:r>
        <w:rPr>
          <w:rtl w:val="0"/>
        </w:rPr>
        <w:t>£</w:t>
      </w:r>
      <w:r>
        <w:rPr>
          <w:rtl w:val="0"/>
        </w:rPr>
        <w:t>230/bar, About $300).</w:t>
      </w:r>
    </w:p>
    <w:p>
      <w:pPr>
        <w:pStyle w:val="小标题 A"/>
      </w:pPr>
    </w:p>
    <w:p>
      <w:pPr>
        <w:pStyle w:val="小标题 A"/>
      </w:pPr>
      <w:bookmarkStart w:name="_Toc9" w:id="9"/>
      <w:r>
        <w:rPr>
          <w:rtl w:val="0"/>
        </w:rPr>
        <w:t>2.3.4 Competition</w:t>
      </w:r>
      <w:bookmarkEnd w:id="9"/>
    </w:p>
    <w:p>
      <w:pPr>
        <w:pStyle w:val="Normal.0"/>
      </w:pPr>
      <w:r>
        <w:rPr>
          <w:rtl w:val="0"/>
        </w:rPr>
        <w:t>At present, there are many jeans brands in Xintang, Guangzhou, such as Changhong, Ligao, Guanwei, and many other brands. In addition, many foreign brands have continuously entered the market. Famous brands such as "LEE", "LEVI", "Marlboro" and "Li Ning" have quietly occupied the market share of jeans.</w:t>
      </w:r>
    </w:p>
    <w:p>
      <w:pPr>
        <w:pStyle w:val="Normal.0"/>
      </w:pPr>
    </w:p>
    <w:p>
      <w:pPr>
        <w:pStyle w:val="小标题 A"/>
      </w:pPr>
      <w:bookmarkStart w:name="_Toc10" w:id="10"/>
      <w:r>
        <w:rPr>
          <w:rtl w:val="0"/>
        </w:rPr>
        <w:t>2.3.5 Technology:</w:t>
      </w:r>
      <w:bookmarkEnd w:id="10"/>
    </w:p>
    <w:p>
      <w:pPr>
        <w:pStyle w:val="Normal.0"/>
      </w:pPr>
      <w:r>
        <w:rPr>
          <w:rtl w:val="0"/>
        </w:rPr>
        <w:t>At present, domestic denim production is mainly due to changes in raw materials and finishing. Denim yarns are also being rotated from air-jet spinning to ring spinning, slub yarn and other fancy yarns. The finishing is mainly the change of color and the finishing of the function.</w:t>
      </w:r>
    </w:p>
    <w:p>
      <w:pPr>
        <w:pStyle w:val="小标题 A"/>
      </w:pPr>
    </w:p>
    <w:p>
      <w:pPr>
        <w:pStyle w:val="小标题 A"/>
      </w:pPr>
      <w:bookmarkStart w:name="_Toc11" w:id="11"/>
      <w:r>
        <w:rPr>
          <w:rtl w:val="0"/>
        </w:rPr>
        <w:t>2.3.6 Social factors</w:t>
      </w:r>
      <w:bookmarkEnd w:id="11"/>
    </w:p>
    <w:p>
      <w:pPr>
        <w:pStyle w:val="Normal.0"/>
      </w:pPr>
      <w:r>
        <w:rPr>
          <w:rtl w:val="0"/>
        </w:rPr>
        <w:t>The Chinese denim market is showing strong demand. The consumption scale of China's nearly 1.4 billion people has grown rapidly with the improvement of living standards and lifestyles. According to a 2004 survey, 75% of consumers said that denim is a must-have item, with 45% of people having 3'5 pieces per capita, and as many as 5~7 of 20%.</w:t>
      </w:r>
    </w:p>
    <w:p>
      <w:pPr>
        <w:pStyle w:val="Normal.0"/>
      </w:pPr>
    </w:p>
    <w:p>
      <w:pPr>
        <w:pStyle w:val="小标题 A"/>
      </w:pPr>
      <w:bookmarkStart w:name="_Toc12" w:id="12"/>
      <w:r>
        <w:rPr>
          <w:rtl w:val="0"/>
        </w:rPr>
        <w:t>2.4 Internal environment analysis</w:t>
      </w:r>
      <w:bookmarkEnd w:id="12"/>
    </w:p>
    <w:p>
      <w:pPr>
        <w:pStyle w:val="小标题 A"/>
      </w:pPr>
    </w:p>
    <w:p>
      <w:pPr>
        <w:pStyle w:val="小标题 A"/>
      </w:pPr>
      <w:bookmarkStart w:name="_Toc13" w:id="13"/>
      <w:r>
        <w:rPr>
          <w:rtl w:val="0"/>
        </w:rPr>
        <w:t>2.4.1 Advantages</w:t>
      </w:r>
      <w:bookmarkEnd w:id="13"/>
    </w:p>
    <w:p>
      <w:pPr>
        <w:pStyle w:val="Normal.0"/>
      </w:pPr>
      <w:r>
        <w:rPr>
          <w:rtl w:val="0"/>
        </w:rPr>
        <w:t>The brand advantage is more obvious. Compared to the local brand of the factory is produced, although the cost of pure hand-made and production speed is relatively low, however, product quality and brand effect will bring high added value to the product.</w:t>
      </w:r>
    </w:p>
    <w:p>
      <w:pPr>
        <w:pStyle w:val="Normal.0"/>
      </w:pPr>
    </w:p>
    <w:p>
      <w:pPr>
        <w:pStyle w:val="小标题 A"/>
      </w:pPr>
      <w:bookmarkStart w:name="_Toc14" w:id="14"/>
      <w:r>
        <w:rPr>
          <w:rtl w:val="0"/>
        </w:rPr>
        <w:t>2.4.2 disadvantages</w:t>
      </w:r>
      <w:bookmarkEnd w:id="14"/>
    </w:p>
    <w:p>
      <w:pPr>
        <w:pStyle w:val="Normal.0"/>
      </w:pPr>
    </w:p>
    <w:p>
      <w:pPr>
        <w:pStyle w:val="Normal.0"/>
      </w:pPr>
      <w:r>
        <w:rPr>
          <w:rtl w:val="0"/>
        </w:rPr>
        <w:t>      </w:t>
      </w:r>
      <w:r>
        <w:rPr>
          <w:rtl w:val="0"/>
        </w:rPr>
        <w:t>The market concentration is high, and Changhong, Ligao, Guanwei and other brands have achieved good brand awareness and reputation, and Hiut's marketing is difficult. And in terms of processing capacity and sales network, there is no small gap with it; at the same time, advertising and other publicity investment is small, market pull is small, and promotion is insufficient.</w:t>
      </w:r>
    </w:p>
    <w:p>
      <w:pPr>
        <w:pStyle w:val="Normal.0"/>
      </w:pPr>
    </w:p>
    <w:p>
      <w:pPr>
        <w:pStyle w:val="小标题 A"/>
      </w:pPr>
      <w:bookmarkStart w:name="_Toc15" w:id="15"/>
      <w:r>
        <w:rPr>
          <w:rtl w:val="0"/>
        </w:rPr>
        <w:t>2.4.3. Expected changes</w:t>
      </w:r>
      <w:bookmarkEnd w:id="15"/>
    </w:p>
    <w:p>
      <w:pPr>
        <w:pStyle w:val="Normal.0"/>
      </w:pPr>
      <w:r>
        <w:rPr>
          <w:rtl w:val="0"/>
        </w:rPr>
        <w:t>Change marketing strategies, give full play to the company's import advantages in foreign trade, increase visibility, accelerate the expansion and depth in other regions, enter the Guangzhou market of China's fashion capital, take Guangzhou's business network as the main breakthrough, and reduce the difficulty of Hiut promotion. Save market costs, keep up with the pace of the online market, gain insight into the various approaches taken by peers in online marketing, combine with the online market, combine the network with the market, and change the strategy in a way that does not meet market demand. For example, you can increase the number of outreach exhibitions, hold clothing conferences and other methods to sell products; or cooperate with competitors to develop together; advertising updates.</w:t>
      </w:r>
    </w:p>
    <w:p>
      <w:pPr>
        <w:pStyle w:val="Normal.0"/>
      </w:pPr>
    </w:p>
    <w:p>
      <w:pPr>
        <w:pStyle w:val="大标题 A"/>
      </w:pPr>
    </w:p>
    <w:p>
      <w:pPr>
        <w:pStyle w:val="大标题"/>
      </w:pPr>
      <w:r>
        <w:rPr>
          <w:rtl w:val="0"/>
        </w:rPr>
        <w:t>3.0 marketing strategy</w:t>
      </w:r>
    </w:p>
    <w:p>
      <w:pPr>
        <w:pStyle w:val="Subtitle"/>
      </w:pPr>
      <w:r>
        <w:rPr>
          <w:rFonts w:cs="Arial Unicode MS" w:eastAsia="Arial Unicode MS"/>
          <w:rtl w:val="0"/>
        </w:rPr>
        <w:t>3.1Marketing target / expected return</w:t>
      </w:r>
    </w:p>
    <w:p>
      <w:pPr>
        <w:pStyle w:val="Normal.0"/>
      </w:pPr>
      <w:r>
        <w:rPr>
          <w:rtl w:val="0"/>
        </w:rPr>
        <w:t>According to the company's situation and the characteristics of the product market, the direct marketing product marketing model and the direct sales model are combined.</w:t>
      </w:r>
    </w:p>
    <w:p>
      <w:pPr>
        <w:pStyle w:val="Normal.0"/>
      </w:pPr>
      <w:r>
        <w:rPr>
          <w:rtl w:val="0"/>
        </w:rPr>
        <w:t>Target young men and women between the ages of 16 and 35, with special emphasis on the needs of white-collar consumers. Millennials are gradually becoming the mainstream of the luxury market</w:t>
      </w:r>
    </w:p>
    <w:p>
      <w:pPr>
        <w:pStyle w:val="Normal.0"/>
      </w:pPr>
      <w:r>
        <w:rPr>
          <w:rtl w:val="0"/>
        </w:rPr>
        <w:t>The luxury goods industry has entered the era of youthfulness. Bain predicts that as of 2017, a generation born around 1981-2000 will occupy 85% of the luxury market and become the mainstream. Dialogue with young people, choosing young idols with their own topics and traffic, becoming brand ambassadors and brand spokespersons has become an open market strategy for the luxury industry. This is one of the reasons why Lightning, the virtual character of Final Fantasy, can endorse LV, and luxury goods need to adjust their user age structure.</w:t>
      </w:r>
    </w:p>
    <w:p>
      <w:pPr>
        <w:pStyle w:val="Normal.0"/>
      </w:pPr>
    </w:p>
    <w:p>
      <w:pPr>
        <w:pStyle w:val="小标题 A"/>
      </w:pPr>
      <w:bookmarkStart w:name="_Toc16" w:id="16"/>
      <w:r>
        <w:rPr>
          <w:rtl w:val="0"/>
        </w:rPr>
        <w:t>3.2Social media and e-commerce have become a must.</w:t>
      </w:r>
      <w:bookmarkEnd w:id="16"/>
    </w:p>
    <w:p>
      <w:pPr>
        <w:pStyle w:val="Normal.0"/>
      </w:pPr>
      <w:r>
        <w:rPr>
          <w:rtl w:val="0"/>
        </w:rPr>
        <w:t>How to use social media can not seem too low, becoming a compulsory course for luxury goods to maintain brand tonality. In expanding overseas sales and developing business, Hieatt said that advertising is too costly for small and medium-sized manufacturers. If you have budgets to run Facebook, Instagram, Twitter and SnapChat, then telling brand stories through social media is a good choice.</w:t>
      </w:r>
    </w:p>
    <w:p>
      <w:pPr>
        <w:pStyle w:val="Normal.0"/>
      </w:pPr>
      <w:r>
        <w:rPr>
          <w:rtl w:val="0"/>
        </w:rPr>
        <w:t xml:space="preserve">And Hieatt is very good at connecting celebrities through fashion websites and social media, sending jeans to them for free, and getting feedback from fashion bloggers </w:t>
      </w:r>
      <w:r>
        <w:rPr>
          <w:rtl w:val="0"/>
        </w:rPr>
        <w:t xml:space="preserve">– </w:t>
      </w:r>
      <w:r>
        <w:rPr>
          <w:rtl w:val="0"/>
        </w:rPr>
        <w:t>posting beautiful photos of jeans on Facebook.</w:t>
      </w:r>
    </w:p>
    <w:p>
      <w:pPr>
        <w:pStyle w:val="Normal.0"/>
      </w:pPr>
      <w:r>
        <w:rPr>
          <w:rtl w:val="0"/>
        </w:rPr>
        <w:t>The report also forecasts the future market. Due to the rise of China's middle class, the increasingly mature market in China is formed, and the age of consumers and China's post-80s Internet new age are very high. It is expected that the Chinese market will be a compound year before 2020. The average growth rate will reach 4%-5%.</w:t>
      </w:r>
    </w:p>
    <w:p>
      <w:pPr>
        <w:pStyle w:val="Normal.0"/>
      </w:pPr>
      <w:r>
        <w:rPr>
          <w:rtl w:val="0"/>
        </w:rPr>
        <w:t xml:space="preserve">According to Bein Consulting Partner, one of the co-authors of the report, Federica Levato, this year's growth in the luxury goods market is more </w:t>
      </w:r>
      <w:r>
        <w:rPr>
          <w:rtl w:val="0"/>
        </w:rPr>
        <w:t>“</w:t>
      </w:r>
      <w:r>
        <w:rPr>
          <w:rtl w:val="0"/>
        </w:rPr>
        <w:t>healthy</w:t>
      </w:r>
      <w:r>
        <w:rPr>
          <w:rtl w:val="0"/>
        </w:rPr>
        <w:t>”</w:t>
      </w:r>
      <w:r>
        <w:rPr>
          <w:rtl w:val="0"/>
        </w:rPr>
        <w:t>, with growth mainly due to increased sales, rather than higher commodity prices. At the same time, the proportion and growth rate of local consumption and tourist consumption in various markets are more balanced.</w:t>
      </w:r>
    </w:p>
    <w:p>
      <w:pPr>
        <w:pStyle w:val="Normal.0"/>
      </w:pPr>
    </w:p>
    <w:p>
      <w:pPr>
        <w:pStyle w:val="大标题"/>
      </w:pPr>
      <w:r>
        <w:rPr>
          <w:rtl w:val="0"/>
        </w:rPr>
        <w:t>4.0 marketing mix description</w:t>
      </w:r>
    </w:p>
    <w:p>
      <w:pPr>
        <w:pStyle w:val="Normal.0"/>
      </w:pPr>
    </w:p>
    <w:p>
      <w:pPr>
        <w:pStyle w:val="小标题 A"/>
      </w:pPr>
      <w:bookmarkStart w:name="_Toc17" w:id="17"/>
      <w:r>
        <w:rPr>
          <w:rtl w:val="0"/>
        </w:rPr>
        <w:t>4.1 Product / Service and Positioning</w:t>
      </w:r>
      <w:bookmarkEnd w:id="17"/>
    </w:p>
    <w:p>
      <w:pPr>
        <w:pStyle w:val="Normal.0"/>
      </w:pPr>
    </w:p>
    <w:p>
      <w:pPr>
        <w:pStyle w:val="Normal.0"/>
      </w:pPr>
      <w:r>
        <w:rPr>
          <w:rtl w:val="0"/>
        </w:rPr>
        <w:t>     </w:t>
      </w:r>
      <w:r>
        <w:rPr>
          <w:rtl w:val="0"/>
        </w:rPr>
        <w:t>The models of jeans include: straight type, thin and narrow type, small bell-bottom type, facing the Guangzhou market, for young customers, reflecting the purpose of young stores, from color to style, we need to carefully select and arrange, for high-end customers, the pursuit of high quality And the brand story, accept the brand customization of high-end people. Hiut brand group positioning, we are set between 20-50 years old, the core group is 25-40 years old, with good cultural quality college students and white-collar workers. Emphasizing the extraordinary personality of the self, advocating the life of truth, goodness and beauty, optimism and self-confidence, independence and distinctness.</w:t>
      </w:r>
    </w:p>
    <w:p>
      <w:pPr>
        <w:pStyle w:val="Normal.0"/>
      </w:pPr>
    </w:p>
    <w:p>
      <w:pPr>
        <w:pStyle w:val="Normal.0"/>
      </w:pPr>
    </w:p>
    <w:p>
      <w:pPr>
        <w:pStyle w:val="小标题 A"/>
      </w:pPr>
      <w:bookmarkStart w:name="_Toc18" w:id="18"/>
      <w:r>
        <w:rPr>
          <w:rtl w:val="0"/>
        </w:rPr>
        <w:t>4.2. Distribution</w:t>
      </w:r>
      <w:bookmarkEnd w:id="18"/>
    </w:p>
    <w:p>
      <w:pPr>
        <w:pStyle w:val="Normal.0"/>
      </w:pPr>
      <w:r>
        <w:rPr>
          <w:rtl w:val="0"/>
        </w:rPr>
        <w:t>The network part chooses to cooperate with several major e-commerce companies in China, such as Taobao, Jingdong, Vipshop, etc., to open online franchise stores. Large e-commerce companies have a large number of common customers</w:t>
      </w:r>
    </w:p>
    <w:p>
      <w:pPr>
        <w:pStyle w:val="Normal.0"/>
      </w:pPr>
      <w:r>
        <w:rPr>
          <w:rtl w:val="0"/>
        </w:rPr>
        <w:t>In order to achieve a deep distribution strategy and improve distribution efficiency, we can continue to adopt a wholesale and retail strategy. Although the profit is small, the return rate is fast, which is conducive to capital turnover. For large-scale stores and commercial streets, companies can use the sales method of establishing counters or specialty stores. Although the repayment period is longer, these stores have superior geographical location, large passenger flow, good product sales, and are conducive to promoting products. It is a good stage for product sales and display.</w:t>
      </w:r>
    </w:p>
    <w:p>
      <w:pPr>
        <w:pStyle w:val="Normal.0"/>
      </w:pPr>
    </w:p>
    <w:p>
      <w:pPr>
        <w:pStyle w:val="小标题 A"/>
        <w:rPr>
          <w:lang w:val="de-DE"/>
        </w:rPr>
      </w:pPr>
      <w:bookmarkStart w:name="_Toc19" w:id="19"/>
      <w:r>
        <w:rPr>
          <w:rtl w:val="0"/>
          <w:lang w:val="de-DE"/>
        </w:rPr>
        <w:t>4.3 Pricing</w:t>
      </w:r>
      <w:bookmarkEnd w:id="19"/>
    </w:p>
    <w:p>
      <w:pPr>
        <w:pStyle w:val="Normal.0"/>
      </w:pPr>
      <w:r>
        <w:rPr>
          <w:rtl w:val="0"/>
        </w:rPr>
        <w:t>In order to seize most of the market in Guangzhou and abroad, it is crucial to position the price. The price level directly determines the percentage of the occupation market. Based on several characteristics of the company in terms of cost. Compared with traditional luxury brands, it is inferior in pricing. Because the brand awareness in China is low, the pricing cannot be higher than the internationally renowned big names. The recommended price is between the local brand and the internationally renowned big name.</w:t>
      </w:r>
    </w:p>
    <w:p>
      <w:pPr>
        <w:pStyle w:val="Normal.0"/>
      </w:pPr>
    </w:p>
    <w:p>
      <w:pPr>
        <w:pStyle w:val="小标题 A"/>
      </w:pPr>
      <w:bookmarkStart w:name="_Toc20" w:id="20"/>
      <w:r>
        <w:rPr>
          <w:rtl w:val="0"/>
        </w:rPr>
        <w:t>4.4 Increase advertising investment</w:t>
      </w:r>
      <w:bookmarkEnd w:id="20"/>
    </w:p>
    <w:p>
      <w:pPr>
        <w:pStyle w:val="Normal.0"/>
      </w:pPr>
      <w:r>
        <w:rPr>
          <w:rtl w:val="0"/>
        </w:rPr>
        <w:t>The company is still in the primary development stage, and there is not enough financial resources to release advertisements on CCTV and other TV stations with high ratings. Therefore, when advertising, you must do your best and choose some that are good. Influential, low-cost advertising media. For example, in clothing magazines and women's magazines, color-page advertisements suitable for the length of the page are used to attract the attention of the main consumers and a female friend; the graffiti posters are made on the outer surface of the delivery car. When the delivery car is going around every day, the company's advertising has been widely spread at low cost.</w:t>
      </w:r>
    </w:p>
    <w:p>
      <w:pPr>
        <w:pStyle w:val="Normal.0"/>
      </w:pPr>
    </w:p>
    <w:p>
      <w:pPr>
        <w:pStyle w:val="小标题 A"/>
      </w:pPr>
      <w:bookmarkStart w:name="_Toc21" w:id="21"/>
      <w:r>
        <w:rPr>
          <w:rtl w:val="0"/>
        </w:rPr>
        <w:t>4.5 Do a good job in public relations</w:t>
      </w:r>
      <w:bookmarkEnd w:id="21"/>
    </w:p>
    <w:p>
      <w:pPr>
        <w:pStyle w:val="Normal.0"/>
      </w:pPr>
      <w:r>
        <w:rPr>
          <w:rtl w:val="0"/>
        </w:rPr>
        <w:t>Companies can make practical or financial contributions through charitable causes, especially those related to environmental protection. They can also donate products to orphanages and welfare homes throughout the year, participate in clothing exhibitions of all sizes, and sponsor large-scale charity events. Through the above operations, we cooperate with the media to promote the company's overall image and product brand. Thus, it can play a role in expanding the company's visibility.</w:t>
      </w:r>
    </w:p>
    <w:p>
      <w:pPr>
        <w:pStyle w:val="Normal.0"/>
      </w:pPr>
    </w:p>
    <w:p>
      <w:pPr>
        <w:pStyle w:val="小标题 A"/>
      </w:pPr>
      <w:bookmarkStart w:name="_Toc22" w:id="22"/>
      <w:r>
        <w:rPr>
          <w:rtl w:val="0"/>
        </w:rPr>
        <w:t>4.6 Internet marketing</w:t>
      </w:r>
      <w:bookmarkEnd w:id="22"/>
    </w:p>
    <w:p>
      <w:pPr>
        <w:pStyle w:val="Normal.0"/>
      </w:pPr>
      <w:r>
        <w:rPr>
          <w:rtl w:val="0"/>
        </w:rPr>
        <w:t xml:space="preserve">Internet marketing is currently the most popular marketing tool in China, so it is analyzed as a separate module. The specific scheme is an integrated network marketing program, and this marketing method is more effective for the promotion of young people. The specific measures are hard to launch the portal network, and the popular live broadcast platform is deployed on a large scale. In a younger way, this is "viral marketing." From the name we can see that this kind of advertising effect can achieve precise marketing. We can give more accurate advertisements according to different target audiences. For example, the target audience is white-collar workers. Their appeals: escape the bondage of professional wear, let life live freely and breathe freely. Advertisements can be placed on home, shopping, and travel websites; for example, the target audience is students, and their appeals: </w:t>
      </w:r>
      <w:r>
        <w:rPr>
          <w:rtl w:val="0"/>
        </w:rPr>
        <w:t>“</w:t>
      </w:r>
      <w:r>
        <w:rPr>
          <w:rtl w:val="0"/>
        </w:rPr>
        <w:t>No</w:t>
      </w:r>
      <w:r>
        <w:rPr>
          <w:rtl w:val="0"/>
        </w:rPr>
        <w:t xml:space="preserve">” </w:t>
      </w:r>
      <w:r>
        <w:rPr>
          <w:rtl w:val="0"/>
        </w:rPr>
        <w:t>to stress, let youth step into fashion. We can advertise on sports and gaming sites.</w:t>
      </w:r>
    </w:p>
    <w:p>
      <w:pPr>
        <w:pStyle w:val="Normal.0"/>
      </w:pPr>
      <w:r>
        <w:rPr>
          <w:rtl w:val="0"/>
        </w:rPr>
        <w:t>This kind of delivery method can detonate the network in a short time, let the brand penetrate the hearts of the people and quickly form the image of the high-end brand in the network.</w:t>
      </w:r>
    </w:p>
    <w:p>
      <w:pPr>
        <w:pStyle w:val="Normal.0"/>
      </w:pPr>
    </w:p>
    <w:p>
      <w:pPr>
        <w:pStyle w:val="大标题"/>
      </w:pPr>
      <w:r>
        <w:rPr>
          <w:rtl w:val="0"/>
        </w:rPr>
        <w:t>5.0 Marketing Control</w:t>
      </w:r>
    </w:p>
    <w:p>
      <w:pPr>
        <w:pStyle w:val="Normal.0"/>
      </w:pPr>
      <w:r>
        <w:rPr>
          <w:rtl w:val="0"/>
        </w:rPr>
        <w:t>Marketing control includes annual plan control, profit control, efficiency control, strategic control</w:t>
      </w:r>
    </w:p>
    <w:p>
      <w:pPr>
        <w:pStyle w:val="Normal.0"/>
      </w:pPr>
    </w:p>
    <w:p>
      <w:pPr>
        <w:pStyle w:val="小标题 A"/>
      </w:pPr>
      <w:bookmarkStart w:name="_Toc23" w:id="23"/>
      <w:r>
        <w:rPr>
          <w:rtl w:val="0"/>
        </w:rPr>
        <w:t>5.1 annual plan control</w:t>
      </w:r>
      <w:bookmarkEnd w:id="23"/>
    </w:p>
    <w:p>
      <w:pPr>
        <w:pStyle w:val="Normal.0"/>
      </w:pPr>
      <w:r>
        <w:rPr>
          <w:rtl w:val="0"/>
        </w:rPr>
        <w:t>Mainly check the marketing activities, whether the results meet the requirements of the annual plan, and take adjustments and corrective actions when necessary.</w:t>
      </w:r>
    </w:p>
    <w:p>
      <w:pPr>
        <w:pStyle w:val="Normal.0"/>
      </w:pPr>
      <w:r>
        <w:rPr>
          <w:rtl w:val="0"/>
        </w:rPr>
        <w:t>The specific measures are to determine the monthly target or quarterly target in the annual plan; to supervise the implementation of the plan;</w:t>
      </w:r>
    </w:p>
    <w:p>
      <w:pPr>
        <w:pStyle w:val="Normal.0"/>
      </w:pPr>
      <w:r>
        <w:rPr>
          <w:rtl w:val="0"/>
        </w:rPr>
        <w:t>Find out the deviations in the implementation process and their causes; take measures to reduce the deviation.</w:t>
      </w:r>
    </w:p>
    <w:p>
      <w:pPr>
        <w:pStyle w:val="Subtitle"/>
      </w:pPr>
    </w:p>
    <w:p>
      <w:pPr>
        <w:pStyle w:val="小标题 A"/>
        <w:rPr>
          <w:lang w:val="de-DE"/>
        </w:rPr>
      </w:pPr>
      <w:bookmarkStart w:name="_Toc24" w:id="24"/>
      <w:r>
        <w:rPr>
          <w:rtl w:val="0"/>
          <w:lang w:val="de-DE"/>
        </w:rPr>
        <w:t>5.2 Profit Control</w:t>
      </w:r>
      <w:bookmarkEnd w:id="24"/>
    </w:p>
    <w:p>
      <w:pPr>
        <w:pStyle w:val="Normal.0"/>
      </w:pPr>
      <w:r>
        <w:rPr>
          <w:rtl w:val="0"/>
        </w:rPr>
        <w:t>Earnings control is to confirm the actual profitability of each product, region, final customer base and distribution channels.</w:t>
      </w:r>
    </w:p>
    <w:p>
      <w:pPr>
        <w:pStyle w:val="Normal.0"/>
      </w:pPr>
    </w:p>
    <w:p>
      <w:pPr>
        <w:pStyle w:val="小标题 A"/>
      </w:pPr>
      <w:bookmarkStart w:name="_Toc25" w:id="25"/>
      <w:r>
        <w:rPr>
          <w:rtl w:val="0"/>
        </w:rPr>
        <w:t>5.3 efficiency control</w:t>
      </w:r>
      <w:bookmarkEnd w:id="25"/>
    </w:p>
    <w:p>
      <w:pPr>
        <w:pStyle w:val="Normal.0"/>
      </w:pPr>
      <w:r>
        <w:rPr>
          <w:rtl w:val="0"/>
        </w:rPr>
        <w:t>The task of efficiency control is to improve the efficiency of personnel sales, advertising, promotion, distribution and other work.</w:t>
      </w:r>
    </w:p>
    <w:p>
      <w:pPr>
        <w:pStyle w:val="Normal.0"/>
      </w:pPr>
    </w:p>
    <w:p>
      <w:pPr>
        <w:pStyle w:val="小标题 A"/>
        <w:rPr>
          <w:lang w:val="it-IT"/>
        </w:rPr>
      </w:pPr>
      <w:bookmarkStart w:name="_Toc26" w:id="26"/>
      <w:r>
        <w:rPr>
          <w:rtl w:val="0"/>
          <w:lang w:val="it-IT"/>
        </w:rPr>
        <w:t>5.4 Strategic Control</w:t>
      </w:r>
      <w:bookmarkEnd w:id="26"/>
    </w:p>
    <w:p>
      <w:pPr>
        <w:pStyle w:val="Normal.0"/>
      </w:pPr>
      <w:r>
        <w:rPr>
          <w:rtl w:val="0"/>
        </w:rPr>
        <w:t>Strategic control is to audit the company's strategy, whether the plan effectively captures market opportunities and whether it is compatible with the marketing environment.</w:t>
      </w:r>
    </w:p>
    <w:p>
      <w:pPr>
        <w:pStyle w:val="Normal.0"/>
      </w:pPr>
    </w:p>
    <w:p>
      <w:pPr>
        <w:pStyle w:val="小标题"/>
      </w:pPr>
      <w:bookmarkStart w:name="_Toc27" w:id="27"/>
      <w:r>
        <w:rPr>
          <w:rtl w:val="0"/>
          <w:lang w:val="en-US"/>
        </w:rPr>
        <w:t xml:space="preserve">6.0 Reference </w:t>
      </w:r>
      <w:bookmarkEnd w:id="27"/>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pPr>
      <w:r>
        <w:rPr>
          <w:rtl w:val="0"/>
          <w:lang w:val="en-US"/>
        </w:rPr>
        <w:t>Alexandratos, N., &amp; Bruinsma, J. (2012). World agriculture towards 2030/2050: the 2012 revision (Vol. 12, No. 3). FAO, Rome: ESA Working paper.</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920"/>
        </w:tabs>
        <w:rPr>
          <w:rFonts w:ascii="Arial" w:cs="Arial" w:hAnsi="Arial" w:eastAsia="Arial"/>
          <w:color w:val="212121"/>
          <w:sz w:val="26"/>
          <w:szCs w:val="26"/>
          <w:shd w:val="clear" w:color="auto" w:fill="ffffff"/>
        </w:rPr>
      </w:pPr>
      <w:r>
        <w:rPr>
          <w:rFonts w:ascii="Arial" w:hAnsi="Arial"/>
          <w:color w:val="212121"/>
          <w:sz w:val="26"/>
          <w:szCs w:val="26"/>
          <w:shd w:val="clear" w:color="auto" w:fill="ffffff"/>
          <w:rtl w:val="0"/>
          <w:lang w:val="en-US"/>
        </w:rPr>
        <w:t xml:space="preserve">Ansoff, H. I., Kipley, D., Lewis, A. O., Helm-Stevens, R., &amp; Ansoff, R. (2018). </w:t>
      </w:r>
      <w:r>
        <w:rPr>
          <w:rFonts w:ascii="Arial" w:hAnsi="Arial"/>
          <w:i w:val="1"/>
          <w:iCs w:val="1"/>
          <w:color w:val="212121"/>
          <w:sz w:val="26"/>
          <w:szCs w:val="26"/>
          <w:shd w:val="clear" w:color="auto" w:fill="ffffff"/>
          <w:rtl w:val="0"/>
          <w:lang w:val="en-US"/>
        </w:rPr>
        <w:t>Implanting strategic management</w:t>
      </w:r>
      <w:r>
        <w:rPr>
          <w:rFonts w:ascii="Arial" w:hAnsi="Arial"/>
          <w:color w:val="212121"/>
          <w:sz w:val="26"/>
          <w:szCs w:val="26"/>
          <w:shd w:val="clear" w:color="auto" w:fill="ffffff"/>
          <w:rtl w:val="0"/>
          <w:lang w:val="en-US"/>
        </w:rPr>
        <w:t>. Springer.</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920"/>
        </w:tabs>
        <w:rPr>
          <w:rFonts w:ascii="Arial" w:cs="Arial" w:hAnsi="Arial" w:eastAsia="Arial"/>
          <w:color w:val="212121"/>
          <w:sz w:val="26"/>
          <w:szCs w:val="26"/>
          <w:shd w:val="clear" w:color="auto" w:fill="ffffff"/>
        </w:rPr>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pPr>
      <w:r>
        <w:rPr>
          <w:rtl w:val="0"/>
          <w:lang w:val="en-US"/>
        </w:rPr>
        <w:t>Baker, K. (2016). America the Ingenious: How a Nation of Dreamers, Immigrants, and Tinkerers Changed the World. Artisan Books.</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pPr>
      <w:r>
        <w:rPr>
          <w:rtl w:val="0"/>
          <w:lang w:val="en-US"/>
        </w:rPr>
        <w:t>Chaudhuri, S., &amp; Ravallion, M. (2006). Partially awakened giants: uneven growth in China and India. The World Bank.</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pPr>
      <w:r>
        <w:rPr>
          <w:rtl w:val="0"/>
          <w:lang w:val="en-US"/>
        </w:rPr>
        <w:t>Chevalier, M., &amp; Lu, P. X. (2009). Luxury China: Market opportunities and potential. John Wiley &amp; Sons.</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cs="Arial" w:hAnsi="Arial" w:eastAsia="Arial"/>
          <w:color w:val="212121"/>
          <w:sz w:val="26"/>
          <w:szCs w:val="26"/>
          <w:u w:color="212121"/>
          <w:shd w:val="clear" w:color="auto" w:fill="ffffff"/>
        </w:rPr>
      </w:pPr>
      <w:r>
        <w:rPr>
          <w:rFonts w:ascii="Arial" w:hAnsi="Arial"/>
          <w:color w:val="212121"/>
          <w:sz w:val="26"/>
          <w:szCs w:val="26"/>
          <w:u w:color="212121"/>
          <w:shd w:val="clear" w:color="auto" w:fill="ffffff"/>
          <w:rtl w:val="0"/>
          <w:lang w:val="en-US"/>
        </w:rPr>
        <w:t xml:space="preserve">Dlusy-Apel, D. (2001). </w:t>
      </w:r>
      <w:r>
        <w:rPr>
          <w:rFonts w:ascii="Arial" w:hAnsi="Arial"/>
          <w:i w:val="1"/>
          <w:iCs w:val="1"/>
          <w:color w:val="212121"/>
          <w:sz w:val="26"/>
          <w:szCs w:val="26"/>
          <w:u w:color="212121"/>
          <w:shd w:val="clear" w:color="auto" w:fill="ffffff"/>
          <w:rtl w:val="0"/>
          <w:lang w:val="en-US"/>
        </w:rPr>
        <w:t>A personal portrayal of breast cancer: how art can educate</w:t>
      </w:r>
      <w:r>
        <w:rPr>
          <w:rFonts w:ascii="Arial" w:hAnsi="Arial"/>
          <w:color w:val="212121"/>
          <w:sz w:val="26"/>
          <w:szCs w:val="26"/>
          <w:u w:color="212121"/>
          <w:shd w:val="clear" w:color="auto" w:fill="ffffff"/>
          <w:rtl w:val="0"/>
          <w:lang w:val="en-US"/>
        </w:rPr>
        <w:t xml:space="preserve"> (Doctoral dissertation, Concordia University).</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920"/>
        </w:tabs>
        <w:rPr>
          <w:rFonts w:ascii="Arial" w:cs="Arial" w:hAnsi="Arial" w:eastAsia="Arial"/>
          <w:i w:val="1"/>
          <w:iCs w:val="1"/>
          <w:color w:val="212121"/>
          <w:sz w:val="26"/>
          <w:szCs w:val="26"/>
          <w:u w:color="212121"/>
          <w:shd w:val="clear" w:color="auto" w:fill="ffffff"/>
        </w:rPr>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920"/>
        </w:tabs>
        <w:rPr>
          <w:rFonts w:ascii="Arial" w:cs="Arial" w:hAnsi="Arial" w:eastAsia="Arial"/>
          <w:i w:val="0"/>
          <w:iCs w:val="0"/>
          <w:color w:val="212121"/>
          <w:sz w:val="26"/>
          <w:szCs w:val="26"/>
          <w:shd w:val="clear" w:color="auto" w:fill="ffffff"/>
        </w:rPr>
      </w:pPr>
      <w:r>
        <w:rPr>
          <w:rFonts w:ascii="Arial" w:hAnsi="Arial"/>
          <w:i w:val="0"/>
          <w:iCs w:val="0"/>
          <w:color w:val="212121"/>
          <w:sz w:val="26"/>
          <w:szCs w:val="26"/>
          <w:shd w:val="clear" w:color="auto" w:fill="ffffff"/>
          <w:rtl w:val="0"/>
          <w:lang w:val="en-US"/>
        </w:rPr>
        <w:t xml:space="preserve">Dochuk, D. (2010). </w:t>
      </w:r>
      <w:r>
        <w:rPr>
          <w:rFonts w:ascii="Arial" w:hAnsi="Arial"/>
          <w:i w:val="1"/>
          <w:iCs w:val="1"/>
          <w:color w:val="212121"/>
          <w:sz w:val="26"/>
          <w:szCs w:val="26"/>
          <w:shd w:val="clear" w:color="auto" w:fill="ffffff"/>
          <w:rtl w:val="0"/>
          <w:lang w:val="en-US"/>
        </w:rPr>
        <w:t>From Bible belt to sunbelt: Plain-folk religion, grassroots politics, and the rise of evangelical conservatism</w:t>
      </w:r>
      <w:r>
        <w:rPr>
          <w:rFonts w:ascii="Arial" w:hAnsi="Arial"/>
          <w:i w:val="0"/>
          <w:iCs w:val="0"/>
          <w:color w:val="212121"/>
          <w:sz w:val="26"/>
          <w:szCs w:val="26"/>
          <w:shd w:val="clear" w:color="auto" w:fill="ffffff"/>
          <w:rtl w:val="0"/>
          <w:lang w:val="en-US"/>
        </w:rPr>
        <w:t>. WW Norton &amp; Company.</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920"/>
        </w:tabs>
        <w:rPr>
          <w:rFonts w:ascii="Arial" w:cs="Arial" w:hAnsi="Arial" w:eastAsia="Arial"/>
          <w:i w:val="0"/>
          <w:iCs w:val="0"/>
          <w:color w:val="212121"/>
          <w:sz w:val="26"/>
          <w:szCs w:val="26"/>
          <w:shd w:val="clear" w:color="auto" w:fill="ffffff"/>
        </w:rPr>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920"/>
        </w:tabs>
        <w:rPr>
          <w:rFonts w:ascii="Arial" w:cs="Arial" w:hAnsi="Arial" w:eastAsia="Arial"/>
          <w:color w:val="212121"/>
          <w:sz w:val="26"/>
          <w:szCs w:val="26"/>
          <w:shd w:val="clear" w:color="auto" w:fill="ffffff"/>
        </w:rPr>
      </w:pPr>
      <w:r>
        <w:rPr>
          <w:rFonts w:ascii="Arial" w:hAnsi="Arial"/>
          <w:color w:val="212121"/>
          <w:sz w:val="26"/>
          <w:szCs w:val="26"/>
          <w:shd w:val="clear" w:color="auto" w:fill="ffffff"/>
          <w:rtl w:val="0"/>
          <w:lang w:val="en-US"/>
        </w:rPr>
        <w:t xml:space="preserve">Emmanuel, C., Otley, D., &amp; Merchant, K. (1990). Accounting for management control. In </w:t>
      </w:r>
      <w:r>
        <w:rPr>
          <w:rFonts w:ascii="Arial" w:hAnsi="Arial"/>
          <w:i w:val="1"/>
          <w:iCs w:val="1"/>
          <w:color w:val="212121"/>
          <w:sz w:val="26"/>
          <w:szCs w:val="26"/>
          <w:shd w:val="clear" w:color="auto" w:fill="ffffff"/>
          <w:rtl w:val="0"/>
          <w:lang w:val="en-US"/>
        </w:rPr>
        <w:t>Accounting for Management Control</w:t>
      </w:r>
      <w:r>
        <w:rPr>
          <w:rFonts w:ascii="Arial" w:hAnsi="Arial"/>
          <w:color w:val="212121"/>
          <w:sz w:val="26"/>
          <w:szCs w:val="26"/>
          <w:shd w:val="clear" w:color="auto" w:fill="ffffff"/>
          <w:rtl w:val="0"/>
          <w:lang w:val="en-US"/>
        </w:rPr>
        <w:t xml:space="preserve"> (pp. 357-384). Springer, Boston, MA.</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920"/>
        </w:tabs>
        <w:rPr>
          <w:rFonts w:ascii="Arial" w:cs="Arial" w:hAnsi="Arial" w:eastAsia="Arial"/>
          <w:color w:val="212121"/>
          <w:sz w:val="26"/>
          <w:szCs w:val="26"/>
          <w:u w:color="212121"/>
          <w:shd w:val="clear" w:color="auto" w:fill="ffffff"/>
        </w:rPr>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920"/>
        </w:tabs>
        <w:rPr>
          <w:rFonts w:ascii="Arial" w:cs="Arial" w:hAnsi="Arial" w:eastAsia="Arial"/>
          <w:color w:val="212121"/>
          <w:sz w:val="26"/>
          <w:szCs w:val="26"/>
          <w:shd w:val="clear" w:color="auto" w:fill="ffffff"/>
        </w:rPr>
      </w:pPr>
      <w:r>
        <w:rPr>
          <w:rFonts w:ascii="Arial" w:hAnsi="Arial"/>
          <w:color w:val="212121"/>
          <w:sz w:val="26"/>
          <w:szCs w:val="26"/>
          <w:shd w:val="clear" w:color="auto" w:fill="ffffff"/>
          <w:rtl w:val="0"/>
          <w:lang w:val="en-US"/>
        </w:rPr>
        <w:t xml:space="preserve">Forecasting, O. E. (2005). The impact of the express delivery industry on the global economy. </w:t>
      </w:r>
      <w:r>
        <w:rPr>
          <w:rFonts w:ascii="Arial" w:hAnsi="Arial"/>
          <w:i w:val="1"/>
          <w:iCs w:val="1"/>
          <w:color w:val="212121"/>
          <w:sz w:val="26"/>
          <w:szCs w:val="26"/>
          <w:shd w:val="clear" w:color="auto" w:fill="ffffff"/>
          <w:rtl w:val="0"/>
          <w:lang w:val="en-US"/>
        </w:rPr>
        <w:t>Unpublished report</w:t>
      </w:r>
      <w:r>
        <w:rPr>
          <w:rFonts w:ascii="Arial" w:hAnsi="Arial"/>
          <w:color w:val="212121"/>
          <w:sz w:val="26"/>
          <w:szCs w:val="26"/>
          <w:shd w:val="clear" w:color="auto" w:fill="ffffff"/>
          <w:rtl w:val="0"/>
          <w:lang w:val="en-US"/>
        </w:rPr>
        <w:t>, 1-43.</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920"/>
        </w:tabs>
        <w:rPr>
          <w:rFonts w:ascii="Arial" w:cs="Arial" w:hAnsi="Arial" w:eastAsia="Arial"/>
          <w:color w:val="212121"/>
          <w:sz w:val="26"/>
          <w:szCs w:val="26"/>
          <w:u w:color="212121"/>
          <w:shd w:val="clear" w:color="auto" w:fill="ffffff"/>
        </w:rPr>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pPr>
      <w:r>
        <w:rPr>
          <w:rtl w:val="0"/>
          <w:lang w:val="en-US"/>
        </w:rPr>
        <w:t xml:space="preserve">Higuchi, S., Matsushita, S., Maesato, H., &amp; Osaki, Y. (2007). Japan: alcohol today. </w:t>
      </w:r>
      <w:r>
        <w:rPr>
          <w:i w:val="1"/>
          <w:iCs w:val="1"/>
          <w:rtl w:val="0"/>
          <w:lang w:val="en-US"/>
        </w:rPr>
        <w:t>Addiction</w:t>
      </w:r>
      <w:r>
        <w:rPr>
          <w:rtl w:val="0"/>
          <w:lang w:val="en-US"/>
        </w:rPr>
        <w:t xml:space="preserve">, </w:t>
      </w:r>
      <w:r>
        <w:rPr>
          <w:i w:val="1"/>
          <w:iCs w:val="1"/>
          <w:rtl w:val="0"/>
          <w:lang w:val="en-US"/>
        </w:rPr>
        <w:t>102</w:t>
      </w:r>
      <w:r>
        <w:rPr>
          <w:rtl w:val="0"/>
          <w:lang w:val="en-US"/>
        </w:rPr>
        <w:t>(12), 1849-1862.</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920"/>
        </w:tabs>
        <w:rPr>
          <w:rFonts w:ascii="Arial" w:cs="Arial" w:hAnsi="Arial" w:eastAsia="Arial"/>
          <w:i w:val="0"/>
          <w:iCs w:val="0"/>
          <w:color w:val="212121"/>
          <w:sz w:val="26"/>
          <w:szCs w:val="26"/>
          <w:shd w:val="clear" w:color="auto" w:fill="ffffff"/>
        </w:rPr>
      </w:pPr>
      <w:r>
        <w:rPr>
          <w:rFonts w:ascii="Arial" w:hAnsi="Arial"/>
          <w:i w:val="0"/>
          <w:iCs w:val="0"/>
          <w:color w:val="212121"/>
          <w:sz w:val="26"/>
          <w:szCs w:val="26"/>
          <w:shd w:val="clear" w:color="auto" w:fill="ffffff"/>
          <w:rtl w:val="0"/>
          <w:lang w:val="en-US"/>
        </w:rPr>
        <w:t xml:space="preserve">Hoque, Z. (2002). </w:t>
      </w:r>
      <w:r>
        <w:rPr>
          <w:rFonts w:ascii="Arial" w:hAnsi="Arial"/>
          <w:i w:val="1"/>
          <w:iCs w:val="1"/>
          <w:color w:val="212121"/>
          <w:sz w:val="26"/>
          <w:szCs w:val="26"/>
          <w:shd w:val="clear" w:color="auto" w:fill="ffffff"/>
          <w:rtl w:val="0"/>
          <w:lang w:val="en-US"/>
        </w:rPr>
        <w:t>Strategic management accounting</w:t>
      </w:r>
      <w:r>
        <w:rPr>
          <w:rFonts w:ascii="Arial" w:hAnsi="Arial"/>
          <w:i w:val="0"/>
          <w:iCs w:val="0"/>
          <w:color w:val="212121"/>
          <w:sz w:val="26"/>
          <w:szCs w:val="26"/>
          <w:shd w:val="clear" w:color="auto" w:fill="ffffff"/>
          <w:rtl w:val="0"/>
          <w:lang w:val="en-US"/>
        </w:rPr>
        <w:t>. Spiro press.</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920"/>
        </w:tabs>
        <w:rPr>
          <w:rFonts w:ascii="Arial" w:cs="Arial" w:hAnsi="Arial" w:eastAsia="Arial"/>
          <w:i w:val="1"/>
          <w:iCs w:val="1"/>
          <w:color w:val="212121"/>
          <w:sz w:val="26"/>
          <w:szCs w:val="26"/>
          <w:shd w:val="clear" w:color="auto" w:fill="ffffff"/>
        </w:rPr>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920"/>
        </w:tabs>
        <w:rPr>
          <w:rFonts w:ascii="Arial" w:cs="Arial" w:hAnsi="Arial" w:eastAsia="Arial"/>
          <w:color w:val="212121"/>
          <w:sz w:val="26"/>
          <w:szCs w:val="26"/>
          <w:shd w:val="clear" w:color="auto" w:fill="ffffff"/>
        </w:rPr>
      </w:pPr>
      <w:r>
        <w:rPr>
          <w:rFonts w:ascii="Arial" w:hAnsi="Arial"/>
          <w:color w:val="212121"/>
          <w:sz w:val="26"/>
          <w:szCs w:val="26"/>
          <w:shd w:val="clear" w:color="auto" w:fill="ffffff"/>
          <w:rtl w:val="0"/>
          <w:lang w:val="en-US"/>
        </w:rPr>
        <w:t xml:space="preserve">Jaworski, B. J. (1988). Toward a theory of marketing control: environmental context, control types, and consequences. </w:t>
      </w:r>
      <w:r>
        <w:rPr>
          <w:rFonts w:ascii="Arial" w:hAnsi="Arial"/>
          <w:i w:val="1"/>
          <w:iCs w:val="1"/>
          <w:color w:val="212121"/>
          <w:sz w:val="26"/>
          <w:szCs w:val="26"/>
          <w:shd w:val="clear" w:color="auto" w:fill="ffffff"/>
          <w:rtl w:val="0"/>
          <w:lang w:val="en-US"/>
        </w:rPr>
        <w:t>Journal of Marketing</w:t>
      </w:r>
      <w:r>
        <w:rPr>
          <w:rFonts w:ascii="Arial" w:hAnsi="Arial"/>
          <w:color w:val="212121"/>
          <w:sz w:val="26"/>
          <w:szCs w:val="26"/>
          <w:shd w:val="clear" w:color="auto" w:fill="ffffff"/>
          <w:rtl w:val="0"/>
          <w:lang w:val="en-US"/>
        </w:rPr>
        <w:t xml:space="preserve">, </w:t>
      </w:r>
      <w:r>
        <w:rPr>
          <w:rFonts w:ascii="Arial" w:hAnsi="Arial"/>
          <w:i w:val="1"/>
          <w:iCs w:val="1"/>
          <w:color w:val="212121"/>
          <w:sz w:val="26"/>
          <w:szCs w:val="26"/>
          <w:shd w:val="clear" w:color="auto" w:fill="ffffff"/>
          <w:rtl w:val="0"/>
          <w:lang w:val="en-US"/>
        </w:rPr>
        <w:t>52</w:t>
      </w:r>
      <w:r>
        <w:rPr>
          <w:rFonts w:ascii="Arial" w:hAnsi="Arial"/>
          <w:color w:val="212121"/>
          <w:sz w:val="26"/>
          <w:szCs w:val="26"/>
          <w:shd w:val="clear" w:color="auto" w:fill="ffffff"/>
          <w:rtl w:val="0"/>
          <w:lang w:val="en-US"/>
        </w:rPr>
        <w:t>(3), 23-39.</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920"/>
        </w:tabs>
        <w:rPr>
          <w:rFonts w:ascii="Arial" w:cs="Arial" w:hAnsi="Arial" w:eastAsia="Arial"/>
          <w:i w:val="1"/>
          <w:iCs w:val="1"/>
          <w:color w:val="212121"/>
          <w:sz w:val="26"/>
          <w:szCs w:val="26"/>
          <w:shd w:val="clear" w:color="auto" w:fill="ffffff"/>
        </w:rPr>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920"/>
        </w:tabs>
        <w:rPr>
          <w:rFonts w:ascii="Arial" w:cs="Arial" w:hAnsi="Arial" w:eastAsia="Arial"/>
          <w:i w:val="0"/>
          <w:iCs w:val="0"/>
          <w:color w:val="212121"/>
          <w:sz w:val="26"/>
          <w:szCs w:val="26"/>
          <w:shd w:val="clear" w:color="auto" w:fill="ffffff"/>
        </w:rPr>
      </w:pPr>
      <w:r>
        <w:rPr>
          <w:rFonts w:ascii="Arial" w:hAnsi="Arial"/>
          <w:i w:val="0"/>
          <w:iCs w:val="0"/>
          <w:color w:val="212121"/>
          <w:sz w:val="26"/>
          <w:szCs w:val="26"/>
          <w:shd w:val="clear" w:color="auto" w:fill="ffffff"/>
          <w:rtl w:val="0"/>
          <w:lang w:val="en-US"/>
        </w:rPr>
        <w:t xml:space="preserve">Kerzner, H., &amp; Kerzner, H. R. (2017). </w:t>
      </w:r>
      <w:r>
        <w:rPr>
          <w:rFonts w:ascii="Arial" w:hAnsi="Arial"/>
          <w:i w:val="1"/>
          <w:iCs w:val="1"/>
          <w:color w:val="212121"/>
          <w:sz w:val="26"/>
          <w:szCs w:val="26"/>
          <w:shd w:val="clear" w:color="auto" w:fill="ffffff"/>
          <w:rtl w:val="0"/>
          <w:lang w:val="en-US"/>
        </w:rPr>
        <w:t>Project management: a systems approach to planning, scheduling, and controlling</w:t>
      </w:r>
      <w:r>
        <w:rPr>
          <w:rFonts w:ascii="Arial" w:hAnsi="Arial"/>
          <w:i w:val="0"/>
          <w:iCs w:val="0"/>
          <w:color w:val="212121"/>
          <w:sz w:val="26"/>
          <w:szCs w:val="26"/>
          <w:shd w:val="clear" w:color="auto" w:fill="ffffff"/>
          <w:rtl w:val="0"/>
          <w:lang w:val="en-US"/>
        </w:rPr>
        <w:t>. John Wiley &amp; Sons.</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920"/>
        </w:tabs>
        <w:rPr>
          <w:rFonts w:ascii="Arial" w:cs="Arial" w:hAnsi="Arial" w:eastAsia="Arial"/>
          <w:i w:val="1"/>
          <w:iCs w:val="1"/>
          <w:color w:val="212121"/>
          <w:sz w:val="26"/>
          <w:szCs w:val="26"/>
          <w:shd w:val="clear" w:color="auto" w:fill="ffffff"/>
        </w:rPr>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cs="Arial" w:hAnsi="Arial" w:eastAsia="Arial"/>
          <w:color w:val="212121"/>
          <w:sz w:val="26"/>
          <w:szCs w:val="26"/>
          <w:u w:color="212121"/>
          <w:shd w:val="clear" w:color="auto" w:fill="ffffff"/>
        </w:rPr>
      </w:pPr>
      <w:r>
        <w:rPr>
          <w:rFonts w:ascii="Arial" w:hAnsi="Arial"/>
          <w:color w:val="212121"/>
          <w:sz w:val="26"/>
          <w:szCs w:val="26"/>
          <w:u w:color="212121"/>
          <w:shd w:val="clear" w:color="auto" w:fill="ffffff"/>
          <w:rtl w:val="0"/>
          <w:lang w:val="en-US"/>
        </w:rPr>
        <w:t>Kharas, H. (2010). The emerging middle class in developing countries.</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cs="Arial" w:hAnsi="Arial" w:eastAsia="Arial"/>
          <w:color w:val="212121"/>
          <w:sz w:val="26"/>
          <w:szCs w:val="26"/>
          <w:u w:color="212121"/>
          <w:shd w:val="clear" w:color="auto" w:fill="ffffff"/>
        </w:rPr>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cs="Arial" w:hAnsi="Arial" w:eastAsia="Arial"/>
          <w:color w:val="212121"/>
          <w:sz w:val="26"/>
          <w:szCs w:val="26"/>
          <w:u w:color="212121"/>
          <w:shd w:val="clear" w:color="auto" w:fill="ffffff"/>
        </w:rPr>
      </w:pPr>
      <w:r>
        <w:rPr>
          <w:rFonts w:ascii="Arial" w:hAnsi="Arial"/>
          <w:color w:val="212121"/>
          <w:sz w:val="26"/>
          <w:szCs w:val="26"/>
          <w:u w:color="212121"/>
          <w:shd w:val="clear" w:color="auto" w:fill="ffffff"/>
          <w:rtl w:val="0"/>
          <w:lang w:val="en-US"/>
        </w:rPr>
        <w:t xml:space="preserve">King, S., &amp; Chang, K. (2016). </w:t>
      </w:r>
      <w:r>
        <w:rPr>
          <w:rFonts w:ascii="Arial" w:hAnsi="Arial"/>
          <w:i w:val="1"/>
          <w:iCs w:val="1"/>
          <w:color w:val="212121"/>
          <w:sz w:val="26"/>
          <w:szCs w:val="26"/>
          <w:u w:color="212121"/>
          <w:shd w:val="clear" w:color="auto" w:fill="ffffff"/>
          <w:rtl w:val="0"/>
          <w:lang w:val="en-US"/>
        </w:rPr>
        <w:t>Understanding industrial design: principles for UX and interaction design</w:t>
      </w:r>
      <w:r>
        <w:rPr>
          <w:rFonts w:ascii="Arial" w:hAnsi="Arial"/>
          <w:color w:val="212121"/>
          <w:sz w:val="26"/>
          <w:szCs w:val="26"/>
          <w:u w:color="212121"/>
          <w:shd w:val="clear" w:color="auto" w:fill="ffffff"/>
          <w:rtl w:val="0"/>
          <w:lang w:val="en-US"/>
        </w:rPr>
        <w:t>. " O'Reilly Media, Inc.</w:t>
      </w:r>
      <w:r>
        <w:rPr>
          <w:rFonts w:ascii="Arial" w:hAnsi="Arial" w:hint="default"/>
          <w:color w:val="212121"/>
          <w:sz w:val="26"/>
          <w:szCs w:val="26"/>
          <w:u w:color="212121"/>
          <w:shd w:val="clear" w:color="auto" w:fill="ffffff"/>
          <w:rtl w:val="0"/>
          <w:lang w:val="en-US"/>
        </w:rPr>
        <w:t>”</w:t>
      </w:r>
      <w:r>
        <w:rPr>
          <w:rFonts w:ascii="Arial" w:hAnsi="Arial"/>
          <w:color w:val="212121"/>
          <w:sz w:val="26"/>
          <w:szCs w:val="26"/>
          <w:u w:color="212121"/>
          <w:shd w:val="clear" w:color="auto" w:fill="ffffff"/>
          <w:rtl w:val="0"/>
          <w:lang w:val="en-US"/>
        </w:rPr>
        <w:t>.</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800"/>
        </w:tabs>
        <w:rPr>
          <w:rFonts w:ascii="Arial" w:cs="Arial" w:hAnsi="Arial" w:eastAsia="Arial"/>
          <w:color w:val="212121"/>
          <w:sz w:val="26"/>
          <w:szCs w:val="26"/>
          <w:u w:color="212121"/>
          <w:shd w:val="clear" w:color="auto" w:fill="ffffff"/>
        </w:rPr>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920"/>
        </w:tabs>
        <w:rPr>
          <w:rFonts w:ascii="Arial" w:cs="Arial" w:hAnsi="Arial" w:eastAsia="Arial"/>
          <w:color w:val="212121"/>
          <w:sz w:val="26"/>
          <w:szCs w:val="26"/>
          <w:shd w:val="clear" w:color="auto" w:fill="ffffff"/>
        </w:rPr>
      </w:pPr>
      <w:r>
        <w:rPr>
          <w:rFonts w:ascii="Arial" w:hAnsi="Arial"/>
          <w:color w:val="212121"/>
          <w:sz w:val="26"/>
          <w:szCs w:val="26"/>
          <w:shd w:val="clear" w:color="auto" w:fill="ffffff"/>
          <w:rtl w:val="0"/>
          <w:lang w:val="en-US"/>
        </w:rPr>
        <w:t xml:space="preserve">McConaughy, D. L., Matthews, C. H., &amp; Fialko, A. S. (2001). Founding family controlled firms: Performance, risk, and value. </w:t>
      </w:r>
      <w:r>
        <w:rPr>
          <w:rFonts w:ascii="Arial" w:hAnsi="Arial"/>
          <w:i w:val="1"/>
          <w:iCs w:val="1"/>
          <w:color w:val="212121"/>
          <w:sz w:val="26"/>
          <w:szCs w:val="26"/>
          <w:shd w:val="clear" w:color="auto" w:fill="ffffff"/>
          <w:rtl w:val="0"/>
          <w:lang w:val="en-US"/>
        </w:rPr>
        <w:t>Journal of small business management</w:t>
      </w:r>
      <w:r>
        <w:rPr>
          <w:rFonts w:ascii="Arial" w:hAnsi="Arial"/>
          <w:color w:val="212121"/>
          <w:sz w:val="26"/>
          <w:szCs w:val="26"/>
          <w:shd w:val="clear" w:color="auto" w:fill="ffffff"/>
          <w:rtl w:val="0"/>
          <w:lang w:val="en-US"/>
        </w:rPr>
        <w:t xml:space="preserve">, </w:t>
      </w:r>
      <w:r>
        <w:rPr>
          <w:rFonts w:ascii="Arial" w:hAnsi="Arial"/>
          <w:i w:val="1"/>
          <w:iCs w:val="1"/>
          <w:color w:val="212121"/>
          <w:sz w:val="26"/>
          <w:szCs w:val="26"/>
          <w:shd w:val="clear" w:color="auto" w:fill="ffffff"/>
          <w:rtl w:val="0"/>
          <w:lang w:val="en-US"/>
        </w:rPr>
        <w:t>39</w:t>
      </w:r>
      <w:r>
        <w:rPr>
          <w:rFonts w:ascii="Arial" w:hAnsi="Arial"/>
          <w:color w:val="212121"/>
          <w:sz w:val="26"/>
          <w:szCs w:val="26"/>
          <w:shd w:val="clear" w:color="auto" w:fill="ffffff"/>
          <w:rtl w:val="0"/>
          <w:lang w:val="en-US"/>
        </w:rPr>
        <w:t>(1), 31-49.</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920"/>
        </w:tabs>
        <w:rPr>
          <w:rFonts w:ascii="Arial" w:cs="Arial" w:hAnsi="Arial" w:eastAsia="Arial"/>
          <w:color w:val="212121"/>
          <w:sz w:val="26"/>
          <w:szCs w:val="26"/>
          <w:u w:color="212121"/>
          <w:shd w:val="clear" w:color="auto" w:fill="ffffff"/>
        </w:rPr>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920"/>
        </w:tabs>
        <w:rPr>
          <w:rFonts w:ascii="Arial" w:cs="Arial" w:hAnsi="Arial" w:eastAsia="Arial"/>
          <w:i w:val="0"/>
          <w:iCs w:val="0"/>
          <w:color w:val="212121"/>
          <w:sz w:val="26"/>
          <w:szCs w:val="26"/>
          <w:shd w:val="clear" w:color="auto" w:fill="ffffff"/>
        </w:rPr>
      </w:pPr>
      <w:r>
        <w:rPr>
          <w:rFonts w:ascii="Arial" w:hAnsi="Arial"/>
          <w:i w:val="0"/>
          <w:iCs w:val="0"/>
          <w:color w:val="212121"/>
          <w:sz w:val="26"/>
          <w:szCs w:val="26"/>
          <w:shd w:val="clear" w:color="auto" w:fill="ffffff"/>
          <w:rtl w:val="0"/>
          <w:lang w:val="en-US"/>
        </w:rPr>
        <w:t xml:space="preserve">Merchant, K. A., &amp; Van der Stede, W. A. (2007). </w:t>
      </w:r>
      <w:r>
        <w:rPr>
          <w:rFonts w:ascii="Arial" w:hAnsi="Arial"/>
          <w:i w:val="1"/>
          <w:iCs w:val="1"/>
          <w:color w:val="212121"/>
          <w:sz w:val="26"/>
          <w:szCs w:val="26"/>
          <w:shd w:val="clear" w:color="auto" w:fill="ffffff"/>
          <w:rtl w:val="0"/>
          <w:lang w:val="en-US"/>
        </w:rPr>
        <w:t>Management control systems: performance measurement, evaluation and incentives</w:t>
      </w:r>
      <w:r>
        <w:rPr>
          <w:rFonts w:ascii="Arial" w:hAnsi="Arial"/>
          <w:i w:val="0"/>
          <w:iCs w:val="0"/>
          <w:color w:val="212121"/>
          <w:sz w:val="26"/>
          <w:szCs w:val="26"/>
          <w:shd w:val="clear" w:color="auto" w:fill="ffffff"/>
          <w:rtl w:val="0"/>
          <w:lang w:val="en-US"/>
        </w:rPr>
        <w:t>. Pearson Education.</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920"/>
        </w:tabs>
        <w:rPr>
          <w:rFonts w:ascii="Arial" w:cs="Arial" w:hAnsi="Arial" w:eastAsia="Arial"/>
          <w:i w:val="0"/>
          <w:iCs w:val="0"/>
          <w:color w:val="212121"/>
          <w:sz w:val="26"/>
          <w:szCs w:val="26"/>
          <w:shd w:val="clear" w:color="auto" w:fill="ffffff"/>
        </w:rPr>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920"/>
        </w:tabs>
        <w:rPr>
          <w:rFonts w:ascii="Arial" w:cs="Arial" w:hAnsi="Arial" w:eastAsia="Arial"/>
          <w:i w:val="0"/>
          <w:iCs w:val="0"/>
          <w:color w:val="212121"/>
          <w:sz w:val="26"/>
          <w:szCs w:val="26"/>
          <w:shd w:val="clear" w:color="auto" w:fill="ffffff"/>
        </w:rPr>
      </w:pPr>
      <w:r>
        <w:rPr>
          <w:rFonts w:ascii="Arial" w:hAnsi="Arial"/>
          <w:i w:val="0"/>
          <w:iCs w:val="0"/>
          <w:color w:val="212121"/>
          <w:sz w:val="26"/>
          <w:szCs w:val="26"/>
          <w:shd w:val="clear" w:color="auto" w:fill="ffffff"/>
          <w:rtl w:val="0"/>
          <w:lang w:val="en-US"/>
        </w:rPr>
        <w:t xml:space="preserve">Miller-Tiedeman, A. (1999). </w:t>
      </w:r>
      <w:r>
        <w:rPr>
          <w:rFonts w:ascii="Arial" w:hAnsi="Arial"/>
          <w:i w:val="1"/>
          <w:iCs w:val="1"/>
          <w:color w:val="212121"/>
          <w:sz w:val="26"/>
          <w:szCs w:val="26"/>
          <w:shd w:val="clear" w:color="auto" w:fill="ffffff"/>
          <w:rtl w:val="0"/>
          <w:lang w:val="en-US"/>
        </w:rPr>
        <w:t>Learning, practicing, and living the new careering</w:t>
      </w:r>
      <w:r>
        <w:rPr>
          <w:rFonts w:ascii="Arial" w:hAnsi="Arial"/>
          <w:i w:val="0"/>
          <w:iCs w:val="0"/>
          <w:color w:val="212121"/>
          <w:sz w:val="26"/>
          <w:szCs w:val="26"/>
          <w:shd w:val="clear" w:color="auto" w:fill="ffffff"/>
          <w:rtl w:val="0"/>
          <w:lang w:val="en-US"/>
        </w:rPr>
        <w:t>. Taylor &amp; Francis.</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920"/>
        </w:tabs>
        <w:rPr>
          <w:rFonts w:ascii="Arial" w:cs="Arial" w:hAnsi="Arial" w:eastAsia="Arial"/>
          <w:color w:val="212121"/>
          <w:sz w:val="26"/>
          <w:szCs w:val="26"/>
          <w:shd w:val="clear" w:color="auto" w:fill="ffffff"/>
        </w:rPr>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920"/>
        </w:tabs>
        <w:rPr>
          <w:rFonts w:ascii="Arial" w:cs="Arial" w:hAnsi="Arial" w:eastAsia="Arial"/>
          <w:color w:val="212121"/>
          <w:sz w:val="26"/>
          <w:szCs w:val="26"/>
          <w:shd w:val="clear" w:color="auto" w:fill="ffffff"/>
        </w:rPr>
      </w:pPr>
      <w:r>
        <w:rPr>
          <w:rFonts w:ascii="Arial" w:hAnsi="Arial"/>
          <w:color w:val="212121"/>
          <w:sz w:val="26"/>
          <w:szCs w:val="26"/>
          <w:shd w:val="clear" w:color="auto" w:fill="ffffff"/>
          <w:rtl w:val="0"/>
          <w:lang w:val="en-US"/>
        </w:rPr>
        <w:t xml:space="preserve">Otley, D. (1999). Performance management: a framework for management control systems research. </w:t>
      </w:r>
      <w:r>
        <w:rPr>
          <w:rFonts w:ascii="Arial" w:hAnsi="Arial"/>
          <w:i w:val="1"/>
          <w:iCs w:val="1"/>
          <w:color w:val="212121"/>
          <w:sz w:val="26"/>
          <w:szCs w:val="26"/>
          <w:shd w:val="clear" w:color="auto" w:fill="ffffff"/>
          <w:rtl w:val="0"/>
          <w:lang w:val="en-US"/>
        </w:rPr>
        <w:t>Management accounting research</w:t>
      </w:r>
      <w:r>
        <w:rPr>
          <w:rFonts w:ascii="Arial" w:hAnsi="Arial"/>
          <w:color w:val="212121"/>
          <w:sz w:val="26"/>
          <w:szCs w:val="26"/>
          <w:shd w:val="clear" w:color="auto" w:fill="ffffff"/>
          <w:rtl w:val="0"/>
          <w:lang w:val="en-US"/>
        </w:rPr>
        <w:t xml:space="preserve">, </w:t>
      </w:r>
      <w:r>
        <w:rPr>
          <w:rFonts w:ascii="Arial" w:hAnsi="Arial"/>
          <w:i w:val="1"/>
          <w:iCs w:val="1"/>
          <w:color w:val="212121"/>
          <w:sz w:val="26"/>
          <w:szCs w:val="26"/>
          <w:shd w:val="clear" w:color="auto" w:fill="ffffff"/>
          <w:rtl w:val="0"/>
          <w:lang w:val="en-US"/>
        </w:rPr>
        <w:t>10</w:t>
      </w:r>
      <w:r>
        <w:rPr>
          <w:rFonts w:ascii="Arial" w:hAnsi="Arial"/>
          <w:color w:val="212121"/>
          <w:sz w:val="26"/>
          <w:szCs w:val="26"/>
          <w:shd w:val="clear" w:color="auto" w:fill="ffffff"/>
          <w:rtl w:val="0"/>
          <w:lang w:val="en-US"/>
        </w:rPr>
        <w:t>(4), 363-382.</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920"/>
        </w:tabs>
        <w:rPr>
          <w:rFonts w:ascii="Arial" w:cs="Arial" w:hAnsi="Arial" w:eastAsia="Arial"/>
          <w:color w:val="212121"/>
          <w:sz w:val="26"/>
          <w:szCs w:val="26"/>
          <w:shd w:val="clear" w:color="auto" w:fill="ffffff"/>
        </w:rPr>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920"/>
        </w:tabs>
        <w:rPr>
          <w:rFonts w:ascii="Arial" w:cs="Arial" w:hAnsi="Arial" w:eastAsia="Arial"/>
          <w:i w:val="1"/>
          <w:iCs w:val="1"/>
          <w:color w:val="212121"/>
          <w:sz w:val="26"/>
          <w:szCs w:val="26"/>
          <w:u w:color="212121"/>
          <w:shd w:val="clear" w:color="auto" w:fill="ffffff"/>
        </w:rPr>
      </w:pPr>
      <w:r>
        <w:rPr>
          <w:rFonts w:ascii="Arial" w:hAnsi="Arial"/>
          <w:i w:val="0"/>
          <w:iCs w:val="0"/>
          <w:color w:val="212121"/>
          <w:sz w:val="26"/>
          <w:szCs w:val="26"/>
          <w:shd w:val="clear" w:color="auto" w:fill="ffffff"/>
          <w:rtl w:val="0"/>
          <w:lang w:val="en-US"/>
        </w:rPr>
        <w:t xml:space="preserve">Powell, R. J. (2008). </w:t>
      </w:r>
      <w:r>
        <w:rPr>
          <w:rFonts w:ascii="Arial" w:hAnsi="Arial"/>
          <w:i w:val="1"/>
          <w:iCs w:val="1"/>
          <w:color w:val="212121"/>
          <w:sz w:val="26"/>
          <w:szCs w:val="26"/>
          <w:shd w:val="clear" w:color="auto" w:fill="ffffff"/>
          <w:rtl w:val="0"/>
          <w:lang w:val="en-US"/>
        </w:rPr>
        <w:t>Cutting a Figure: Fashioning Black Portraiture</w:t>
      </w:r>
      <w:r>
        <w:rPr>
          <w:rFonts w:ascii="Arial" w:hAnsi="Arial"/>
          <w:i w:val="0"/>
          <w:iCs w:val="0"/>
          <w:color w:val="212121"/>
          <w:sz w:val="26"/>
          <w:szCs w:val="26"/>
          <w:shd w:val="clear" w:color="auto" w:fill="ffffff"/>
          <w:rtl w:val="0"/>
          <w:lang w:val="en-US"/>
        </w:rPr>
        <w:t>. University of Chicago Press.</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920"/>
        </w:tabs>
        <w:rPr>
          <w:rFonts w:ascii="Arial" w:cs="Arial" w:hAnsi="Arial" w:eastAsia="Arial"/>
          <w:i w:val="1"/>
          <w:iCs w:val="1"/>
          <w:color w:val="212121"/>
          <w:sz w:val="26"/>
          <w:szCs w:val="26"/>
          <w:u w:color="212121"/>
          <w:shd w:val="clear" w:color="auto" w:fill="ffffff"/>
        </w:rPr>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920"/>
        </w:tabs>
        <w:rPr>
          <w:rFonts w:ascii="Arial" w:cs="Arial" w:hAnsi="Arial" w:eastAsia="Arial"/>
          <w:i w:val="0"/>
          <w:iCs w:val="0"/>
          <w:color w:val="212121"/>
          <w:sz w:val="26"/>
          <w:szCs w:val="26"/>
          <w:shd w:val="clear" w:color="auto" w:fill="ffffff"/>
        </w:rPr>
      </w:pPr>
      <w:r>
        <w:rPr>
          <w:rFonts w:ascii="Arial" w:hAnsi="Arial"/>
          <w:i w:val="0"/>
          <w:iCs w:val="0"/>
          <w:color w:val="212121"/>
          <w:sz w:val="26"/>
          <w:szCs w:val="26"/>
          <w:shd w:val="clear" w:color="auto" w:fill="ffffff"/>
          <w:rtl w:val="0"/>
          <w:lang w:val="en-US"/>
        </w:rPr>
        <w:t xml:space="preserve">Ross, A. (2007). </w:t>
      </w:r>
      <w:r>
        <w:rPr>
          <w:rFonts w:ascii="Arial" w:hAnsi="Arial"/>
          <w:i w:val="1"/>
          <w:iCs w:val="1"/>
          <w:color w:val="212121"/>
          <w:sz w:val="26"/>
          <w:szCs w:val="26"/>
          <w:shd w:val="clear" w:color="auto" w:fill="ffffff"/>
          <w:rtl w:val="0"/>
          <w:lang w:val="en-US"/>
        </w:rPr>
        <w:t>Fast boat to China: high-tech outsourcing and the consequences of free trade: lessons from Shanghai</w:t>
      </w:r>
      <w:r>
        <w:rPr>
          <w:rFonts w:ascii="Arial" w:hAnsi="Arial"/>
          <w:i w:val="0"/>
          <w:iCs w:val="0"/>
          <w:color w:val="212121"/>
          <w:sz w:val="26"/>
          <w:szCs w:val="26"/>
          <w:shd w:val="clear" w:color="auto" w:fill="ffffff"/>
          <w:rtl w:val="0"/>
          <w:lang w:val="en-US"/>
        </w:rPr>
        <w:t>. Vintage.</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920"/>
        </w:tabs>
        <w:rPr>
          <w:rFonts w:ascii="Arial" w:cs="Arial" w:hAnsi="Arial" w:eastAsia="Arial"/>
          <w:i w:val="0"/>
          <w:iCs w:val="0"/>
          <w:color w:val="212121"/>
          <w:sz w:val="26"/>
          <w:szCs w:val="26"/>
          <w:shd w:val="clear" w:color="auto" w:fill="ffffff"/>
        </w:rPr>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920"/>
        </w:tabs>
        <w:rPr>
          <w:rFonts w:ascii="Arial" w:cs="Arial" w:hAnsi="Arial" w:eastAsia="Arial"/>
          <w:color w:val="212121"/>
          <w:sz w:val="26"/>
          <w:szCs w:val="26"/>
          <w:shd w:val="clear" w:color="auto" w:fill="ffffff"/>
        </w:rPr>
      </w:pPr>
      <w:r>
        <w:rPr>
          <w:rFonts w:ascii="Arial" w:hAnsi="Arial"/>
          <w:color w:val="212121"/>
          <w:sz w:val="26"/>
          <w:szCs w:val="26"/>
          <w:shd w:val="clear" w:color="auto" w:fill="ffffff"/>
          <w:rtl w:val="0"/>
          <w:lang w:val="en-US"/>
        </w:rPr>
        <w:t xml:space="preserve">Simons, R. (1991). Strategic orientation and top management attention to control systems. </w:t>
      </w:r>
      <w:r>
        <w:rPr>
          <w:rFonts w:ascii="Arial" w:hAnsi="Arial"/>
          <w:i w:val="1"/>
          <w:iCs w:val="1"/>
          <w:color w:val="212121"/>
          <w:sz w:val="26"/>
          <w:szCs w:val="26"/>
          <w:shd w:val="clear" w:color="auto" w:fill="ffffff"/>
          <w:rtl w:val="0"/>
          <w:lang w:val="en-US"/>
        </w:rPr>
        <w:t>Strategic management journal</w:t>
      </w:r>
      <w:r>
        <w:rPr>
          <w:rFonts w:ascii="Arial" w:hAnsi="Arial"/>
          <w:color w:val="212121"/>
          <w:sz w:val="26"/>
          <w:szCs w:val="26"/>
          <w:shd w:val="clear" w:color="auto" w:fill="ffffff"/>
          <w:rtl w:val="0"/>
          <w:lang w:val="en-US"/>
        </w:rPr>
        <w:t xml:space="preserve">, </w:t>
      </w:r>
      <w:r>
        <w:rPr>
          <w:rFonts w:ascii="Arial" w:hAnsi="Arial"/>
          <w:i w:val="1"/>
          <w:iCs w:val="1"/>
          <w:color w:val="212121"/>
          <w:sz w:val="26"/>
          <w:szCs w:val="26"/>
          <w:shd w:val="clear" w:color="auto" w:fill="ffffff"/>
          <w:rtl w:val="0"/>
          <w:lang w:val="en-US"/>
        </w:rPr>
        <w:t>12</w:t>
      </w:r>
      <w:r>
        <w:rPr>
          <w:rFonts w:ascii="Arial" w:hAnsi="Arial"/>
          <w:color w:val="212121"/>
          <w:sz w:val="26"/>
          <w:szCs w:val="26"/>
          <w:shd w:val="clear" w:color="auto" w:fill="ffffff"/>
          <w:rtl w:val="0"/>
          <w:lang w:val="en-US"/>
        </w:rPr>
        <w:t>(1), 49-62.</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920"/>
        </w:tabs>
        <w:rPr>
          <w:rFonts w:ascii="Arial" w:cs="Arial" w:hAnsi="Arial" w:eastAsia="Arial"/>
          <w:color w:val="212121"/>
          <w:sz w:val="26"/>
          <w:szCs w:val="26"/>
          <w:shd w:val="clear" w:color="auto" w:fill="ffffff"/>
        </w:rPr>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920"/>
        </w:tabs>
        <w:rPr>
          <w:rFonts w:ascii="Arial" w:cs="Arial" w:hAnsi="Arial" w:eastAsia="Arial"/>
          <w:color w:val="212121"/>
          <w:sz w:val="26"/>
          <w:szCs w:val="26"/>
          <w:shd w:val="clear" w:color="auto" w:fill="ffffff"/>
        </w:rPr>
      </w:pPr>
      <w:r>
        <w:rPr>
          <w:rFonts w:ascii="Arial" w:hAnsi="Arial"/>
          <w:color w:val="212121"/>
          <w:sz w:val="26"/>
          <w:szCs w:val="26"/>
          <w:shd w:val="clear" w:color="auto" w:fill="ffffff"/>
          <w:rtl w:val="0"/>
          <w:lang w:val="en-US"/>
        </w:rPr>
        <w:t>Sinclair, D., &amp; Zairi, M. (1995). Effective process management through performance measurement: part I</w:t>
      </w:r>
      <w:r>
        <w:rPr>
          <w:rFonts w:ascii="Arial" w:hAnsi="Arial" w:hint="default"/>
          <w:color w:val="212121"/>
          <w:sz w:val="26"/>
          <w:szCs w:val="26"/>
          <w:shd w:val="clear" w:color="auto" w:fill="ffffff"/>
          <w:rtl w:val="0"/>
          <w:lang w:val="en-US"/>
        </w:rPr>
        <w:t>–</w:t>
      </w:r>
      <w:r>
        <w:rPr>
          <w:rFonts w:ascii="Arial" w:hAnsi="Arial"/>
          <w:color w:val="212121"/>
          <w:sz w:val="26"/>
          <w:szCs w:val="26"/>
          <w:shd w:val="clear" w:color="auto" w:fill="ffffff"/>
          <w:rtl w:val="0"/>
          <w:lang w:val="en-US"/>
        </w:rPr>
        <w:t xml:space="preserve">applications of total quality-based performance measurement. </w:t>
      </w:r>
      <w:r>
        <w:rPr>
          <w:rFonts w:ascii="Arial" w:hAnsi="Arial"/>
          <w:i w:val="1"/>
          <w:iCs w:val="1"/>
          <w:color w:val="212121"/>
          <w:sz w:val="26"/>
          <w:szCs w:val="26"/>
          <w:shd w:val="clear" w:color="auto" w:fill="ffffff"/>
          <w:rtl w:val="0"/>
          <w:lang w:val="en-US"/>
        </w:rPr>
        <w:t>Business Process Re-engineering &amp; Management Journal</w:t>
      </w:r>
      <w:r>
        <w:rPr>
          <w:rFonts w:ascii="Arial" w:hAnsi="Arial"/>
          <w:color w:val="212121"/>
          <w:sz w:val="26"/>
          <w:szCs w:val="26"/>
          <w:shd w:val="clear" w:color="auto" w:fill="ffffff"/>
          <w:rtl w:val="0"/>
          <w:lang w:val="en-US"/>
        </w:rPr>
        <w:t xml:space="preserve">, </w:t>
      </w:r>
      <w:r>
        <w:rPr>
          <w:rFonts w:ascii="Arial" w:hAnsi="Arial"/>
          <w:i w:val="1"/>
          <w:iCs w:val="1"/>
          <w:color w:val="212121"/>
          <w:sz w:val="26"/>
          <w:szCs w:val="26"/>
          <w:shd w:val="clear" w:color="auto" w:fill="ffffff"/>
          <w:rtl w:val="0"/>
          <w:lang w:val="en-US"/>
        </w:rPr>
        <w:t>1</w:t>
      </w:r>
      <w:r>
        <w:rPr>
          <w:rFonts w:ascii="Arial" w:hAnsi="Arial"/>
          <w:color w:val="212121"/>
          <w:sz w:val="26"/>
          <w:szCs w:val="26"/>
          <w:shd w:val="clear" w:color="auto" w:fill="ffffff"/>
          <w:rtl w:val="0"/>
          <w:lang w:val="en-US"/>
        </w:rPr>
        <w:t>(1), 75-88.</w:t>
      </w: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920"/>
        </w:tabs>
        <w:rPr>
          <w:rFonts w:ascii="Arial" w:cs="Arial" w:hAnsi="Arial" w:eastAsia="Arial"/>
          <w:color w:val="212121"/>
          <w:sz w:val="26"/>
          <w:szCs w:val="26"/>
          <w:shd w:val="clear" w:color="auto" w:fill="ffffff"/>
        </w:rPr>
      </w:pPr>
    </w:p>
    <w:p>
      <w:pPr>
        <w:pStyle w:val="默认"/>
        <w:tabs>
          <w:tab w:val="left" w:pos="720"/>
          <w:tab w:val="left" w:pos="1440"/>
          <w:tab w:val="left" w:pos="2160"/>
          <w:tab w:val="left" w:pos="2880"/>
          <w:tab w:val="left" w:pos="3600"/>
          <w:tab w:val="left" w:pos="4320"/>
          <w:tab w:val="left" w:pos="5040"/>
          <w:tab w:val="left" w:pos="5760"/>
          <w:tab w:val="left" w:pos="6480"/>
          <w:tab w:val="left" w:pos="7200"/>
          <w:tab w:val="left" w:pos="7920"/>
        </w:tabs>
      </w:pPr>
      <w:r>
        <w:rPr>
          <w:rFonts w:ascii="Arial" w:hAnsi="Arial"/>
          <w:color w:val="212121"/>
          <w:sz w:val="26"/>
          <w:szCs w:val="26"/>
          <w:shd w:val="clear" w:color="auto" w:fill="ffffff"/>
          <w:rtl w:val="0"/>
          <w:lang w:val="en-US"/>
        </w:rPr>
        <w:t>Tin, N. G., &amp; Caf</w:t>
      </w:r>
      <w:r>
        <w:rPr>
          <w:rFonts w:ascii="Arial" w:hAnsi="Arial" w:hint="default"/>
          <w:color w:val="212121"/>
          <w:sz w:val="26"/>
          <w:szCs w:val="26"/>
          <w:shd w:val="clear" w:color="auto" w:fill="ffffff"/>
          <w:rtl w:val="0"/>
          <w:lang w:val="en-US"/>
        </w:rPr>
        <w:t>é</w:t>
      </w:r>
      <w:r>
        <w:rPr>
          <w:rFonts w:ascii="Arial" w:hAnsi="Arial"/>
          <w:color w:val="212121"/>
          <w:sz w:val="26"/>
          <w:szCs w:val="26"/>
          <w:shd w:val="clear" w:color="auto" w:fill="ffffff"/>
          <w:rtl w:val="0"/>
          <w:lang w:val="en-US"/>
        </w:rPr>
        <w:t xml:space="preserve">, T. T. (2013). Social Dimension Singapore. </w:t>
      </w:r>
      <w:r>
        <w:rPr>
          <w:rFonts w:ascii="Arial" w:hAnsi="Arial"/>
          <w:i w:val="1"/>
          <w:iCs w:val="1"/>
          <w:color w:val="212121"/>
          <w:sz w:val="26"/>
          <w:szCs w:val="26"/>
          <w:shd w:val="clear" w:color="auto" w:fill="ffffff"/>
          <w:rtl w:val="0"/>
          <w:lang w:val="en-US"/>
        </w:rPr>
        <w:t>Context</w:t>
      </w:r>
      <w:r>
        <w:rPr>
          <w:rFonts w:ascii="Arial" w:hAnsi="Arial"/>
          <w:color w:val="212121"/>
          <w:sz w:val="26"/>
          <w:szCs w:val="26"/>
          <w:shd w:val="clear" w:color="auto" w:fill="ffffff"/>
          <w:rtl w:val="0"/>
          <w:lang w:val="en-US"/>
        </w:rPr>
        <w:t xml:space="preserve">, </w:t>
      </w:r>
      <w:r>
        <w:rPr>
          <w:rFonts w:ascii="Arial" w:hAnsi="Arial"/>
          <w:i w:val="1"/>
          <w:iCs w:val="1"/>
          <w:color w:val="212121"/>
          <w:sz w:val="26"/>
          <w:szCs w:val="26"/>
          <w:shd w:val="clear" w:color="auto" w:fill="ffffff"/>
          <w:rtl w:val="0"/>
          <w:lang w:val="en-US"/>
        </w:rPr>
        <w:t>8</w:t>
      </w:r>
      <w:r>
        <w:rPr>
          <w:rFonts w:ascii="Arial" w:hAnsi="Arial"/>
          <w:color w:val="212121"/>
          <w:sz w:val="26"/>
          <w:szCs w:val="26"/>
          <w:shd w:val="clear" w:color="auto" w:fill="ffffff"/>
          <w:rtl w:val="0"/>
          <w:lang w:val="en-US"/>
        </w:rPr>
        <w:t>, 02.</w:t>
      </w:r>
    </w:p>
    <w:sectPr>
      <w:headerReference w:type="default" r:id="rId4"/>
      <w:footerReference w:type="default" r:id="rId5"/>
      <w:pgSz w:w="11900" w:h="16840" w:orient="portrait"/>
      <w:pgMar w:top="1440" w:right="1800" w:bottom="1440" w:left="180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8280"/>
        <w:tab w:val="clear" w:pos="8306"/>
      </w:tabs>
      <w:jc w:val="center"/>
    </w:pPr>
    <w:r>
      <w:rPr/>
      <w:fldChar w:fldCharType="begin" w:fldLock="0"/>
    </w:r>
    <w:r>
      <w:instrText xml:space="preserve"> PAGE </w:instrText>
    </w:r>
    <w:r>
      <w:rPr/>
      <w:fldChar w:fldCharType="separate" w:fldLock="0"/>
    </w:r>
    <w:r>
      <w:t>14</w:t>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页眉与页脚"/>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420"/>
  <w:autoHyphenation w:val="1"/>
  <w:evenAndOddHeaders w:val="0"/>
  <w:bookFoldPrinting w:val="0"/>
  <w:noLineBreaksAfter w:lang="中文" w:val="‘“(〔[{〈《「『【⦅〘〖«〝︵︷︹︻︽︿﹁﹃﹇﹙﹛﹝｢"/>
  <w:noLineBreaksBefore w:lang="中文"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页眉与页脚">
    <w:name w:val="页眉与页脚"/>
    <w:next w:val="页眉与页脚"/>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footer">
    <w:name w:val="footer"/>
    <w:next w:val="foot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18"/>
      <w:szCs w:val="18"/>
      <w:u w:val="none" w:color="000000"/>
      <w:vertAlign w:val="baseline"/>
      <w:lang w:val="en-US"/>
    </w:rPr>
  </w:style>
  <w:style w:type="paragraph" w:styleId="TOC 1">
    <w:name w:val="TOC 1"/>
    <w:next w:val="TOC 1"/>
    <w:pPr>
      <w:keepNext w:val="0"/>
      <w:keepLines w:val="0"/>
      <w:pageBreakBefore w:val="0"/>
      <w:widowControl w:val="1"/>
      <w:shd w:val="clear" w:color="auto" w:fill="auto"/>
      <w:tabs>
        <w:tab w:val="right" w:pos="8280"/>
      </w:tabs>
      <w:suppressAutoHyphens w:val="0"/>
      <w:bidi w:val="0"/>
      <w:spacing w:before="0" w:after="12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8"/>
      <w:szCs w:val="28"/>
      <w:u w:val="none" w:color="000000"/>
      <w:vertAlign w:val="baseline"/>
    </w:rPr>
  </w:style>
  <w:style w:type="paragraph" w:styleId="小标题">
    <w:name w:val="小标题"/>
    <w:next w:val="小标题"/>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38"/>
      <w:szCs w:val="38"/>
      <w:u w:val="none" w:color="000000"/>
      <w:vertAlign w:val="baseline"/>
    </w:rPr>
  </w:style>
  <w:style w:type="paragraph" w:styleId="TOC 2">
    <w:name w:val="TOC 2"/>
    <w:next w:val="TOC 2"/>
    <w:pPr>
      <w:keepNext w:val="0"/>
      <w:keepLines w:val="0"/>
      <w:pageBreakBefore w:val="0"/>
      <w:widowControl w:val="1"/>
      <w:shd w:val="clear" w:color="auto" w:fill="auto"/>
      <w:tabs>
        <w:tab w:val="right" w:pos="8280"/>
      </w:tabs>
      <w:suppressAutoHyphens w:val="0"/>
      <w:bidi w:val="0"/>
      <w:spacing w:before="0" w:after="12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8"/>
      <w:szCs w:val="28"/>
      <w:u w:val="none" w:color="000000"/>
      <w:vertAlign w:val="baseline"/>
    </w:rPr>
  </w:style>
  <w:style w:type="paragraph" w:styleId="小标题 A">
    <w:name w:val="小标题 A"/>
    <w:next w:val="Normal.0"/>
    <w:pPr>
      <w:keepNext w:val="1"/>
      <w:keepLines w:val="0"/>
      <w:pageBreakBefore w:val="0"/>
      <w:widowControl w:val="1"/>
      <w:shd w:val="clear" w:color="auto" w:fill="auto"/>
      <w:suppressAutoHyphens w:val="0"/>
      <w:bidi w:val="0"/>
      <w:spacing w:before="0" w:after="0" w:line="240" w:lineRule="auto"/>
      <w:ind w:left="0" w:right="0" w:firstLine="0"/>
      <w:jc w:val="left"/>
      <w:outlineLvl w:val="1"/>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36"/>
      <w:szCs w:val="36"/>
      <w:u w:val="none" w:color="000000"/>
      <w:vertAlign w:val="baseline"/>
      <w:lang w:val="en-US"/>
    </w:rPr>
  </w:style>
  <w:style w:type="paragraph" w:styleId="Normal.0">
    <w:name w:val="Normal"/>
    <w:next w:val="Normal.0"/>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8"/>
      <w:szCs w:val="28"/>
      <w:u w:val="none" w:color="000000"/>
      <w:vertAlign w:val="baseline"/>
      <w:lang w:val="en-US"/>
    </w:rPr>
  </w:style>
  <w:style w:type="paragraph" w:styleId="大标题 A">
    <w:name w:val="大标题 A"/>
    <w:next w:val="Normal.0"/>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52"/>
      <w:szCs w:val="52"/>
      <w:u w:val="none" w:color="000000"/>
      <w:vertAlign w:val="baseline"/>
      <w:lang w:val="en-US"/>
    </w:rPr>
  </w:style>
  <w:style w:type="paragraph" w:styleId="Subtitle">
    <w:name w:val="Subtitle"/>
    <w:next w:val="Normal.0"/>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40"/>
      <w:szCs w:val="40"/>
      <w:u w:val="none" w:color="000000"/>
      <w:vertAlign w:val="baseline"/>
      <w:lang w:val="fr-FR"/>
    </w:rPr>
  </w:style>
  <w:style w:type="paragraph" w:styleId="大标题">
    <w:name w:val="大标题"/>
    <w:next w:val="大标题"/>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52"/>
      <w:szCs w:val="52"/>
      <w:u w:val="none" w:color="000000"/>
      <w:vertAlign w:val="baseline"/>
      <w:lang w:val="en-US"/>
    </w:rPr>
  </w:style>
  <w:style w:type="paragraph" w:styleId="默认">
    <w:name w:val="默认"/>
    <w:next w:val="默认"/>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主题">
  <a:themeElements>
    <a:clrScheme name="Office 主题">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主题">
      <a:majorFont>
        <a:latin typeface="Helvetica Neue"/>
        <a:ea typeface="Helvetica Neue"/>
        <a:cs typeface="Helvetica Neue"/>
      </a:majorFont>
      <a:minorFont>
        <a:latin typeface="Helvetica Neue"/>
        <a:ea typeface="Helvetica Neue"/>
        <a:cs typeface="Helvetica Neue"/>
      </a:minorFont>
    </a:fontScheme>
    <a:fmtScheme name="Office 主题">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