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10465" w14:textId="77777777" w:rsidR="006B1409" w:rsidRPr="005B74A0" w:rsidRDefault="006B1409" w:rsidP="005B74A0">
      <w:pPr>
        <w:spacing w:after="0" w:line="276" w:lineRule="auto"/>
        <w:ind w:right="531"/>
        <w:rPr>
          <w:rFonts w:ascii="Arial" w:eastAsia="Times New Roman" w:hAnsi="Arial" w:cs="Arial"/>
          <w:lang w:eastAsia="en-GB"/>
        </w:rPr>
      </w:pPr>
      <w:r w:rsidRPr="005B74A0">
        <w:rPr>
          <w:rFonts w:ascii="Arial" w:eastAsia="Times New Roman" w:hAnsi="Arial" w:cs="Arial"/>
          <w:b/>
          <w:bCs/>
          <w:lang w:eastAsia="en-GB"/>
        </w:rPr>
        <w:t>Essay one:</w:t>
      </w:r>
    </w:p>
    <w:p w14:paraId="72C258A0" w14:textId="77777777" w:rsidR="006B1409" w:rsidRPr="005B74A0" w:rsidRDefault="006B1409" w:rsidP="005B74A0">
      <w:pPr>
        <w:spacing w:after="0" w:line="276" w:lineRule="auto"/>
        <w:ind w:right="531"/>
        <w:rPr>
          <w:rFonts w:ascii="Arial" w:eastAsia="Times New Roman" w:hAnsi="Arial" w:cs="Arial"/>
          <w:lang w:eastAsia="en-GB"/>
        </w:rPr>
      </w:pPr>
      <w:r w:rsidRPr="005B74A0">
        <w:rPr>
          <w:rFonts w:ascii="Arial" w:eastAsia="Times New Roman" w:hAnsi="Arial" w:cs="Arial"/>
          <w:u w:val="single"/>
          <w:lang w:eastAsia="en-GB"/>
        </w:rPr>
        <w:t>Examine</w:t>
      </w:r>
      <w:r w:rsidRPr="005B74A0">
        <w:rPr>
          <w:rFonts w:ascii="Arial" w:eastAsia="Times New Roman" w:hAnsi="Arial" w:cs="Arial"/>
          <w:lang w:eastAsia="en-GB"/>
        </w:rPr>
        <w:t xml:space="preserve"> how prominent cases of police misconduct or malpractice have influenced current professional policing policies. </w:t>
      </w:r>
      <w:r w:rsidRPr="005B74A0">
        <w:rPr>
          <w:rFonts w:ascii="Arial" w:eastAsia="Times New Roman" w:hAnsi="Arial" w:cs="Arial"/>
          <w:u w:val="single"/>
          <w:lang w:eastAsia="en-GB"/>
        </w:rPr>
        <w:t>Evaluate</w:t>
      </w:r>
      <w:r w:rsidRPr="005B74A0">
        <w:rPr>
          <w:rFonts w:ascii="Arial" w:eastAsia="Times New Roman" w:hAnsi="Arial" w:cs="Arial"/>
          <w:lang w:eastAsia="en-GB"/>
        </w:rPr>
        <w:t xml:space="preserve"> how these policies have increased community confidence in the police, with reference to the Code of Ethics. </w:t>
      </w:r>
    </w:p>
    <w:p w14:paraId="24CEEC56" w14:textId="77777777" w:rsidR="006B1409" w:rsidRPr="005B74A0" w:rsidRDefault="006B1409" w:rsidP="005B74A0">
      <w:pPr>
        <w:spacing w:after="0" w:line="276" w:lineRule="auto"/>
        <w:ind w:right="531"/>
        <w:rPr>
          <w:rFonts w:ascii="Arial" w:eastAsia="Times New Roman" w:hAnsi="Arial" w:cs="Arial"/>
          <w:lang w:eastAsia="en-GB"/>
        </w:rPr>
      </w:pPr>
      <w:r w:rsidRPr="005B74A0">
        <w:rPr>
          <w:rFonts w:ascii="Arial" w:eastAsia="Times New Roman" w:hAnsi="Arial" w:cs="Arial"/>
          <w:lang w:eastAsia="en-GB"/>
        </w:rPr>
        <w:t xml:space="preserve">Your answer should be based on academic research rather than personal experience, but you may </w:t>
      </w:r>
      <w:proofErr w:type="gramStart"/>
      <w:r w:rsidRPr="005B74A0">
        <w:rPr>
          <w:rFonts w:ascii="Arial" w:eastAsia="Times New Roman" w:hAnsi="Arial" w:cs="Arial"/>
          <w:lang w:eastAsia="en-GB"/>
        </w:rPr>
        <w:t>make reference</w:t>
      </w:r>
      <w:proofErr w:type="gramEnd"/>
      <w:r w:rsidRPr="005B74A0">
        <w:rPr>
          <w:rFonts w:ascii="Arial" w:eastAsia="Times New Roman" w:hAnsi="Arial" w:cs="Arial"/>
          <w:lang w:eastAsia="en-GB"/>
        </w:rPr>
        <w:t xml:space="preserve"> to relevant case studies.</w:t>
      </w:r>
    </w:p>
    <w:p w14:paraId="314D5C9C" w14:textId="77777777" w:rsidR="006B1409" w:rsidRPr="005B74A0" w:rsidRDefault="006B1409" w:rsidP="005B74A0">
      <w:pPr>
        <w:spacing w:after="0" w:line="276" w:lineRule="auto"/>
        <w:ind w:right="531"/>
        <w:rPr>
          <w:rFonts w:ascii="Arial" w:eastAsia="Times New Roman" w:hAnsi="Arial" w:cs="Arial"/>
          <w:lang w:eastAsia="en-GB"/>
        </w:rPr>
      </w:pPr>
      <w:r w:rsidRPr="005B74A0">
        <w:rPr>
          <w:rFonts w:ascii="Arial" w:eastAsia="Times New Roman" w:hAnsi="Arial" w:cs="Arial"/>
          <w:b/>
          <w:bCs/>
          <w:lang w:eastAsia="en-GB"/>
        </w:rPr>
        <w:t>Word limit:</w:t>
      </w:r>
      <w:r w:rsidRPr="005B74A0">
        <w:rPr>
          <w:rFonts w:ascii="Arial" w:eastAsia="Times New Roman" w:hAnsi="Arial" w:cs="Arial"/>
          <w:lang w:eastAsia="en-GB"/>
        </w:rPr>
        <w:t xml:space="preserve"> 1000 words.</w:t>
      </w:r>
    </w:p>
    <w:p w14:paraId="4191C7B4" w14:textId="34E92AF0" w:rsidR="00395ACC" w:rsidRPr="005B74A0" w:rsidRDefault="00395ACC">
      <w:pPr>
        <w:rPr>
          <w:rFonts w:ascii="Arial" w:hAnsi="Arial" w:cs="Arial"/>
        </w:rPr>
      </w:pPr>
    </w:p>
    <w:p w14:paraId="70211605" w14:textId="4944E08A" w:rsidR="006B1409" w:rsidRPr="005B74A0" w:rsidRDefault="006B1409" w:rsidP="00FB4D68">
      <w:pPr>
        <w:rPr>
          <w:rFonts w:ascii="Arial" w:hAnsi="Arial" w:cs="Arial"/>
        </w:rPr>
      </w:pPr>
      <w:r w:rsidRPr="005B74A0">
        <w:rPr>
          <w:rFonts w:ascii="Arial" w:hAnsi="Arial" w:cs="Arial"/>
        </w:rPr>
        <w:t>The Standards of Professional Behaviour</w:t>
      </w:r>
      <w:r w:rsidR="00507741" w:rsidRPr="005B74A0">
        <w:rPr>
          <w:rFonts w:ascii="Arial" w:hAnsi="Arial" w:cs="Arial"/>
        </w:rPr>
        <w:t xml:space="preserve"> (SPB)</w:t>
      </w:r>
      <w:r w:rsidRPr="005B74A0">
        <w:rPr>
          <w:rFonts w:ascii="Arial" w:hAnsi="Arial" w:cs="Arial"/>
        </w:rPr>
        <w:t xml:space="preserve"> in the Code of Ethics 2014 set</w:t>
      </w:r>
      <w:r w:rsidR="00A6242F" w:rsidRPr="005B74A0">
        <w:rPr>
          <w:rFonts w:ascii="Arial" w:hAnsi="Arial" w:cs="Arial"/>
        </w:rPr>
        <w:t>s</w:t>
      </w:r>
      <w:r w:rsidRPr="005B74A0">
        <w:rPr>
          <w:rFonts w:ascii="Arial" w:hAnsi="Arial" w:cs="Arial"/>
        </w:rPr>
        <w:t xml:space="preserve"> out the behaviours that the police in England and Wales must adhere to. According to the code, the standards are based on the expectations the public have of their officers (College of Policing 2014). </w:t>
      </w:r>
      <w:r w:rsidR="00E83319" w:rsidRPr="005B74A0">
        <w:rPr>
          <w:rFonts w:ascii="Arial" w:hAnsi="Arial" w:cs="Arial"/>
        </w:rPr>
        <w:t xml:space="preserve">When these standards are broken, public confidence can be negatively impacted. Jackson and Sunshine (2007) found that, in a rural English community, public confidence in policing had closer links to morality and values than perceived risk of crime. </w:t>
      </w:r>
      <w:r w:rsidR="001B0A61" w:rsidRPr="005B74A0">
        <w:rPr>
          <w:rFonts w:ascii="Arial" w:hAnsi="Arial" w:cs="Arial"/>
        </w:rPr>
        <w:t>Given that the police could be considered living examples of moral authority (Jackson et al 2009)</w:t>
      </w:r>
      <w:r w:rsidR="00E83319" w:rsidRPr="005B74A0">
        <w:rPr>
          <w:rFonts w:ascii="Arial" w:hAnsi="Arial" w:cs="Arial"/>
        </w:rPr>
        <w:t>, the Code of Ethics has an important role in frontline policing and public confidence.</w:t>
      </w:r>
    </w:p>
    <w:p w14:paraId="55DE03C5" w14:textId="7266E3C6" w:rsidR="00E83319" w:rsidRPr="005B74A0" w:rsidRDefault="00E83319" w:rsidP="00FB4D68">
      <w:pPr>
        <w:rPr>
          <w:rFonts w:ascii="Arial" w:hAnsi="Arial" w:cs="Arial"/>
        </w:rPr>
      </w:pPr>
      <w:r w:rsidRPr="005B74A0">
        <w:rPr>
          <w:rFonts w:ascii="Arial" w:hAnsi="Arial" w:cs="Arial"/>
        </w:rPr>
        <w:t xml:space="preserve">Police misconduct and malpractice are fortunately quite rare – only </w:t>
      </w:r>
      <w:r w:rsidR="001B0A61" w:rsidRPr="005B74A0">
        <w:rPr>
          <w:rFonts w:ascii="Arial" w:hAnsi="Arial" w:cs="Arial"/>
        </w:rPr>
        <w:t xml:space="preserve">374 referrals to proceedings were made against officers in the year ending March 2021 (Hargreaves 2022) – however they can be grievous and cause great public outrage, such as in the case of Wayne </w:t>
      </w:r>
      <w:proofErr w:type="spellStart"/>
      <w:r w:rsidR="001B0A61" w:rsidRPr="005B74A0">
        <w:rPr>
          <w:rFonts w:ascii="Arial" w:hAnsi="Arial" w:cs="Arial"/>
        </w:rPr>
        <w:t>Couzens</w:t>
      </w:r>
      <w:proofErr w:type="spellEnd"/>
      <w:r w:rsidR="001B0A61" w:rsidRPr="005B74A0">
        <w:rPr>
          <w:rFonts w:ascii="Arial" w:hAnsi="Arial" w:cs="Arial"/>
        </w:rPr>
        <w:t>, or the</w:t>
      </w:r>
      <w:r w:rsidR="00CE0067" w:rsidRPr="005B74A0">
        <w:rPr>
          <w:rFonts w:ascii="Arial" w:hAnsi="Arial" w:cs="Arial"/>
        </w:rPr>
        <w:t xml:space="preserve"> Independent Office for Police Conduct (</w:t>
      </w:r>
      <w:r w:rsidR="001B0A61" w:rsidRPr="005B74A0">
        <w:rPr>
          <w:rFonts w:ascii="Arial" w:hAnsi="Arial" w:cs="Arial"/>
        </w:rPr>
        <w:t>IOPC</w:t>
      </w:r>
      <w:r w:rsidR="00CE0067" w:rsidRPr="005B74A0">
        <w:rPr>
          <w:rFonts w:ascii="Arial" w:hAnsi="Arial" w:cs="Arial"/>
        </w:rPr>
        <w:t>)</w:t>
      </w:r>
      <w:r w:rsidR="001B0A61" w:rsidRPr="005B74A0">
        <w:rPr>
          <w:rFonts w:ascii="Arial" w:hAnsi="Arial" w:cs="Arial"/>
        </w:rPr>
        <w:t xml:space="preserve"> findings on</w:t>
      </w:r>
      <w:r w:rsidR="00CE0067" w:rsidRPr="005B74A0">
        <w:rPr>
          <w:rFonts w:ascii="Arial" w:hAnsi="Arial" w:cs="Arial"/>
        </w:rPr>
        <w:t xml:space="preserve"> the</w:t>
      </w:r>
      <w:r w:rsidR="001B0A61" w:rsidRPr="005B74A0">
        <w:rPr>
          <w:rFonts w:ascii="Arial" w:hAnsi="Arial" w:cs="Arial"/>
        </w:rPr>
        <w:t xml:space="preserve"> </w:t>
      </w:r>
      <w:r w:rsidR="00CE0067" w:rsidRPr="005B74A0">
        <w:rPr>
          <w:rFonts w:ascii="Arial" w:hAnsi="Arial" w:cs="Arial"/>
        </w:rPr>
        <w:t xml:space="preserve">impacts of the failings of the police in </w:t>
      </w:r>
      <w:r w:rsidR="001B0A61" w:rsidRPr="005B74A0">
        <w:rPr>
          <w:rFonts w:ascii="Arial" w:hAnsi="Arial" w:cs="Arial"/>
        </w:rPr>
        <w:t>the murders of Shana Grice and Alice Ruggles.</w:t>
      </w:r>
    </w:p>
    <w:p w14:paraId="4DA8C825" w14:textId="703D145E" w:rsidR="00CE0067" w:rsidRPr="005B74A0" w:rsidRDefault="00CE0067" w:rsidP="00FB4D68">
      <w:pPr>
        <w:rPr>
          <w:rFonts w:ascii="Arial" w:hAnsi="Arial" w:cs="Arial"/>
        </w:rPr>
      </w:pPr>
      <w:r w:rsidRPr="005B74A0">
        <w:rPr>
          <w:rFonts w:ascii="Arial" w:hAnsi="Arial" w:cs="Arial"/>
        </w:rPr>
        <w:t xml:space="preserve">One such case which is still cited today as </w:t>
      </w:r>
      <w:r w:rsidR="008346D5" w:rsidRPr="005B74A0">
        <w:rPr>
          <w:rFonts w:ascii="Arial" w:hAnsi="Arial" w:cs="Arial"/>
        </w:rPr>
        <w:t>influencing modern day policing practise is the murder of Stephen Lawrence in 1993. While waiting for a bus with a friend in April 1993, Stephen was subjected to racist name-calling and was attacked by a group of white youths, who stabbed him several times. Although Stephen was just one name in a spate of racially motivated murders in London around this time (Stone 2013), his death was the catalyst for policy changes within the police force when it came to policing minority communities. When Stephen’s parents were given the public support of Nelson Mandela</w:t>
      </w:r>
      <w:r w:rsidR="00D9244E" w:rsidRPr="005B74A0">
        <w:rPr>
          <w:rFonts w:ascii="Arial" w:hAnsi="Arial" w:cs="Arial"/>
        </w:rPr>
        <w:t>, the case blew up in the public eye</w:t>
      </w:r>
      <w:r w:rsidR="008346D5" w:rsidRPr="005B74A0">
        <w:rPr>
          <w:rFonts w:ascii="Arial" w:hAnsi="Arial" w:cs="Arial"/>
        </w:rPr>
        <w:t>,</w:t>
      </w:r>
      <w:r w:rsidR="00D9244E" w:rsidRPr="005B74A0">
        <w:rPr>
          <w:rFonts w:ascii="Arial" w:hAnsi="Arial" w:cs="Arial"/>
        </w:rPr>
        <w:t xml:space="preserve"> and</w:t>
      </w:r>
      <w:r w:rsidR="008346D5" w:rsidRPr="005B74A0">
        <w:rPr>
          <w:rFonts w:ascii="Arial" w:hAnsi="Arial" w:cs="Arial"/>
        </w:rPr>
        <w:t xml:space="preserve"> the Met Police were quick to move the investigation forwards</w:t>
      </w:r>
      <w:r w:rsidR="00D9244E" w:rsidRPr="005B74A0">
        <w:rPr>
          <w:rFonts w:ascii="Arial" w:hAnsi="Arial" w:cs="Arial"/>
        </w:rPr>
        <w:t>.</w:t>
      </w:r>
      <w:r w:rsidR="008346D5" w:rsidRPr="005B74A0">
        <w:rPr>
          <w:rFonts w:ascii="Arial" w:hAnsi="Arial" w:cs="Arial"/>
        </w:rPr>
        <w:t xml:space="preserve"> </w:t>
      </w:r>
      <w:r w:rsidR="00D9244E" w:rsidRPr="005B74A0">
        <w:rPr>
          <w:rFonts w:ascii="Arial" w:hAnsi="Arial" w:cs="Arial"/>
        </w:rPr>
        <w:t xml:space="preserve">They </w:t>
      </w:r>
      <w:r w:rsidR="008346D5" w:rsidRPr="005B74A0">
        <w:rPr>
          <w:rFonts w:ascii="Arial" w:hAnsi="Arial" w:cs="Arial"/>
        </w:rPr>
        <w:t>arrest</w:t>
      </w:r>
      <w:r w:rsidR="00D9244E" w:rsidRPr="005B74A0">
        <w:rPr>
          <w:rFonts w:ascii="Arial" w:hAnsi="Arial" w:cs="Arial"/>
        </w:rPr>
        <w:t>ed</w:t>
      </w:r>
      <w:r w:rsidR="008346D5" w:rsidRPr="005B74A0">
        <w:rPr>
          <w:rFonts w:ascii="Arial" w:hAnsi="Arial" w:cs="Arial"/>
        </w:rPr>
        <w:t xml:space="preserve"> the suspects within 24 hours despite having their names for two weeks previously</w:t>
      </w:r>
      <w:r w:rsidR="00D9244E" w:rsidRPr="005B74A0">
        <w:rPr>
          <w:rFonts w:ascii="Arial" w:hAnsi="Arial" w:cs="Arial"/>
        </w:rPr>
        <w:t xml:space="preserve"> and no additional evidence coming to light in this time</w:t>
      </w:r>
      <w:r w:rsidR="008346D5" w:rsidRPr="005B74A0">
        <w:rPr>
          <w:rFonts w:ascii="Arial" w:hAnsi="Arial" w:cs="Arial"/>
        </w:rPr>
        <w:t xml:space="preserve"> (Stone 2013).</w:t>
      </w:r>
    </w:p>
    <w:p w14:paraId="176DD818" w14:textId="72435AA6" w:rsidR="00A6242F" w:rsidRPr="005B74A0" w:rsidRDefault="00A6242F" w:rsidP="00FB4D68">
      <w:pPr>
        <w:rPr>
          <w:rFonts w:ascii="Arial" w:hAnsi="Arial" w:cs="Arial"/>
        </w:rPr>
      </w:pPr>
      <w:r w:rsidRPr="005B74A0">
        <w:rPr>
          <w:rFonts w:ascii="Arial" w:hAnsi="Arial" w:cs="Arial"/>
        </w:rPr>
        <w:t xml:space="preserve">Following the murder, an inquiry into the handling of the investigation found the Met Police to be an institutionally racist organisation </w:t>
      </w:r>
      <w:r w:rsidR="004451FD" w:rsidRPr="005B74A0">
        <w:rPr>
          <w:rFonts w:ascii="Arial" w:hAnsi="Arial" w:cs="Arial"/>
        </w:rPr>
        <w:t xml:space="preserve">(Long 2018) that neglected to provide a professional service to the victims of the crime because of their race (Macpherson 1999). </w:t>
      </w:r>
      <w:r w:rsidR="000D7A29" w:rsidRPr="005B74A0">
        <w:rPr>
          <w:rFonts w:ascii="Arial" w:hAnsi="Arial" w:cs="Arial"/>
        </w:rPr>
        <w:t>The inquiry made several recommendations to increase the accountability of police forces and restore public confidence, including giving full access to HMIC to conduct inspections and to monitor levels of recruitment of those from ethnic minority backgrounds (Macpherson 1999). It also stipulated that additional training should be given to include racism awareness and cultural diversity.</w:t>
      </w:r>
    </w:p>
    <w:p w14:paraId="1139425E" w14:textId="1CF97FED" w:rsidR="00D9244E" w:rsidRPr="005B74A0" w:rsidRDefault="00507741" w:rsidP="00FB4D68">
      <w:pPr>
        <w:rPr>
          <w:rFonts w:ascii="Arial" w:hAnsi="Arial" w:cs="Arial"/>
        </w:rPr>
      </w:pPr>
      <w:r w:rsidRPr="005B74A0">
        <w:rPr>
          <w:rFonts w:ascii="Arial" w:hAnsi="Arial" w:cs="Arial"/>
        </w:rPr>
        <w:t xml:space="preserve">Racism awareness and cultural diversity are included in the initial training of police officers as standard nowadays, because of the malpractice found in the above enquiry.  This is echoed in the Code of Ethics principles of fairness and respect, and the SPB point of equality and diversity. It is unfortunate that it takes such an event to </w:t>
      </w:r>
      <w:r w:rsidR="00F22E7F" w:rsidRPr="005B74A0">
        <w:rPr>
          <w:rFonts w:ascii="Arial" w:hAnsi="Arial" w:cs="Arial"/>
        </w:rPr>
        <w:t>spur these changes, especially as it is very difficult to win back public confidence after it has been lost.</w:t>
      </w:r>
    </w:p>
    <w:p w14:paraId="23A055B4" w14:textId="2AAD770C" w:rsidR="00403DE1" w:rsidRPr="005B74A0" w:rsidRDefault="009A3D75" w:rsidP="00FB4D68">
      <w:pPr>
        <w:rPr>
          <w:rFonts w:ascii="Arial" w:hAnsi="Arial" w:cs="Arial"/>
        </w:rPr>
      </w:pPr>
      <w:r w:rsidRPr="005B74A0">
        <w:rPr>
          <w:rFonts w:ascii="Arial" w:hAnsi="Arial" w:cs="Arial"/>
        </w:rPr>
        <w:t xml:space="preserve">Alongside the development of the Code of Ethics, policing in the United Kingdom has also moved towards an Evidence Based Policing (EBP) approach. </w:t>
      </w:r>
      <w:r w:rsidR="00F73963" w:rsidRPr="005B74A0">
        <w:rPr>
          <w:rFonts w:ascii="Arial" w:hAnsi="Arial" w:cs="Arial"/>
        </w:rPr>
        <w:t xml:space="preserve">Introduced by Lawrence Sherman in 1998, EBP aims to use the best available research to inform policing practise </w:t>
      </w:r>
      <w:r w:rsidR="00F73963" w:rsidRPr="005B74A0">
        <w:rPr>
          <w:rFonts w:ascii="Arial" w:hAnsi="Arial" w:cs="Arial"/>
        </w:rPr>
        <w:lastRenderedPageBreak/>
        <w:t>(Sidebottom and Tilley 2019). EBP helps to ensure not only consistency in policing, but better outcomes for victims and officers. As a paradigm, EPB is so successful that it has been implemented internationally</w:t>
      </w:r>
      <w:r w:rsidR="00DE4CD1" w:rsidRPr="005B74A0">
        <w:rPr>
          <w:rFonts w:ascii="Arial" w:hAnsi="Arial" w:cs="Arial"/>
        </w:rPr>
        <w:t xml:space="preserve"> and there are now even conferences held annually so forces can share best practise.</w:t>
      </w:r>
    </w:p>
    <w:p w14:paraId="79FCB4FB" w14:textId="18C7A3C9" w:rsidR="006B1409" w:rsidRPr="005B74A0" w:rsidRDefault="00DE4CD1" w:rsidP="00FB4D68">
      <w:pPr>
        <w:rPr>
          <w:rFonts w:ascii="Arial" w:hAnsi="Arial" w:cs="Arial"/>
        </w:rPr>
      </w:pPr>
      <w:r w:rsidRPr="005B74A0">
        <w:rPr>
          <w:rFonts w:ascii="Arial" w:hAnsi="Arial" w:cs="Arial"/>
        </w:rPr>
        <w:t xml:space="preserve">Because EBP is so deeply embedded in UK policing it is now used as standard to evaluate cases of misconduct and </w:t>
      </w:r>
      <w:r w:rsidR="005B74A0" w:rsidRPr="005B74A0">
        <w:rPr>
          <w:rFonts w:ascii="Arial" w:hAnsi="Arial" w:cs="Arial"/>
        </w:rPr>
        <w:t>malpractice and</w:t>
      </w:r>
      <w:r w:rsidRPr="005B74A0">
        <w:rPr>
          <w:rFonts w:ascii="Arial" w:hAnsi="Arial" w:cs="Arial"/>
        </w:rPr>
        <w:t xml:space="preserve"> inform and change</w:t>
      </w:r>
      <w:r w:rsidR="00DD4BCD" w:rsidRPr="005B74A0">
        <w:rPr>
          <w:rFonts w:ascii="Arial" w:hAnsi="Arial" w:cs="Arial"/>
        </w:rPr>
        <w:t xml:space="preserve"> policies as </w:t>
      </w:r>
      <w:r w:rsidR="00403DE1" w:rsidRPr="005B74A0">
        <w:rPr>
          <w:rFonts w:ascii="Arial" w:hAnsi="Arial" w:cs="Arial"/>
        </w:rPr>
        <w:t>deemed necessary (</w:t>
      </w:r>
      <w:proofErr w:type="spellStart"/>
      <w:r w:rsidR="00403DE1" w:rsidRPr="005B74A0">
        <w:rPr>
          <w:rFonts w:ascii="Arial" w:hAnsi="Arial" w:cs="Arial"/>
        </w:rPr>
        <w:t>Wheller</w:t>
      </w:r>
      <w:proofErr w:type="spellEnd"/>
      <w:r w:rsidR="00403DE1" w:rsidRPr="005B74A0">
        <w:rPr>
          <w:rFonts w:ascii="Arial" w:hAnsi="Arial" w:cs="Arial"/>
        </w:rPr>
        <w:t xml:space="preserve"> 2019). An example of EPB in practise is the introduction of body worn video (BWV) for officers. Evidence suggested that introducing BWV would not only improve criminal justice outcomes due to more opportunities to capture </w:t>
      </w:r>
      <w:r w:rsidR="005B74A0" w:rsidRPr="005B74A0">
        <w:rPr>
          <w:rFonts w:ascii="Arial" w:hAnsi="Arial" w:cs="Arial"/>
        </w:rPr>
        <w:t>evidence but</w:t>
      </w:r>
      <w:r w:rsidR="00403DE1" w:rsidRPr="005B74A0">
        <w:rPr>
          <w:rFonts w:ascii="Arial" w:hAnsi="Arial" w:cs="Arial"/>
        </w:rPr>
        <w:t xml:space="preserve"> would also increase accountability for officers as they knew they were also being captured on video. The thinking was that this would increase the quality of public interactions and reduce unnecessary stop and searches which can result in complaints (</w:t>
      </w:r>
      <w:proofErr w:type="spellStart"/>
      <w:r w:rsidR="00403DE1" w:rsidRPr="005B74A0">
        <w:rPr>
          <w:rFonts w:ascii="Arial" w:hAnsi="Arial" w:cs="Arial"/>
        </w:rPr>
        <w:t>Grossmith</w:t>
      </w:r>
      <w:proofErr w:type="spellEnd"/>
      <w:r w:rsidR="00403DE1" w:rsidRPr="005B74A0">
        <w:rPr>
          <w:rFonts w:ascii="Arial" w:hAnsi="Arial" w:cs="Arial"/>
        </w:rPr>
        <w:t xml:space="preserve"> et al 2015). As an extension, BWV should decrease instances of police misconduct and malpractice. </w:t>
      </w:r>
      <w:proofErr w:type="gramStart"/>
      <w:r w:rsidR="00AF37DC" w:rsidRPr="005B74A0">
        <w:rPr>
          <w:rFonts w:ascii="Arial" w:hAnsi="Arial" w:cs="Arial"/>
        </w:rPr>
        <w:t xml:space="preserve">In actuality, </w:t>
      </w:r>
      <w:proofErr w:type="spellStart"/>
      <w:r w:rsidR="00AF37DC" w:rsidRPr="005B74A0">
        <w:rPr>
          <w:rFonts w:ascii="Arial" w:hAnsi="Arial" w:cs="Arial"/>
        </w:rPr>
        <w:t>Grossmith</w:t>
      </w:r>
      <w:proofErr w:type="spellEnd"/>
      <w:proofErr w:type="gramEnd"/>
      <w:r w:rsidR="00AF37DC" w:rsidRPr="005B74A0">
        <w:rPr>
          <w:rFonts w:ascii="Arial" w:hAnsi="Arial" w:cs="Arial"/>
        </w:rPr>
        <w:t xml:space="preserve"> et </w:t>
      </w:r>
      <w:proofErr w:type="spellStart"/>
      <w:r w:rsidR="00AF37DC" w:rsidRPr="005B74A0">
        <w:rPr>
          <w:rFonts w:ascii="Arial" w:hAnsi="Arial" w:cs="Arial"/>
        </w:rPr>
        <w:t>al’s</w:t>
      </w:r>
      <w:proofErr w:type="spellEnd"/>
      <w:r w:rsidR="00AF37DC" w:rsidRPr="005B74A0">
        <w:rPr>
          <w:rFonts w:ascii="Arial" w:hAnsi="Arial" w:cs="Arial"/>
        </w:rPr>
        <w:t xml:space="preserve"> study showed that BWV did not have much impact on stop and searches, or on how officers handle interactions with the public</w:t>
      </w:r>
      <w:r w:rsidR="00D50E32" w:rsidRPr="005B74A0">
        <w:rPr>
          <w:rFonts w:ascii="Arial" w:hAnsi="Arial" w:cs="Arial"/>
        </w:rPr>
        <w:t>,</w:t>
      </w:r>
      <w:r w:rsidR="00AF37DC" w:rsidRPr="005B74A0">
        <w:rPr>
          <w:rFonts w:ascii="Arial" w:hAnsi="Arial" w:cs="Arial"/>
        </w:rPr>
        <w:t xml:space="preserve"> but it was praised for its innovation as a way of sharing information, increasing intelligence and for officer’s professional development. However, complaints did decrease, there was some effect on the levels of confidence in the police, and the pubic were generally supportive of the use of BWV.</w:t>
      </w:r>
    </w:p>
    <w:p w14:paraId="42905AF0" w14:textId="0912138C" w:rsidR="00B873D5" w:rsidRPr="005B74A0" w:rsidRDefault="00AF37DC" w:rsidP="00FB4D68">
      <w:pPr>
        <w:spacing w:after="0" w:line="276" w:lineRule="auto"/>
        <w:ind w:right="531"/>
        <w:rPr>
          <w:rFonts w:ascii="Arial" w:eastAsia="Times New Roman" w:hAnsi="Arial" w:cs="Arial"/>
          <w:lang w:eastAsia="en-GB"/>
        </w:rPr>
      </w:pPr>
      <w:r w:rsidRPr="005B74A0">
        <w:rPr>
          <w:rFonts w:ascii="Arial" w:hAnsi="Arial" w:cs="Arial"/>
        </w:rPr>
        <w:t xml:space="preserve">Police misconduct and </w:t>
      </w:r>
      <w:r w:rsidR="005B74A0" w:rsidRPr="005B74A0">
        <w:rPr>
          <w:rFonts w:ascii="Arial" w:hAnsi="Arial" w:cs="Arial"/>
        </w:rPr>
        <w:t>malpractice</w:t>
      </w:r>
      <w:r w:rsidRPr="005B74A0">
        <w:rPr>
          <w:rFonts w:ascii="Arial" w:hAnsi="Arial" w:cs="Arial"/>
        </w:rPr>
        <w:t xml:space="preserve"> cases can be very harmful to public confidence in the police</w:t>
      </w:r>
      <w:r w:rsidR="00F4573D" w:rsidRPr="005B74A0">
        <w:rPr>
          <w:rFonts w:ascii="Arial" w:hAnsi="Arial" w:cs="Arial"/>
        </w:rPr>
        <w:t xml:space="preserve">. </w:t>
      </w:r>
      <w:r w:rsidR="00B873D5" w:rsidRPr="005B74A0">
        <w:rPr>
          <w:rFonts w:ascii="Arial" w:eastAsia="Times New Roman" w:hAnsi="Arial" w:cs="Arial"/>
          <w:lang w:eastAsia="en-GB"/>
        </w:rPr>
        <w:t xml:space="preserve">Unfortunately, there will always be individual cases of police malpractice or misconduct. However, whenever there has been a case of police misconduct, it has been followed by a review and implementation of changes and adaptions to current laws, </w:t>
      </w:r>
      <w:r w:rsidR="00B873D5" w:rsidRPr="005B74A0">
        <w:rPr>
          <w:rFonts w:ascii="Arial" w:eastAsia="Times New Roman" w:hAnsi="Arial" w:cs="Arial"/>
          <w:lang w:eastAsia="en-GB"/>
        </w:rPr>
        <w:t>policy,</w:t>
      </w:r>
      <w:r w:rsidR="00B873D5" w:rsidRPr="005B74A0">
        <w:rPr>
          <w:rFonts w:ascii="Arial" w:eastAsia="Times New Roman" w:hAnsi="Arial" w:cs="Arial"/>
          <w:lang w:eastAsia="en-GB"/>
        </w:rPr>
        <w:t xml:space="preserve"> and procedures. The introduction of PACE stop search powers </w:t>
      </w:r>
      <w:sdt>
        <w:sdtPr>
          <w:rPr>
            <w:rFonts w:ascii="Arial" w:eastAsia="Times New Roman" w:hAnsi="Arial" w:cs="Arial"/>
            <w:lang w:eastAsia="en-GB"/>
          </w:rPr>
          <w:id w:val="1010100810"/>
          <w:citation/>
        </w:sdtPr>
        <w:sdtContent>
          <w:r w:rsidR="00B873D5" w:rsidRPr="005B74A0">
            <w:rPr>
              <w:rFonts w:ascii="Arial" w:eastAsia="Times New Roman" w:hAnsi="Arial" w:cs="Arial"/>
              <w:lang w:eastAsia="en-GB"/>
            </w:rPr>
            <w:fldChar w:fldCharType="begin"/>
          </w:r>
          <w:r w:rsidR="00B873D5" w:rsidRPr="005B74A0">
            <w:rPr>
              <w:rFonts w:ascii="Arial" w:eastAsia="Times New Roman" w:hAnsi="Arial" w:cs="Arial"/>
              <w:lang w:eastAsia="en-GB"/>
            </w:rPr>
            <w:instrText xml:space="preserve">CITATION The221 \l 2057 </w:instrText>
          </w:r>
          <w:r w:rsidR="00B873D5" w:rsidRPr="005B74A0">
            <w:rPr>
              <w:rFonts w:ascii="Arial" w:eastAsia="Times New Roman" w:hAnsi="Arial" w:cs="Arial"/>
              <w:lang w:eastAsia="en-GB"/>
            </w:rPr>
            <w:fldChar w:fldCharType="separate"/>
          </w:r>
          <w:r w:rsidR="00D009F8" w:rsidRPr="00D009F8">
            <w:rPr>
              <w:rFonts w:ascii="Arial" w:eastAsia="Times New Roman" w:hAnsi="Arial" w:cs="Arial"/>
              <w:noProof/>
              <w:lang w:eastAsia="en-GB"/>
            </w:rPr>
            <w:t>(Police and Criminal Evidence Act 1984, 2022)</w:t>
          </w:r>
          <w:r w:rsidR="00B873D5" w:rsidRPr="005B74A0">
            <w:rPr>
              <w:rFonts w:ascii="Arial" w:eastAsia="Times New Roman" w:hAnsi="Arial" w:cs="Arial"/>
              <w:lang w:eastAsia="en-GB"/>
            </w:rPr>
            <w:fldChar w:fldCharType="end"/>
          </w:r>
        </w:sdtContent>
      </w:sdt>
      <w:r w:rsidR="00B873D5" w:rsidRPr="005B74A0">
        <w:rPr>
          <w:rFonts w:ascii="Arial" w:eastAsia="Times New Roman" w:hAnsi="Arial" w:cs="Arial"/>
          <w:lang w:eastAsia="en-GB"/>
        </w:rPr>
        <w:t xml:space="preserve"> and the implementation of the Code of Ethics </w:t>
      </w:r>
      <w:sdt>
        <w:sdtPr>
          <w:rPr>
            <w:rFonts w:ascii="Arial" w:eastAsia="Times New Roman" w:hAnsi="Arial" w:cs="Arial"/>
            <w:lang w:eastAsia="en-GB"/>
          </w:rPr>
          <w:id w:val="-833600734"/>
          <w:citation/>
        </w:sdtPr>
        <w:sdtContent>
          <w:r w:rsidR="00B873D5" w:rsidRPr="005B74A0">
            <w:rPr>
              <w:rFonts w:ascii="Arial" w:eastAsia="Times New Roman" w:hAnsi="Arial" w:cs="Arial"/>
              <w:lang w:eastAsia="en-GB"/>
            </w:rPr>
            <w:fldChar w:fldCharType="begin"/>
          </w:r>
          <w:r w:rsidR="00B873D5" w:rsidRPr="005B74A0">
            <w:rPr>
              <w:rFonts w:ascii="Arial" w:eastAsia="Times New Roman" w:hAnsi="Arial" w:cs="Arial"/>
              <w:lang w:eastAsia="en-GB"/>
            </w:rPr>
            <w:instrText xml:space="preserve"> CITATION Col224 \l 2057 </w:instrText>
          </w:r>
          <w:r w:rsidR="00B873D5" w:rsidRPr="005B74A0">
            <w:rPr>
              <w:rFonts w:ascii="Arial" w:eastAsia="Times New Roman" w:hAnsi="Arial" w:cs="Arial"/>
              <w:lang w:eastAsia="en-GB"/>
            </w:rPr>
            <w:fldChar w:fldCharType="separate"/>
          </w:r>
          <w:r w:rsidR="00D009F8" w:rsidRPr="00D009F8">
            <w:rPr>
              <w:rFonts w:ascii="Arial" w:eastAsia="Times New Roman" w:hAnsi="Arial" w:cs="Arial"/>
              <w:noProof/>
              <w:lang w:eastAsia="en-GB"/>
            </w:rPr>
            <w:t>(College of Policing, 2022)</w:t>
          </w:r>
          <w:r w:rsidR="00B873D5" w:rsidRPr="005B74A0">
            <w:rPr>
              <w:rFonts w:ascii="Arial" w:eastAsia="Times New Roman" w:hAnsi="Arial" w:cs="Arial"/>
              <w:lang w:eastAsia="en-GB"/>
            </w:rPr>
            <w:fldChar w:fldCharType="end"/>
          </w:r>
        </w:sdtContent>
      </w:sdt>
      <w:r w:rsidR="00B873D5" w:rsidRPr="005B74A0">
        <w:rPr>
          <w:rFonts w:ascii="Arial" w:eastAsia="Times New Roman" w:hAnsi="Arial" w:cs="Arial"/>
          <w:lang w:eastAsia="en-GB"/>
        </w:rPr>
        <w:t xml:space="preserve"> is evidence of the Police trying to improve public perception and confidence in the police force.</w:t>
      </w:r>
    </w:p>
    <w:p w14:paraId="1E6113BE" w14:textId="25F726AA" w:rsidR="00AF37DC" w:rsidRPr="005B74A0" w:rsidRDefault="00B873D5">
      <w:pPr>
        <w:rPr>
          <w:rFonts w:ascii="Arial" w:hAnsi="Arial" w:cs="Arial"/>
        </w:rPr>
      </w:pPr>
      <w:r w:rsidRPr="005B74A0">
        <w:rPr>
          <w:rFonts w:ascii="Arial" w:hAnsi="Arial" w:cs="Arial"/>
        </w:rPr>
        <w:t>(890 Words)</w:t>
      </w:r>
    </w:p>
    <w:p w14:paraId="2142C582" w14:textId="199FD416" w:rsidR="006B1409" w:rsidRPr="00C51ADF" w:rsidRDefault="006B1409">
      <w:pPr>
        <w:rPr>
          <w:rFonts w:cstheme="minorHAnsi"/>
        </w:rPr>
      </w:pPr>
    </w:p>
    <w:p w14:paraId="5E1E192F"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B9D2911"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4965416"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352B311"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E2737EA"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E668DA8"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2A5D505"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55B0180"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8D8BAE5"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009C763"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8D5221F"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ECC023B"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5F43670"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9B35913"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0DA80B0"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79E3114"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B2B70DB"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9110787"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9A3080B"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4899E0C" w14:textId="2D5AA61A" w:rsidR="00843885" w:rsidRPr="006C3C20" w:rsidRDefault="00843885" w:rsidP="00843885">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two:</w:t>
      </w:r>
      <w:r w:rsidRPr="006C3C20">
        <w:rPr>
          <w:rFonts w:ascii="Arial" w:eastAsia="Times New Roman" w:hAnsi="Arial" w:cs="Arial"/>
          <w:lang w:eastAsia="en-GB"/>
        </w:rPr>
        <w:t xml:space="preserve"> </w:t>
      </w:r>
    </w:p>
    <w:p w14:paraId="5E812260" w14:textId="77777777" w:rsidR="00843885" w:rsidRPr="0096070A" w:rsidRDefault="00843885" w:rsidP="00843885">
      <w:pPr>
        <w:overflowPunct w:val="0"/>
        <w:autoSpaceDE w:val="0"/>
        <w:autoSpaceDN w:val="0"/>
        <w:adjustRightInd w:val="0"/>
        <w:spacing w:after="0" w:line="276" w:lineRule="auto"/>
        <w:ind w:right="531"/>
        <w:textAlignment w:val="baseline"/>
        <w:rPr>
          <w:rFonts w:ascii="Arial" w:eastAsia="Times New Roman" w:hAnsi="Arial" w:cs="Arial"/>
          <w:u w:val="single"/>
          <w:lang w:eastAsia="en-GB"/>
        </w:rPr>
      </w:pPr>
      <w:r>
        <w:rPr>
          <w:rFonts w:ascii="Arial" w:eastAsia="Times New Roman" w:hAnsi="Arial" w:cs="Arial"/>
          <w:u w:val="single"/>
          <w:lang w:eastAsia="en-GB"/>
        </w:rPr>
        <w:t>Examine</w:t>
      </w:r>
      <w:r>
        <w:rPr>
          <w:rFonts w:ascii="Arial" w:eastAsia="Times New Roman" w:hAnsi="Arial" w:cs="Arial"/>
          <w:lang w:eastAsia="en-GB"/>
        </w:rPr>
        <w:t xml:space="preserve"> why certain groups might be vulnerable to being targeted by Serious and Organised Crime Groups and </w:t>
      </w:r>
      <w:r>
        <w:rPr>
          <w:rFonts w:ascii="Arial" w:eastAsia="Times New Roman" w:hAnsi="Arial" w:cs="Arial"/>
          <w:u w:val="single"/>
          <w:lang w:eastAsia="en-GB"/>
        </w:rPr>
        <w:t>analyse</w:t>
      </w:r>
      <w:r>
        <w:rPr>
          <w:rFonts w:ascii="Arial" w:eastAsia="Times New Roman" w:hAnsi="Arial" w:cs="Arial"/>
          <w:lang w:eastAsia="en-GB"/>
        </w:rPr>
        <w:t xml:space="preserve"> the effectiveness of police practices to investigate such issues.</w:t>
      </w:r>
    </w:p>
    <w:p w14:paraId="1B10ABFF" w14:textId="77777777" w:rsidR="00843885" w:rsidRPr="00351DD5" w:rsidRDefault="00843885" w:rsidP="00843885">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Your answer should be based on academic research rather than personal experience.</w:t>
      </w:r>
    </w:p>
    <w:p w14:paraId="69A3176C" w14:textId="77777777" w:rsidR="00843885" w:rsidRDefault="00843885" w:rsidP="00843885">
      <w:pPr>
        <w:spacing w:after="0" w:line="276" w:lineRule="auto"/>
        <w:ind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30C67682" w14:textId="77777777" w:rsidR="00843885" w:rsidRDefault="00843885" w:rsidP="00843885">
      <w:pPr>
        <w:spacing w:after="0" w:line="276" w:lineRule="auto"/>
        <w:ind w:left="567" w:right="531"/>
        <w:rPr>
          <w:rFonts w:ascii="Arial" w:eastAsia="Times New Roman" w:hAnsi="Arial" w:cs="Arial"/>
          <w:lang w:eastAsia="en-GB"/>
        </w:rPr>
      </w:pPr>
    </w:p>
    <w:p w14:paraId="48BD1EC3" w14:textId="38FF4DA1"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National Police Chiefs’ Council defines a vulnerable person as “A person is vulnerable if, because of their situation or circumstances, they are unable to take care of or protect themselves or others from harm or exploitation” </w:t>
      </w:r>
      <w:sdt>
        <w:sdtPr>
          <w:rPr>
            <w:rFonts w:ascii="Arial" w:eastAsia="Times New Roman" w:hAnsi="Arial" w:cs="Arial"/>
            <w:lang w:eastAsia="en-GB"/>
          </w:rPr>
          <w:id w:val="1030842709"/>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Nat22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(National Vulnerability Action Plan, 2022)</w:t>
          </w:r>
          <w:r>
            <w:rPr>
              <w:rFonts w:ascii="Arial" w:eastAsia="Times New Roman" w:hAnsi="Arial" w:cs="Arial"/>
              <w:lang w:eastAsia="en-GB"/>
            </w:rPr>
            <w:fldChar w:fldCharType="end"/>
          </w:r>
        </w:sdtContent>
      </w:sdt>
      <w:r>
        <w:rPr>
          <w:rFonts w:ascii="Arial" w:eastAsia="Times New Roman" w:hAnsi="Arial" w:cs="Arial"/>
          <w:lang w:eastAsia="en-GB"/>
        </w:rPr>
        <w:t xml:space="preserve">. The Crown Prosecution Service define OCG’s as ‘a group which: has at its purpose, or one of its purposes, the carrying on of criminal activities, and consists of three or more people who agree to act together to further that purpose’ </w:t>
      </w:r>
      <w:sdt>
        <w:sdtPr>
          <w:rPr>
            <w:rFonts w:ascii="Arial" w:eastAsia="Times New Roman" w:hAnsi="Arial" w:cs="Arial"/>
            <w:lang w:eastAsia="en-GB"/>
          </w:rPr>
          <w:id w:val="1929836129"/>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Cro20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(Crown Prosecution Service, 2020)</w:t>
          </w:r>
          <w:r>
            <w:rPr>
              <w:rFonts w:ascii="Arial" w:eastAsia="Times New Roman" w:hAnsi="Arial" w:cs="Arial"/>
              <w:lang w:eastAsia="en-GB"/>
            </w:rPr>
            <w:fldChar w:fldCharType="end"/>
          </w:r>
        </w:sdtContent>
      </w:sdt>
      <w:r>
        <w:rPr>
          <w:rFonts w:ascii="Arial" w:eastAsia="Times New Roman" w:hAnsi="Arial" w:cs="Arial"/>
          <w:lang w:eastAsia="en-GB"/>
        </w:rPr>
        <w:t xml:space="preserve">. OCGs have been steadily developing new tactics and methods to recruit new members to assist in their illegal operations be it with money or providing easy access to drugs </w:t>
      </w:r>
      <w:sdt>
        <w:sdtPr>
          <w:rPr>
            <w:rFonts w:ascii="Arial" w:eastAsia="Times New Roman" w:hAnsi="Arial" w:cs="Arial"/>
            <w:lang w:eastAsia="en-GB"/>
          </w:rPr>
          <w:id w:val="265749410"/>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Loc22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(Local Government Association , 2022)</w:t>
          </w:r>
          <w:r>
            <w:rPr>
              <w:rFonts w:ascii="Arial" w:eastAsia="Times New Roman" w:hAnsi="Arial" w:cs="Arial"/>
              <w:lang w:eastAsia="en-GB"/>
            </w:rPr>
            <w:fldChar w:fldCharType="end"/>
          </w:r>
        </w:sdtContent>
      </w:sdt>
      <w:r>
        <w:rPr>
          <w:rFonts w:ascii="Arial" w:eastAsia="Times New Roman" w:hAnsi="Arial" w:cs="Arial"/>
          <w:lang w:eastAsia="en-GB"/>
        </w:rPr>
        <w:t>.</w:t>
      </w:r>
    </w:p>
    <w:p w14:paraId="1A51E7E6" w14:textId="77777777" w:rsidR="00843885" w:rsidRDefault="00843885" w:rsidP="00843885">
      <w:pPr>
        <w:spacing w:after="0" w:line="276" w:lineRule="auto"/>
        <w:ind w:left="567" w:right="531"/>
        <w:rPr>
          <w:rFonts w:ascii="Arial" w:eastAsia="Times New Roman" w:hAnsi="Arial" w:cs="Arial"/>
          <w:lang w:eastAsia="en-GB"/>
        </w:rPr>
      </w:pPr>
    </w:p>
    <w:p w14:paraId="533A19DA" w14:textId="5AAB0F68"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OCGs have now started rapidly expanding their profitable supply of controlled drugs </w:t>
      </w:r>
      <w:sdt>
        <w:sdtPr>
          <w:rPr>
            <w:rFonts w:ascii="Arial" w:eastAsia="Times New Roman" w:hAnsi="Arial" w:cs="Arial"/>
            <w:lang w:eastAsia="en-GB"/>
          </w:rPr>
          <w:id w:val="-850415803"/>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Nat151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(National Security Council, 2015)</w:t>
          </w:r>
          <w:r>
            <w:rPr>
              <w:rFonts w:ascii="Arial" w:eastAsia="Times New Roman" w:hAnsi="Arial" w:cs="Arial"/>
              <w:lang w:eastAsia="en-GB"/>
            </w:rPr>
            <w:fldChar w:fldCharType="end"/>
          </w:r>
        </w:sdtContent>
      </w:sdt>
      <w:r>
        <w:rPr>
          <w:rFonts w:ascii="Arial" w:eastAsia="Times New Roman" w:hAnsi="Arial" w:cs="Arial"/>
          <w:lang w:eastAsia="en-GB"/>
        </w:rPr>
        <w:t xml:space="preserve"> by targeting and using vulnerable persons to aid their efforts in distributing controlled substances. But why do OCG’s target vulnerable persons/groups? One group of vulnerable persons that are targeted relentlessly by OCG’s are children. The Home Office use the term Child Criminal Exploitation and defined as “where an individual or group takes advantage of an imbalance of power to coerce, control, manipulate or deceive a child or young person under the age of 18” </w:t>
      </w:r>
      <w:sdt>
        <w:sdtPr>
          <w:rPr>
            <w:rFonts w:ascii="Arial" w:eastAsia="Times New Roman" w:hAnsi="Arial" w:cs="Arial"/>
            <w:lang w:eastAsia="en-GB"/>
          </w:rPr>
          <w:id w:val="1844591315"/>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Hom18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 2018)</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76FE9BFB" w14:textId="77777777" w:rsidR="00843885" w:rsidRDefault="00843885" w:rsidP="00843885">
      <w:pPr>
        <w:spacing w:after="0" w:line="276" w:lineRule="auto"/>
        <w:ind w:left="567" w:right="531"/>
        <w:rPr>
          <w:rFonts w:ascii="Arial" w:eastAsia="Times New Roman" w:hAnsi="Arial" w:cs="Arial"/>
          <w:lang w:eastAsia="en-GB"/>
        </w:rPr>
      </w:pPr>
    </w:p>
    <w:p w14:paraId="20B2D995" w14:textId="212FB5A1"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Children/young persons may be more impressionable, easily influenced and as a result, may be more vulnerable to lure and influences of OCGs. But OCGs attempt to recruit vulnerable children who are easily influence and controllable. County Lines is a major, country wide issue involving drugs, violence, gangs, criminal and sexual exploitation. The UK Government defines County Lines as: ‘A term used to describe gangs and organised criminal networks involved in exporting illegal drugs into one or more importing areas within the UK, using dedicated mobile phone lines or another form of deal line. They are likely to exploit children and vulnerable adults to move and store the drugs and money and they will often use coercion, intimidation, violence (including sexual) and weapons’ </w:t>
      </w:r>
      <w:sdt>
        <w:sdtPr>
          <w:rPr>
            <w:rFonts w:ascii="Arial" w:eastAsia="Times New Roman" w:hAnsi="Arial" w:cs="Arial"/>
            <w:lang w:eastAsia="en-GB"/>
          </w:rPr>
          <w:id w:val="-2027550174"/>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Hom18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 2018)</w:t>
          </w:r>
          <w:r>
            <w:rPr>
              <w:rFonts w:ascii="Arial" w:eastAsia="Times New Roman" w:hAnsi="Arial" w:cs="Arial"/>
              <w:lang w:eastAsia="en-GB"/>
            </w:rPr>
            <w:fldChar w:fldCharType="end"/>
          </w:r>
        </w:sdtContent>
      </w:sdt>
      <w:r>
        <w:rPr>
          <w:rFonts w:ascii="Arial" w:eastAsia="Times New Roman" w:hAnsi="Arial" w:cs="Arial"/>
          <w:lang w:eastAsia="en-GB"/>
        </w:rPr>
        <w:t xml:space="preserve">. </w:t>
      </w:r>
      <w:r>
        <w:rPr>
          <w:rFonts w:ascii="Arial" w:eastAsia="Times New Roman" w:hAnsi="Arial" w:cs="Arial"/>
          <w:lang w:eastAsia="en-GB"/>
        </w:rPr>
        <w:br/>
      </w:r>
    </w:p>
    <w:p w14:paraId="0851E41A" w14:textId="6EDB83C5"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 government report </w:t>
      </w:r>
      <w:sdt>
        <w:sdtPr>
          <w:rPr>
            <w:rFonts w:ascii="Arial" w:eastAsia="Times New Roman" w:hAnsi="Arial" w:cs="Arial"/>
            <w:lang w:eastAsia="en-GB"/>
          </w:rPr>
          <w:id w:val="-492633237"/>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Hom18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 2018)</w:t>
          </w:r>
          <w:r>
            <w:rPr>
              <w:rFonts w:ascii="Arial" w:eastAsia="Times New Roman" w:hAnsi="Arial" w:cs="Arial"/>
              <w:lang w:eastAsia="en-GB"/>
            </w:rPr>
            <w:fldChar w:fldCharType="end"/>
          </w:r>
        </w:sdtContent>
      </w:sdt>
      <w:r>
        <w:rPr>
          <w:rFonts w:ascii="Arial" w:eastAsia="Times New Roman" w:hAnsi="Arial" w:cs="Arial"/>
          <w:lang w:eastAsia="en-GB"/>
        </w:rPr>
        <w:t xml:space="preserve"> surrounding ‘County Lines’ states that OCGs are known to target vulnerable children if they have “prior experience of neglect, lack of a safe/stable home environment, social isolation or difficulties, economically vulnerable, insecure accommodation, connections with other people already involved in OCG, physical or leaning disability, mental health or substance misuse, being in care and being excluded from mainstream education” </w:t>
      </w:r>
      <w:sdt>
        <w:sdtPr>
          <w:rPr>
            <w:rFonts w:ascii="Arial" w:eastAsia="Times New Roman" w:hAnsi="Arial" w:cs="Arial"/>
            <w:lang w:eastAsia="en-GB"/>
          </w:rPr>
          <w:id w:val="954979088"/>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Hom18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 2018)</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372D2642" w14:textId="77777777" w:rsidR="00843885" w:rsidRDefault="00843885" w:rsidP="00843885">
      <w:pPr>
        <w:spacing w:after="0" w:line="276" w:lineRule="auto"/>
        <w:ind w:right="531"/>
        <w:rPr>
          <w:rFonts w:ascii="Arial" w:eastAsia="Times New Roman" w:hAnsi="Arial" w:cs="Arial"/>
          <w:lang w:eastAsia="en-GB"/>
        </w:rPr>
      </w:pPr>
    </w:p>
    <w:p w14:paraId="001F8EA5" w14:textId="67F08084"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Vulnerable adults are also targets for OCGs to manipulate, </w:t>
      </w:r>
      <w:proofErr w:type="gramStart"/>
      <w:r>
        <w:rPr>
          <w:rFonts w:ascii="Arial" w:eastAsia="Times New Roman" w:hAnsi="Arial" w:cs="Arial"/>
          <w:lang w:eastAsia="en-GB"/>
        </w:rPr>
        <w:t>control</w:t>
      </w:r>
      <w:proofErr w:type="gramEnd"/>
      <w:r>
        <w:rPr>
          <w:rFonts w:ascii="Arial" w:eastAsia="Times New Roman" w:hAnsi="Arial" w:cs="Arial"/>
          <w:lang w:eastAsia="en-GB"/>
        </w:rPr>
        <w:t xml:space="preserve"> and take advantage of, and to assist the OCG in their criminal operations. Examples of vulnerable adults are those that are dependent on drug use, vulnerable women, and adults with welfare needs. The gangs will manipulate, </w:t>
      </w:r>
      <w:proofErr w:type="gramStart"/>
      <w:r>
        <w:rPr>
          <w:rFonts w:ascii="Arial" w:eastAsia="Times New Roman" w:hAnsi="Arial" w:cs="Arial"/>
          <w:lang w:eastAsia="en-GB"/>
        </w:rPr>
        <w:t>abuse</w:t>
      </w:r>
      <w:proofErr w:type="gramEnd"/>
      <w:r>
        <w:rPr>
          <w:rFonts w:ascii="Arial" w:eastAsia="Times New Roman" w:hAnsi="Arial" w:cs="Arial"/>
          <w:lang w:eastAsia="en-GB"/>
        </w:rPr>
        <w:t xml:space="preserve"> and control these persons by providing or </w:t>
      </w:r>
      <w:r>
        <w:rPr>
          <w:rFonts w:ascii="Arial" w:eastAsia="Times New Roman" w:hAnsi="Arial" w:cs="Arial"/>
          <w:lang w:eastAsia="en-GB"/>
        </w:rPr>
        <w:lastRenderedPageBreak/>
        <w:t xml:space="preserve">supplying a need that the vulnerable person requires. Drug users are paid and controlled through access to drugs, controlled by the OCG and persons with learning disabilities and mental health problems are taken advantage of by the OCG cultivating relationships with these people, praying on the desire for companionship and the vulnerability that brings </w:t>
      </w:r>
      <w:sdt>
        <w:sdtPr>
          <w:rPr>
            <w:rFonts w:ascii="Arial" w:eastAsia="Times New Roman" w:hAnsi="Arial" w:cs="Arial"/>
            <w:lang w:eastAsia="en-GB"/>
          </w:rPr>
          <w:id w:val="-1762294986"/>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Nat15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(National Crime Agency, 2015)</w:t>
          </w:r>
          <w:r>
            <w:rPr>
              <w:rFonts w:ascii="Arial" w:eastAsia="Times New Roman" w:hAnsi="Arial" w:cs="Arial"/>
              <w:lang w:eastAsia="en-GB"/>
            </w:rPr>
            <w:fldChar w:fldCharType="end"/>
          </w:r>
        </w:sdtContent>
      </w:sdt>
      <w:r>
        <w:rPr>
          <w:rFonts w:ascii="Arial" w:eastAsia="Times New Roman" w:hAnsi="Arial" w:cs="Arial"/>
          <w:lang w:eastAsia="en-GB"/>
        </w:rPr>
        <w:t xml:space="preserve">. A method OCGs use to secure a safe location for their operations is known as ‘Cuckooing’. This method is where a OCG dealer ‘takes over’ accommodation, using it as a local dealing base and it is achieved by targeting the local vulnerable people </w:t>
      </w:r>
      <w:sdt>
        <w:sdtPr>
          <w:rPr>
            <w:rFonts w:ascii="Arial" w:eastAsia="Times New Roman" w:hAnsi="Arial" w:cs="Arial"/>
            <w:lang w:eastAsia="en-GB"/>
          </w:rPr>
          <w:id w:val="-1136726426"/>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Coo12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(Coomber &amp; Moyle, 2012)</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55AFF6E7" w14:textId="77777777" w:rsidR="00843885" w:rsidRDefault="00843885" w:rsidP="00843885">
      <w:pPr>
        <w:spacing w:after="0" w:line="276" w:lineRule="auto"/>
        <w:ind w:left="567" w:right="531"/>
        <w:rPr>
          <w:rFonts w:ascii="Arial" w:eastAsia="Times New Roman" w:hAnsi="Arial" w:cs="Arial"/>
          <w:lang w:eastAsia="en-GB"/>
        </w:rPr>
      </w:pPr>
    </w:p>
    <w:p w14:paraId="5A9FE724" w14:textId="3070FA67"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police are constantly trying to seek new methods in managing and investigating such issues. One method was the implementation of the Nation Vulnerability Action Plan (NVAP), created by the National Police Chiefs’ Council in collaboration with the College of Policing. The aim of this plan is to focus in on common themes that cover the entire span of vulnerabilities, starting with the initial police response and initial investigation to victim care, first line supervision and leadership. The plan being designed to inspire officers of all ranks to adopt a holistic approach when dealing with vulnerable people. </w:t>
      </w:r>
      <w:sdt>
        <w:sdtPr>
          <w:rPr>
            <w:rFonts w:ascii="Arial" w:eastAsia="Times New Roman" w:hAnsi="Arial" w:cs="Arial"/>
            <w:lang w:eastAsia="en-GB"/>
          </w:rPr>
          <w:id w:val="-13240181"/>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Nat22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(National Vulnerability Action Plan, 2022)</w:t>
          </w:r>
          <w:r>
            <w:rPr>
              <w:rFonts w:ascii="Arial" w:eastAsia="Times New Roman" w:hAnsi="Arial" w:cs="Arial"/>
              <w:lang w:eastAsia="en-GB"/>
            </w:rPr>
            <w:fldChar w:fldCharType="end"/>
          </w:r>
        </w:sdtContent>
      </w:sdt>
      <w:r>
        <w:rPr>
          <w:rFonts w:ascii="Arial" w:eastAsia="Times New Roman" w:hAnsi="Arial" w:cs="Arial"/>
          <w:lang w:eastAsia="en-GB"/>
        </w:rPr>
        <w:t>.</w:t>
      </w:r>
    </w:p>
    <w:p w14:paraId="43733588" w14:textId="77777777" w:rsidR="00843885" w:rsidRDefault="00843885" w:rsidP="00843885">
      <w:pPr>
        <w:spacing w:after="0" w:line="276" w:lineRule="auto"/>
        <w:ind w:left="567" w:right="531"/>
        <w:rPr>
          <w:rFonts w:ascii="Arial" w:eastAsia="Times New Roman" w:hAnsi="Arial" w:cs="Arial"/>
          <w:lang w:eastAsia="en-GB"/>
        </w:rPr>
      </w:pPr>
    </w:p>
    <w:p w14:paraId="35D97A00" w14:textId="036C4C90"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As part of this analysis, I will be focusing on ‘Early Intervention and Prevention’ </w:t>
      </w:r>
      <w:sdt>
        <w:sdtPr>
          <w:rPr>
            <w:rFonts w:ascii="Arial" w:eastAsia="Times New Roman" w:hAnsi="Arial" w:cs="Arial"/>
            <w:lang w:eastAsia="en-GB"/>
          </w:rPr>
          <w:id w:val="2126267519"/>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Nat22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(National Vulnerability Action Plan, 2022)</w:t>
          </w:r>
          <w:r>
            <w:rPr>
              <w:rFonts w:ascii="Arial" w:eastAsia="Times New Roman" w:hAnsi="Arial" w:cs="Arial"/>
              <w:lang w:eastAsia="en-GB"/>
            </w:rPr>
            <w:fldChar w:fldCharType="end"/>
          </w:r>
        </w:sdtContent>
      </w:sdt>
      <w:r>
        <w:rPr>
          <w:rFonts w:ascii="Arial" w:eastAsia="Times New Roman" w:hAnsi="Arial" w:cs="Arial"/>
          <w:lang w:eastAsia="en-GB"/>
        </w:rPr>
        <w:t xml:space="preserve">. This focuses on the principle of identifying vulnerability early, which presents an opportunity for an early intervention that the police, along with partner agencies, can implement. In theory, this reduces the risk of vulnerable people being victims/perpetrators of violent crime and being involved in OCGs. One study found that early intervention reduced offending in the Lambeth area of London from 25% to 7% </w:t>
      </w:r>
      <w:sdt>
        <w:sdtPr>
          <w:rPr>
            <w:rFonts w:ascii="Arial" w:eastAsia="Times New Roman" w:hAnsi="Arial" w:cs="Arial"/>
            <w:lang w:eastAsia="en-GB"/>
          </w:rPr>
          <w:id w:val="-1346238791"/>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Met18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(Metropolitan Police Police Service, 2018)</w:t>
          </w:r>
          <w:r>
            <w:rPr>
              <w:rFonts w:ascii="Arial" w:eastAsia="Times New Roman" w:hAnsi="Arial" w:cs="Arial"/>
              <w:lang w:eastAsia="en-GB"/>
            </w:rPr>
            <w:fldChar w:fldCharType="end"/>
          </w:r>
        </w:sdtContent>
      </w:sdt>
      <w:r>
        <w:rPr>
          <w:rFonts w:ascii="Arial" w:eastAsia="Times New Roman" w:hAnsi="Arial" w:cs="Arial"/>
          <w:lang w:eastAsia="en-GB"/>
        </w:rPr>
        <w:t xml:space="preserve">. Another report that shows the prolonged success of early intervention is from </w:t>
      </w:r>
      <w:proofErr w:type="spellStart"/>
      <w:r>
        <w:rPr>
          <w:rFonts w:ascii="Arial" w:eastAsia="Times New Roman" w:hAnsi="Arial" w:cs="Arial"/>
          <w:lang w:eastAsia="en-GB"/>
        </w:rPr>
        <w:t>Redthread’s</w:t>
      </w:r>
      <w:proofErr w:type="spellEnd"/>
      <w:r>
        <w:rPr>
          <w:rFonts w:ascii="Arial" w:eastAsia="Times New Roman" w:hAnsi="Arial" w:cs="Arial"/>
          <w:lang w:eastAsia="en-GB"/>
        </w:rPr>
        <w:t xml:space="preserve"> Intervention Programme where it engaged with 717 people one year on from an early intervention. It found that the rate of those who reported being involved in violence dropped from the initial intervention at 59% to 19% one year later </w:t>
      </w:r>
      <w:sdt>
        <w:sdtPr>
          <w:rPr>
            <w:rFonts w:ascii="Arial" w:eastAsia="Times New Roman" w:hAnsi="Arial" w:cs="Arial"/>
            <w:lang w:eastAsia="en-GB"/>
          </w:rPr>
          <w:id w:val="1244536055"/>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NPC18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(Redthread Youth Violence Intervention Project, 2018)</w:t>
          </w:r>
          <w:r>
            <w:rPr>
              <w:rFonts w:ascii="Arial" w:eastAsia="Times New Roman" w:hAnsi="Arial" w:cs="Arial"/>
              <w:lang w:eastAsia="en-GB"/>
            </w:rPr>
            <w:fldChar w:fldCharType="end"/>
          </w:r>
        </w:sdtContent>
      </w:sdt>
      <w:r>
        <w:rPr>
          <w:rFonts w:ascii="Arial" w:eastAsia="Times New Roman" w:hAnsi="Arial" w:cs="Arial"/>
          <w:lang w:eastAsia="en-GB"/>
        </w:rPr>
        <w:t xml:space="preserve">. However, these early intervention methods and programmes are not always successful. Mentoring as </w:t>
      </w:r>
      <w:proofErr w:type="gramStart"/>
      <w:r>
        <w:rPr>
          <w:rFonts w:ascii="Arial" w:eastAsia="Times New Roman" w:hAnsi="Arial" w:cs="Arial"/>
          <w:lang w:eastAsia="en-GB"/>
        </w:rPr>
        <w:t>a</w:t>
      </w:r>
      <w:proofErr w:type="gramEnd"/>
      <w:r>
        <w:rPr>
          <w:rFonts w:ascii="Arial" w:eastAsia="Times New Roman" w:hAnsi="Arial" w:cs="Arial"/>
          <w:lang w:eastAsia="en-GB"/>
        </w:rPr>
        <w:t xml:space="preserve"> intervention method has both negative effects on both the mentor and mentee if the appropriate training has not been provided and the longer term support for the mentee is implemented </w:t>
      </w:r>
      <w:sdt>
        <w:sdtPr>
          <w:rPr>
            <w:rFonts w:ascii="Arial" w:eastAsia="Times New Roman" w:hAnsi="Arial" w:cs="Arial"/>
            <w:lang w:eastAsia="en-GB"/>
          </w:rPr>
          <w:id w:val="1822146188"/>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Chi18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(Childrens Commissioner for England, 2018)</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732A126F" w14:textId="77777777" w:rsidR="00843885" w:rsidRDefault="00843885" w:rsidP="00843885">
      <w:pPr>
        <w:spacing w:after="0" w:line="276" w:lineRule="auto"/>
        <w:ind w:left="567" w:right="531"/>
        <w:rPr>
          <w:rFonts w:ascii="Arial" w:eastAsia="Times New Roman" w:hAnsi="Arial" w:cs="Arial"/>
          <w:lang w:eastAsia="en-GB"/>
        </w:rPr>
      </w:pPr>
    </w:p>
    <w:p w14:paraId="3012349F" w14:textId="55F1A639"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Vulnerable persons are at risk of being targeted by Organised Crime Groups and crime, but the police are making every effort to reduce this risk with the use of early intervention programmes </w:t>
      </w:r>
      <w:sdt>
        <w:sdtPr>
          <w:rPr>
            <w:rFonts w:ascii="Arial" w:eastAsia="Times New Roman" w:hAnsi="Arial" w:cs="Arial"/>
            <w:lang w:eastAsia="en-GB"/>
          </w:rPr>
          <w:id w:val="1101225751"/>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Met18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(Metropolitan Police Police Service, 2018)</w:t>
          </w:r>
          <w:r>
            <w:rPr>
              <w:rFonts w:ascii="Arial" w:eastAsia="Times New Roman" w:hAnsi="Arial" w:cs="Arial"/>
              <w:lang w:eastAsia="en-GB"/>
            </w:rPr>
            <w:fldChar w:fldCharType="end"/>
          </w:r>
        </w:sdtContent>
      </w:sdt>
      <w:r>
        <w:rPr>
          <w:rFonts w:ascii="Arial" w:eastAsia="Times New Roman" w:hAnsi="Arial" w:cs="Arial"/>
          <w:lang w:eastAsia="en-GB"/>
        </w:rPr>
        <w:t xml:space="preserve"> and policing plans such as NVAP </w:t>
      </w:r>
      <w:sdt>
        <w:sdtPr>
          <w:rPr>
            <w:rFonts w:ascii="Arial" w:eastAsia="Times New Roman" w:hAnsi="Arial" w:cs="Arial"/>
            <w:lang w:eastAsia="en-GB"/>
          </w:rPr>
          <w:id w:val="18678053"/>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Nat22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(National Vulnerability Action Plan, 2022)</w:t>
          </w:r>
          <w:r>
            <w:rPr>
              <w:rFonts w:ascii="Arial" w:eastAsia="Times New Roman" w:hAnsi="Arial" w:cs="Arial"/>
              <w:lang w:eastAsia="en-GB"/>
            </w:rPr>
            <w:fldChar w:fldCharType="end"/>
          </w:r>
        </w:sdtContent>
      </w:sdt>
      <w:r>
        <w:rPr>
          <w:rFonts w:ascii="Arial" w:eastAsia="Times New Roman" w:hAnsi="Arial" w:cs="Arial"/>
          <w:lang w:eastAsia="en-GB"/>
        </w:rPr>
        <w:t xml:space="preserve">. Such policies and procedures have shown that they have a positive impact as in the case of the </w:t>
      </w:r>
      <w:proofErr w:type="spellStart"/>
      <w:r>
        <w:rPr>
          <w:rFonts w:ascii="Arial" w:eastAsia="Times New Roman" w:hAnsi="Arial" w:cs="Arial"/>
          <w:lang w:eastAsia="en-GB"/>
        </w:rPr>
        <w:t>Redthread’s</w:t>
      </w:r>
      <w:proofErr w:type="spellEnd"/>
      <w:r>
        <w:rPr>
          <w:rFonts w:ascii="Arial" w:eastAsia="Times New Roman" w:hAnsi="Arial" w:cs="Arial"/>
          <w:lang w:eastAsia="en-GB"/>
        </w:rPr>
        <w:t xml:space="preserve"> Intervention Programme </w:t>
      </w:r>
      <w:sdt>
        <w:sdtPr>
          <w:rPr>
            <w:rFonts w:ascii="Arial" w:eastAsia="Times New Roman" w:hAnsi="Arial" w:cs="Arial"/>
            <w:lang w:eastAsia="en-GB"/>
          </w:rPr>
          <w:id w:val="-1215495342"/>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NPC18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(Redthread Youth Violence Intervention Project, 2018)</w:t>
          </w:r>
          <w:r>
            <w:rPr>
              <w:rFonts w:ascii="Arial" w:eastAsia="Times New Roman" w:hAnsi="Arial" w:cs="Arial"/>
              <w:lang w:eastAsia="en-GB"/>
            </w:rPr>
            <w:fldChar w:fldCharType="end"/>
          </w:r>
        </w:sdtContent>
      </w:sdt>
      <w:r>
        <w:rPr>
          <w:rFonts w:ascii="Arial" w:eastAsia="Times New Roman" w:hAnsi="Arial" w:cs="Arial"/>
          <w:lang w:eastAsia="en-GB"/>
        </w:rPr>
        <w:t xml:space="preserve">. However, the results can vary due to the inconsistency of training and expertise from force to force </w:t>
      </w:r>
      <w:sdt>
        <w:sdtPr>
          <w:rPr>
            <w:rFonts w:ascii="Arial" w:eastAsia="Times New Roman" w:hAnsi="Arial" w:cs="Arial"/>
            <w:lang w:eastAsia="en-GB"/>
          </w:rPr>
          <w:id w:val="-1881846816"/>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Chi18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(Childrens Commissioner for England, 2018)</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45797AD3" w14:textId="77777777" w:rsidR="00843885" w:rsidRDefault="00843885" w:rsidP="00843885">
      <w:pPr>
        <w:spacing w:after="0" w:line="276" w:lineRule="auto"/>
        <w:ind w:left="567" w:right="531"/>
        <w:rPr>
          <w:rFonts w:ascii="Arial" w:eastAsia="Times New Roman" w:hAnsi="Arial" w:cs="Arial"/>
          <w:lang w:eastAsia="en-GB"/>
        </w:rPr>
      </w:pPr>
    </w:p>
    <w:p w14:paraId="6069B9EE" w14:textId="2676E492"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w:t>
      </w:r>
      <w:r>
        <w:rPr>
          <w:rFonts w:ascii="Arial" w:eastAsia="Times New Roman" w:hAnsi="Arial" w:cs="Arial"/>
          <w:lang w:eastAsia="en-GB"/>
        </w:rPr>
        <w:t>964</w:t>
      </w:r>
      <w:r>
        <w:rPr>
          <w:rFonts w:ascii="Arial" w:eastAsia="Times New Roman" w:hAnsi="Arial" w:cs="Arial"/>
          <w:lang w:eastAsia="en-GB"/>
        </w:rPr>
        <w:t xml:space="preserve"> Words) </w:t>
      </w:r>
    </w:p>
    <w:p w14:paraId="4D6FD477" w14:textId="77777777" w:rsidR="00843885" w:rsidRDefault="00843885" w:rsidP="00843885">
      <w:pPr>
        <w:spacing w:after="0" w:line="276" w:lineRule="auto"/>
        <w:ind w:right="531"/>
        <w:rPr>
          <w:rFonts w:ascii="Arial" w:eastAsia="Times New Roman" w:hAnsi="Arial" w:cs="Arial"/>
          <w:b/>
          <w:bCs/>
          <w:lang w:eastAsia="en-GB"/>
        </w:rPr>
      </w:pPr>
    </w:p>
    <w:p w14:paraId="0D63757D" w14:textId="77777777" w:rsidR="00843885" w:rsidRDefault="00843885" w:rsidP="00843885">
      <w:pPr>
        <w:spacing w:after="0" w:line="276" w:lineRule="auto"/>
        <w:ind w:right="531"/>
        <w:rPr>
          <w:rFonts w:ascii="Arial" w:eastAsia="Times New Roman" w:hAnsi="Arial" w:cs="Arial"/>
          <w:b/>
          <w:bCs/>
          <w:lang w:eastAsia="en-GB"/>
        </w:rPr>
      </w:pPr>
    </w:p>
    <w:p w14:paraId="76DEEBD7" w14:textId="77777777" w:rsidR="00ED6959" w:rsidRDefault="00ED6959" w:rsidP="00843885">
      <w:pPr>
        <w:spacing w:after="0" w:line="276" w:lineRule="auto"/>
        <w:ind w:right="531"/>
        <w:rPr>
          <w:rFonts w:ascii="Arial" w:eastAsia="Times New Roman" w:hAnsi="Arial" w:cs="Arial"/>
          <w:b/>
          <w:bCs/>
          <w:lang w:eastAsia="en-GB"/>
        </w:rPr>
      </w:pPr>
    </w:p>
    <w:p w14:paraId="12EB22D5" w14:textId="4E78443E" w:rsidR="00843885" w:rsidRPr="006C3C20" w:rsidRDefault="00843885" w:rsidP="00843885">
      <w:pPr>
        <w:spacing w:after="0" w:line="276" w:lineRule="auto"/>
        <w:ind w:right="531"/>
        <w:rPr>
          <w:rFonts w:ascii="Arial" w:eastAsia="Times New Roman" w:hAnsi="Arial" w:cs="Arial"/>
          <w:b/>
          <w:bCs/>
          <w:lang w:eastAsia="en-GB"/>
        </w:rPr>
      </w:pPr>
      <w:r w:rsidRPr="006C3C20">
        <w:rPr>
          <w:rFonts w:ascii="Arial" w:eastAsia="Times New Roman" w:hAnsi="Arial" w:cs="Arial"/>
          <w:b/>
          <w:bCs/>
          <w:lang w:eastAsia="en-GB"/>
        </w:rPr>
        <w:lastRenderedPageBreak/>
        <w:t xml:space="preserve">Essay three: </w:t>
      </w:r>
    </w:p>
    <w:p w14:paraId="61A404EB" w14:textId="77777777" w:rsidR="00843885" w:rsidRDefault="00843885" w:rsidP="00843885">
      <w:pPr>
        <w:spacing w:after="0" w:line="276" w:lineRule="auto"/>
        <w:ind w:right="531"/>
        <w:rPr>
          <w:rFonts w:ascii="Arial" w:eastAsia="Times New Roman" w:hAnsi="Arial" w:cs="Arial"/>
          <w:lang w:eastAsia="en-GB"/>
        </w:rPr>
      </w:pPr>
      <w:r w:rsidRPr="006C3C20">
        <w:rPr>
          <w:rFonts w:ascii="Arial" w:eastAsia="Times New Roman" w:hAnsi="Arial" w:cs="Arial"/>
          <w:u w:val="single"/>
          <w:lang w:eastAsia="en-GB"/>
        </w:rPr>
        <w:t>Assess</w:t>
      </w:r>
      <w:r w:rsidRPr="006C3C20">
        <w:rPr>
          <w:rFonts w:ascii="Arial" w:eastAsia="Times New Roman" w:hAnsi="Arial" w:cs="Arial"/>
          <w:lang w:eastAsia="en-GB"/>
        </w:rPr>
        <w:t xml:space="preserve"> the </w:t>
      </w:r>
      <w:r>
        <w:rPr>
          <w:rFonts w:ascii="Arial" w:eastAsia="Times New Roman" w:hAnsi="Arial" w:cs="Arial"/>
          <w:lang w:eastAsia="en-GB"/>
        </w:rPr>
        <w:t xml:space="preserve">role of MAPPA in managing offenders and </w:t>
      </w:r>
      <w:r>
        <w:rPr>
          <w:rFonts w:ascii="Arial" w:eastAsia="Times New Roman" w:hAnsi="Arial" w:cs="Arial"/>
          <w:u w:val="single"/>
          <w:lang w:eastAsia="en-GB"/>
        </w:rPr>
        <w:t>evaluate</w:t>
      </w:r>
      <w:r>
        <w:rPr>
          <w:rFonts w:ascii="Arial" w:eastAsia="Times New Roman" w:hAnsi="Arial" w:cs="Arial"/>
          <w:lang w:eastAsia="en-GB"/>
        </w:rPr>
        <w:t xml:space="preserve"> the effectiveness of current police practices to investigate public protection incidents involving violent and sexual offences.</w:t>
      </w:r>
    </w:p>
    <w:p w14:paraId="6C5D8668" w14:textId="3B9EEDA3" w:rsidR="00843885" w:rsidRPr="00E25D8A" w:rsidRDefault="00843885" w:rsidP="00843885">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You must use academic research to support your answer.</w:t>
      </w:r>
    </w:p>
    <w:p w14:paraId="5AFA3838" w14:textId="77777777" w:rsidR="00843885" w:rsidRDefault="00843885" w:rsidP="00843885">
      <w:pPr>
        <w:spacing w:after="0" w:line="276" w:lineRule="auto"/>
        <w:ind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4C4BA0AC" w14:textId="77777777" w:rsidR="00843885" w:rsidRDefault="00843885" w:rsidP="00843885">
      <w:pPr>
        <w:spacing w:after="0" w:line="276" w:lineRule="auto"/>
        <w:ind w:left="567" w:right="531"/>
        <w:rPr>
          <w:rFonts w:ascii="Arial" w:eastAsia="Times New Roman" w:hAnsi="Arial" w:cs="Arial"/>
          <w:lang w:eastAsia="en-GB"/>
        </w:rPr>
      </w:pPr>
    </w:p>
    <w:p w14:paraId="0C5FC8A5" w14:textId="1E720BC6"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MAPPA was a result of the Criminal Justice and Court Services Act 2000, and adapted in the Criminal Justice Act 2003, where it imposed duties on police, probation and prison services to make arrangements for the identification, risk assessment and management of people with convictions for violent or sexual offences in the community </w:t>
      </w:r>
      <w:sdt>
        <w:sdtPr>
          <w:rPr>
            <w:rFonts w:ascii="Arial" w:eastAsia="Times New Roman" w:hAnsi="Arial" w:cs="Arial"/>
            <w:lang w:eastAsia="en-GB"/>
          </w:rPr>
          <w:id w:val="1052111479"/>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Hal20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(Hall, 2020)</w:t>
          </w:r>
          <w:r>
            <w:rPr>
              <w:rFonts w:ascii="Arial" w:eastAsia="Times New Roman" w:hAnsi="Arial" w:cs="Arial"/>
              <w:lang w:eastAsia="en-GB"/>
            </w:rPr>
            <w:fldChar w:fldCharType="end"/>
          </w:r>
        </w:sdtContent>
      </w:sdt>
      <w:r>
        <w:rPr>
          <w:rFonts w:ascii="Arial" w:eastAsia="Times New Roman" w:hAnsi="Arial" w:cs="Arial"/>
          <w:lang w:eastAsia="en-GB"/>
        </w:rPr>
        <w:t xml:space="preserve">. The purpose being that it was designed to specifically protect the public, including victims of crime, from serious harm by sexual or violent offenders </w:t>
      </w:r>
      <w:sdt>
        <w:sdtPr>
          <w:rPr>
            <w:rFonts w:ascii="Arial" w:eastAsia="Times New Roman" w:hAnsi="Arial" w:cs="Arial"/>
            <w:lang w:eastAsia="en-GB"/>
          </w:rPr>
          <w:id w:val="-1481375451"/>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Col226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(College of Policing, 2022)</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51A11378" w14:textId="77777777" w:rsidR="00843885" w:rsidRDefault="00843885" w:rsidP="00843885">
      <w:pPr>
        <w:spacing w:after="0" w:line="276" w:lineRule="auto"/>
        <w:ind w:left="567" w:right="531"/>
        <w:rPr>
          <w:rFonts w:ascii="Arial" w:eastAsia="Times New Roman" w:hAnsi="Arial" w:cs="Arial"/>
          <w:lang w:eastAsia="en-GB"/>
        </w:rPr>
      </w:pPr>
    </w:p>
    <w:p w14:paraId="2B74BEE8" w14:textId="769F2B8C"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MAPPA system was designed to protect the public from serious harm by sexual or violent offenders </w:t>
      </w:r>
      <w:sdt>
        <w:sdtPr>
          <w:rPr>
            <w:rFonts w:ascii="Arial" w:eastAsia="Times New Roman" w:hAnsi="Arial" w:cs="Arial"/>
            <w:lang w:eastAsia="en-GB"/>
          </w:rPr>
          <w:id w:val="478733452"/>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Col226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(College of Policing, 2022)</w:t>
          </w:r>
          <w:r>
            <w:rPr>
              <w:rFonts w:ascii="Arial" w:eastAsia="Times New Roman" w:hAnsi="Arial" w:cs="Arial"/>
              <w:lang w:eastAsia="en-GB"/>
            </w:rPr>
            <w:fldChar w:fldCharType="end"/>
          </w:r>
        </w:sdtContent>
      </w:sdt>
      <w:r>
        <w:rPr>
          <w:rFonts w:ascii="Arial" w:eastAsia="Times New Roman" w:hAnsi="Arial" w:cs="Arial"/>
          <w:lang w:eastAsia="en-GB"/>
        </w:rPr>
        <w:t xml:space="preserve">. The authorities responsible in MAPPA are the police and the prison &amp; probation service. It is their responsibility to ensure that any risk posed by an offender are effectively assessed and managed accordingly, including the sharing of information among the agencies to ensure a thorough review of the risk is conducted </w:t>
      </w:r>
      <w:sdt>
        <w:sdtPr>
          <w:rPr>
            <w:rFonts w:ascii="Arial" w:eastAsia="Times New Roman" w:hAnsi="Arial" w:cs="Arial"/>
            <w:lang w:eastAsia="en-GB"/>
          </w:rPr>
          <w:id w:val="412517938"/>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Col226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(College of Policing, 2022)</w:t>
          </w:r>
          <w:r>
            <w:rPr>
              <w:rFonts w:ascii="Arial" w:eastAsia="Times New Roman" w:hAnsi="Arial" w:cs="Arial"/>
              <w:lang w:eastAsia="en-GB"/>
            </w:rPr>
            <w:fldChar w:fldCharType="end"/>
          </w:r>
        </w:sdtContent>
      </w:sdt>
      <w:r>
        <w:rPr>
          <w:rFonts w:ascii="Arial" w:eastAsia="Times New Roman" w:hAnsi="Arial" w:cs="Arial"/>
          <w:lang w:eastAsia="en-GB"/>
        </w:rPr>
        <w:t xml:space="preserve">. The three categories are Category One: All Registered Sexual Offenders. Category Two: Violent or other sex offenders not subject to notification requirements. Category Three: Other Dangerous Offenders </w:t>
      </w:r>
      <w:sdt>
        <w:sdtPr>
          <w:rPr>
            <w:rFonts w:ascii="Arial" w:eastAsia="Times New Roman" w:hAnsi="Arial" w:cs="Arial"/>
            <w:lang w:eastAsia="en-GB"/>
          </w:rPr>
          <w:id w:val="-335529070"/>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Unl22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(Unlock, 2022)</w:t>
          </w:r>
          <w:r>
            <w:rPr>
              <w:rFonts w:ascii="Arial" w:eastAsia="Times New Roman" w:hAnsi="Arial" w:cs="Arial"/>
              <w:lang w:eastAsia="en-GB"/>
            </w:rPr>
            <w:fldChar w:fldCharType="end"/>
          </w:r>
        </w:sdtContent>
      </w:sdt>
      <w:r>
        <w:rPr>
          <w:rFonts w:ascii="Arial" w:eastAsia="Times New Roman" w:hAnsi="Arial" w:cs="Arial"/>
          <w:lang w:eastAsia="en-GB"/>
        </w:rPr>
        <w:t xml:space="preserve">. </w:t>
      </w:r>
      <w:proofErr w:type="gramStart"/>
      <w:r>
        <w:rPr>
          <w:rFonts w:ascii="Arial" w:eastAsia="Times New Roman" w:hAnsi="Arial" w:cs="Arial"/>
          <w:lang w:eastAsia="en-GB"/>
        </w:rPr>
        <w:t>The majority of</w:t>
      </w:r>
      <w:proofErr w:type="gramEnd"/>
      <w:r>
        <w:rPr>
          <w:rFonts w:ascii="Arial" w:eastAsia="Times New Roman" w:hAnsi="Arial" w:cs="Arial"/>
          <w:lang w:eastAsia="en-GB"/>
        </w:rPr>
        <w:t xml:space="preserve"> individuals under MAPPA do not present a risk of serious harm to the public </w:t>
      </w:r>
      <w:sdt>
        <w:sdtPr>
          <w:rPr>
            <w:rFonts w:ascii="Arial" w:eastAsia="Times New Roman" w:hAnsi="Arial" w:cs="Arial"/>
            <w:lang w:eastAsia="en-GB"/>
          </w:rPr>
          <w:id w:val="79577484"/>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Col226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(College of Policing, 2022)</w:t>
          </w:r>
          <w:r>
            <w:rPr>
              <w:rFonts w:ascii="Arial" w:eastAsia="Times New Roman" w:hAnsi="Arial" w:cs="Arial"/>
              <w:lang w:eastAsia="en-GB"/>
            </w:rPr>
            <w:fldChar w:fldCharType="end"/>
          </w:r>
        </w:sdtContent>
      </w:sdt>
      <w:r>
        <w:rPr>
          <w:rFonts w:ascii="Arial" w:eastAsia="Times New Roman" w:hAnsi="Arial" w:cs="Arial"/>
          <w:lang w:eastAsia="en-GB"/>
        </w:rPr>
        <w:t xml:space="preserve">, but the risk levels are there to assist the agencies in targeting resources and attention to those who present the highest risk. Level One: Normal agency management, those low-medium risk of harming others. These are managed by the Probation Service or the Police. Level Two: Cases with high or very high risk to others. MAPPA meetings across the agencies take place to develop a coordinated plan. Level Three: For those deemed the highest risk of causing serious harm or whose management is causing such issues that it’s requires the commitment of serious resources </w:t>
      </w:r>
      <w:sdt>
        <w:sdtPr>
          <w:rPr>
            <w:rFonts w:ascii="Arial" w:eastAsia="Times New Roman" w:hAnsi="Arial" w:cs="Arial"/>
            <w:lang w:eastAsia="en-GB"/>
          </w:rPr>
          <w:id w:val="69091523"/>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Col226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(College of Policing, 2022)</w:t>
          </w:r>
          <w:r>
            <w:rPr>
              <w:rFonts w:ascii="Arial" w:eastAsia="Times New Roman" w:hAnsi="Arial" w:cs="Arial"/>
              <w:lang w:eastAsia="en-GB"/>
            </w:rPr>
            <w:fldChar w:fldCharType="end"/>
          </w:r>
        </w:sdtContent>
      </w:sdt>
      <w:r>
        <w:rPr>
          <w:rFonts w:ascii="Arial" w:eastAsia="Times New Roman" w:hAnsi="Arial" w:cs="Arial"/>
          <w:lang w:eastAsia="en-GB"/>
        </w:rPr>
        <w:t>.</w:t>
      </w:r>
    </w:p>
    <w:p w14:paraId="38CC9BBB" w14:textId="77777777" w:rsidR="00843885" w:rsidRDefault="00843885" w:rsidP="00843885">
      <w:pPr>
        <w:spacing w:after="0" w:line="276" w:lineRule="auto"/>
        <w:ind w:left="567" w:right="531"/>
        <w:rPr>
          <w:rFonts w:ascii="Arial" w:eastAsia="Times New Roman" w:hAnsi="Arial" w:cs="Arial"/>
          <w:lang w:eastAsia="en-GB"/>
        </w:rPr>
      </w:pPr>
    </w:p>
    <w:p w14:paraId="1C7F196C" w14:textId="6C197E73"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It is the police’s responsibility, as well as the other involved agencies, to investigate public protection incidents involving subjects under MAPPA. A study conducted in 2015 by Bryant, Peck &amp; </w:t>
      </w:r>
      <w:proofErr w:type="spellStart"/>
      <w:r>
        <w:rPr>
          <w:rFonts w:ascii="Arial" w:eastAsia="Times New Roman" w:hAnsi="Arial" w:cs="Arial"/>
          <w:lang w:eastAsia="en-GB"/>
        </w:rPr>
        <w:t>Lovbakke</w:t>
      </w:r>
      <w:proofErr w:type="spellEnd"/>
      <w:r>
        <w:rPr>
          <w:rFonts w:ascii="Arial" w:eastAsia="Times New Roman" w:hAnsi="Arial" w:cs="Arial"/>
          <w:lang w:eastAsia="en-GB"/>
        </w:rPr>
        <w:t xml:space="preserve"> on behalf of the Ministry of Justice found that there has been an increase in the annual number of new MAPPA offenders, from 10,616 in 2000 to 16,401 in 2009 </w:t>
      </w:r>
      <w:sdt>
        <w:sdtPr>
          <w:rPr>
            <w:rFonts w:ascii="Arial" w:eastAsia="Times New Roman" w:hAnsi="Arial" w:cs="Arial"/>
            <w:lang w:eastAsia="en-GB"/>
          </w:rPr>
          <w:id w:val="-1057491"/>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Bry15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(Bryant, Peck, &amp; Lovbakke, 2015)</w:t>
          </w:r>
          <w:r>
            <w:rPr>
              <w:rFonts w:ascii="Arial" w:eastAsia="Times New Roman" w:hAnsi="Arial" w:cs="Arial"/>
              <w:lang w:eastAsia="en-GB"/>
            </w:rPr>
            <w:fldChar w:fldCharType="end"/>
          </w:r>
        </w:sdtContent>
      </w:sdt>
      <w:r>
        <w:rPr>
          <w:rFonts w:ascii="Arial" w:eastAsia="Times New Roman" w:hAnsi="Arial" w:cs="Arial"/>
          <w:lang w:eastAsia="en-GB"/>
        </w:rPr>
        <w:t xml:space="preserve">. This suggests that the MAPPA program was not effective as a deterrent. But this has been attributed to the new legislation, specifically Schedule 15 of The Criminal Justice Act 2003, that came in which resulted in more offenders being eligible for MAPPA </w:t>
      </w:r>
      <w:sdt>
        <w:sdtPr>
          <w:rPr>
            <w:rFonts w:ascii="Arial" w:eastAsia="Times New Roman" w:hAnsi="Arial" w:cs="Arial"/>
            <w:lang w:eastAsia="en-GB"/>
          </w:rPr>
          <w:id w:val="882835499"/>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The222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(Criminal Justice Act 2003, 2022)</w:t>
          </w:r>
          <w:r>
            <w:rPr>
              <w:rFonts w:ascii="Arial" w:eastAsia="Times New Roman" w:hAnsi="Arial" w:cs="Arial"/>
              <w:lang w:eastAsia="en-GB"/>
            </w:rPr>
            <w:fldChar w:fldCharType="end"/>
          </w:r>
        </w:sdtContent>
      </w:sdt>
      <w:r>
        <w:rPr>
          <w:rFonts w:ascii="Arial" w:eastAsia="Times New Roman" w:hAnsi="Arial" w:cs="Arial"/>
          <w:lang w:eastAsia="en-GB"/>
        </w:rPr>
        <w:t xml:space="preserve">. To truly see if MAPPA is an effective management system for offenders, we need to review reoffending rates. The study conducted in 2015 found that level one MAPPA offenders decreased from 13% in 2000 to 10% in 2004, however it has since gradually increased again to 13% </w:t>
      </w:r>
      <w:sdt>
        <w:sdtPr>
          <w:rPr>
            <w:rFonts w:ascii="Arial" w:eastAsia="Times New Roman" w:hAnsi="Arial" w:cs="Arial"/>
            <w:lang w:eastAsia="en-GB"/>
          </w:rPr>
          <w:id w:val="-1535957267"/>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Bry15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(Bryant, Peck, &amp; Lovbakke, 2015)</w:t>
          </w:r>
          <w:r>
            <w:rPr>
              <w:rFonts w:ascii="Arial" w:eastAsia="Times New Roman" w:hAnsi="Arial" w:cs="Arial"/>
              <w:lang w:eastAsia="en-GB"/>
            </w:rPr>
            <w:fldChar w:fldCharType="end"/>
          </w:r>
        </w:sdtContent>
      </w:sdt>
      <w:r>
        <w:rPr>
          <w:rFonts w:ascii="Arial" w:eastAsia="Times New Roman" w:hAnsi="Arial" w:cs="Arial"/>
          <w:lang w:eastAsia="en-GB"/>
        </w:rPr>
        <w:t xml:space="preserve">. Category two offenders dropped from 26% in 2000 to 23% in 2004 and has since fluctuated between the two percentages </w:t>
      </w:r>
      <w:sdt>
        <w:sdtPr>
          <w:rPr>
            <w:rFonts w:ascii="Arial" w:eastAsia="Times New Roman" w:hAnsi="Arial" w:cs="Arial"/>
            <w:lang w:eastAsia="en-GB"/>
          </w:rPr>
          <w:id w:val="-291752846"/>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Bry15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(Bryant, Peck, &amp; Lovbakke, 2015)</w:t>
          </w:r>
          <w:r>
            <w:rPr>
              <w:rFonts w:ascii="Arial" w:eastAsia="Times New Roman" w:hAnsi="Arial" w:cs="Arial"/>
              <w:lang w:eastAsia="en-GB"/>
            </w:rPr>
            <w:fldChar w:fldCharType="end"/>
          </w:r>
        </w:sdtContent>
      </w:sdt>
      <w:r>
        <w:rPr>
          <w:rFonts w:ascii="Arial" w:eastAsia="Times New Roman" w:hAnsi="Arial" w:cs="Arial"/>
          <w:lang w:eastAsia="en-GB"/>
        </w:rPr>
        <w:t xml:space="preserve">. The fluctuation may suggest that MAPPA might be having a positive impact on managing offenders who have </w:t>
      </w:r>
      <w:r>
        <w:rPr>
          <w:rFonts w:ascii="Arial" w:eastAsia="Times New Roman" w:hAnsi="Arial" w:cs="Arial"/>
          <w:lang w:eastAsia="en-GB"/>
        </w:rPr>
        <w:lastRenderedPageBreak/>
        <w:t xml:space="preserve">convictions of serious offences. However, the report did state that the figures mentioned above, cannot be used as conclusive evidence that MAPPA has truly been a success, due to the changes in MAPPA eligibility and changes in the guidance </w:t>
      </w:r>
      <w:sdt>
        <w:sdtPr>
          <w:rPr>
            <w:rFonts w:ascii="Arial" w:eastAsia="Times New Roman" w:hAnsi="Arial" w:cs="Arial"/>
            <w:lang w:eastAsia="en-GB"/>
          </w:rPr>
          <w:id w:val="602159048"/>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Bry15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(Bryant, Peck, &amp; Lovbakke, 2015)</w:t>
          </w:r>
          <w:r>
            <w:rPr>
              <w:rFonts w:ascii="Arial" w:eastAsia="Times New Roman" w:hAnsi="Arial" w:cs="Arial"/>
              <w:lang w:eastAsia="en-GB"/>
            </w:rPr>
            <w:fldChar w:fldCharType="end"/>
          </w:r>
        </w:sdtContent>
      </w:sdt>
      <w:r>
        <w:rPr>
          <w:rFonts w:ascii="Arial" w:eastAsia="Times New Roman" w:hAnsi="Arial" w:cs="Arial"/>
          <w:lang w:eastAsia="en-GB"/>
        </w:rPr>
        <w:t xml:space="preserve">. Through the course of the statistics being recorded, the eligibility and criteria for MAPPA offenders changed. Is impossible to provide accurate, representative figures when the original guidelines were altered throughout the report. Because of this, the evidence cannot certify that MAPPA has been fully successful. </w:t>
      </w:r>
    </w:p>
    <w:p w14:paraId="52FEF875" w14:textId="77777777" w:rsidR="00843885" w:rsidRDefault="00843885" w:rsidP="00843885">
      <w:pPr>
        <w:spacing w:after="0" w:line="276" w:lineRule="auto"/>
        <w:ind w:left="567" w:right="531"/>
        <w:rPr>
          <w:rFonts w:ascii="Arial" w:eastAsia="Times New Roman" w:hAnsi="Arial" w:cs="Arial"/>
          <w:lang w:eastAsia="en-GB"/>
        </w:rPr>
      </w:pPr>
    </w:p>
    <w:p w14:paraId="1A8E9180" w14:textId="740B8F1E"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 police also use Integrated Offender Management (IOM), which was created to compliment </w:t>
      </w:r>
      <w:proofErr w:type="gramStart"/>
      <w:r>
        <w:rPr>
          <w:rFonts w:ascii="Arial" w:eastAsia="Times New Roman" w:hAnsi="Arial" w:cs="Arial"/>
          <w:lang w:eastAsia="en-GB"/>
        </w:rPr>
        <w:t>other</w:t>
      </w:r>
      <w:proofErr w:type="gramEnd"/>
      <w:r>
        <w:rPr>
          <w:rFonts w:ascii="Arial" w:eastAsia="Times New Roman" w:hAnsi="Arial" w:cs="Arial"/>
          <w:lang w:eastAsia="en-GB"/>
        </w:rPr>
        <w:t xml:space="preserve"> multi-agency reports such as MAPPA. IOM differs from MAPPA, as it targets offenders in court, on licences, and those offenders outside of the justice system </w:t>
      </w:r>
      <w:sdt>
        <w:sdtPr>
          <w:rPr>
            <w:rFonts w:ascii="Arial" w:eastAsia="Times New Roman" w:hAnsi="Arial" w:cs="Arial"/>
            <w:lang w:eastAsia="en-GB"/>
          </w:rPr>
          <w:id w:val="-1018389236"/>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HMI20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(HMICFRS, 2020)</w:t>
          </w:r>
          <w:r>
            <w:rPr>
              <w:rFonts w:ascii="Arial" w:eastAsia="Times New Roman" w:hAnsi="Arial" w:cs="Arial"/>
              <w:lang w:eastAsia="en-GB"/>
            </w:rPr>
            <w:fldChar w:fldCharType="end"/>
          </w:r>
        </w:sdtContent>
      </w:sdt>
      <w:r>
        <w:rPr>
          <w:rFonts w:ascii="Arial" w:eastAsia="Times New Roman" w:hAnsi="Arial" w:cs="Arial"/>
          <w:lang w:eastAsia="en-GB"/>
        </w:rPr>
        <w:t xml:space="preserve">. The key principles of the IOM were published in 2015 </w:t>
      </w:r>
      <w:sdt>
        <w:sdtPr>
          <w:rPr>
            <w:rFonts w:ascii="Arial" w:eastAsia="Times New Roman" w:hAnsi="Arial" w:cs="Arial"/>
            <w:lang w:eastAsia="en-GB"/>
          </w:rPr>
          <w:id w:val="1883279435"/>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Min15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(Ministry of Justice, 2015)</w:t>
          </w:r>
          <w:r>
            <w:rPr>
              <w:rFonts w:ascii="Arial" w:eastAsia="Times New Roman" w:hAnsi="Arial" w:cs="Arial"/>
              <w:lang w:eastAsia="en-GB"/>
            </w:rPr>
            <w:fldChar w:fldCharType="end"/>
          </w:r>
        </w:sdtContent>
      </w:sdt>
      <w:r>
        <w:rPr>
          <w:rFonts w:ascii="Arial" w:eastAsia="Times New Roman" w:hAnsi="Arial" w:cs="Arial"/>
          <w:lang w:eastAsia="en-GB"/>
        </w:rPr>
        <w:t xml:space="preserve">, the six principles are as followed; all partners manage offenders together, deliver a local response to local problems, with all offenders potentially in scope, facing up to their responsibility or facing the consequences, with the best use made of existing programmes and governance arrangements &amp; to achieve long-term desistance from crime. The success of this has been hard to understand as a full assessment/review of the IOM has not been completed </w:t>
      </w:r>
      <w:sdt>
        <w:sdtPr>
          <w:rPr>
            <w:rFonts w:ascii="Arial" w:eastAsia="Times New Roman" w:hAnsi="Arial" w:cs="Arial"/>
            <w:lang w:eastAsia="en-GB"/>
          </w:rPr>
          <w:id w:val="1272357964"/>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HMI20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(HMICFRS, 2020)</w:t>
          </w:r>
          <w:r>
            <w:rPr>
              <w:rFonts w:ascii="Arial" w:eastAsia="Times New Roman" w:hAnsi="Arial" w:cs="Arial"/>
              <w:lang w:eastAsia="en-GB"/>
            </w:rPr>
            <w:fldChar w:fldCharType="end"/>
          </w:r>
        </w:sdtContent>
      </w:sdt>
      <w:r>
        <w:rPr>
          <w:rFonts w:ascii="Arial" w:eastAsia="Times New Roman" w:hAnsi="Arial" w:cs="Arial"/>
          <w:lang w:eastAsia="en-GB"/>
        </w:rPr>
        <w:t xml:space="preserve">, however, some figures from a report conducted by HMICFRS suggest that the IOM is achieving its core aims. 64% of victims of IOM managed offenders believe they are being kept sufficiently safe and 52% of victims believe their safety is the focus of IOM planning </w:t>
      </w:r>
      <w:sdt>
        <w:sdtPr>
          <w:rPr>
            <w:rFonts w:ascii="Arial" w:eastAsia="Times New Roman" w:hAnsi="Arial" w:cs="Arial"/>
            <w:lang w:eastAsia="en-GB"/>
          </w:rPr>
          <w:id w:val="-579517110"/>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HMI20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(HMICFRS, 2020)</w:t>
          </w:r>
          <w:r>
            <w:rPr>
              <w:rFonts w:ascii="Arial" w:eastAsia="Times New Roman" w:hAnsi="Arial" w:cs="Arial"/>
              <w:lang w:eastAsia="en-GB"/>
            </w:rPr>
            <w:fldChar w:fldCharType="end"/>
          </w:r>
        </w:sdtContent>
      </w:sdt>
      <w:r>
        <w:rPr>
          <w:rFonts w:ascii="Arial" w:eastAsia="Times New Roman" w:hAnsi="Arial" w:cs="Arial"/>
          <w:lang w:eastAsia="en-GB"/>
        </w:rPr>
        <w:t xml:space="preserve">. This shows a clear increase in public confidence, as well as proving to the Police that the IOM works by measuring the satisfaction the victims have with the IOM. </w:t>
      </w:r>
    </w:p>
    <w:p w14:paraId="6A708BAD" w14:textId="77777777" w:rsidR="00843885" w:rsidRDefault="00843885" w:rsidP="00843885">
      <w:pPr>
        <w:spacing w:after="0" w:line="276" w:lineRule="auto"/>
        <w:ind w:left="567" w:right="531"/>
        <w:rPr>
          <w:rFonts w:ascii="Arial" w:eastAsia="Times New Roman" w:hAnsi="Arial" w:cs="Arial"/>
          <w:lang w:eastAsia="en-GB"/>
        </w:rPr>
      </w:pPr>
    </w:p>
    <w:p w14:paraId="7AAB642E" w14:textId="287E9E11" w:rsidR="00843885" w:rsidRPr="006C3C20"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MAPPA and IOM were implemented as a way of managing offenders of various risk levels, based on assessed risk to members of the public </w:t>
      </w:r>
      <w:sdt>
        <w:sdtPr>
          <w:rPr>
            <w:rFonts w:ascii="Arial" w:eastAsia="Times New Roman" w:hAnsi="Arial" w:cs="Arial"/>
            <w:lang w:eastAsia="en-GB"/>
          </w:rPr>
          <w:id w:val="-319586305"/>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Unl22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(Unlock, 2022)</w:t>
          </w:r>
          <w:r>
            <w:rPr>
              <w:rFonts w:ascii="Arial" w:eastAsia="Times New Roman" w:hAnsi="Arial" w:cs="Arial"/>
              <w:lang w:eastAsia="en-GB"/>
            </w:rPr>
            <w:fldChar w:fldCharType="end"/>
          </w:r>
        </w:sdtContent>
      </w:sdt>
      <w:r>
        <w:rPr>
          <w:rFonts w:ascii="Arial" w:eastAsia="Times New Roman" w:hAnsi="Arial" w:cs="Arial"/>
          <w:lang w:eastAsia="en-GB"/>
        </w:rPr>
        <w:t xml:space="preserve">. The police are at the core of its functionality, working alongside other agencies to best manage the offenders. As mentioned above, MAPPA may reduce the level of reoffending from offenders managed by MAPPA, however it has not been conclusively proved due to changing criteria </w:t>
      </w:r>
      <w:sdt>
        <w:sdtPr>
          <w:rPr>
            <w:rFonts w:ascii="Arial" w:eastAsia="Times New Roman" w:hAnsi="Arial" w:cs="Arial"/>
            <w:lang w:eastAsia="en-GB"/>
          </w:rPr>
          <w:id w:val="764725972"/>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Bry15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(Bryant, Peck, &amp; Lovbakke, 2015)</w:t>
          </w:r>
          <w:r>
            <w:rPr>
              <w:rFonts w:ascii="Arial" w:eastAsia="Times New Roman" w:hAnsi="Arial" w:cs="Arial"/>
              <w:lang w:eastAsia="en-GB"/>
            </w:rPr>
            <w:fldChar w:fldCharType="end"/>
          </w:r>
        </w:sdtContent>
      </w:sdt>
      <w:r>
        <w:rPr>
          <w:rFonts w:ascii="Arial" w:eastAsia="Times New Roman" w:hAnsi="Arial" w:cs="Arial"/>
          <w:lang w:eastAsia="en-GB"/>
        </w:rPr>
        <w:t xml:space="preserve">. The availability of statistics and reports is scarce, however, by December 2022, a finalised report examining the effectiveness of MAPPA, conducted at Anglia Ruskin University, will be published, and is specifically aimed at providing a complete analysis of the process and outcome effectiveness of MAPPA </w:t>
      </w:r>
      <w:sdt>
        <w:sdtPr>
          <w:rPr>
            <w:rFonts w:ascii="Arial" w:eastAsia="Times New Roman" w:hAnsi="Arial" w:cs="Arial"/>
            <w:lang w:eastAsia="en-GB"/>
          </w:rPr>
          <w:id w:val="216487578"/>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Col227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(Dr N, Mann; Dr S, Lundrigan, 2022)</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1C2F2DFA" w14:textId="77777777" w:rsidR="00843885" w:rsidRPr="006C3C20" w:rsidRDefault="00843885" w:rsidP="00843885">
      <w:pPr>
        <w:spacing w:after="0" w:line="276" w:lineRule="auto"/>
        <w:ind w:left="567" w:right="531"/>
        <w:rPr>
          <w:rFonts w:ascii="Arial" w:eastAsia="Times New Roman" w:hAnsi="Arial" w:cs="Arial"/>
          <w:lang w:eastAsia="en-GB"/>
        </w:rPr>
      </w:pPr>
    </w:p>
    <w:p w14:paraId="59038DA3" w14:textId="7D447786"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w:t>
      </w:r>
      <w:r>
        <w:rPr>
          <w:rFonts w:ascii="Arial" w:eastAsia="Times New Roman" w:hAnsi="Arial" w:cs="Arial"/>
          <w:lang w:eastAsia="en-GB"/>
        </w:rPr>
        <w:t>933</w:t>
      </w:r>
      <w:r>
        <w:rPr>
          <w:rFonts w:ascii="Arial" w:eastAsia="Times New Roman" w:hAnsi="Arial" w:cs="Arial"/>
          <w:lang w:eastAsia="en-GB"/>
        </w:rPr>
        <w:t xml:space="preserve"> Words) </w:t>
      </w:r>
    </w:p>
    <w:p w14:paraId="46AA562D" w14:textId="0FB8D7FD" w:rsidR="00843885" w:rsidRDefault="00843885" w:rsidP="00843885">
      <w:pPr>
        <w:spacing w:after="0" w:line="276" w:lineRule="auto"/>
        <w:ind w:right="531"/>
        <w:rPr>
          <w:rFonts w:ascii="Arial" w:eastAsia="Times New Roman" w:hAnsi="Arial" w:cs="Arial"/>
          <w:lang w:eastAsia="en-GB"/>
        </w:rPr>
      </w:pPr>
    </w:p>
    <w:p w14:paraId="6E6FA29D"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5F57ED7E"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6946401"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73D8E164"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0EAC01A3"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3A72E961"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5CA7AC0"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1FCA127"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280276D5" w14:textId="77777777" w:rsidR="00ED6959" w:rsidRDefault="00ED6959" w:rsidP="00843885">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4D4BC32D" w14:textId="13BF2BDD" w:rsidR="00843885" w:rsidRPr="006C3C20" w:rsidRDefault="00843885" w:rsidP="00843885">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four:</w:t>
      </w:r>
      <w:r w:rsidRPr="006C3C20">
        <w:rPr>
          <w:rFonts w:ascii="Arial" w:eastAsia="Times New Roman" w:hAnsi="Arial" w:cs="Arial"/>
          <w:lang w:eastAsia="en-GB"/>
        </w:rPr>
        <w:t xml:space="preserve"> </w:t>
      </w:r>
    </w:p>
    <w:p w14:paraId="6E8B781A" w14:textId="77777777" w:rsidR="00843885" w:rsidRDefault="00843885" w:rsidP="00843885">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u w:val="single"/>
          <w:lang w:eastAsia="en-GB"/>
        </w:rPr>
        <w:t>Critically evaluate</w:t>
      </w:r>
      <w:r>
        <w:rPr>
          <w:rFonts w:ascii="Arial" w:eastAsia="Times New Roman" w:hAnsi="Arial" w:cs="Arial"/>
          <w:lang w:eastAsia="en-GB"/>
        </w:rPr>
        <w:t xml:space="preserve"> the impact of early intervention on young offenders, and young people at risk of becoming involved in gangs. </w:t>
      </w:r>
      <w:r>
        <w:rPr>
          <w:rFonts w:ascii="Arial" w:eastAsia="Times New Roman" w:hAnsi="Arial" w:cs="Arial"/>
          <w:u w:val="single"/>
          <w:lang w:eastAsia="en-GB"/>
        </w:rPr>
        <w:t>Assess</w:t>
      </w:r>
      <w:r w:rsidRPr="008E0A16">
        <w:rPr>
          <w:rFonts w:ascii="Arial" w:eastAsia="Times New Roman" w:hAnsi="Arial" w:cs="Arial"/>
          <w:lang w:eastAsia="en-GB"/>
        </w:rPr>
        <w:t xml:space="preserve"> </w:t>
      </w:r>
      <w:r>
        <w:rPr>
          <w:rFonts w:ascii="Arial" w:eastAsia="Times New Roman" w:hAnsi="Arial" w:cs="Arial"/>
          <w:lang w:eastAsia="en-GB"/>
        </w:rPr>
        <w:t>the effectiveness of partnership approaches to prevent or deter involvement in gang-related activity.</w:t>
      </w:r>
    </w:p>
    <w:p w14:paraId="778B66B7" w14:textId="77777777" w:rsidR="00843885" w:rsidRPr="00E84AE1" w:rsidRDefault="00843885" w:rsidP="00843885">
      <w:pPr>
        <w:overflowPunct w:val="0"/>
        <w:autoSpaceDE w:val="0"/>
        <w:autoSpaceDN w:val="0"/>
        <w:adjustRightInd w:val="0"/>
        <w:spacing w:after="0" w:line="276" w:lineRule="auto"/>
        <w:ind w:right="531"/>
        <w:textAlignment w:val="baseline"/>
        <w:rPr>
          <w:rFonts w:ascii="Arial" w:eastAsia="Times New Roman" w:hAnsi="Arial" w:cs="Arial"/>
          <w:i/>
          <w:iCs/>
          <w:lang w:eastAsia="en-GB"/>
        </w:rPr>
      </w:pPr>
      <w:r w:rsidRPr="006C3C20">
        <w:rPr>
          <w:rFonts w:ascii="Arial" w:eastAsia="Times New Roman" w:hAnsi="Arial" w:cs="Arial"/>
          <w:lang w:eastAsia="en-GB"/>
        </w:rPr>
        <w:t>Rather than relying on personal experience, support your answer with relevant evidence drawn from academic sources.</w:t>
      </w:r>
    </w:p>
    <w:p w14:paraId="39F082A0" w14:textId="77777777"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5AD00F9C" w14:textId="77777777" w:rsidR="00843885" w:rsidRDefault="00843885" w:rsidP="00843885">
      <w:pPr>
        <w:spacing w:after="0" w:line="276" w:lineRule="auto"/>
        <w:ind w:left="567" w:right="531"/>
        <w:rPr>
          <w:rFonts w:ascii="Arial" w:hAnsi="Arial" w:cs="Arial"/>
          <w:lang w:eastAsia="en-GB"/>
        </w:rPr>
      </w:pPr>
    </w:p>
    <w:p w14:paraId="7AF3CB8E" w14:textId="5E2EADAB" w:rsidR="00843885" w:rsidRDefault="00843885" w:rsidP="00843885">
      <w:pPr>
        <w:spacing w:after="0" w:line="276" w:lineRule="auto"/>
        <w:ind w:right="531"/>
        <w:rPr>
          <w:rFonts w:ascii="Arial" w:eastAsia="Times New Roman" w:hAnsi="Arial" w:cs="Arial"/>
          <w:lang w:eastAsia="en-GB"/>
        </w:rPr>
      </w:pPr>
      <w:r>
        <w:rPr>
          <w:rFonts w:ascii="Arial" w:hAnsi="Arial" w:cs="Arial"/>
          <w:lang w:eastAsia="en-GB"/>
        </w:rPr>
        <w:t>Research has found that children whose anti-social behaviour begins in early childhood are two to three times more likely to perpetrate more severe offences than those whose behaviours begin in their adolescence</w:t>
      </w:r>
      <w:r>
        <w:rPr>
          <w:rFonts w:ascii="Arial" w:eastAsia="Times New Roman" w:hAnsi="Arial" w:cs="Arial"/>
          <w:lang w:eastAsia="en-GB"/>
        </w:rPr>
        <w:t xml:space="preserve">. </w:t>
      </w:r>
      <w:sdt>
        <w:sdtPr>
          <w:rPr>
            <w:rFonts w:ascii="Arial" w:eastAsia="Times New Roman" w:hAnsi="Arial" w:cs="Arial"/>
            <w:lang w:eastAsia="en-GB"/>
          </w:rPr>
          <w:id w:val="-1299065989"/>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JRo03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(Flores, 2003)</w:t>
          </w:r>
          <w:r>
            <w:rPr>
              <w:rFonts w:ascii="Arial" w:eastAsia="Times New Roman" w:hAnsi="Arial" w:cs="Arial"/>
              <w:lang w:eastAsia="en-GB"/>
            </w:rPr>
            <w:fldChar w:fldCharType="end"/>
          </w:r>
        </w:sdtContent>
      </w:sdt>
      <w:r>
        <w:rPr>
          <w:rFonts w:ascii="Arial" w:eastAsia="Times New Roman" w:hAnsi="Arial" w:cs="Arial"/>
          <w:lang w:eastAsia="en-GB"/>
        </w:rPr>
        <w:t>. The government has implemented many differing solutions as a way of combating ASB in young persons. One example of government intervention is the Violence Reduction Units. In 2019, 18 police forces were given funding to develop Violence Reduction Units (VRU’s). They are designed to work in a multi-agency environment, with the system being developed to assist in reducing violent crimes and working towards engaging with young people and their communities.</w:t>
      </w:r>
      <w:sdt>
        <w:sdtPr>
          <w:rPr>
            <w:rFonts w:ascii="Arial" w:eastAsia="Times New Roman" w:hAnsi="Arial" w:cs="Arial"/>
            <w:lang w:eastAsia="en-GB"/>
          </w:rPr>
          <w:id w:val="-254671887"/>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Hom20 \l 2057 </w:instrText>
          </w:r>
          <w:r>
            <w:rPr>
              <w:rFonts w:ascii="Arial" w:eastAsia="Times New Roman" w:hAnsi="Arial" w:cs="Arial"/>
              <w:lang w:eastAsia="en-GB"/>
            </w:rPr>
            <w:fldChar w:fldCharType="separate"/>
          </w:r>
          <w:r w:rsidR="00D009F8">
            <w:rPr>
              <w:rFonts w:ascii="Arial" w:eastAsia="Times New Roman" w:hAnsi="Arial" w:cs="Arial"/>
              <w:noProof/>
              <w:lang w:eastAsia="en-GB"/>
            </w:rPr>
            <w:t xml:space="preserve"> </w:t>
          </w:r>
          <w:r w:rsidR="00D009F8" w:rsidRPr="00D009F8">
            <w:rPr>
              <w:rFonts w:ascii="Arial" w:eastAsia="Times New Roman" w:hAnsi="Arial" w:cs="Arial"/>
              <w:noProof/>
              <w:lang w:eastAsia="en-GB"/>
            </w:rPr>
            <w:t>(Home Office, 2020)</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75D4F866" w14:textId="77777777" w:rsidR="00843885" w:rsidRDefault="00843885" w:rsidP="00843885">
      <w:pPr>
        <w:spacing w:after="0" w:line="276" w:lineRule="auto"/>
        <w:ind w:left="567" w:right="531"/>
        <w:rPr>
          <w:rFonts w:ascii="Arial" w:eastAsia="Times New Roman" w:hAnsi="Arial" w:cs="Arial"/>
          <w:lang w:eastAsia="en-GB"/>
        </w:rPr>
      </w:pPr>
    </w:p>
    <w:p w14:paraId="064A5DF7" w14:textId="66F5CB44"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For the last couple of years, VRUs have implemented interventions and evaluation of VRUs by independent parties has found that in 2020, there was a lack of coordination between local and national bodies, resulting in a fragmented evidence base and a lack of understanding when evolving a ‘best practice’ framework </w:t>
      </w:r>
      <w:sdt>
        <w:sdtPr>
          <w:rPr>
            <w:rFonts w:ascii="Arial" w:eastAsia="Times New Roman" w:hAnsi="Arial" w:cs="Arial"/>
            <w:lang w:eastAsia="en-GB"/>
          </w:rPr>
          <w:id w:val="-531194346"/>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Hom20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2020)</w:t>
          </w:r>
          <w:r>
            <w:rPr>
              <w:rFonts w:ascii="Arial" w:eastAsia="Times New Roman" w:hAnsi="Arial" w:cs="Arial"/>
              <w:lang w:eastAsia="en-GB"/>
            </w:rPr>
            <w:fldChar w:fldCharType="end"/>
          </w:r>
        </w:sdtContent>
      </w:sdt>
      <w:r>
        <w:rPr>
          <w:rFonts w:ascii="Arial" w:eastAsia="Times New Roman" w:hAnsi="Arial" w:cs="Arial"/>
          <w:lang w:eastAsia="en-GB"/>
        </w:rPr>
        <w:t xml:space="preserve">. In 2022, a report found that additional revenue into the VRUs is estimated to have reduced violence, where 41,377 instances of violence in the year ending March 2021 resulted without injury in funded areas compared to areas that are non-funded </w:t>
      </w:r>
      <w:sdt>
        <w:sdtPr>
          <w:rPr>
            <w:rFonts w:ascii="Arial" w:eastAsia="Times New Roman" w:hAnsi="Arial" w:cs="Arial"/>
            <w:lang w:eastAsia="en-GB"/>
          </w:rPr>
          <w:id w:val="-221445229"/>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Hom20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2020)</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6E037869" w14:textId="77777777" w:rsidR="00843885" w:rsidRDefault="00843885" w:rsidP="00843885">
      <w:pPr>
        <w:spacing w:after="0" w:line="276" w:lineRule="auto"/>
        <w:ind w:left="567" w:right="531"/>
        <w:rPr>
          <w:rFonts w:ascii="Arial" w:eastAsia="Times New Roman" w:hAnsi="Arial" w:cs="Arial"/>
          <w:lang w:eastAsia="en-GB"/>
        </w:rPr>
      </w:pPr>
    </w:p>
    <w:p w14:paraId="162F5061" w14:textId="75C75BF6"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Before assessing the effectiveness of partnership approaches to gang-related activities, it is worth exploring why young persons end up leaning towards activities within a gang environment without efficient intervention methods and the prevalence of such gangs. There are many benefits to joining a gang structure. Studies have found that youths enter gang for monetary gain, increased respect and opposing a system that has cast these youths aside. A study conducted by Howell (1998) found that gangs have provided ‘haven’ for youths trying to withdraw from mainstream society and protection </w:t>
      </w:r>
      <w:sdt>
        <w:sdtPr>
          <w:rPr>
            <w:rFonts w:ascii="Arial" w:eastAsia="Times New Roman" w:hAnsi="Arial" w:cs="Arial"/>
            <w:lang w:eastAsia="en-GB"/>
          </w:rPr>
          <w:id w:val="-918790960"/>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How98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(Howell, 1998)</w:t>
          </w:r>
          <w:r>
            <w:rPr>
              <w:rFonts w:ascii="Arial" w:eastAsia="Times New Roman" w:hAnsi="Arial" w:cs="Arial"/>
              <w:lang w:eastAsia="en-GB"/>
            </w:rPr>
            <w:fldChar w:fldCharType="end"/>
          </w:r>
        </w:sdtContent>
      </w:sdt>
      <w:r>
        <w:rPr>
          <w:rFonts w:ascii="Arial" w:eastAsia="Times New Roman" w:hAnsi="Arial" w:cs="Arial"/>
          <w:lang w:eastAsia="en-GB"/>
        </w:rPr>
        <w:t xml:space="preserve">. </w:t>
      </w:r>
      <w:proofErr w:type="spellStart"/>
      <w:r>
        <w:rPr>
          <w:rFonts w:ascii="Arial" w:eastAsia="Times New Roman" w:hAnsi="Arial" w:cs="Arial"/>
          <w:lang w:eastAsia="en-GB"/>
        </w:rPr>
        <w:t>Spergal</w:t>
      </w:r>
      <w:proofErr w:type="spellEnd"/>
      <w:r>
        <w:rPr>
          <w:rFonts w:ascii="Arial" w:eastAsia="Times New Roman" w:hAnsi="Arial" w:cs="Arial"/>
          <w:lang w:eastAsia="en-GB"/>
        </w:rPr>
        <w:t xml:space="preserve"> et al (1995) identified that gang induction provided safety to youths suffering from racist attacks </w:t>
      </w:r>
      <w:sdt>
        <w:sdtPr>
          <w:rPr>
            <w:rFonts w:ascii="Arial" w:eastAsia="Times New Roman" w:hAnsi="Arial" w:cs="Arial"/>
            <w:lang w:eastAsia="en-GB"/>
          </w:rPr>
          <w:id w:val="32084793"/>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IAS95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(Spergel, 1995)</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20B9AA3A" w14:textId="77777777" w:rsidR="00843885" w:rsidRDefault="00843885" w:rsidP="00843885">
      <w:pPr>
        <w:spacing w:after="0" w:line="276" w:lineRule="auto"/>
        <w:ind w:right="531"/>
        <w:rPr>
          <w:rFonts w:ascii="Arial" w:eastAsia="Times New Roman" w:hAnsi="Arial" w:cs="Arial"/>
          <w:lang w:eastAsia="en-GB"/>
        </w:rPr>
      </w:pPr>
    </w:p>
    <w:p w14:paraId="091C4F4B" w14:textId="45DDDBD1"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There comes a risk with youths seeking protection within a gang and that is finding themselves at an increased risk of victimisation </w:t>
      </w:r>
      <w:sdt>
        <w:sdtPr>
          <w:rPr>
            <w:rFonts w:ascii="Arial" w:eastAsia="Times New Roman" w:hAnsi="Arial" w:cs="Arial"/>
            <w:lang w:eastAsia="en-GB"/>
          </w:rPr>
          <w:id w:val="267511121"/>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CMe12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(Melde, Diem, &amp; Drake, 2012)</w:t>
          </w:r>
          <w:r>
            <w:rPr>
              <w:rFonts w:ascii="Arial" w:eastAsia="Times New Roman" w:hAnsi="Arial" w:cs="Arial"/>
              <w:lang w:eastAsia="en-GB"/>
            </w:rPr>
            <w:fldChar w:fldCharType="end"/>
          </w:r>
        </w:sdtContent>
      </w:sdt>
      <w:r>
        <w:rPr>
          <w:rFonts w:ascii="Arial" w:eastAsia="Times New Roman" w:hAnsi="Arial" w:cs="Arial"/>
          <w:lang w:eastAsia="en-GB"/>
        </w:rPr>
        <w:t xml:space="preserve">. The prevalence of gang-related activity is a considerable factor to consider when governing authorities attempt to support the early intervention methods. </w:t>
      </w:r>
      <w:r>
        <w:rPr>
          <w:rFonts w:ascii="Arial" w:hAnsi="Arial" w:cs="Arial"/>
          <w:lang w:eastAsia="en-GB"/>
        </w:rPr>
        <w:t>Numerous studies have identified that violence, criminality, money, respect, boredom, friendship, race and protection all contribute to a youths membership into a gang, and that the large percentage of such activities is concentrated in metropolitan areas such as London</w:t>
      </w:r>
      <w:r>
        <w:rPr>
          <w:rFonts w:ascii="Arial" w:eastAsia="Times New Roman" w:hAnsi="Arial" w:cs="Arial"/>
          <w:lang w:eastAsia="en-GB"/>
        </w:rPr>
        <w:t xml:space="preserve"> </w:t>
      </w:r>
      <w:sdt>
        <w:sdtPr>
          <w:rPr>
            <w:rFonts w:ascii="Arial" w:eastAsia="Times New Roman" w:hAnsi="Arial" w:cs="Arial"/>
            <w:lang w:eastAsia="en-GB"/>
          </w:rPr>
          <w:id w:val="1124738660"/>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PBr05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(Bradshaw &amp; Smith, 2005)</w:t>
          </w:r>
          <w:r>
            <w:rPr>
              <w:rFonts w:ascii="Arial" w:eastAsia="Times New Roman" w:hAnsi="Arial" w:cs="Arial"/>
              <w:lang w:eastAsia="en-GB"/>
            </w:rPr>
            <w:fldChar w:fldCharType="end"/>
          </w:r>
        </w:sdtContent>
      </w:sdt>
      <w:r>
        <w:rPr>
          <w:rFonts w:ascii="Arial" w:eastAsia="Times New Roman" w:hAnsi="Arial" w:cs="Arial"/>
          <w:lang w:eastAsia="en-GB"/>
        </w:rPr>
        <w:t xml:space="preserve">, Edinburgh </w:t>
      </w:r>
      <w:sdt>
        <w:sdtPr>
          <w:rPr>
            <w:rFonts w:ascii="Arial" w:eastAsia="Times New Roman" w:hAnsi="Arial" w:cs="Arial"/>
            <w:lang w:eastAsia="en-GB"/>
          </w:rPr>
          <w:id w:val="-987624371"/>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BMa05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(Marshal, Webb, &amp; N.Tilley, 2005)</w:t>
          </w:r>
          <w:r>
            <w:rPr>
              <w:rFonts w:ascii="Arial" w:eastAsia="Times New Roman" w:hAnsi="Arial" w:cs="Arial"/>
              <w:lang w:eastAsia="en-GB"/>
            </w:rPr>
            <w:fldChar w:fldCharType="end"/>
          </w:r>
        </w:sdtContent>
      </w:sdt>
      <w:r>
        <w:rPr>
          <w:rFonts w:ascii="Arial" w:eastAsia="Times New Roman" w:hAnsi="Arial" w:cs="Arial"/>
          <w:lang w:eastAsia="en-GB"/>
        </w:rPr>
        <w:t xml:space="preserve"> &amp; many other large metropolitan areas found in the UK such as Birmingham, Manchester, Liverpool and Glasgow </w:t>
      </w:r>
      <w:sdt>
        <w:sdtPr>
          <w:rPr>
            <w:rFonts w:ascii="Arial" w:eastAsia="Times New Roman" w:hAnsi="Arial" w:cs="Arial"/>
            <w:lang w:eastAsia="en-GB"/>
          </w:rPr>
          <w:id w:val="1260341742"/>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CITATION Bul08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(Bullock &amp; Tilley, 2008)</w:t>
          </w:r>
          <w:r>
            <w:rPr>
              <w:rFonts w:ascii="Arial" w:eastAsia="Times New Roman" w:hAnsi="Arial" w:cs="Arial"/>
              <w:lang w:eastAsia="en-GB"/>
            </w:rPr>
            <w:fldChar w:fldCharType="end"/>
          </w:r>
        </w:sdtContent>
      </w:sdt>
      <w:r>
        <w:rPr>
          <w:rFonts w:ascii="Arial" w:eastAsia="Times New Roman" w:hAnsi="Arial" w:cs="Arial"/>
          <w:lang w:eastAsia="en-GB"/>
        </w:rPr>
        <w:t xml:space="preserve">. The factors mentioned above are all taken into consideration when looking to identify and implement effective early intervention </w:t>
      </w:r>
      <w:r>
        <w:rPr>
          <w:rFonts w:ascii="Arial" w:eastAsia="Times New Roman" w:hAnsi="Arial" w:cs="Arial"/>
          <w:lang w:eastAsia="en-GB"/>
        </w:rPr>
        <w:lastRenderedPageBreak/>
        <w:t xml:space="preserve">methods, especially when looking at multi-partnership approaches. Funding and resources for early intervention need to be allocated to areas where gangs are most prevalent. </w:t>
      </w:r>
    </w:p>
    <w:p w14:paraId="2BB80AFE" w14:textId="77777777" w:rsidR="00843885" w:rsidRDefault="00843885" w:rsidP="00843885">
      <w:pPr>
        <w:spacing w:after="0" w:line="276" w:lineRule="auto"/>
        <w:ind w:right="531"/>
        <w:rPr>
          <w:rFonts w:ascii="Arial" w:eastAsia="Times New Roman" w:hAnsi="Arial" w:cs="Arial"/>
          <w:lang w:eastAsia="en-GB"/>
        </w:rPr>
      </w:pPr>
    </w:p>
    <w:p w14:paraId="7ED40434" w14:textId="1167F54E"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Partnerships between police and other agencies have been proven to help prevent or deter young person’s involvement in gang-related activities </w:t>
      </w:r>
      <w:sdt>
        <w:sdtPr>
          <w:rPr>
            <w:rFonts w:ascii="Arial" w:eastAsia="Times New Roman" w:hAnsi="Arial" w:cs="Arial"/>
            <w:lang w:eastAsia="en-GB"/>
          </w:rPr>
          <w:id w:val="-108674483"/>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Hom20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2020)</w:t>
          </w:r>
          <w:r>
            <w:rPr>
              <w:rFonts w:ascii="Arial" w:eastAsia="Times New Roman" w:hAnsi="Arial" w:cs="Arial"/>
              <w:lang w:eastAsia="en-GB"/>
            </w:rPr>
            <w:fldChar w:fldCharType="end"/>
          </w:r>
        </w:sdtContent>
      </w:sdt>
      <w:r>
        <w:rPr>
          <w:rFonts w:ascii="Arial" w:eastAsia="Times New Roman" w:hAnsi="Arial" w:cs="Arial"/>
          <w:lang w:eastAsia="en-GB"/>
        </w:rPr>
        <w:t xml:space="preserve">. Police alone cannot implement effective early intervention methods, and this is where partnership approaches are pursued. Education is a strong and effective starting point when looking to prevent or deter young </w:t>
      </w:r>
      <w:proofErr w:type="spellStart"/>
      <w:r>
        <w:rPr>
          <w:rFonts w:ascii="Arial" w:eastAsia="Times New Roman" w:hAnsi="Arial" w:cs="Arial"/>
          <w:lang w:eastAsia="en-GB"/>
        </w:rPr>
        <w:t>persons</w:t>
      </w:r>
      <w:proofErr w:type="spellEnd"/>
      <w:r>
        <w:rPr>
          <w:rFonts w:ascii="Arial" w:eastAsia="Times New Roman" w:hAnsi="Arial" w:cs="Arial"/>
          <w:lang w:eastAsia="en-GB"/>
        </w:rPr>
        <w:t xml:space="preserve"> involvement in gang activity. School and colleges have a duty of care and responsibility to protect their students and it is well established that learning is an extremely powerful in the prevention of youth crime. The ability for schools to identify warning signs early on in a child’s education allows for positive and proactive action to be taken, to support and implement a suitable method </w:t>
      </w:r>
      <w:sdt>
        <w:sdtPr>
          <w:rPr>
            <w:rFonts w:ascii="Arial" w:eastAsia="Times New Roman" w:hAnsi="Arial" w:cs="Arial"/>
            <w:lang w:eastAsia="en-GB"/>
          </w:rPr>
          <w:id w:val="-1318725543"/>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2022)</w:t>
          </w:r>
          <w:r>
            <w:rPr>
              <w:rFonts w:ascii="Arial" w:eastAsia="Times New Roman" w:hAnsi="Arial" w:cs="Arial"/>
              <w:lang w:eastAsia="en-GB"/>
            </w:rPr>
            <w:fldChar w:fldCharType="end"/>
          </w:r>
        </w:sdtContent>
      </w:sdt>
      <w:r>
        <w:rPr>
          <w:rFonts w:ascii="Arial" w:eastAsia="Times New Roman" w:hAnsi="Arial" w:cs="Arial"/>
          <w:lang w:eastAsia="en-GB"/>
        </w:rPr>
        <w:t xml:space="preserve">. This naturally leads to a collaborative partnership between education institutes and the local policing service. The guide Preventing Youth Violence and Gang Involvement </w:t>
      </w:r>
      <w:sdt>
        <w:sdtPr>
          <w:rPr>
            <w:rFonts w:ascii="Arial" w:eastAsia="Times New Roman" w:hAnsi="Arial" w:cs="Arial"/>
            <w:lang w:eastAsia="en-GB"/>
          </w:rPr>
          <w:id w:val="-43453114"/>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2022)</w:t>
          </w:r>
          <w:r>
            <w:rPr>
              <w:rFonts w:ascii="Arial" w:eastAsia="Times New Roman" w:hAnsi="Arial" w:cs="Arial"/>
              <w:lang w:eastAsia="en-GB"/>
            </w:rPr>
            <w:fldChar w:fldCharType="end"/>
          </w:r>
        </w:sdtContent>
      </w:sdt>
      <w:r>
        <w:rPr>
          <w:rFonts w:ascii="Arial" w:eastAsia="Times New Roman" w:hAnsi="Arial" w:cs="Arial"/>
          <w:lang w:eastAsia="en-GB"/>
        </w:rPr>
        <w:t xml:space="preserve">, established by the Home Office states that where education institutes work with other local partnerships gives a full understanding of how community issues affect behaviours of students within education and provides an opportunity for the relevant service to engage with pupils on this issue </w:t>
      </w:r>
      <w:sdt>
        <w:sdtPr>
          <w:rPr>
            <w:rFonts w:ascii="Arial" w:eastAsia="Times New Roman" w:hAnsi="Arial" w:cs="Arial"/>
            <w:lang w:eastAsia="en-GB"/>
          </w:rPr>
          <w:id w:val="1252697907"/>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2022)</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6D4DA09E" w14:textId="77777777" w:rsidR="00843885" w:rsidRDefault="00843885" w:rsidP="00843885">
      <w:pPr>
        <w:spacing w:after="0" w:line="276" w:lineRule="auto"/>
        <w:ind w:right="531"/>
        <w:rPr>
          <w:rFonts w:ascii="Arial" w:eastAsia="Times New Roman" w:hAnsi="Arial" w:cs="Arial"/>
          <w:lang w:eastAsia="en-GB"/>
        </w:rPr>
      </w:pPr>
    </w:p>
    <w:p w14:paraId="1EB852A4" w14:textId="27B8F298"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Not all early interventions have proved effective. A type of intervention that has been found ineffective are known as ‘scared straight’ programmes, which aims to shock young people by showing them the consequences of criminal activity. Similarly, drug prevention programmes that use fear arousal techniques that dramatize the risks of drug use are largely found to be ineffective </w:t>
      </w:r>
      <w:sdt>
        <w:sdtPr>
          <w:rPr>
            <w:rFonts w:ascii="Arial" w:eastAsia="Times New Roman" w:hAnsi="Arial" w:cs="Arial"/>
            <w:lang w:eastAsia="en-GB"/>
          </w:rPr>
          <w:id w:val="-1765597831"/>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APe03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(Petrosino, Turpinpetrosino, &amp; Buehler, 2003)</w:t>
          </w:r>
          <w:r>
            <w:rPr>
              <w:rFonts w:ascii="Arial" w:eastAsia="Times New Roman" w:hAnsi="Arial" w:cs="Arial"/>
              <w:lang w:eastAsia="en-GB"/>
            </w:rPr>
            <w:fldChar w:fldCharType="end"/>
          </w:r>
        </w:sdtContent>
      </w:sdt>
      <w:r>
        <w:rPr>
          <w:rFonts w:ascii="Arial" w:eastAsia="Times New Roman" w:hAnsi="Arial" w:cs="Arial"/>
          <w:lang w:eastAsia="en-GB"/>
        </w:rPr>
        <w:t xml:space="preserve">. ‘Bootcamps’ and other such related programmes, which focus on discipline, do nothing in the way of providing continued, supported, and effective rehabilitation </w:t>
      </w:r>
      <w:sdt>
        <w:sdtPr>
          <w:rPr>
            <w:rFonts w:ascii="Arial" w:eastAsia="Times New Roman" w:hAnsi="Arial" w:cs="Arial"/>
            <w:lang w:eastAsia="en-GB"/>
          </w:rPr>
          <w:id w:val="253483483"/>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She02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(Sherman, et al., 2002)</w:t>
          </w:r>
          <w:r>
            <w:rPr>
              <w:rFonts w:ascii="Arial" w:eastAsia="Times New Roman" w:hAnsi="Arial" w:cs="Arial"/>
              <w:lang w:eastAsia="en-GB"/>
            </w:rPr>
            <w:fldChar w:fldCharType="end"/>
          </w:r>
        </w:sdtContent>
      </w:sdt>
      <w:r>
        <w:rPr>
          <w:rFonts w:ascii="Arial" w:eastAsia="Times New Roman" w:hAnsi="Arial" w:cs="Arial"/>
          <w:lang w:eastAsia="en-GB"/>
        </w:rPr>
        <w:t xml:space="preserve">. It is argued that the above methods fail due to the needs and risk factors not being addressed </w:t>
      </w:r>
      <w:sdt>
        <w:sdtPr>
          <w:rPr>
            <w:rFonts w:ascii="Arial" w:eastAsia="Times New Roman" w:hAnsi="Arial" w:cs="Arial"/>
            <w:lang w:eastAsia="en-GB"/>
          </w:rPr>
          <w:id w:val="-1700617888"/>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She02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(Sherman, et al., 2002)</w:t>
          </w:r>
          <w:r>
            <w:rPr>
              <w:rFonts w:ascii="Arial" w:eastAsia="Times New Roman" w:hAnsi="Arial" w:cs="Arial"/>
              <w:lang w:eastAsia="en-GB"/>
            </w:rPr>
            <w:fldChar w:fldCharType="end"/>
          </w:r>
        </w:sdtContent>
      </w:sdt>
      <w:r>
        <w:rPr>
          <w:rFonts w:ascii="Arial" w:eastAsia="Times New Roman" w:hAnsi="Arial" w:cs="Arial"/>
          <w:lang w:eastAsia="en-GB"/>
        </w:rPr>
        <w:t xml:space="preserve">. </w:t>
      </w:r>
    </w:p>
    <w:p w14:paraId="78709379" w14:textId="77777777" w:rsidR="00843885" w:rsidRDefault="00843885" w:rsidP="00843885">
      <w:pPr>
        <w:spacing w:after="0" w:line="276" w:lineRule="auto"/>
        <w:ind w:right="531"/>
        <w:rPr>
          <w:rFonts w:ascii="Arial" w:eastAsia="Times New Roman" w:hAnsi="Arial" w:cs="Arial"/>
          <w:lang w:eastAsia="en-GB"/>
        </w:rPr>
      </w:pPr>
    </w:p>
    <w:p w14:paraId="641518D9" w14:textId="34C73ABB"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Early intervention methods are proven to be successful when implemented earlier in a child’s life, the earlier it is efficiently implemented, the better the rate of success </w:t>
      </w:r>
      <w:sdt>
        <w:sdtPr>
          <w:rPr>
            <w:rFonts w:ascii="Arial" w:eastAsia="Times New Roman" w:hAnsi="Arial" w:cs="Arial"/>
            <w:lang w:eastAsia="en-GB"/>
          </w:rPr>
          <w:id w:val="-2120056939"/>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JRo03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(Flores, 2003)</w:t>
          </w:r>
          <w:r>
            <w:rPr>
              <w:rFonts w:ascii="Arial" w:eastAsia="Times New Roman" w:hAnsi="Arial" w:cs="Arial"/>
              <w:lang w:eastAsia="en-GB"/>
            </w:rPr>
            <w:fldChar w:fldCharType="end"/>
          </w:r>
        </w:sdtContent>
      </w:sdt>
      <w:r>
        <w:rPr>
          <w:rFonts w:ascii="Arial" w:eastAsia="Times New Roman" w:hAnsi="Arial" w:cs="Arial"/>
          <w:lang w:eastAsia="en-GB"/>
        </w:rPr>
        <w:t xml:space="preserve">. Research has proven that where the police are able to implement programmes or specific task forces, the level of violent crimes being perpetrated by young offenders has reduced a significant level and can be considered a success </w:t>
      </w:r>
      <w:sdt>
        <w:sdtPr>
          <w:rPr>
            <w:rFonts w:ascii="Arial" w:eastAsia="Times New Roman" w:hAnsi="Arial" w:cs="Arial"/>
            <w:lang w:eastAsia="en-GB"/>
          </w:rPr>
          <w:id w:val="2050870397"/>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Hom20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2020)</w:t>
          </w:r>
          <w:r>
            <w:rPr>
              <w:rFonts w:ascii="Arial" w:eastAsia="Times New Roman" w:hAnsi="Arial" w:cs="Arial"/>
              <w:lang w:eastAsia="en-GB"/>
            </w:rPr>
            <w:fldChar w:fldCharType="end"/>
          </w:r>
        </w:sdtContent>
      </w:sdt>
      <w:r>
        <w:rPr>
          <w:rFonts w:ascii="Arial" w:eastAsia="Times New Roman" w:hAnsi="Arial" w:cs="Arial"/>
          <w:lang w:eastAsia="en-GB"/>
        </w:rPr>
        <w:t xml:space="preserve">. The appeal of gang culture to youths will always been prevalent in the more metropolitan areas </w:t>
      </w:r>
      <w:sdt>
        <w:sdtPr>
          <w:rPr>
            <w:rFonts w:ascii="Arial" w:eastAsia="Times New Roman" w:hAnsi="Arial" w:cs="Arial"/>
            <w:lang w:eastAsia="en-GB"/>
          </w:rPr>
          <w:id w:val="479736084"/>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PBr05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(Bradshaw &amp; Smith, 2005)</w:t>
          </w:r>
          <w:r>
            <w:rPr>
              <w:rFonts w:ascii="Arial" w:eastAsia="Times New Roman" w:hAnsi="Arial" w:cs="Arial"/>
              <w:lang w:eastAsia="en-GB"/>
            </w:rPr>
            <w:fldChar w:fldCharType="end"/>
          </w:r>
        </w:sdtContent>
      </w:sdt>
      <w:r>
        <w:rPr>
          <w:rFonts w:ascii="Arial" w:eastAsia="Times New Roman" w:hAnsi="Arial" w:cs="Arial"/>
          <w:lang w:eastAsia="en-GB"/>
        </w:rPr>
        <w:t xml:space="preserve"> and having an efficient and easy method to implement is vital. This begins with schools and research has shown that such methods of early intervention are more effective the earlier they are implemented </w:t>
      </w:r>
      <w:sdt>
        <w:sdtPr>
          <w:rPr>
            <w:rFonts w:ascii="Arial" w:eastAsia="Times New Roman" w:hAnsi="Arial" w:cs="Arial"/>
            <w:lang w:eastAsia="en-GB"/>
          </w:rPr>
          <w:id w:val="777293239"/>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Hom22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(Home Office, 2022)</w:t>
          </w:r>
          <w:r>
            <w:rPr>
              <w:rFonts w:ascii="Arial" w:eastAsia="Times New Roman" w:hAnsi="Arial" w:cs="Arial"/>
              <w:lang w:eastAsia="en-GB"/>
            </w:rPr>
            <w:fldChar w:fldCharType="end"/>
          </w:r>
        </w:sdtContent>
      </w:sdt>
      <w:r>
        <w:rPr>
          <w:rFonts w:ascii="Arial" w:eastAsia="Times New Roman" w:hAnsi="Arial" w:cs="Arial"/>
          <w:lang w:eastAsia="en-GB"/>
        </w:rPr>
        <w:t xml:space="preserve">. Whilst there are effective methods of early intervention, there also comes infective methods. The leading cause of these failures is due to the aftercare and lack of continued rehabilitation and support </w:t>
      </w:r>
      <w:sdt>
        <w:sdtPr>
          <w:rPr>
            <w:rFonts w:ascii="Arial" w:eastAsia="Times New Roman" w:hAnsi="Arial" w:cs="Arial"/>
            <w:lang w:eastAsia="en-GB"/>
          </w:rPr>
          <w:id w:val="1837029774"/>
          <w:citation/>
        </w:sdt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She02 \l 2057 </w:instrText>
          </w:r>
          <w:r>
            <w:rPr>
              <w:rFonts w:ascii="Arial" w:eastAsia="Times New Roman" w:hAnsi="Arial" w:cs="Arial"/>
              <w:lang w:eastAsia="en-GB"/>
            </w:rPr>
            <w:fldChar w:fldCharType="separate"/>
          </w:r>
          <w:r w:rsidR="00D009F8" w:rsidRPr="00D009F8">
            <w:rPr>
              <w:rFonts w:ascii="Arial" w:eastAsia="Times New Roman" w:hAnsi="Arial" w:cs="Arial"/>
              <w:noProof/>
              <w:lang w:eastAsia="en-GB"/>
            </w:rPr>
            <w:t>(Sherman, et al., 2002)</w:t>
          </w:r>
          <w:r>
            <w:rPr>
              <w:rFonts w:ascii="Arial" w:eastAsia="Times New Roman" w:hAnsi="Arial" w:cs="Arial"/>
              <w:lang w:eastAsia="en-GB"/>
            </w:rPr>
            <w:fldChar w:fldCharType="end"/>
          </w:r>
        </w:sdtContent>
      </w:sdt>
      <w:r>
        <w:rPr>
          <w:rFonts w:ascii="Arial" w:eastAsia="Times New Roman" w:hAnsi="Arial" w:cs="Arial"/>
          <w:lang w:eastAsia="en-GB"/>
        </w:rPr>
        <w:t>. With these teachings, the success and failures will ultimately lead to a more refined and thorough approach to preventing/deterring youth’s offending and leading to gang related activity.</w:t>
      </w:r>
    </w:p>
    <w:p w14:paraId="186722BD" w14:textId="77777777" w:rsidR="00843885" w:rsidRDefault="00843885" w:rsidP="00843885">
      <w:pPr>
        <w:spacing w:after="0" w:line="276" w:lineRule="auto"/>
        <w:ind w:left="567" w:right="531"/>
        <w:rPr>
          <w:rFonts w:ascii="Arial" w:eastAsia="Times New Roman" w:hAnsi="Arial" w:cs="Arial"/>
          <w:lang w:eastAsia="en-GB"/>
        </w:rPr>
      </w:pPr>
    </w:p>
    <w:p w14:paraId="47AC6156" w14:textId="6A48E6CB" w:rsidR="00843885" w:rsidRDefault="00843885" w:rsidP="00843885">
      <w:pPr>
        <w:spacing w:after="0" w:line="276" w:lineRule="auto"/>
        <w:ind w:right="531"/>
        <w:rPr>
          <w:rFonts w:ascii="Arial" w:eastAsia="Times New Roman" w:hAnsi="Arial" w:cs="Arial"/>
          <w:lang w:eastAsia="en-GB"/>
        </w:rPr>
      </w:pPr>
      <w:r>
        <w:rPr>
          <w:rFonts w:ascii="Arial" w:eastAsia="Times New Roman" w:hAnsi="Arial" w:cs="Arial"/>
          <w:lang w:eastAsia="en-GB"/>
        </w:rPr>
        <w:t>(</w:t>
      </w:r>
      <w:r>
        <w:rPr>
          <w:rFonts w:ascii="Arial" w:eastAsia="Times New Roman" w:hAnsi="Arial" w:cs="Arial"/>
          <w:lang w:eastAsia="en-GB"/>
        </w:rPr>
        <w:t>966</w:t>
      </w:r>
      <w:r>
        <w:rPr>
          <w:rFonts w:ascii="Arial" w:eastAsia="Times New Roman" w:hAnsi="Arial" w:cs="Arial"/>
          <w:lang w:eastAsia="en-GB"/>
        </w:rPr>
        <w:t xml:space="preserve"> Words) </w:t>
      </w:r>
    </w:p>
    <w:sdt>
      <w:sdtPr>
        <w:rPr>
          <w:rFonts w:asciiTheme="minorHAnsi" w:eastAsiaTheme="minorHAnsi" w:hAnsiTheme="minorHAnsi" w:cstheme="minorBidi"/>
          <w:color w:val="auto"/>
          <w:sz w:val="22"/>
          <w:szCs w:val="22"/>
          <w:lang w:val="en-GB"/>
        </w:rPr>
        <w:id w:val="286408036"/>
        <w:docPartObj>
          <w:docPartGallery w:val="Bibliographies"/>
          <w:docPartUnique/>
        </w:docPartObj>
      </w:sdtPr>
      <w:sdtContent>
        <w:p w14:paraId="1FEEC021" w14:textId="77777777" w:rsidR="00843885" w:rsidRDefault="00843885" w:rsidP="00843885">
          <w:pPr>
            <w:pStyle w:val="Heading1"/>
          </w:pPr>
          <w:r>
            <w:t>References</w:t>
          </w:r>
        </w:p>
        <w:sdt>
          <w:sdtPr>
            <w:id w:val="-573587230"/>
            <w:bibliography/>
          </w:sdtPr>
          <w:sdtContent>
            <w:p w14:paraId="374804BD" w14:textId="77777777" w:rsidR="00D009F8" w:rsidRDefault="00843885" w:rsidP="00D009F8">
              <w:pPr>
                <w:pStyle w:val="Bibliography"/>
                <w:ind w:left="720" w:hanging="720"/>
                <w:rPr>
                  <w:noProof/>
                  <w:sz w:val="24"/>
                  <w:szCs w:val="24"/>
                  <w:lang w:val="en-US"/>
                </w:rPr>
              </w:pPr>
              <w:r>
                <w:fldChar w:fldCharType="begin"/>
              </w:r>
              <w:r>
                <w:instrText xml:space="preserve"> BIBLIOGRAPHY </w:instrText>
              </w:r>
              <w:r>
                <w:fldChar w:fldCharType="separate"/>
              </w:r>
              <w:r w:rsidR="00D009F8">
                <w:rPr>
                  <w:noProof/>
                  <w:lang w:val="en-US"/>
                </w:rPr>
                <w:t xml:space="preserve">Bradshaw, P., &amp; Smith, D. (2005). </w:t>
              </w:r>
              <w:r w:rsidR="00D009F8">
                <w:rPr>
                  <w:i/>
                  <w:iCs/>
                  <w:noProof/>
                  <w:lang w:val="en-US"/>
                </w:rPr>
                <w:t>Gang Membership and Teenage Offending.</w:t>
              </w:r>
              <w:r w:rsidR="00D009F8">
                <w:rPr>
                  <w:noProof/>
                  <w:lang w:val="en-US"/>
                </w:rPr>
                <w:t xml:space="preserve"> Edinburgh: Centre for Law and Society.</w:t>
              </w:r>
            </w:p>
            <w:p w14:paraId="60EA9C00" w14:textId="77777777" w:rsidR="00D009F8" w:rsidRDefault="00D009F8" w:rsidP="00D009F8">
              <w:pPr>
                <w:pStyle w:val="Bibliography"/>
                <w:ind w:left="720" w:hanging="720"/>
                <w:rPr>
                  <w:noProof/>
                  <w:lang w:val="en-US"/>
                </w:rPr>
              </w:pPr>
              <w:r>
                <w:rPr>
                  <w:noProof/>
                  <w:lang w:val="en-US"/>
                </w:rPr>
                <w:t xml:space="preserve">Bryant, S., Peck, M., &amp; Lovbakke, J. (2015). </w:t>
              </w:r>
              <w:r>
                <w:rPr>
                  <w:i/>
                  <w:iCs/>
                  <w:noProof/>
                  <w:lang w:val="en-US"/>
                </w:rPr>
                <w:t>Reoffending Analysis of MAPPA Eligible Offenders.</w:t>
              </w:r>
              <w:r>
                <w:rPr>
                  <w:noProof/>
                  <w:lang w:val="en-US"/>
                </w:rPr>
                <w:t xml:space="preserve"> London: Ministry of Justice.</w:t>
              </w:r>
            </w:p>
            <w:p w14:paraId="236FA7EF" w14:textId="77777777" w:rsidR="00D009F8" w:rsidRDefault="00D009F8" w:rsidP="00D009F8">
              <w:pPr>
                <w:pStyle w:val="Bibliography"/>
                <w:ind w:left="720" w:hanging="720"/>
                <w:rPr>
                  <w:noProof/>
                  <w:lang w:val="en-US"/>
                </w:rPr>
              </w:pPr>
              <w:r>
                <w:rPr>
                  <w:noProof/>
                  <w:lang w:val="en-US"/>
                </w:rPr>
                <w:t xml:space="preserve">Bullock, K., &amp; Tilley, N. (2008). Understanding and tackling Gang violence. </w:t>
              </w:r>
              <w:r>
                <w:rPr>
                  <w:i/>
                  <w:iCs/>
                  <w:noProof/>
                  <w:lang w:val="en-US"/>
                </w:rPr>
                <w:t>Crime prevention and community safety</w:t>
              </w:r>
              <w:r>
                <w:rPr>
                  <w:noProof/>
                  <w:lang w:val="en-US"/>
                </w:rPr>
                <w:t>, 36-47.</w:t>
              </w:r>
            </w:p>
            <w:p w14:paraId="0D8A3FF0" w14:textId="77777777" w:rsidR="00D009F8" w:rsidRDefault="00D009F8" w:rsidP="00D009F8">
              <w:pPr>
                <w:pStyle w:val="Bibliography"/>
                <w:ind w:left="720" w:hanging="720"/>
                <w:rPr>
                  <w:noProof/>
                  <w:lang w:val="en-US"/>
                </w:rPr>
              </w:pPr>
              <w:r>
                <w:rPr>
                  <w:noProof/>
                  <w:lang w:val="en-US"/>
                </w:rPr>
                <w:t xml:space="preserve">Childrens Commissioner for England. (2018). </w:t>
              </w:r>
              <w:r>
                <w:rPr>
                  <w:i/>
                  <w:iCs/>
                  <w:noProof/>
                  <w:lang w:val="en-US"/>
                </w:rPr>
                <w:t>Forging Futures through Mentoring: A risk worth pursuing?</w:t>
              </w:r>
              <w:r>
                <w:rPr>
                  <w:noProof/>
                  <w:lang w:val="en-US"/>
                </w:rPr>
                <w:t xml:space="preserve"> London: Children's Commissioner.</w:t>
              </w:r>
            </w:p>
            <w:p w14:paraId="0BC391F0" w14:textId="77777777" w:rsidR="00D009F8" w:rsidRDefault="00D009F8" w:rsidP="00D009F8">
              <w:pPr>
                <w:pStyle w:val="Bibliography"/>
                <w:ind w:left="720" w:hanging="720"/>
                <w:rPr>
                  <w:noProof/>
                  <w:lang w:val="en-US"/>
                </w:rPr>
              </w:pPr>
              <w:r>
                <w:rPr>
                  <w:noProof/>
                  <w:lang w:val="en-US"/>
                </w:rPr>
                <w:t xml:space="preserve">Cloake, J. A., &amp; Tudor, R. M. (2001). </w:t>
              </w:r>
              <w:r>
                <w:rPr>
                  <w:i/>
                  <w:iCs/>
                  <w:noProof/>
                  <w:lang w:val="en-US"/>
                </w:rPr>
                <w:t>Multicultural Britain.</w:t>
              </w:r>
              <w:r>
                <w:rPr>
                  <w:noProof/>
                  <w:lang w:val="en-US"/>
                </w:rPr>
                <w:t xml:space="preserve"> Oxford: Oxford University Press.</w:t>
              </w:r>
            </w:p>
            <w:p w14:paraId="68C25D0E" w14:textId="77777777" w:rsidR="00D009F8" w:rsidRDefault="00D009F8" w:rsidP="00D009F8">
              <w:pPr>
                <w:pStyle w:val="Bibliography"/>
                <w:ind w:left="720" w:hanging="720"/>
                <w:rPr>
                  <w:noProof/>
                  <w:lang w:val="en-US"/>
                </w:rPr>
              </w:pPr>
              <w:r>
                <w:rPr>
                  <w:noProof/>
                  <w:lang w:val="en-US"/>
                </w:rPr>
                <w:t xml:space="preserve">College of Policing. (2022, October 26). </w:t>
              </w:r>
              <w:r>
                <w:rPr>
                  <w:i/>
                  <w:iCs/>
                  <w:noProof/>
                  <w:lang w:val="en-US"/>
                </w:rPr>
                <w:t>Code of Ethics</w:t>
              </w:r>
              <w:r>
                <w:rPr>
                  <w:noProof/>
                  <w:lang w:val="en-US"/>
                </w:rPr>
                <w:t>. Retrieved from College of Policing : https://www.college.police.uk/ethics/code-of-ethics</w:t>
              </w:r>
            </w:p>
            <w:p w14:paraId="0378DD1F" w14:textId="77777777" w:rsidR="00D009F8" w:rsidRDefault="00D009F8" w:rsidP="00D009F8">
              <w:pPr>
                <w:pStyle w:val="Bibliography"/>
                <w:ind w:left="720" w:hanging="720"/>
                <w:rPr>
                  <w:noProof/>
                  <w:lang w:val="en-US"/>
                </w:rPr>
              </w:pPr>
              <w:r>
                <w:rPr>
                  <w:noProof/>
                  <w:lang w:val="en-US"/>
                </w:rPr>
                <w:t xml:space="preserve">College of Policing. (2022, October 31). </w:t>
              </w:r>
              <w:r>
                <w:rPr>
                  <w:i/>
                  <w:iCs/>
                  <w:noProof/>
                  <w:lang w:val="en-US"/>
                </w:rPr>
                <w:t xml:space="preserve">Code of Ethics Review </w:t>
              </w:r>
              <w:r>
                <w:rPr>
                  <w:noProof/>
                  <w:lang w:val="en-US"/>
                </w:rPr>
                <w:t>. Retrieved from College of Policing Website: https://www.college.police.uk/article/scope-code-ethics-review-published</w:t>
              </w:r>
            </w:p>
            <w:p w14:paraId="4EC7AB7A" w14:textId="77777777" w:rsidR="00D009F8" w:rsidRDefault="00D009F8" w:rsidP="00D009F8">
              <w:pPr>
                <w:pStyle w:val="Bibliography"/>
                <w:ind w:left="720" w:hanging="720"/>
                <w:rPr>
                  <w:noProof/>
                  <w:lang w:val="en-US"/>
                </w:rPr>
              </w:pPr>
              <w:r>
                <w:rPr>
                  <w:noProof/>
                  <w:lang w:val="en-US"/>
                </w:rPr>
                <w:t xml:space="preserve">College of Policing. (2022, October 31). </w:t>
              </w:r>
              <w:r>
                <w:rPr>
                  <w:i/>
                  <w:iCs/>
                  <w:noProof/>
                  <w:lang w:val="en-US"/>
                </w:rPr>
                <w:t>MAPPA</w:t>
              </w:r>
              <w:r>
                <w:rPr>
                  <w:noProof/>
                  <w:lang w:val="en-US"/>
                </w:rPr>
                <w:t>. Retrieved from College of policing web site: https://www.college.police.uk/app/major-investigation-and-public-protection/managing-sexual-offenders-and-violent-offenders/multi-agency-public-protection-arrangements-mappa</w:t>
              </w:r>
            </w:p>
            <w:p w14:paraId="5D0A5085" w14:textId="77777777" w:rsidR="00D009F8" w:rsidRDefault="00D009F8" w:rsidP="00D009F8">
              <w:pPr>
                <w:pStyle w:val="Bibliography"/>
                <w:ind w:left="720" w:hanging="720"/>
                <w:rPr>
                  <w:noProof/>
                  <w:lang w:val="en-US"/>
                </w:rPr>
              </w:pPr>
              <w:r>
                <w:rPr>
                  <w:noProof/>
                  <w:lang w:val="en-US"/>
                </w:rPr>
                <w:t xml:space="preserve">Coomber, R., &amp; Moyle, L. (2012). </w:t>
              </w:r>
              <w:r>
                <w:rPr>
                  <w:i/>
                  <w:iCs/>
                  <w:noProof/>
                  <w:lang w:val="en-US"/>
                </w:rPr>
                <w:t>A rapid appraisal of the illicit drug market in Southen-On-Sea.</w:t>
              </w:r>
              <w:r>
                <w:rPr>
                  <w:noProof/>
                  <w:lang w:val="en-US"/>
                </w:rPr>
                <w:t xml:space="preserve"> Plymouth: Plymouth University.</w:t>
              </w:r>
            </w:p>
            <w:p w14:paraId="6FBFD90D" w14:textId="77777777" w:rsidR="00D009F8" w:rsidRDefault="00D009F8" w:rsidP="00D009F8">
              <w:pPr>
                <w:pStyle w:val="Bibliography"/>
                <w:ind w:left="720" w:hanging="720"/>
                <w:rPr>
                  <w:noProof/>
                  <w:lang w:val="en-US"/>
                </w:rPr>
              </w:pPr>
              <w:r>
                <w:rPr>
                  <w:noProof/>
                  <w:lang w:val="en-US"/>
                </w:rPr>
                <w:t xml:space="preserve">Criminal Justice Act 2003. (2022, October 31). </w:t>
              </w:r>
              <w:r>
                <w:rPr>
                  <w:i/>
                  <w:iCs/>
                  <w:noProof/>
                  <w:lang w:val="en-US"/>
                </w:rPr>
                <w:t>Criminal Justice Act 2003</w:t>
              </w:r>
              <w:r>
                <w:rPr>
                  <w:noProof/>
                  <w:lang w:val="en-US"/>
                </w:rPr>
                <w:t>. Retrieved from Legislation Government Website: https://www.legislation.gov.uk/ukpga/2003/44/schedule/15</w:t>
              </w:r>
            </w:p>
            <w:p w14:paraId="2DF6C6A7" w14:textId="77777777" w:rsidR="00D009F8" w:rsidRDefault="00D009F8" w:rsidP="00D009F8">
              <w:pPr>
                <w:pStyle w:val="Bibliography"/>
                <w:ind w:left="720" w:hanging="720"/>
                <w:rPr>
                  <w:noProof/>
                  <w:lang w:val="en-US"/>
                </w:rPr>
              </w:pPr>
              <w:r>
                <w:rPr>
                  <w:noProof/>
                  <w:lang w:val="en-US"/>
                </w:rPr>
                <w:t xml:space="preserve">Crown Prosecution Service. (2020, October 04). </w:t>
              </w:r>
              <w:r>
                <w:rPr>
                  <w:i/>
                  <w:iCs/>
                  <w:noProof/>
                  <w:lang w:val="en-US"/>
                </w:rPr>
                <w:t xml:space="preserve">Organised Crime Group </w:t>
              </w:r>
              <w:r>
                <w:rPr>
                  <w:noProof/>
                  <w:lang w:val="en-US"/>
                </w:rPr>
                <w:t>. Retrieved from Crown Prosecution Website: https://www.cps.gov.uk/legal-guidance/organised-crime-group-participating-activities#:~:text=An%20OCG%20is%20defined%20(section,together%20to%20further%20that%20purpose.</w:t>
              </w:r>
            </w:p>
            <w:p w14:paraId="6F2FC31E" w14:textId="77777777" w:rsidR="00D009F8" w:rsidRDefault="00D009F8" w:rsidP="00D009F8">
              <w:pPr>
                <w:pStyle w:val="Bibliography"/>
                <w:ind w:left="720" w:hanging="720"/>
                <w:rPr>
                  <w:noProof/>
                  <w:lang w:val="en-US"/>
                </w:rPr>
              </w:pPr>
              <w:r>
                <w:rPr>
                  <w:noProof/>
                  <w:lang w:val="en-US"/>
                </w:rPr>
                <w:t xml:space="preserve">Dr N, Mann; Dr S, Lundrigan. (2022, October 31). </w:t>
              </w:r>
              <w:r>
                <w:rPr>
                  <w:i/>
                  <w:iCs/>
                  <w:noProof/>
                  <w:lang w:val="en-US"/>
                </w:rPr>
                <w:t>The integration of academic, practitioner and offender knowledge to deliver excellence in the multi-agency risk management of violent and sexual offenders in the community</w:t>
              </w:r>
              <w:r>
                <w:rPr>
                  <w:noProof/>
                  <w:lang w:val="en-US"/>
                </w:rPr>
                <w:t>. Retrieved from College of Police Web site: https://www.college.police.uk/research/projects/integration-academic-practitioner-and-offender-knowledge-deliver-excellence-multi-agency-risk-management-violent-and-sexual-offenders-community?projectid=869</w:t>
              </w:r>
            </w:p>
            <w:p w14:paraId="165D368F" w14:textId="77777777" w:rsidR="00D009F8" w:rsidRDefault="00D009F8" w:rsidP="00D009F8">
              <w:pPr>
                <w:pStyle w:val="Bibliography"/>
                <w:ind w:left="720" w:hanging="720"/>
                <w:rPr>
                  <w:noProof/>
                  <w:lang w:val="en-US"/>
                </w:rPr>
              </w:pPr>
              <w:r>
                <w:rPr>
                  <w:noProof/>
                  <w:lang w:val="en-US"/>
                </w:rPr>
                <w:t xml:space="preserve">Flores, J. R. (2003). Child Delinquency . </w:t>
              </w:r>
              <w:r>
                <w:rPr>
                  <w:i/>
                  <w:iCs/>
                  <w:noProof/>
                  <w:lang w:val="en-US"/>
                </w:rPr>
                <w:t>Child Delinquency: Early Intervention and Prevention</w:t>
              </w:r>
              <w:r>
                <w:rPr>
                  <w:noProof/>
                  <w:lang w:val="en-US"/>
                </w:rPr>
                <w:t>, 1.</w:t>
              </w:r>
            </w:p>
            <w:p w14:paraId="1102CBB7" w14:textId="77777777" w:rsidR="00D009F8" w:rsidRDefault="00D009F8" w:rsidP="00D009F8">
              <w:pPr>
                <w:pStyle w:val="Bibliography"/>
                <w:ind w:left="720" w:hanging="720"/>
                <w:rPr>
                  <w:noProof/>
                  <w:lang w:val="en-US"/>
                </w:rPr>
              </w:pPr>
              <w:r>
                <w:rPr>
                  <w:noProof/>
                  <w:lang w:val="en-US"/>
                </w:rPr>
                <w:t xml:space="preserve">Hall, J. (2020). </w:t>
              </w:r>
              <w:r>
                <w:rPr>
                  <w:i/>
                  <w:iCs/>
                  <w:noProof/>
                  <w:lang w:val="en-US"/>
                </w:rPr>
                <w:t>Multi Agency Public Protection Arrangements review.</w:t>
              </w:r>
              <w:r>
                <w:rPr>
                  <w:noProof/>
                  <w:lang w:val="en-US"/>
                </w:rPr>
                <w:t xml:space="preserve"> London: Home Office.</w:t>
              </w:r>
            </w:p>
            <w:p w14:paraId="334DF510" w14:textId="77777777" w:rsidR="00D009F8" w:rsidRDefault="00D009F8" w:rsidP="00D009F8">
              <w:pPr>
                <w:pStyle w:val="Bibliography"/>
                <w:ind w:left="720" w:hanging="720"/>
                <w:rPr>
                  <w:noProof/>
                  <w:lang w:val="en-US"/>
                </w:rPr>
              </w:pPr>
              <w:r>
                <w:rPr>
                  <w:noProof/>
                  <w:lang w:val="en-US"/>
                </w:rPr>
                <w:t xml:space="preserve">HMICFRS. (2020). </w:t>
              </w:r>
              <w:r>
                <w:rPr>
                  <w:i/>
                  <w:iCs/>
                  <w:noProof/>
                  <w:lang w:val="en-US"/>
                </w:rPr>
                <w:t>A joint thematic inspection of Integrated Offender Mangement.</w:t>
              </w:r>
              <w:r>
                <w:rPr>
                  <w:noProof/>
                  <w:lang w:val="en-US"/>
                </w:rPr>
                <w:t xml:space="preserve"> London: Criminal Justice Joint Inspection.</w:t>
              </w:r>
            </w:p>
            <w:p w14:paraId="50BF2886" w14:textId="77777777" w:rsidR="00D009F8" w:rsidRDefault="00D009F8" w:rsidP="00D009F8">
              <w:pPr>
                <w:pStyle w:val="Bibliography"/>
                <w:ind w:left="720" w:hanging="720"/>
                <w:rPr>
                  <w:noProof/>
                  <w:lang w:val="en-US"/>
                </w:rPr>
              </w:pPr>
              <w:r>
                <w:rPr>
                  <w:noProof/>
                  <w:lang w:val="en-US"/>
                </w:rPr>
                <w:t xml:space="preserve">Home Office . (2018). </w:t>
              </w:r>
              <w:r>
                <w:rPr>
                  <w:i/>
                  <w:iCs/>
                  <w:noProof/>
                  <w:lang w:val="en-US"/>
                </w:rPr>
                <w:t>Criminal Exploitation of children and vulnerable adults: County Lines guidance.</w:t>
              </w:r>
              <w:r>
                <w:rPr>
                  <w:noProof/>
                  <w:lang w:val="en-US"/>
                </w:rPr>
                <w:t xml:space="preserve"> London : Home Office.</w:t>
              </w:r>
            </w:p>
            <w:p w14:paraId="508281FB" w14:textId="77777777" w:rsidR="00D009F8" w:rsidRDefault="00D009F8" w:rsidP="00D009F8">
              <w:pPr>
                <w:pStyle w:val="Bibliography"/>
                <w:ind w:left="720" w:hanging="720"/>
                <w:rPr>
                  <w:noProof/>
                  <w:lang w:val="en-US"/>
                </w:rPr>
              </w:pPr>
              <w:r>
                <w:rPr>
                  <w:noProof/>
                  <w:lang w:val="en-US"/>
                </w:rPr>
                <w:lastRenderedPageBreak/>
                <w:t xml:space="preserve">Home Office. (2020). </w:t>
              </w:r>
              <w:r>
                <w:rPr>
                  <w:i/>
                  <w:iCs/>
                  <w:noProof/>
                  <w:lang w:val="en-US"/>
                </w:rPr>
                <w:t>Violence Reduction Unit.</w:t>
              </w:r>
              <w:r>
                <w:rPr>
                  <w:noProof/>
                  <w:lang w:val="en-US"/>
                </w:rPr>
                <w:t xml:space="preserve"> London: Home Office.</w:t>
              </w:r>
            </w:p>
            <w:p w14:paraId="39C16A34" w14:textId="77777777" w:rsidR="00D009F8" w:rsidRDefault="00D009F8" w:rsidP="00D009F8">
              <w:pPr>
                <w:pStyle w:val="Bibliography"/>
                <w:ind w:left="720" w:hanging="720"/>
                <w:rPr>
                  <w:noProof/>
                  <w:lang w:val="en-US"/>
                </w:rPr>
              </w:pPr>
              <w:r>
                <w:rPr>
                  <w:noProof/>
                  <w:lang w:val="en-US"/>
                </w:rPr>
                <w:t xml:space="preserve">Home Office. (2022, October 31). </w:t>
              </w:r>
              <w:r>
                <w:rPr>
                  <w:i/>
                  <w:iCs/>
                  <w:noProof/>
                  <w:lang w:val="en-US"/>
                </w:rPr>
                <w:t>Definition of Policing by Consent</w:t>
              </w:r>
              <w:r>
                <w:rPr>
                  <w:noProof/>
                  <w:lang w:val="en-US"/>
                </w:rPr>
                <w:t>. Retrieved from Gov UK: https://www.gov.uk/government/publications/policing-by-consent/definition-of-policing-by-consent</w:t>
              </w:r>
            </w:p>
            <w:p w14:paraId="4C141592" w14:textId="77777777" w:rsidR="00D009F8" w:rsidRDefault="00D009F8" w:rsidP="00D009F8">
              <w:pPr>
                <w:pStyle w:val="Bibliography"/>
                <w:ind w:left="720" w:hanging="720"/>
                <w:rPr>
                  <w:noProof/>
                  <w:lang w:val="en-US"/>
                </w:rPr>
              </w:pPr>
              <w:r>
                <w:rPr>
                  <w:noProof/>
                  <w:lang w:val="en-US"/>
                </w:rPr>
                <w:t xml:space="preserve">Home Office. (2022, September 28). </w:t>
              </w:r>
              <w:r>
                <w:rPr>
                  <w:i/>
                  <w:iCs/>
                  <w:noProof/>
                  <w:lang w:val="en-US"/>
                </w:rPr>
                <w:t>Preventing youth violence and gang involvement</w:t>
              </w:r>
              <w:r>
                <w:rPr>
                  <w:noProof/>
                  <w:lang w:val="en-US"/>
                </w:rPr>
                <w:t>. Retrieved from assets.publishing.service.gov.uk: https://assets.publishing.service.gov.uk/government/uploads/system/uploads/attachment_data/file/418131/Preventing_youth_violence_and_gang_involvement_v3_March2015.pdf</w:t>
              </w:r>
            </w:p>
            <w:p w14:paraId="398C6339" w14:textId="77777777" w:rsidR="00D009F8" w:rsidRDefault="00D009F8" w:rsidP="00D009F8">
              <w:pPr>
                <w:pStyle w:val="Bibliography"/>
                <w:ind w:left="720" w:hanging="720"/>
                <w:rPr>
                  <w:noProof/>
                  <w:lang w:val="en-US"/>
                </w:rPr>
              </w:pPr>
              <w:r>
                <w:rPr>
                  <w:noProof/>
                  <w:lang w:val="en-US"/>
                </w:rPr>
                <w:t xml:space="preserve">Home Office. (2022, October 31). </w:t>
              </w:r>
              <w:r>
                <w:rPr>
                  <w:i/>
                  <w:iCs/>
                  <w:noProof/>
                  <w:lang w:val="en-US"/>
                </w:rPr>
                <w:t>UK Government Website</w:t>
              </w:r>
              <w:r>
                <w:rPr>
                  <w:noProof/>
                  <w:lang w:val="en-US"/>
                </w:rPr>
                <w:t>. Retrieved from PACE Code A 2015: https://www.gov.uk/government/publications/pace-code-a-2015</w:t>
              </w:r>
            </w:p>
            <w:p w14:paraId="59C74BBC" w14:textId="77777777" w:rsidR="00D009F8" w:rsidRDefault="00D009F8" w:rsidP="00D009F8">
              <w:pPr>
                <w:pStyle w:val="Bibliography"/>
                <w:ind w:left="720" w:hanging="720"/>
                <w:rPr>
                  <w:noProof/>
                  <w:lang w:val="en-US"/>
                </w:rPr>
              </w:pPr>
              <w:r>
                <w:rPr>
                  <w:noProof/>
                  <w:lang w:val="en-US"/>
                </w:rPr>
                <w:t xml:space="preserve">Houses of Parliament. Parliamentary Office of Science &amp; Technology. (2019). Early Interventions to Reduce Violent Crime. </w:t>
              </w:r>
              <w:r>
                <w:rPr>
                  <w:i/>
                  <w:iCs/>
                  <w:noProof/>
                  <w:lang w:val="en-US"/>
                </w:rPr>
                <w:t>Early Interventions to Reduce Violent Crime</w:t>
              </w:r>
              <w:r>
                <w:rPr>
                  <w:noProof/>
                  <w:lang w:val="en-US"/>
                </w:rPr>
                <w:t>, 3.</w:t>
              </w:r>
            </w:p>
            <w:p w14:paraId="4DB156D2" w14:textId="77777777" w:rsidR="00D009F8" w:rsidRDefault="00D009F8" w:rsidP="00D009F8">
              <w:pPr>
                <w:pStyle w:val="Bibliography"/>
                <w:ind w:left="720" w:hanging="720"/>
                <w:rPr>
                  <w:noProof/>
                  <w:lang w:val="en-US"/>
                </w:rPr>
              </w:pPr>
              <w:r>
                <w:rPr>
                  <w:noProof/>
                  <w:lang w:val="en-US"/>
                </w:rPr>
                <w:t xml:space="preserve">Howell, J. (1998). </w:t>
              </w:r>
              <w:r>
                <w:rPr>
                  <w:i/>
                  <w:iCs/>
                  <w:noProof/>
                  <w:lang w:val="en-US"/>
                </w:rPr>
                <w:t>Youth Gangs: An Overview.</w:t>
              </w:r>
              <w:r>
                <w:rPr>
                  <w:noProof/>
                  <w:lang w:val="en-US"/>
                </w:rPr>
                <w:t xml:space="preserve"> Washington DC: US Department of Justice.</w:t>
              </w:r>
            </w:p>
            <w:p w14:paraId="275C82DE" w14:textId="77777777" w:rsidR="00D009F8" w:rsidRDefault="00D009F8" w:rsidP="00D009F8">
              <w:pPr>
                <w:pStyle w:val="Bibliography"/>
                <w:ind w:left="720" w:hanging="720"/>
                <w:rPr>
                  <w:noProof/>
                  <w:lang w:val="en-US"/>
                </w:rPr>
              </w:pPr>
              <w:r>
                <w:rPr>
                  <w:noProof/>
                  <w:lang w:val="en-US"/>
                </w:rPr>
                <w:t xml:space="preserve">IPCC. (2009, October 31). </w:t>
              </w:r>
              <w:r>
                <w:rPr>
                  <w:i/>
                  <w:iCs/>
                  <w:noProof/>
                  <w:lang w:val="en-US"/>
                </w:rPr>
                <w:t>IPCC position regarding police powers to stop and search</w:t>
              </w:r>
              <w:r>
                <w:rPr>
                  <w:noProof/>
                  <w:lang w:val="en-US"/>
                </w:rPr>
                <w:t>. Retrieved from IPCC Wev site: www.ipcc.gov.uk/documents/stop_and_search_policy_position.pdf</w:t>
              </w:r>
            </w:p>
            <w:p w14:paraId="23154A8E" w14:textId="77777777" w:rsidR="00D009F8" w:rsidRDefault="00D009F8" w:rsidP="00D009F8">
              <w:pPr>
                <w:pStyle w:val="Bibliography"/>
                <w:ind w:left="720" w:hanging="720"/>
                <w:rPr>
                  <w:noProof/>
                  <w:lang w:val="en-US"/>
                </w:rPr>
              </w:pPr>
              <w:r>
                <w:rPr>
                  <w:noProof/>
                  <w:lang w:val="en-US"/>
                </w:rPr>
                <w:t xml:space="preserve">Local Government Association . (2022, October 31). </w:t>
              </w:r>
              <w:r>
                <w:rPr>
                  <w:i/>
                  <w:iCs/>
                  <w:noProof/>
                  <w:lang w:val="en-US"/>
                </w:rPr>
                <w:t>Local Government Website</w:t>
              </w:r>
              <w:r>
                <w:rPr>
                  <w:noProof/>
                  <w:lang w:val="en-US"/>
                </w:rPr>
                <w:t>. Retrieved from Government site: https://www.local.gov.uk/sites/default/files/documents/tackling-serious-and-orga-44a.pdf</w:t>
              </w:r>
            </w:p>
            <w:p w14:paraId="02D9DD24" w14:textId="77777777" w:rsidR="00D009F8" w:rsidRDefault="00D009F8" w:rsidP="00D009F8">
              <w:pPr>
                <w:pStyle w:val="Bibliography"/>
                <w:ind w:left="720" w:hanging="720"/>
                <w:rPr>
                  <w:noProof/>
                  <w:lang w:val="en-US"/>
                </w:rPr>
              </w:pPr>
              <w:r>
                <w:rPr>
                  <w:noProof/>
                  <w:lang w:val="en-US"/>
                </w:rPr>
                <w:t xml:space="preserve">Lord Scarman, O. (1981). </w:t>
              </w:r>
              <w:r>
                <w:rPr>
                  <w:i/>
                  <w:iCs/>
                  <w:noProof/>
                  <w:lang w:val="en-US"/>
                </w:rPr>
                <w:t>The Brixton Disorders 10-12 April 1981.</w:t>
              </w:r>
              <w:r>
                <w:rPr>
                  <w:noProof/>
                  <w:lang w:val="en-US"/>
                </w:rPr>
                <w:t xml:space="preserve"> London: Official Government Report.</w:t>
              </w:r>
            </w:p>
            <w:p w14:paraId="7B05605A" w14:textId="77777777" w:rsidR="00D009F8" w:rsidRDefault="00D009F8" w:rsidP="00D009F8">
              <w:pPr>
                <w:pStyle w:val="Bibliography"/>
                <w:ind w:left="720" w:hanging="720"/>
                <w:rPr>
                  <w:noProof/>
                  <w:lang w:val="en-US"/>
                </w:rPr>
              </w:pPr>
              <w:r>
                <w:rPr>
                  <w:noProof/>
                  <w:lang w:val="en-US"/>
                </w:rPr>
                <w:t xml:space="preserve">Marshal, B., Webb, B., &amp; N.Tilley. (2005). </w:t>
              </w:r>
              <w:r>
                <w:rPr>
                  <w:i/>
                  <w:iCs/>
                  <w:noProof/>
                  <w:lang w:val="en-US"/>
                </w:rPr>
                <w:t>Rationalisation of current research on guns, gangs and other weapons.</w:t>
              </w:r>
              <w:r>
                <w:rPr>
                  <w:noProof/>
                  <w:lang w:val="en-US"/>
                </w:rPr>
                <w:t xml:space="preserve"> London: UCL Jill Dando Institute of Crime Science.</w:t>
              </w:r>
            </w:p>
            <w:p w14:paraId="184E5855" w14:textId="77777777" w:rsidR="00D009F8" w:rsidRDefault="00D009F8" w:rsidP="00D009F8">
              <w:pPr>
                <w:pStyle w:val="Bibliography"/>
                <w:ind w:left="720" w:hanging="720"/>
                <w:rPr>
                  <w:noProof/>
                  <w:lang w:val="en-US"/>
                </w:rPr>
              </w:pPr>
              <w:r>
                <w:rPr>
                  <w:noProof/>
                  <w:lang w:val="en-US"/>
                </w:rPr>
                <w:t xml:space="preserve">Melde, C., Diem, C., &amp; Drake, G. (2012). Identifying Correlates of Stable Gang Membership. </w:t>
              </w:r>
              <w:r>
                <w:rPr>
                  <w:i/>
                  <w:iCs/>
                  <w:noProof/>
                  <w:lang w:val="en-US"/>
                </w:rPr>
                <w:t>Journal of Contemporary Criminal Justice</w:t>
              </w:r>
              <w:r>
                <w:rPr>
                  <w:noProof/>
                  <w:lang w:val="en-US"/>
                </w:rPr>
                <w:t>, 482-498.</w:t>
              </w:r>
            </w:p>
            <w:p w14:paraId="109F7432" w14:textId="77777777" w:rsidR="00D009F8" w:rsidRDefault="00D009F8" w:rsidP="00D009F8">
              <w:pPr>
                <w:pStyle w:val="Bibliography"/>
                <w:ind w:left="720" w:hanging="720"/>
                <w:rPr>
                  <w:noProof/>
                  <w:lang w:val="en-US"/>
                </w:rPr>
              </w:pPr>
              <w:r>
                <w:rPr>
                  <w:noProof/>
                  <w:lang w:val="en-US"/>
                </w:rPr>
                <w:t xml:space="preserve">Metropolitan Police. (2022, October 31). </w:t>
              </w:r>
              <w:r>
                <w:rPr>
                  <w:i/>
                  <w:iCs/>
                  <w:noProof/>
                  <w:lang w:val="en-US"/>
                </w:rPr>
                <w:t>Our Response to issues raised by the crimes of Wayne Couzens</w:t>
              </w:r>
              <w:r>
                <w:rPr>
                  <w:noProof/>
                  <w:lang w:val="en-US"/>
                </w:rPr>
                <w:t>. Retrieved from Met Police Web site: https://www.met.police.uk/notices/met/our-response-to-issues-raised-by-the-crimes-of-wayne-couzens/</w:t>
              </w:r>
            </w:p>
            <w:p w14:paraId="5039684C" w14:textId="77777777" w:rsidR="00D009F8" w:rsidRDefault="00D009F8" w:rsidP="00D009F8">
              <w:pPr>
                <w:pStyle w:val="Bibliography"/>
                <w:ind w:left="720" w:hanging="720"/>
                <w:rPr>
                  <w:noProof/>
                  <w:lang w:val="en-US"/>
                </w:rPr>
              </w:pPr>
              <w:r>
                <w:rPr>
                  <w:noProof/>
                  <w:lang w:val="en-US"/>
                </w:rPr>
                <w:t xml:space="preserve">Metropolitan Police Police Service. (2018). </w:t>
              </w:r>
              <w:r>
                <w:rPr>
                  <w:i/>
                  <w:iCs/>
                  <w:noProof/>
                  <w:lang w:val="en-US"/>
                </w:rPr>
                <w:t>DIVERT Briefing note.</w:t>
              </w:r>
              <w:r>
                <w:rPr>
                  <w:noProof/>
                  <w:lang w:val="en-US"/>
                </w:rPr>
                <w:t xml:space="preserve"> London : Metropolitan Police.</w:t>
              </w:r>
            </w:p>
            <w:p w14:paraId="4563060C" w14:textId="77777777" w:rsidR="00D009F8" w:rsidRDefault="00D009F8" w:rsidP="00D009F8">
              <w:pPr>
                <w:pStyle w:val="Bibliography"/>
                <w:ind w:left="720" w:hanging="720"/>
                <w:rPr>
                  <w:noProof/>
                  <w:lang w:val="en-US"/>
                </w:rPr>
              </w:pPr>
              <w:r>
                <w:rPr>
                  <w:noProof/>
                  <w:lang w:val="en-US"/>
                </w:rPr>
                <w:t xml:space="preserve">Ministry of Justice. (2015). </w:t>
              </w:r>
              <w:r>
                <w:rPr>
                  <w:i/>
                  <w:iCs/>
                  <w:noProof/>
                  <w:lang w:val="en-US"/>
                </w:rPr>
                <w:t>Integrated Offender Management - Key Prinicples.</w:t>
              </w:r>
              <w:r>
                <w:rPr>
                  <w:noProof/>
                  <w:lang w:val="en-US"/>
                </w:rPr>
                <w:t xml:space="preserve"> London: Home Office.</w:t>
              </w:r>
            </w:p>
            <w:p w14:paraId="02EBDD6B" w14:textId="77777777" w:rsidR="00D009F8" w:rsidRDefault="00D009F8" w:rsidP="00D009F8">
              <w:pPr>
                <w:pStyle w:val="Bibliography"/>
                <w:ind w:left="720" w:hanging="720"/>
                <w:rPr>
                  <w:noProof/>
                  <w:lang w:val="en-US"/>
                </w:rPr>
              </w:pPr>
              <w:r>
                <w:rPr>
                  <w:noProof/>
                  <w:lang w:val="en-US"/>
                </w:rPr>
                <w:t xml:space="preserve">National Crime Agency. (2015). </w:t>
              </w:r>
              <w:r>
                <w:rPr>
                  <w:i/>
                  <w:iCs/>
                  <w:noProof/>
                  <w:lang w:val="en-US"/>
                </w:rPr>
                <w:t>NCA Intelligence Assessment: County Lines, Gangs and Safeguarding.</w:t>
              </w:r>
              <w:r>
                <w:rPr>
                  <w:noProof/>
                  <w:lang w:val="en-US"/>
                </w:rPr>
                <w:t xml:space="preserve"> London : NCA.</w:t>
              </w:r>
            </w:p>
            <w:p w14:paraId="2D9A0A4B" w14:textId="77777777" w:rsidR="00D009F8" w:rsidRDefault="00D009F8" w:rsidP="00D009F8">
              <w:pPr>
                <w:pStyle w:val="Bibliography"/>
                <w:ind w:left="720" w:hanging="720"/>
                <w:rPr>
                  <w:noProof/>
                  <w:lang w:val="en-US"/>
                </w:rPr>
              </w:pPr>
              <w:r>
                <w:rPr>
                  <w:noProof/>
                  <w:lang w:val="en-US"/>
                </w:rPr>
                <w:t xml:space="preserve">National Security Council. (2015). </w:t>
              </w:r>
              <w:r>
                <w:rPr>
                  <w:i/>
                  <w:iCs/>
                  <w:noProof/>
                  <w:lang w:val="en-US"/>
                </w:rPr>
                <w:t>National Security Capability Review.</w:t>
              </w:r>
              <w:r>
                <w:rPr>
                  <w:noProof/>
                  <w:lang w:val="en-US"/>
                </w:rPr>
                <w:t xml:space="preserve"> London : Home Office.</w:t>
              </w:r>
            </w:p>
            <w:p w14:paraId="0989B079" w14:textId="77777777" w:rsidR="00D009F8" w:rsidRDefault="00D009F8" w:rsidP="00D009F8">
              <w:pPr>
                <w:pStyle w:val="Bibliography"/>
                <w:ind w:left="720" w:hanging="720"/>
                <w:rPr>
                  <w:noProof/>
                  <w:lang w:val="en-US"/>
                </w:rPr>
              </w:pPr>
              <w:r>
                <w:rPr>
                  <w:noProof/>
                  <w:lang w:val="en-US"/>
                </w:rPr>
                <w:t xml:space="preserve">National Vulnerability Action Plan. (2022). </w:t>
              </w:r>
              <w:r>
                <w:rPr>
                  <w:i/>
                  <w:iCs/>
                  <w:noProof/>
                  <w:lang w:val="en-US"/>
                </w:rPr>
                <w:t>National Vulnerability Action Plan.</w:t>
              </w:r>
              <w:r>
                <w:rPr>
                  <w:noProof/>
                  <w:lang w:val="en-US"/>
                </w:rPr>
                <w:t xml:space="preserve"> Norfolk: College of Policing.</w:t>
              </w:r>
            </w:p>
            <w:p w14:paraId="0243D88B" w14:textId="77777777" w:rsidR="00D009F8" w:rsidRDefault="00D009F8" w:rsidP="00D009F8">
              <w:pPr>
                <w:pStyle w:val="Bibliography"/>
                <w:ind w:left="720" w:hanging="720"/>
                <w:rPr>
                  <w:noProof/>
                  <w:lang w:val="en-US"/>
                </w:rPr>
              </w:pPr>
              <w:r>
                <w:rPr>
                  <w:noProof/>
                  <w:lang w:val="en-US"/>
                </w:rPr>
                <w:t xml:space="preserve">Petrosino, A., Turpinpetrosino, C., &amp; Buehler, J. (2003). Scared Straight and other juvenile awareness programs for preventing juvenile delinquency. </w:t>
              </w:r>
              <w:r>
                <w:rPr>
                  <w:i/>
                  <w:iCs/>
                  <w:noProof/>
                  <w:lang w:val="en-US"/>
                </w:rPr>
                <w:t xml:space="preserve">A systematic review of randomised experimental evidence </w:t>
              </w:r>
              <w:r>
                <w:rPr>
                  <w:noProof/>
                  <w:lang w:val="en-US"/>
                </w:rPr>
                <w:t>, 41-62.</w:t>
              </w:r>
            </w:p>
            <w:p w14:paraId="7FD70404" w14:textId="77777777" w:rsidR="00D009F8" w:rsidRDefault="00D009F8" w:rsidP="00D009F8">
              <w:pPr>
                <w:pStyle w:val="Bibliography"/>
                <w:ind w:left="720" w:hanging="720"/>
                <w:rPr>
                  <w:noProof/>
                  <w:lang w:val="en-US"/>
                </w:rPr>
              </w:pPr>
              <w:r>
                <w:rPr>
                  <w:noProof/>
                  <w:lang w:val="en-US"/>
                </w:rPr>
                <w:lastRenderedPageBreak/>
                <w:t xml:space="preserve">Police and Criminal Evidence Act 1984. (2022, October 27). </w:t>
              </w:r>
              <w:r>
                <w:rPr>
                  <w:i/>
                  <w:iCs/>
                  <w:noProof/>
                  <w:lang w:val="en-US"/>
                </w:rPr>
                <w:t>Police and Criminal Evidence Act 1984</w:t>
              </w:r>
              <w:r>
                <w:rPr>
                  <w:noProof/>
                  <w:lang w:val="en-US"/>
                </w:rPr>
                <w:t>. Retrieved from Legislation.gov.uk: https://www.legislation.gov.uk/ukpga/1984/60/contents</w:t>
              </w:r>
            </w:p>
            <w:p w14:paraId="76C1FE25" w14:textId="77777777" w:rsidR="00D009F8" w:rsidRDefault="00D009F8" w:rsidP="00D009F8">
              <w:pPr>
                <w:pStyle w:val="Bibliography"/>
                <w:ind w:left="720" w:hanging="720"/>
                <w:rPr>
                  <w:noProof/>
                  <w:lang w:val="en-US"/>
                </w:rPr>
              </w:pPr>
              <w:r>
                <w:rPr>
                  <w:noProof/>
                  <w:lang w:val="en-US"/>
                </w:rPr>
                <w:t xml:space="preserve">Redthread Youth Violence Intervention Project. (2018). </w:t>
              </w:r>
              <w:r>
                <w:rPr>
                  <w:i/>
                  <w:iCs/>
                  <w:noProof/>
                  <w:lang w:val="en-US"/>
                </w:rPr>
                <w:t>Redthread Youth Violence Intervention Project.</w:t>
              </w:r>
              <w:r>
                <w:rPr>
                  <w:noProof/>
                  <w:lang w:val="en-US"/>
                </w:rPr>
                <w:t xml:space="preserve"> London: NPC Associates.</w:t>
              </w:r>
            </w:p>
            <w:p w14:paraId="0B3FC98E" w14:textId="77777777" w:rsidR="00D009F8" w:rsidRDefault="00D009F8" w:rsidP="00D009F8">
              <w:pPr>
                <w:pStyle w:val="Bibliography"/>
                <w:ind w:left="720" w:hanging="720"/>
                <w:rPr>
                  <w:noProof/>
                  <w:lang w:val="en-US"/>
                </w:rPr>
              </w:pPr>
              <w:r>
                <w:rPr>
                  <w:noProof/>
                  <w:lang w:val="en-US"/>
                </w:rPr>
                <w:t xml:space="preserve">Sherman, L. W., Gottfredson, D. P., MacKenzie, D., Eck, J., Reuter, P., &amp; Bushway, S. (2002). Preventing Crime: What works, what doesn't, what's promising. </w:t>
              </w:r>
              <w:r>
                <w:rPr>
                  <w:i/>
                  <w:iCs/>
                  <w:noProof/>
                  <w:lang w:val="en-US"/>
                </w:rPr>
                <w:t>A report to the United States Congress</w:t>
              </w:r>
              <w:r>
                <w:rPr>
                  <w:noProof/>
                  <w:lang w:val="en-US"/>
                </w:rPr>
                <w:t>.</w:t>
              </w:r>
            </w:p>
            <w:p w14:paraId="292406A8" w14:textId="77777777" w:rsidR="00D009F8" w:rsidRDefault="00D009F8" w:rsidP="00D009F8">
              <w:pPr>
                <w:pStyle w:val="Bibliography"/>
                <w:ind w:left="720" w:hanging="720"/>
                <w:rPr>
                  <w:noProof/>
                  <w:lang w:val="en-US"/>
                </w:rPr>
              </w:pPr>
              <w:r>
                <w:rPr>
                  <w:noProof/>
                  <w:lang w:val="en-US"/>
                </w:rPr>
                <w:t xml:space="preserve">Spergel, I. (1995). </w:t>
              </w:r>
              <w:r>
                <w:rPr>
                  <w:i/>
                  <w:iCs/>
                  <w:noProof/>
                  <w:lang w:val="en-US"/>
                </w:rPr>
                <w:t>The Youth Gang Problem: A Community Approach.</w:t>
              </w:r>
              <w:r>
                <w:rPr>
                  <w:noProof/>
                  <w:lang w:val="en-US"/>
                </w:rPr>
                <w:t xml:space="preserve"> New York: Oxford University Press.</w:t>
              </w:r>
            </w:p>
            <w:p w14:paraId="66202C1A" w14:textId="77777777" w:rsidR="00D009F8" w:rsidRDefault="00D009F8" w:rsidP="00D009F8">
              <w:pPr>
                <w:pStyle w:val="Bibliography"/>
                <w:ind w:left="720" w:hanging="720"/>
                <w:rPr>
                  <w:noProof/>
                  <w:lang w:val="en-US"/>
                </w:rPr>
              </w:pPr>
              <w:r>
                <w:rPr>
                  <w:noProof/>
                  <w:lang w:val="en-US"/>
                </w:rPr>
                <w:t xml:space="preserve">Stone, V., &amp; Pettigrew, N. (2000). </w:t>
              </w:r>
              <w:r>
                <w:rPr>
                  <w:i/>
                  <w:iCs/>
                  <w:noProof/>
                  <w:lang w:val="en-US"/>
                </w:rPr>
                <w:t>The views of the public on stops and searches.</w:t>
              </w:r>
              <w:r>
                <w:rPr>
                  <w:noProof/>
                  <w:lang w:val="en-US"/>
                </w:rPr>
                <w:t xml:space="preserve"> London: Home Office.</w:t>
              </w:r>
            </w:p>
            <w:p w14:paraId="7B48CFD0" w14:textId="77777777" w:rsidR="00D009F8" w:rsidRDefault="00D009F8" w:rsidP="00D009F8">
              <w:pPr>
                <w:pStyle w:val="Bibliography"/>
                <w:ind w:left="720" w:hanging="720"/>
                <w:rPr>
                  <w:noProof/>
                  <w:lang w:val="en-US"/>
                </w:rPr>
              </w:pPr>
              <w:r>
                <w:rPr>
                  <w:noProof/>
                  <w:lang w:val="en-US"/>
                </w:rPr>
                <w:t xml:space="preserve">Taylor, D. (2022, October 30). </w:t>
              </w:r>
              <w:r>
                <w:rPr>
                  <w:i/>
                  <w:iCs/>
                  <w:noProof/>
                  <w:lang w:val="en-US"/>
                </w:rPr>
                <w:t>Drug Wise</w:t>
              </w:r>
              <w:r>
                <w:rPr>
                  <w:noProof/>
                  <w:lang w:val="en-US"/>
                </w:rPr>
                <w:t>. Retrieved from Drug Wise site: https://www.drugwise.org.uk/wp-content/uploads/Frontline-tactics.pdf</w:t>
              </w:r>
            </w:p>
            <w:p w14:paraId="33594DC2" w14:textId="77777777" w:rsidR="00D009F8" w:rsidRDefault="00D009F8" w:rsidP="00D009F8">
              <w:pPr>
                <w:pStyle w:val="Bibliography"/>
                <w:ind w:left="720" w:hanging="720"/>
                <w:rPr>
                  <w:noProof/>
                  <w:lang w:val="en-US"/>
                </w:rPr>
              </w:pPr>
              <w:r>
                <w:rPr>
                  <w:noProof/>
                  <w:lang w:val="en-US"/>
                </w:rPr>
                <w:t xml:space="preserve">Terrill, R. J. (1989). Margaret Thatcher's Law and Order Agenda. </w:t>
              </w:r>
              <w:r>
                <w:rPr>
                  <w:i/>
                  <w:iCs/>
                  <w:noProof/>
                  <w:lang w:val="en-US"/>
                </w:rPr>
                <w:t>The American Journal of Comparative Law</w:t>
              </w:r>
              <w:r>
                <w:rPr>
                  <w:noProof/>
                  <w:lang w:val="en-US"/>
                </w:rPr>
                <w:t>, 429-456.</w:t>
              </w:r>
            </w:p>
            <w:p w14:paraId="0408D43C" w14:textId="77777777" w:rsidR="00D009F8" w:rsidRDefault="00D009F8" w:rsidP="00D009F8">
              <w:pPr>
                <w:pStyle w:val="Bibliography"/>
                <w:ind w:left="720" w:hanging="720"/>
                <w:rPr>
                  <w:noProof/>
                  <w:lang w:val="en-US"/>
                </w:rPr>
              </w:pPr>
              <w:r>
                <w:rPr>
                  <w:noProof/>
                  <w:lang w:val="en-US"/>
                </w:rPr>
                <w:t xml:space="preserve">The Police Foundation. (2012). The Briefing. </w:t>
              </w:r>
              <w:r>
                <w:rPr>
                  <w:i/>
                  <w:iCs/>
                  <w:noProof/>
                  <w:lang w:val="en-US"/>
                </w:rPr>
                <w:t>Stop and Search</w:t>
              </w:r>
              <w:r>
                <w:rPr>
                  <w:noProof/>
                  <w:lang w:val="en-US"/>
                </w:rPr>
                <w:t>, 3.</w:t>
              </w:r>
            </w:p>
            <w:p w14:paraId="61C2C395" w14:textId="77777777" w:rsidR="00D009F8" w:rsidRDefault="00D009F8" w:rsidP="00D009F8">
              <w:pPr>
                <w:pStyle w:val="Bibliography"/>
                <w:ind w:left="720" w:hanging="720"/>
                <w:rPr>
                  <w:noProof/>
                  <w:lang w:val="en-US"/>
                </w:rPr>
              </w:pPr>
              <w:r>
                <w:rPr>
                  <w:noProof/>
                  <w:lang w:val="en-US"/>
                </w:rPr>
                <w:t xml:space="preserve">Tyler, T. R. (2004). </w:t>
              </w:r>
              <w:r>
                <w:rPr>
                  <w:i/>
                  <w:iCs/>
                  <w:noProof/>
                  <w:lang w:val="en-US"/>
                </w:rPr>
                <w:t>Enhancing Police Legitimacy.</w:t>
              </w:r>
              <w:r>
                <w:rPr>
                  <w:noProof/>
                  <w:lang w:val="en-US"/>
                </w:rPr>
                <w:t xml:space="preserve"> Washington: Academy of Political and Social Science.</w:t>
              </w:r>
            </w:p>
            <w:p w14:paraId="07D61767" w14:textId="77777777" w:rsidR="00D009F8" w:rsidRDefault="00D009F8" w:rsidP="00D009F8">
              <w:pPr>
                <w:pStyle w:val="Bibliography"/>
                <w:ind w:left="720" w:hanging="720"/>
                <w:rPr>
                  <w:noProof/>
                  <w:lang w:val="en-US"/>
                </w:rPr>
              </w:pPr>
              <w:r>
                <w:rPr>
                  <w:noProof/>
                  <w:lang w:val="en-US"/>
                </w:rPr>
                <w:t xml:space="preserve">Unlock. (2022, October 31). </w:t>
              </w:r>
              <w:r>
                <w:rPr>
                  <w:i/>
                  <w:iCs/>
                  <w:noProof/>
                  <w:lang w:val="en-US"/>
                </w:rPr>
                <w:t>MAPPA</w:t>
              </w:r>
              <w:r>
                <w:rPr>
                  <w:noProof/>
                  <w:lang w:val="en-US"/>
                </w:rPr>
                <w:t>. Retrieved from Unlock - For People with criminal records: https://unlock.org.uk/advice/mappa/</w:t>
              </w:r>
            </w:p>
            <w:p w14:paraId="3B4C8FF4" w14:textId="77777777" w:rsidR="00D009F8" w:rsidRDefault="00D009F8" w:rsidP="00D009F8">
              <w:pPr>
                <w:pStyle w:val="Bibliography"/>
                <w:ind w:left="720" w:hanging="720"/>
                <w:rPr>
                  <w:noProof/>
                  <w:lang w:val="en-US"/>
                </w:rPr>
              </w:pPr>
              <w:r>
                <w:rPr>
                  <w:noProof/>
                  <w:lang w:val="en-US"/>
                </w:rPr>
                <w:t xml:space="preserve">Vagrancy Act 1824, c.83. (2022, October 27). </w:t>
              </w:r>
              <w:r>
                <w:rPr>
                  <w:i/>
                  <w:iCs/>
                  <w:noProof/>
                  <w:lang w:val="en-US"/>
                </w:rPr>
                <w:t>Vagrancy Act 1824</w:t>
              </w:r>
              <w:r>
                <w:rPr>
                  <w:noProof/>
                  <w:lang w:val="en-US"/>
                </w:rPr>
                <w:t>. Retrieved from Legislation website: https://www.legislation.gov.uk/ukpga/Geo4/5/83/section/4</w:t>
              </w:r>
            </w:p>
            <w:p w14:paraId="033B4CB3" w14:textId="77777777" w:rsidR="00D009F8" w:rsidRDefault="00D009F8" w:rsidP="00D009F8">
              <w:pPr>
                <w:pStyle w:val="Bibliography"/>
                <w:ind w:left="720" w:hanging="720"/>
                <w:rPr>
                  <w:noProof/>
                  <w:lang w:val="en-US"/>
                </w:rPr>
              </w:pPr>
              <w:r>
                <w:rPr>
                  <w:noProof/>
                  <w:lang w:val="en-US"/>
                </w:rPr>
                <w:t xml:space="preserve">Willis, C. F. (1983). </w:t>
              </w:r>
              <w:r>
                <w:rPr>
                  <w:i/>
                  <w:iCs/>
                  <w:noProof/>
                  <w:lang w:val="en-US"/>
                </w:rPr>
                <w:t>Use, Effectiveness and Impact of Police Stop Search Powers.</w:t>
              </w:r>
              <w:r>
                <w:rPr>
                  <w:noProof/>
                  <w:lang w:val="en-US"/>
                </w:rPr>
                <w:t xml:space="preserve"> London: Home Office.</w:t>
              </w:r>
            </w:p>
            <w:p w14:paraId="2505B9A6" w14:textId="77777777" w:rsidR="00843885" w:rsidRDefault="00843885" w:rsidP="00D009F8">
              <w:r>
                <w:rPr>
                  <w:b/>
                  <w:bCs/>
                  <w:noProof/>
                </w:rPr>
                <w:fldChar w:fldCharType="end"/>
              </w:r>
            </w:p>
          </w:sdtContent>
        </w:sdt>
      </w:sdtContent>
    </w:sdt>
    <w:p w14:paraId="1D07E72A" w14:textId="77777777" w:rsidR="00843885" w:rsidRPr="00C51ADF" w:rsidRDefault="00843885" w:rsidP="00843885">
      <w:pPr>
        <w:pStyle w:val="NormalWeb"/>
        <w:ind w:left="567" w:hanging="567"/>
        <w:rPr>
          <w:rFonts w:asciiTheme="minorHAnsi" w:hAnsiTheme="minorHAnsi" w:cstheme="minorHAnsi"/>
          <w:sz w:val="22"/>
          <w:szCs w:val="22"/>
        </w:rPr>
      </w:pPr>
      <w:r w:rsidRPr="00C51ADF">
        <w:rPr>
          <w:rFonts w:asciiTheme="minorHAnsi" w:hAnsiTheme="minorHAnsi" w:cstheme="minorHAnsi"/>
          <w:sz w:val="22"/>
          <w:szCs w:val="22"/>
        </w:rPr>
        <w:t>College of Policing (2014) “Code of Ethics”. Available at: https://assets.college.police.uk/s3fs-public/2021-02/code_of_ethics.pdf (Accessed: November 28, 2022).</w:t>
      </w:r>
    </w:p>
    <w:p w14:paraId="533BF0B3" w14:textId="77777777" w:rsidR="00843885" w:rsidRPr="00C51ADF" w:rsidRDefault="00843885" w:rsidP="00843885">
      <w:pPr>
        <w:pStyle w:val="NormalWeb"/>
        <w:ind w:left="567" w:hanging="567"/>
        <w:rPr>
          <w:rFonts w:asciiTheme="minorHAnsi" w:hAnsiTheme="minorHAnsi" w:cstheme="minorHAnsi"/>
          <w:sz w:val="22"/>
          <w:szCs w:val="22"/>
        </w:rPr>
      </w:pPr>
      <w:proofErr w:type="spellStart"/>
      <w:r w:rsidRPr="00C51ADF">
        <w:rPr>
          <w:rFonts w:asciiTheme="minorHAnsi" w:hAnsiTheme="minorHAnsi" w:cstheme="minorHAnsi"/>
          <w:sz w:val="22"/>
          <w:szCs w:val="22"/>
        </w:rPr>
        <w:t>Grossmith</w:t>
      </w:r>
      <w:proofErr w:type="spellEnd"/>
      <w:r w:rsidRPr="00C51ADF">
        <w:rPr>
          <w:rFonts w:asciiTheme="minorHAnsi" w:hAnsiTheme="minorHAnsi" w:cstheme="minorHAnsi"/>
          <w:sz w:val="22"/>
          <w:szCs w:val="22"/>
        </w:rPr>
        <w:t xml:space="preserve">, L. Owens, C. Finn, W. Mann, D. Davies, T. and </w:t>
      </w:r>
      <w:proofErr w:type="spellStart"/>
      <w:r w:rsidRPr="00C51ADF">
        <w:rPr>
          <w:rFonts w:asciiTheme="minorHAnsi" w:hAnsiTheme="minorHAnsi" w:cstheme="minorHAnsi"/>
          <w:sz w:val="22"/>
          <w:szCs w:val="22"/>
        </w:rPr>
        <w:t>Baika</w:t>
      </w:r>
      <w:proofErr w:type="spellEnd"/>
      <w:r w:rsidRPr="00C51ADF">
        <w:rPr>
          <w:rFonts w:asciiTheme="minorHAnsi" w:hAnsiTheme="minorHAnsi" w:cstheme="minorHAnsi"/>
          <w:sz w:val="22"/>
          <w:szCs w:val="22"/>
        </w:rPr>
        <w:t xml:space="preserve">, L. (2015). Police, camera, evidence: London’s cluster randomised controlled trial of Body Work Video”. Available at: </w:t>
      </w:r>
      <w:hyperlink r:id="rId7" w:history="1">
        <w:r w:rsidRPr="00C51ADF">
          <w:rPr>
            <w:rFonts w:asciiTheme="minorHAnsi" w:hAnsiTheme="minorHAnsi" w:cstheme="minorHAnsi"/>
            <w:sz w:val="22"/>
            <w:szCs w:val="22"/>
          </w:rPr>
          <w:t>Police, Camera, Evidence: London’s cluster randomised controlled trial of Body Worn Video (ojp.gov)</w:t>
        </w:r>
      </w:hyperlink>
      <w:r w:rsidRPr="00C51ADF">
        <w:rPr>
          <w:rFonts w:asciiTheme="minorHAnsi" w:hAnsiTheme="minorHAnsi" w:cstheme="minorHAnsi"/>
          <w:sz w:val="22"/>
          <w:szCs w:val="22"/>
        </w:rPr>
        <w:t xml:space="preserve"> (Accessed: November 28, 2022)</w:t>
      </w:r>
    </w:p>
    <w:p w14:paraId="3D8DF6F1" w14:textId="77777777" w:rsidR="00843885" w:rsidRPr="00C51ADF" w:rsidRDefault="00843885" w:rsidP="00843885">
      <w:pPr>
        <w:pStyle w:val="NormalWeb"/>
        <w:ind w:left="567" w:hanging="567"/>
        <w:rPr>
          <w:rFonts w:asciiTheme="minorHAnsi" w:hAnsiTheme="minorHAnsi" w:cstheme="minorHAnsi"/>
          <w:sz w:val="22"/>
          <w:szCs w:val="22"/>
        </w:rPr>
      </w:pPr>
      <w:r w:rsidRPr="00C51ADF">
        <w:rPr>
          <w:rFonts w:asciiTheme="minorHAnsi" w:hAnsiTheme="minorHAnsi" w:cstheme="minorHAnsi"/>
          <w:sz w:val="22"/>
          <w:szCs w:val="22"/>
        </w:rPr>
        <w:t xml:space="preserve">Hargreaves, J. (2022). Police misconduct – England and Wales. Available at: https://www.gov.uk/government/statistics/police-misconduct-england-and-wales-year-ending-31-march-2021/police-misconduct-england-and-wales-year-ending-31-march-2021 (Accessed: November 28, 2022). </w:t>
      </w:r>
    </w:p>
    <w:p w14:paraId="0A475552" w14:textId="77777777" w:rsidR="00843885" w:rsidRPr="00C51ADF" w:rsidRDefault="00843885" w:rsidP="00843885">
      <w:pPr>
        <w:pStyle w:val="NormalWeb"/>
        <w:ind w:left="567" w:hanging="567"/>
        <w:rPr>
          <w:rFonts w:asciiTheme="minorHAnsi" w:hAnsiTheme="minorHAnsi" w:cstheme="minorHAnsi"/>
          <w:sz w:val="22"/>
          <w:szCs w:val="22"/>
        </w:rPr>
      </w:pPr>
      <w:r w:rsidRPr="00C51ADF">
        <w:rPr>
          <w:rFonts w:asciiTheme="minorHAnsi" w:hAnsiTheme="minorHAnsi" w:cstheme="minorHAnsi"/>
          <w:sz w:val="22"/>
          <w:szCs w:val="22"/>
        </w:rPr>
        <w:t xml:space="preserve">Jackson, J. and Sunshine, J. (2006) “Public confidence in policing,” The British Journal of Criminology, 47(2), pp. 214–233. Available at: </w:t>
      </w:r>
      <w:hyperlink r:id="rId8" w:history="1">
        <w:r w:rsidRPr="00C51ADF">
          <w:rPr>
            <w:rFonts w:asciiTheme="minorHAnsi" w:hAnsiTheme="minorHAnsi" w:cstheme="minorHAnsi"/>
            <w:sz w:val="22"/>
            <w:szCs w:val="22"/>
          </w:rPr>
          <w:t>https://doi.org/10.1093/bjc/azl031</w:t>
        </w:r>
      </w:hyperlink>
      <w:r w:rsidRPr="00C51ADF">
        <w:rPr>
          <w:rFonts w:asciiTheme="minorHAnsi" w:hAnsiTheme="minorHAnsi" w:cstheme="minorHAnsi"/>
          <w:sz w:val="22"/>
          <w:szCs w:val="22"/>
        </w:rPr>
        <w:t>. (Accessed: November 28, 2022).</w:t>
      </w:r>
    </w:p>
    <w:p w14:paraId="6DA0CF20" w14:textId="77777777" w:rsidR="00843885" w:rsidRPr="00C51ADF" w:rsidRDefault="00843885" w:rsidP="00843885">
      <w:pPr>
        <w:pStyle w:val="NormalWeb"/>
        <w:ind w:left="567" w:hanging="567"/>
        <w:rPr>
          <w:rFonts w:asciiTheme="minorHAnsi" w:hAnsiTheme="minorHAnsi" w:cstheme="minorHAnsi"/>
          <w:sz w:val="22"/>
          <w:szCs w:val="22"/>
        </w:rPr>
      </w:pPr>
      <w:r w:rsidRPr="00C51ADF">
        <w:rPr>
          <w:rFonts w:asciiTheme="minorHAnsi" w:hAnsiTheme="minorHAnsi" w:cstheme="minorHAnsi"/>
          <w:sz w:val="22"/>
          <w:szCs w:val="22"/>
        </w:rPr>
        <w:lastRenderedPageBreak/>
        <w:t xml:space="preserve">Jackson, J. </w:t>
      </w:r>
      <w:r>
        <w:rPr>
          <w:rFonts w:asciiTheme="minorHAnsi" w:hAnsiTheme="minorHAnsi" w:cstheme="minorHAnsi"/>
          <w:sz w:val="22"/>
          <w:szCs w:val="22"/>
        </w:rPr>
        <w:t xml:space="preserve">Bradford, B. </w:t>
      </w:r>
      <w:proofErr w:type="spellStart"/>
      <w:r>
        <w:rPr>
          <w:rFonts w:asciiTheme="minorHAnsi" w:hAnsiTheme="minorHAnsi" w:cstheme="minorHAnsi"/>
          <w:sz w:val="22"/>
          <w:szCs w:val="22"/>
        </w:rPr>
        <w:t>Hohl</w:t>
      </w:r>
      <w:proofErr w:type="spellEnd"/>
      <w:r>
        <w:rPr>
          <w:rFonts w:asciiTheme="minorHAnsi" w:hAnsiTheme="minorHAnsi" w:cstheme="minorHAnsi"/>
          <w:sz w:val="22"/>
          <w:szCs w:val="22"/>
        </w:rPr>
        <w:t xml:space="preserve">, K. and </w:t>
      </w:r>
      <w:proofErr w:type="spellStart"/>
      <w:r>
        <w:rPr>
          <w:rFonts w:asciiTheme="minorHAnsi" w:hAnsiTheme="minorHAnsi" w:cstheme="minorHAnsi"/>
          <w:sz w:val="22"/>
          <w:szCs w:val="22"/>
        </w:rPr>
        <w:t>Farrall</w:t>
      </w:r>
      <w:proofErr w:type="spellEnd"/>
      <w:r>
        <w:rPr>
          <w:rFonts w:asciiTheme="minorHAnsi" w:hAnsiTheme="minorHAnsi" w:cstheme="minorHAnsi"/>
          <w:sz w:val="22"/>
          <w:szCs w:val="22"/>
        </w:rPr>
        <w:t>, S</w:t>
      </w:r>
      <w:r w:rsidRPr="00C51ADF">
        <w:rPr>
          <w:rFonts w:asciiTheme="minorHAnsi" w:hAnsiTheme="minorHAnsi" w:cstheme="minorHAnsi"/>
          <w:sz w:val="22"/>
          <w:szCs w:val="22"/>
        </w:rPr>
        <w:t xml:space="preserve">. (2009) “Does the fear of Crime Erode Public Confidence in </w:t>
      </w:r>
      <w:proofErr w:type="gramStart"/>
      <w:r w:rsidRPr="00C51ADF">
        <w:rPr>
          <w:rFonts w:asciiTheme="minorHAnsi" w:hAnsiTheme="minorHAnsi" w:cstheme="minorHAnsi"/>
          <w:sz w:val="22"/>
          <w:szCs w:val="22"/>
        </w:rPr>
        <w:t>policing?,</w:t>
      </w:r>
      <w:proofErr w:type="gramEnd"/>
      <w:r w:rsidRPr="00C51ADF">
        <w:rPr>
          <w:rFonts w:asciiTheme="minorHAnsi" w:hAnsiTheme="minorHAnsi" w:cstheme="minorHAnsi"/>
          <w:sz w:val="22"/>
          <w:szCs w:val="22"/>
        </w:rPr>
        <w:t xml:space="preserve">” Policing, 3(1), pp. 100–111. Available at: </w:t>
      </w:r>
      <w:hyperlink r:id="rId9" w:history="1">
        <w:r w:rsidRPr="00C51ADF">
          <w:rPr>
            <w:rFonts w:asciiTheme="minorHAnsi" w:hAnsiTheme="minorHAnsi" w:cstheme="minorHAnsi"/>
            <w:sz w:val="22"/>
            <w:szCs w:val="22"/>
          </w:rPr>
          <w:t>https://doi.org/10.1093/police/pan079</w:t>
        </w:r>
      </w:hyperlink>
      <w:r w:rsidRPr="00C51ADF">
        <w:rPr>
          <w:rFonts w:asciiTheme="minorHAnsi" w:hAnsiTheme="minorHAnsi" w:cstheme="minorHAnsi"/>
          <w:sz w:val="22"/>
          <w:szCs w:val="22"/>
        </w:rPr>
        <w:t>. (Accessed: November 28, 2022).</w:t>
      </w:r>
    </w:p>
    <w:p w14:paraId="4D370280" w14:textId="77777777" w:rsidR="00843885" w:rsidRPr="00C51ADF" w:rsidRDefault="00843885" w:rsidP="00843885">
      <w:pPr>
        <w:pStyle w:val="NormalWeb"/>
        <w:ind w:left="567" w:hanging="567"/>
        <w:rPr>
          <w:rFonts w:asciiTheme="minorHAnsi" w:hAnsiTheme="minorHAnsi" w:cstheme="minorHAnsi"/>
          <w:sz w:val="22"/>
          <w:szCs w:val="22"/>
        </w:rPr>
      </w:pPr>
      <w:r w:rsidRPr="00C51ADF">
        <w:rPr>
          <w:rFonts w:asciiTheme="minorHAnsi" w:hAnsiTheme="minorHAnsi" w:cstheme="minorHAnsi"/>
          <w:sz w:val="22"/>
          <w:szCs w:val="22"/>
        </w:rPr>
        <w:t xml:space="preserve">Long, L.J. (2018) Perpetual suspects a critical race theory of black and mixed-race experiences of policing. Cham: Springer International Publishing. </w:t>
      </w:r>
    </w:p>
    <w:p w14:paraId="5267B65A" w14:textId="77777777" w:rsidR="00843885" w:rsidRPr="00C51ADF" w:rsidRDefault="00843885" w:rsidP="00843885">
      <w:pPr>
        <w:pStyle w:val="NormalWeb"/>
        <w:ind w:left="567" w:hanging="567"/>
        <w:rPr>
          <w:rFonts w:asciiTheme="minorHAnsi" w:hAnsiTheme="minorHAnsi" w:cstheme="minorHAnsi"/>
          <w:sz w:val="22"/>
          <w:szCs w:val="22"/>
        </w:rPr>
      </w:pPr>
      <w:r w:rsidRPr="00C51ADF">
        <w:rPr>
          <w:rFonts w:asciiTheme="minorHAnsi" w:hAnsiTheme="minorHAnsi" w:cstheme="minorHAnsi"/>
          <w:sz w:val="22"/>
          <w:szCs w:val="22"/>
        </w:rPr>
        <w:t xml:space="preserve">MacPherson, W. (1999). The Stephen Lawrence Inquiry: Report of an Inquiry. London: The Stationary Office. Available: </w:t>
      </w:r>
      <w:hyperlink r:id="rId10" w:history="1">
        <w:r w:rsidRPr="00C51ADF">
          <w:rPr>
            <w:rFonts w:asciiTheme="minorHAnsi" w:hAnsiTheme="minorHAnsi" w:cstheme="minorHAnsi"/>
            <w:sz w:val="22"/>
            <w:szCs w:val="22"/>
          </w:rPr>
          <w:t>4262.pdf (publishing.service.gov.uk)</w:t>
        </w:r>
      </w:hyperlink>
      <w:r w:rsidRPr="00C51ADF">
        <w:rPr>
          <w:rFonts w:asciiTheme="minorHAnsi" w:hAnsiTheme="minorHAnsi" w:cstheme="minorHAnsi"/>
          <w:sz w:val="22"/>
          <w:szCs w:val="22"/>
        </w:rPr>
        <w:t xml:space="preserve"> (Accessed: November 28, 2022)</w:t>
      </w:r>
    </w:p>
    <w:p w14:paraId="6FCB69F8" w14:textId="77777777" w:rsidR="00843885" w:rsidRPr="00C51ADF" w:rsidRDefault="00843885" w:rsidP="00843885">
      <w:pPr>
        <w:pStyle w:val="NormalWeb"/>
        <w:ind w:left="567" w:hanging="567"/>
        <w:rPr>
          <w:rFonts w:asciiTheme="minorHAnsi" w:hAnsiTheme="minorHAnsi" w:cstheme="minorHAnsi"/>
          <w:sz w:val="22"/>
          <w:szCs w:val="22"/>
        </w:rPr>
      </w:pPr>
      <w:r w:rsidRPr="00C51ADF">
        <w:rPr>
          <w:rFonts w:asciiTheme="minorHAnsi" w:hAnsiTheme="minorHAnsi" w:cstheme="minorHAnsi"/>
          <w:sz w:val="22"/>
          <w:szCs w:val="22"/>
        </w:rPr>
        <w:t xml:space="preserve">Sidebottom, A. and Tilley, N. (2019) “Critical reflections on </w:t>
      </w:r>
      <w:proofErr w:type="gramStart"/>
      <w:r w:rsidRPr="00C51ADF">
        <w:rPr>
          <w:rFonts w:asciiTheme="minorHAnsi" w:hAnsiTheme="minorHAnsi" w:cstheme="minorHAnsi"/>
          <w:sz w:val="22"/>
          <w:szCs w:val="22"/>
        </w:rPr>
        <w:t>evidence based</w:t>
      </w:r>
      <w:proofErr w:type="gramEnd"/>
      <w:r w:rsidRPr="00C51ADF">
        <w:rPr>
          <w:rFonts w:asciiTheme="minorHAnsi" w:hAnsiTheme="minorHAnsi" w:cstheme="minorHAnsi"/>
          <w:sz w:val="22"/>
          <w:szCs w:val="22"/>
        </w:rPr>
        <w:t xml:space="preserve"> policing”. 1st </w:t>
      </w:r>
      <w:proofErr w:type="spellStart"/>
      <w:r w:rsidRPr="00C51ADF">
        <w:rPr>
          <w:rFonts w:asciiTheme="minorHAnsi" w:hAnsiTheme="minorHAnsi" w:cstheme="minorHAnsi"/>
          <w:sz w:val="22"/>
          <w:szCs w:val="22"/>
        </w:rPr>
        <w:t>edn</w:t>
      </w:r>
      <w:proofErr w:type="spellEnd"/>
      <w:r w:rsidRPr="00C51ADF">
        <w:rPr>
          <w:rFonts w:asciiTheme="minorHAnsi" w:hAnsiTheme="minorHAnsi" w:cstheme="minorHAnsi"/>
          <w:sz w:val="22"/>
          <w:szCs w:val="22"/>
        </w:rPr>
        <w:t>. London. Routledge.</w:t>
      </w:r>
    </w:p>
    <w:p w14:paraId="69AD2FAD" w14:textId="77777777" w:rsidR="00843885" w:rsidRPr="00C51ADF" w:rsidRDefault="00843885" w:rsidP="00843885">
      <w:pPr>
        <w:pStyle w:val="NormalWeb"/>
        <w:ind w:left="567" w:hanging="567"/>
        <w:rPr>
          <w:rFonts w:asciiTheme="minorHAnsi" w:hAnsiTheme="minorHAnsi" w:cstheme="minorHAnsi"/>
          <w:sz w:val="22"/>
          <w:szCs w:val="22"/>
        </w:rPr>
      </w:pPr>
      <w:r w:rsidRPr="00C51ADF">
        <w:rPr>
          <w:rFonts w:asciiTheme="minorHAnsi" w:hAnsiTheme="minorHAnsi" w:cstheme="minorHAnsi"/>
          <w:sz w:val="22"/>
          <w:szCs w:val="22"/>
        </w:rPr>
        <w:t xml:space="preserve">Stone, R. (2015) Hidden stories of the Stephen Lawrence inquiry: Personal reflections. 1st </w:t>
      </w:r>
      <w:proofErr w:type="spellStart"/>
      <w:r w:rsidRPr="00C51ADF">
        <w:rPr>
          <w:rFonts w:asciiTheme="minorHAnsi" w:hAnsiTheme="minorHAnsi" w:cstheme="minorHAnsi"/>
          <w:sz w:val="22"/>
          <w:szCs w:val="22"/>
        </w:rPr>
        <w:t>edn</w:t>
      </w:r>
      <w:proofErr w:type="spellEnd"/>
      <w:r w:rsidRPr="00C51ADF">
        <w:rPr>
          <w:rFonts w:asciiTheme="minorHAnsi" w:hAnsiTheme="minorHAnsi" w:cstheme="minorHAnsi"/>
          <w:sz w:val="22"/>
          <w:szCs w:val="22"/>
        </w:rPr>
        <w:t xml:space="preserve">. Bristol: The Policy Press. </w:t>
      </w:r>
    </w:p>
    <w:p w14:paraId="340ADEEF" w14:textId="77777777" w:rsidR="00843885" w:rsidRPr="00C51ADF" w:rsidRDefault="00843885" w:rsidP="00843885">
      <w:pPr>
        <w:pStyle w:val="NormalWeb"/>
        <w:ind w:left="567" w:hanging="567"/>
        <w:rPr>
          <w:rFonts w:asciiTheme="minorHAnsi" w:hAnsiTheme="minorHAnsi" w:cstheme="minorHAnsi"/>
          <w:sz w:val="22"/>
          <w:szCs w:val="22"/>
        </w:rPr>
      </w:pPr>
      <w:proofErr w:type="spellStart"/>
      <w:r w:rsidRPr="00C51ADF">
        <w:rPr>
          <w:rFonts w:asciiTheme="minorHAnsi" w:hAnsiTheme="minorHAnsi" w:cstheme="minorHAnsi"/>
          <w:sz w:val="22"/>
          <w:szCs w:val="22"/>
        </w:rPr>
        <w:t>Wheller</w:t>
      </w:r>
      <w:proofErr w:type="spellEnd"/>
      <w:r w:rsidRPr="00C51ADF">
        <w:rPr>
          <w:rFonts w:asciiTheme="minorHAnsi" w:hAnsiTheme="minorHAnsi" w:cstheme="minorHAnsi"/>
          <w:sz w:val="22"/>
          <w:szCs w:val="22"/>
        </w:rPr>
        <w:t xml:space="preserve">, L. (2019) “Evidence Based Policing” Available at: </w:t>
      </w:r>
      <w:hyperlink r:id="rId11" w:history="1">
        <w:r w:rsidRPr="00C51ADF">
          <w:rPr>
            <w:rFonts w:asciiTheme="minorHAnsi" w:hAnsiTheme="minorHAnsi" w:cstheme="minorHAnsi"/>
            <w:sz w:val="22"/>
            <w:szCs w:val="22"/>
          </w:rPr>
          <w:t>https://www.birmingham.ac.uk/Documents/college-social-sciences/business/research/crime-justice-policing/conference-presentations-2019/cjp-conference-evidence-based-policing.pdf</w:t>
        </w:r>
      </w:hyperlink>
      <w:r w:rsidRPr="00C51ADF">
        <w:rPr>
          <w:rFonts w:asciiTheme="minorHAnsi" w:hAnsiTheme="minorHAnsi" w:cstheme="minorHAnsi"/>
          <w:sz w:val="22"/>
          <w:szCs w:val="22"/>
        </w:rPr>
        <w:t xml:space="preserve"> (Accessed: November 28, 2022)</w:t>
      </w:r>
    </w:p>
    <w:p w14:paraId="3691A40E" w14:textId="77777777" w:rsidR="001B0A61" w:rsidRPr="00C51ADF" w:rsidRDefault="001B0A61" w:rsidP="001B0A61">
      <w:pPr>
        <w:pStyle w:val="NormalWeb"/>
        <w:ind w:left="567" w:hanging="567"/>
        <w:rPr>
          <w:rFonts w:asciiTheme="minorHAnsi" w:hAnsiTheme="minorHAnsi" w:cstheme="minorHAnsi"/>
          <w:sz w:val="22"/>
          <w:szCs w:val="22"/>
        </w:rPr>
      </w:pPr>
    </w:p>
    <w:p w14:paraId="60F5460C" w14:textId="77777777" w:rsidR="001B0A61" w:rsidRPr="00C51ADF" w:rsidRDefault="001B0A61" w:rsidP="00E83319">
      <w:pPr>
        <w:pStyle w:val="NormalWeb"/>
        <w:ind w:left="567" w:hanging="567"/>
        <w:rPr>
          <w:rFonts w:asciiTheme="minorHAnsi" w:hAnsiTheme="minorHAnsi" w:cstheme="minorHAnsi"/>
          <w:sz w:val="22"/>
          <w:szCs w:val="22"/>
        </w:rPr>
      </w:pPr>
    </w:p>
    <w:p w14:paraId="2A1544BE" w14:textId="77777777" w:rsidR="006B1409" w:rsidRPr="00C51ADF" w:rsidRDefault="006B1409">
      <w:pPr>
        <w:rPr>
          <w:rFonts w:cstheme="minorHAnsi"/>
        </w:rPr>
      </w:pPr>
    </w:p>
    <w:sectPr w:rsidR="006B1409" w:rsidRPr="00C51A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AD6D8" w14:textId="77777777" w:rsidR="00535D70" w:rsidRDefault="00535D70" w:rsidP="00C03A9A">
      <w:pPr>
        <w:spacing w:after="0" w:line="240" w:lineRule="auto"/>
      </w:pPr>
      <w:r>
        <w:separator/>
      </w:r>
    </w:p>
  </w:endnote>
  <w:endnote w:type="continuationSeparator" w:id="0">
    <w:p w14:paraId="795FD90D" w14:textId="77777777" w:rsidR="00535D70" w:rsidRDefault="00535D70" w:rsidP="00C03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FD868" w14:textId="77777777" w:rsidR="00535D70" w:rsidRDefault="00535D70" w:rsidP="00C03A9A">
      <w:pPr>
        <w:spacing w:after="0" w:line="240" w:lineRule="auto"/>
      </w:pPr>
      <w:r>
        <w:separator/>
      </w:r>
    </w:p>
  </w:footnote>
  <w:footnote w:type="continuationSeparator" w:id="0">
    <w:p w14:paraId="5E903C76" w14:textId="77777777" w:rsidR="00535D70" w:rsidRDefault="00535D70" w:rsidP="00C03A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409"/>
    <w:rsid w:val="00043412"/>
    <w:rsid w:val="000D7A29"/>
    <w:rsid w:val="001A6299"/>
    <w:rsid w:val="001B0A61"/>
    <w:rsid w:val="00395ACC"/>
    <w:rsid w:val="00403DE1"/>
    <w:rsid w:val="004451FD"/>
    <w:rsid w:val="00507741"/>
    <w:rsid w:val="00535D70"/>
    <w:rsid w:val="005653A8"/>
    <w:rsid w:val="005663A9"/>
    <w:rsid w:val="005B74A0"/>
    <w:rsid w:val="006B1409"/>
    <w:rsid w:val="00775101"/>
    <w:rsid w:val="008346D5"/>
    <w:rsid w:val="00843885"/>
    <w:rsid w:val="009A3D75"/>
    <w:rsid w:val="00A6242F"/>
    <w:rsid w:val="00AF37DC"/>
    <w:rsid w:val="00B873D5"/>
    <w:rsid w:val="00C03A9A"/>
    <w:rsid w:val="00C51ADF"/>
    <w:rsid w:val="00CE0067"/>
    <w:rsid w:val="00D009F8"/>
    <w:rsid w:val="00D50E32"/>
    <w:rsid w:val="00D9244E"/>
    <w:rsid w:val="00DD4BCD"/>
    <w:rsid w:val="00DE4CD1"/>
    <w:rsid w:val="00DF4378"/>
    <w:rsid w:val="00E83319"/>
    <w:rsid w:val="00ED6959"/>
    <w:rsid w:val="00F22E7F"/>
    <w:rsid w:val="00F4573D"/>
    <w:rsid w:val="00F73963"/>
    <w:rsid w:val="00FB4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F3E3C"/>
  <w15:chartTrackingRefBased/>
  <w15:docId w15:val="{38660149-1EF0-48C9-A5BC-A6DDF6CFD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409"/>
  </w:style>
  <w:style w:type="paragraph" w:styleId="Heading1">
    <w:name w:val="heading 1"/>
    <w:basedOn w:val="Normal"/>
    <w:next w:val="Normal"/>
    <w:link w:val="Heading1Char"/>
    <w:uiPriority w:val="9"/>
    <w:qFormat/>
    <w:rsid w:val="0084388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14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B0A61"/>
    <w:rPr>
      <w:color w:val="0563C1" w:themeColor="hyperlink"/>
      <w:u w:val="single"/>
    </w:rPr>
  </w:style>
  <w:style w:type="character" w:customStyle="1" w:styleId="UnresolvedMention1">
    <w:name w:val="Unresolved Mention1"/>
    <w:basedOn w:val="DefaultParagraphFont"/>
    <w:uiPriority w:val="99"/>
    <w:semiHidden/>
    <w:unhideWhenUsed/>
    <w:rsid w:val="001B0A61"/>
    <w:rPr>
      <w:color w:val="605E5C"/>
      <w:shd w:val="clear" w:color="auto" w:fill="E1DFDD"/>
    </w:rPr>
  </w:style>
  <w:style w:type="character" w:customStyle="1" w:styleId="Heading1Char">
    <w:name w:val="Heading 1 Char"/>
    <w:basedOn w:val="DefaultParagraphFont"/>
    <w:link w:val="Heading1"/>
    <w:uiPriority w:val="9"/>
    <w:rsid w:val="0084388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43885"/>
  </w:style>
  <w:style w:type="character" w:styleId="UnresolvedMention">
    <w:name w:val="Unresolved Mention"/>
    <w:basedOn w:val="DefaultParagraphFont"/>
    <w:uiPriority w:val="99"/>
    <w:semiHidden/>
    <w:unhideWhenUsed/>
    <w:rsid w:val="00D009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163">
      <w:bodyDiv w:val="1"/>
      <w:marLeft w:val="0"/>
      <w:marRight w:val="0"/>
      <w:marTop w:val="0"/>
      <w:marBottom w:val="0"/>
      <w:divBdr>
        <w:top w:val="none" w:sz="0" w:space="0" w:color="auto"/>
        <w:left w:val="none" w:sz="0" w:space="0" w:color="auto"/>
        <w:bottom w:val="none" w:sz="0" w:space="0" w:color="auto"/>
        <w:right w:val="none" w:sz="0" w:space="0" w:color="auto"/>
      </w:divBdr>
    </w:div>
    <w:div w:id="46150140">
      <w:bodyDiv w:val="1"/>
      <w:marLeft w:val="0"/>
      <w:marRight w:val="0"/>
      <w:marTop w:val="0"/>
      <w:marBottom w:val="0"/>
      <w:divBdr>
        <w:top w:val="none" w:sz="0" w:space="0" w:color="auto"/>
        <w:left w:val="none" w:sz="0" w:space="0" w:color="auto"/>
        <w:bottom w:val="none" w:sz="0" w:space="0" w:color="auto"/>
        <w:right w:val="none" w:sz="0" w:space="0" w:color="auto"/>
      </w:divBdr>
    </w:div>
    <w:div w:id="55276382">
      <w:bodyDiv w:val="1"/>
      <w:marLeft w:val="0"/>
      <w:marRight w:val="0"/>
      <w:marTop w:val="0"/>
      <w:marBottom w:val="0"/>
      <w:divBdr>
        <w:top w:val="none" w:sz="0" w:space="0" w:color="auto"/>
        <w:left w:val="none" w:sz="0" w:space="0" w:color="auto"/>
        <w:bottom w:val="none" w:sz="0" w:space="0" w:color="auto"/>
        <w:right w:val="none" w:sz="0" w:space="0" w:color="auto"/>
      </w:divBdr>
    </w:div>
    <w:div w:id="68117347">
      <w:bodyDiv w:val="1"/>
      <w:marLeft w:val="0"/>
      <w:marRight w:val="0"/>
      <w:marTop w:val="0"/>
      <w:marBottom w:val="0"/>
      <w:divBdr>
        <w:top w:val="none" w:sz="0" w:space="0" w:color="auto"/>
        <w:left w:val="none" w:sz="0" w:space="0" w:color="auto"/>
        <w:bottom w:val="none" w:sz="0" w:space="0" w:color="auto"/>
        <w:right w:val="none" w:sz="0" w:space="0" w:color="auto"/>
      </w:divBdr>
    </w:div>
    <w:div w:id="93289883">
      <w:bodyDiv w:val="1"/>
      <w:marLeft w:val="0"/>
      <w:marRight w:val="0"/>
      <w:marTop w:val="0"/>
      <w:marBottom w:val="0"/>
      <w:divBdr>
        <w:top w:val="none" w:sz="0" w:space="0" w:color="auto"/>
        <w:left w:val="none" w:sz="0" w:space="0" w:color="auto"/>
        <w:bottom w:val="none" w:sz="0" w:space="0" w:color="auto"/>
        <w:right w:val="none" w:sz="0" w:space="0" w:color="auto"/>
      </w:divBdr>
    </w:div>
    <w:div w:id="108403158">
      <w:bodyDiv w:val="1"/>
      <w:marLeft w:val="0"/>
      <w:marRight w:val="0"/>
      <w:marTop w:val="0"/>
      <w:marBottom w:val="0"/>
      <w:divBdr>
        <w:top w:val="none" w:sz="0" w:space="0" w:color="auto"/>
        <w:left w:val="none" w:sz="0" w:space="0" w:color="auto"/>
        <w:bottom w:val="none" w:sz="0" w:space="0" w:color="auto"/>
        <w:right w:val="none" w:sz="0" w:space="0" w:color="auto"/>
      </w:divBdr>
    </w:div>
    <w:div w:id="162739974">
      <w:bodyDiv w:val="1"/>
      <w:marLeft w:val="0"/>
      <w:marRight w:val="0"/>
      <w:marTop w:val="0"/>
      <w:marBottom w:val="0"/>
      <w:divBdr>
        <w:top w:val="none" w:sz="0" w:space="0" w:color="auto"/>
        <w:left w:val="none" w:sz="0" w:space="0" w:color="auto"/>
        <w:bottom w:val="none" w:sz="0" w:space="0" w:color="auto"/>
        <w:right w:val="none" w:sz="0" w:space="0" w:color="auto"/>
      </w:divBdr>
    </w:div>
    <w:div w:id="216212078">
      <w:bodyDiv w:val="1"/>
      <w:marLeft w:val="0"/>
      <w:marRight w:val="0"/>
      <w:marTop w:val="0"/>
      <w:marBottom w:val="0"/>
      <w:divBdr>
        <w:top w:val="none" w:sz="0" w:space="0" w:color="auto"/>
        <w:left w:val="none" w:sz="0" w:space="0" w:color="auto"/>
        <w:bottom w:val="none" w:sz="0" w:space="0" w:color="auto"/>
        <w:right w:val="none" w:sz="0" w:space="0" w:color="auto"/>
      </w:divBdr>
    </w:div>
    <w:div w:id="223418523">
      <w:bodyDiv w:val="1"/>
      <w:marLeft w:val="0"/>
      <w:marRight w:val="0"/>
      <w:marTop w:val="0"/>
      <w:marBottom w:val="0"/>
      <w:divBdr>
        <w:top w:val="none" w:sz="0" w:space="0" w:color="auto"/>
        <w:left w:val="none" w:sz="0" w:space="0" w:color="auto"/>
        <w:bottom w:val="none" w:sz="0" w:space="0" w:color="auto"/>
        <w:right w:val="none" w:sz="0" w:space="0" w:color="auto"/>
      </w:divBdr>
    </w:div>
    <w:div w:id="240260706">
      <w:bodyDiv w:val="1"/>
      <w:marLeft w:val="0"/>
      <w:marRight w:val="0"/>
      <w:marTop w:val="0"/>
      <w:marBottom w:val="0"/>
      <w:divBdr>
        <w:top w:val="none" w:sz="0" w:space="0" w:color="auto"/>
        <w:left w:val="none" w:sz="0" w:space="0" w:color="auto"/>
        <w:bottom w:val="none" w:sz="0" w:space="0" w:color="auto"/>
        <w:right w:val="none" w:sz="0" w:space="0" w:color="auto"/>
      </w:divBdr>
    </w:div>
    <w:div w:id="271934441">
      <w:bodyDiv w:val="1"/>
      <w:marLeft w:val="0"/>
      <w:marRight w:val="0"/>
      <w:marTop w:val="0"/>
      <w:marBottom w:val="0"/>
      <w:divBdr>
        <w:top w:val="none" w:sz="0" w:space="0" w:color="auto"/>
        <w:left w:val="none" w:sz="0" w:space="0" w:color="auto"/>
        <w:bottom w:val="none" w:sz="0" w:space="0" w:color="auto"/>
        <w:right w:val="none" w:sz="0" w:space="0" w:color="auto"/>
      </w:divBdr>
    </w:div>
    <w:div w:id="320155121">
      <w:bodyDiv w:val="1"/>
      <w:marLeft w:val="0"/>
      <w:marRight w:val="0"/>
      <w:marTop w:val="0"/>
      <w:marBottom w:val="0"/>
      <w:divBdr>
        <w:top w:val="none" w:sz="0" w:space="0" w:color="auto"/>
        <w:left w:val="none" w:sz="0" w:space="0" w:color="auto"/>
        <w:bottom w:val="none" w:sz="0" w:space="0" w:color="auto"/>
        <w:right w:val="none" w:sz="0" w:space="0" w:color="auto"/>
      </w:divBdr>
    </w:div>
    <w:div w:id="332955102">
      <w:bodyDiv w:val="1"/>
      <w:marLeft w:val="0"/>
      <w:marRight w:val="0"/>
      <w:marTop w:val="0"/>
      <w:marBottom w:val="0"/>
      <w:divBdr>
        <w:top w:val="none" w:sz="0" w:space="0" w:color="auto"/>
        <w:left w:val="none" w:sz="0" w:space="0" w:color="auto"/>
        <w:bottom w:val="none" w:sz="0" w:space="0" w:color="auto"/>
        <w:right w:val="none" w:sz="0" w:space="0" w:color="auto"/>
      </w:divBdr>
    </w:div>
    <w:div w:id="354159680">
      <w:bodyDiv w:val="1"/>
      <w:marLeft w:val="0"/>
      <w:marRight w:val="0"/>
      <w:marTop w:val="0"/>
      <w:marBottom w:val="0"/>
      <w:divBdr>
        <w:top w:val="none" w:sz="0" w:space="0" w:color="auto"/>
        <w:left w:val="none" w:sz="0" w:space="0" w:color="auto"/>
        <w:bottom w:val="none" w:sz="0" w:space="0" w:color="auto"/>
        <w:right w:val="none" w:sz="0" w:space="0" w:color="auto"/>
      </w:divBdr>
    </w:div>
    <w:div w:id="373579525">
      <w:bodyDiv w:val="1"/>
      <w:marLeft w:val="0"/>
      <w:marRight w:val="0"/>
      <w:marTop w:val="0"/>
      <w:marBottom w:val="0"/>
      <w:divBdr>
        <w:top w:val="none" w:sz="0" w:space="0" w:color="auto"/>
        <w:left w:val="none" w:sz="0" w:space="0" w:color="auto"/>
        <w:bottom w:val="none" w:sz="0" w:space="0" w:color="auto"/>
        <w:right w:val="none" w:sz="0" w:space="0" w:color="auto"/>
      </w:divBdr>
    </w:div>
    <w:div w:id="383991411">
      <w:bodyDiv w:val="1"/>
      <w:marLeft w:val="0"/>
      <w:marRight w:val="0"/>
      <w:marTop w:val="0"/>
      <w:marBottom w:val="0"/>
      <w:divBdr>
        <w:top w:val="none" w:sz="0" w:space="0" w:color="auto"/>
        <w:left w:val="none" w:sz="0" w:space="0" w:color="auto"/>
        <w:bottom w:val="none" w:sz="0" w:space="0" w:color="auto"/>
        <w:right w:val="none" w:sz="0" w:space="0" w:color="auto"/>
      </w:divBdr>
    </w:div>
    <w:div w:id="400249421">
      <w:bodyDiv w:val="1"/>
      <w:marLeft w:val="0"/>
      <w:marRight w:val="0"/>
      <w:marTop w:val="0"/>
      <w:marBottom w:val="0"/>
      <w:divBdr>
        <w:top w:val="none" w:sz="0" w:space="0" w:color="auto"/>
        <w:left w:val="none" w:sz="0" w:space="0" w:color="auto"/>
        <w:bottom w:val="none" w:sz="0" w:space="0" w:color="auto"/>
        <w:right w:val="none" w:sz="0" w:space="0" w:color="auto"/>
      </w:divBdr>
    </w:div>
    <w:div w:id="408159989">
      <w:bodyDiv w:val="1"/>
      <w:marLeft w:val="0"/>
      <w:marRight w:val="0"/>
      <w:marTop w:val="0"/>
      <w:marBottom w:val="0"/>
      <w:divBdr>
        <w:top w:val="none" w:sz="0" w:space="0" w:color="auto"/>
        <w:left w:val="none" w:sz="0" w:space="0" w:color="auto"/>
        <w:bottom w:val="none" w:sz="0" w:space="0" w:color="auto"/>
        <w:right w:val="none" w:sz="0" w:space="0" w:color="auto"/>
      </w:divBdr>
    </w:div>
    <w:div w:id="414086338">
      <w:bodyDiv w:val="1"/>
      <w:marLeft w:val="0"/>
      <w:marRight w:val="0"/>
      <w:marTop w:val="0"/>
      <w:marBottom w:val="0"/>
      <w:divBdr>
        <w:top w:val="none" w:sz="0" w:space="0" w:color="auto"/>
        <w:left w:val="none" w:sz="0" w:space="0" w:color="auto"/>
        <w:bottom w:val="none" w:sz="0" w:space="0" w:color="auto"/>
        <w:right w:val="none" w:sz="0" w:space="0" w:color="auto"/>
      </w:divBdr>
    </w:div>
    <w:div w:id="418867811">
      <w:bodyDiv w:val="1"/>
      <w:marLeft w:val="0"/>
      <w:marRight w:val="0"/>
      <w:marTop w:val="0"/>
      <w:marBottom w:val="0"/>
      <w:divBdr>
        <w:top w:val="none" w:sz="0" w:space="0" w:color="auto"/>
        <w:left w:val="none" w:sz="0" w:space="0" w:color="auto"/>
        <w:bottom w:val="none" w:sz="0" w:space="0" w:color="auto"/>
        <w:right w:val="none" w:sz="0" w:space="0" w:color="auto"/>
      </w:divBdr>
    </w:div>
    <w:div w:id="458229487">
      <w:bodyDiv w:val="1"/>
      <w:marLeft w:val="0"/>
      <w:marRight w:val="0"/>
      <w:marTop w:val="0"/>
      <w:marBottom w:val="0"/>
      <w:divBdr>
        <w:top w:val="none" w:sz="0" w:space="0" w:color="auto"/>
        <w:left w:val="none" w:sz="0" w:space="0" w:color="auto"/>
        <w:bottom w:val="none" w:sz="0" w:space="0" w:color="auto"/>
        <w:right w:val="none" w:sz="0" w:space="0" w:color="auto"/>
      </w:divBdr>
    </w:div>
    <w:div w:id="474563199">
      <w:bodyDiv w:val="1"/>
      <w:marLeft w:val="0"/>
      <w:marRight w:val="0"/>
      <w:marTop w:val="0"/>
      <w:marBottom w:val="0"/>
      <w:divBdr>
        <w:top w:val="none" w:sz="0" w:space="0" w:color="auto"/>
        <w:left w:val="none" w:sz="0" w:space="0" w:color="auto"/>
        <w:bottom w:val="none" w:sz="0" w:space="0" w:color="auto"/>
        <w:right w:val="none" w:sz="0" w:space="0" w:color="auto"/>
      </w:divBdr>
    </w:div>
    <w:div w:id="524829360">
      <w:bodyDiv w:val="1"/>
      <w:marLeft w:val="0"/>
      <w:marRight w:val="0"/>
      <w:marTop w:val="0"/>
      <w:marBottom w:val="0"/>
      <w:divBdr>
        <w:top w:val="none" w:sz="0" w:space="0" w:color="auto"/>
        <w:left w:val="none" w:sz="0" w:space="0" w:color="auto"/>
        <w:bottom w:val="none" w:sz="0" w:space="0" w:color="auto"/>
        <w:right w:val="none" w:sz="0" w:space="0" w:color="auto"/>
      </w:divBdr>
    </w:div>
    <w:div w:id="532689164">
      <w:bodyDiv w:val="1"/>
      <w:marLeft w:val="0"/>
      <w:marRight w:val="0"/>
      <w:marTop w:val="0"/>
      <w:marBottom w:val="0"/>
      <w:divBdr>
        <w:top w:val="none" w:sz="0" w:space="0" w:color="auto"/>
        <w:left w:val="none" w:sz="0" w:space="0" w:color="auto"/>
        <w:bottom w:val="none" w:sz="0" w:space="0" w:color="auto"/>
        <w:right w:val="none" w:sz="0" w:space="0" w:color="auto"/>
      </w:divBdr>
    </w:div>
    <w:div w:id="536353562">
      <w:bodyDiv w:val="1"/>
      <w:marLeft w:val="0"/>
      <w:marRight w:val="0"/>
      <w:marTop w:val="0"/>
      <w:marBottom w:val="0"/>
      <w:divBdr>
        <w:top w:val="none" w:sz="0" w:space="0" w:color="auto"/>
        <w:left w:val="none" w:sz="0" w:space="0" w:color="auto"/>
        <w:bottom w:val="none" w:sz="0" w:space="0" w:color="auto"/>
        <w:right w:val="none" w:sz="0" w:space="0" w:color="auto"/>
      </w:divBdr>
    </w:div>
    <w:div w:id="649674567">
      <w:bodyDiv w:val="1"/>
      <w:marLeft w:val="0"/>
      <w:marRight w:val="0"/>
      <w:marTop w:val="0"/>
      <w:marBottom w:val="0"/>
      <w:divBdr>
        <w:top w:val="none" w:sz="0" w:space="0" w:color="auto"/>
        <w:left w:val="none" w:sz="0" w:space="0" w:color="auto"/>
        <w:bottom w:val="none" w:sz="0" w:space="0" w:color="auto"/>
        <w:right w:val="none" w:sz="0" w:space="0" w:color="auto"/>
      </w:divBdr>
    </w:div>
    <w:div w:id="661273242">
      <w:bodyDiv w:val="1"/>
      <w:marLeft w:val="0"/>
      <w:marRight w:val="0"/>
      <w:marTop w:val="0"/>
      <w:marBottom w:val="0"/>
      <w:divBdr>
        <w:top w:val="none" w:sz="0" w:space="0" w:color="auto"/>
        <w:left w:val="none" w:sz="0" w:space="0" w:color="auto"/>
        <w:bottom w:val="none" w:sz="0" w:space="0" w:color="auto"/>
        <w:right w:val="none" w:sz="0" w:space="0" w:color="auto"/>
      </w:divBdr>
    </w:div>
    <w:div w:id="711272274">
      <w:bodyDiv w:val="1"/>
      <w:marLeft w:val="0"/>
      <w:marRight w:val="0"/>
      <w:marTop w:val="0"/>
      <w:marBottom w:val="0"/>
      <w:divBdr>
        <w:top w:val="none" w:sz="0" w:space="0" w:color="auto"/>
        <w:left w:val="none" w:sz="0" w:space="0" w:color="auto"/>
        <w:bottom w:val="none" w:sz="0" w:space="0" w:color="auto"/>
        <w:right w:val="none" w:sz="0" w:space="0" w:color="auto"/>
      </w:divBdr>
    </w:div>
    <w:div w:id="781656396">
      <w:bodyDiv w:val="1"/>
      <w:marLeft w:val="0"/>
      <w:marRight w:val="0"/>
      <w:marTop w:val="0"/>
      <w:marBottom w:val="0"/>
      <w:divBdr>
        <w:top w:val="none" w:sz="0" w:space="0" w:color="auto"/>
        <w:left w:val="none" w:sz="0" w:space="0" w:color="auto"/>
        <w:bottom w:val="none" w:sz="0" w:space="0" w:color="auto"/>
        <w:right w:val="none" w:sz="0" w:space="0" w:color="auto"/>
      </w:divBdr>
    </w:div>
    <w:div w:id="805128364">
      <w:bodyDiv w:val="1"/>
      <w:marLeft w:val="0"/>
      <w:marRight w:val="0"/>
      <w:marTop w:val="0"/>
      <w:marBottom w:val="0"/>
      <w:divBdr>
        <w:top w:val="none" w:sz="0" w:space="0" w:color="auto"/>
        <w:left w:val="none" w:sz="0" w:space="0" w:color="auto"/>
        <w:bottom w:val="none" w:sz="0" w:space="0" w:color="auto"/>
        <w:right w:val="none" w:sz="0" w:space="0" w:color="auto"/>
      </w:divBdr>
    </w:div>
    <w:div w:id="840925178">
      <w:bodyDiv w:val="1"/>
      <w:marLeft w:val="0"/>
      <w:marRight w:val="0"/>
      <w:marTop w:val="0"/>
      <w:marBottom w:val="0"/>
      <w:divBdr>
        <w:top w:val="none" w:sz="0" w:space="0" w:color="auto"/>
        <w:left w:val="none" w:sz="0" w:space="0" w:color="auto"/>
        <w:bottom w:val="none" w:sz="0" w:space="0" w:color="auto"/>
        <w:right w:val="none" w:sz="0" w:space="0" w:color="auto"/>
      </w:divBdr>
    </w:div>
    <w:div w:id="855726036">
      <w:bodyDiv w:val="1"/>
      <w:marLeft w:val="0"/>
      <w:marRight w:val="0"/>
      <w:marTop w:val="0"/>
      <w:marBottom w:val="0"/>
      <w:divBdr>
        <w:top w:val="none" w:sz="0" w:space="0" w:color="auto"/>
        <w:left w:val="none" w:sz="0" w:space="0" w:color="auto"/>
        <w:bottom w:val="none" w:sz="0" w:space="0" w:color="auto"/>
        <w:right w:val="none" w:sz="0" w:space="0" w:color="auto"/>
      </w:divBdr>
    </w:div>
    <w:div w:id="888567118">
      <w:bodyDiv w:val="1"/>
      <w:marLeft w:val="0"/>
      <w:marRight w:val="0"/>
      <w:marTop w:val="0"/>
      <w:marBottom w:val="0"/>
      <w:divBdr>
        <w:top w:val="none" w:sz="0" w:space="0" w:color="auto"/>
        <w:left w:val="none" w:sz="0" w:space="0" w:color="auto"/>
        <w:bottom w:val="none" w:sz="0" w:space="0" w:color="auto"/>
        <w:right w:val="none" w:sz="0" w:space="0" w:color="auto"/>
      </w:divBdr>
    </w:div>
    <w:div w:id="917252210">
      <w:bodyDiv w:val="1"/>
      <w:marLeft w:val="0"/>
      <w:marRight w:val="0"/>
      <w:marTop w:val="0"/>
      <w:marBottom w:val="0"/>
      <w:divBdr>
        <w:top w:val="none" w:sz="0" w:space="0" w:color="auto"/>
        <w:left w:val="none" w:sz="0" w:space="0" w:color="auto"/>
        <w:bottom w:val="none" w:sz="0" w:space="0" w:color="auto"/>
        <w:right w:val="none" w:sz="0" w:space="0" w:color="auto"/>
      </w:divBdr>
    </w:div>
    <w:div w:id="930890357">
      <w:bodyDiv w:val="1"/>
      <w:marLeft w:val="0"/>
      <w:marRight w:val="0"/>
      <w:marTop w:val="0"/>
      <w:marBottom w:val="0"/>
      <w:divBdr>
        <w:top w:val="none" w:sz="0" w:space="0" w:color="auto"/>
        <w:left w:val="none" w:sz="0" w:space="0" w:color="auto"/>
        <w:bottom w:val="none" w:sz="0" w:space="0" w:color="auto"/>
        <w:right w:val="none" w:sz="0" w:space="0" w:color="auto"/>
      </w:divBdr>
    </w:div>
    <w:div w:id="934361575">
      <w:bodyDiv w:val="1"/>
      <w:marLeft w:val="0"/>
      <w:marRight w:val="0"/>
      <w:marTop w:val="0"/>
      <w:marBottom w:val="0"/>
      <w:divBdr>
        <w:top w:val="none" w:sz="0" w:space="0" w:color="auto"/>
        <w:left w:val="none" w:sz="0" w:space="0" w:color="auto"/>
        <w:bottom w:val="none" w:sz="0" w:space="0" w:color="auto"/>
        <w:right w:val="none" w:sz="0" w:space="0" w:color="auto"/>
      </w:divBdr>
    </w:div>
    <w:div w:id="969284706">
      <w:bodyDiv w:val="1"/>
      <w:marLeft w:val="0"/>
      <w:marRight w:val="0"/>
      <w:marTop w:val="0"/>
      <w:marBottom w:val="0"/>
      <w:divBdr>
        <w:top w:val="none" w:sz="0" w:space="0" w:color="auto"/>
        <w:left w:val="none" w:sz="0" w:space="0" w:color="auto"/>
        <w:bottom w:val="none" w:sz="0" w:space="0" w:color="auto"/>
        <w:right w:val="none" w:sz="0" w:space="0" w:color="auto"/>
      </w:divBdr>
    </w:div>
    <w:div w:id="1015695095">
      <w:bodyDiv w:val="1"/>
      <w:marLeft w:val="0"/>
      <w:marRight w:val="0"/>
      <w:marTop w:val="0"/>
      <w:marBottom w:val="0"/>
      <w:divBdr>
        <w:top w:val="none" w:sz="0" w:space="0" w:color="auto"/>
        <w:left w:val="none" w:sz="0" w:space="0" w:color="auto"/>
        <w:bottom w:val="none" w:sz="0" w:space="0" w:color="auto"/>
        <w:right w:val="none" w:sz="0" w:space="0" w:color="auto"/>
      </w:divBdr>
    </w:div>
    <w:div w:id="1021012639">
      <w:bodyDiv w:val="1"/>
      <w:marLeft w:val="0"/>
      <w:marRight w:val="0"/>
      <w:marTop w:val="0"/>
      <w:marBottom w:val="0"/>
      <w:divBdr>
        <w:top w:val="none" w:sz="0" w:space="0" w:color="auto"/>
        <w:left w:val="none" w:sz="0" w:space="0" w:color="auto"/>
        <w:bottom w:val="none" w:sz="0" w:space="0" w:color="auto"/>
        <w:right w:val="none" w:sz="0" w:space="0" w:color="auto"/>
      </w:divBdr>
    </w:div>
    <w:div w:id="1034190068">
      <w:bodyDiv w:val="1"/>
      <w:marLeft w:val="0"/>
      <w:marRight w:val="0"/>
      <w:marTop w:val="0"/>
      <w:marBottom w:val="0"/>
      <w:divBdr>
        <w:top w:val="none" w:sz="0" w:space="0" w:color="auto"/>
        <w:left w:val="none" w:sz="0" w:space="0" w:color="auto"/>
        <w:bottom w:val="none" w:sz="0" w:space="0" w:color="auto"/>
        <w:right w:val="none" w:sz="0" w:space="0" w:color="auto"/>
      </w:divBdr>
    </w:div>
    <w:div w:id="1054353539">
      <w:bodyDiv w:val="1"/>
      <w:marLeft w:val="0"/>
      <w:marRight w:val="0"/>
      <w:marTop w:val="0"/>
      <w:marBottom w:val="0"/>
      <w:divBdr>
        <w:top w:val="none" w:sz="0" w:space="0" w:color="auto"/>
        <w:left w:val="none" w:sz="0" w:space="0" w:color="auto"/>
        <w:bottom w:val="none" w:sz="0" w:space="0" w:color="auto"/>
        <w:right w:val="none" w:sz="0" w:space="0" w:color="auto"/>
      </w:divBdr>
    </w:div>
    <w:div w:id="1059476882">
      <w:bodyDiv w:val="1"/>
      <w:marLeft w:val="0"/>
      <w:marRight w:val="0"/>
      <w:marTop w:val="0"/>
      <w:marBottom w:val="0"/>
      <w:divBdr>
        <w:top w:val="none" w:sz="0" w:space="0" w:color="auto"/>
        <w:left w:val="none" w:sz="0" w:space="0" w:color="auto"/>
        <w:bottom w:val="none" w:sz="0" w:space="0" w:color="auto"/>
        <w:right w:val="none" w:sz="0" w:space="0" w:color="auto"/>
      </w:divBdr>
    </w:div>
    <w:div w:id="1073892026">
      <w:bodyDiv w:val="1"/>
      <w:marLeft w:val="0"/>
      <w:marRight w:val="0"/>
      <w:marTop w:val="0"/>
      <w:marBottom w:val="0"/>
      <w:divBdr>
        <w:top w:val="none" w:sz="0" w:space="0" w:color="auto"/>
        <w:left w:val="none" w:sz="0" w:space="0" w:color="auto"/>
        <w:bottom w:val="none" w:sz="0" w:space="0" w:color="auto"/>
        <w:right w:val="none" w:sz="0" w:space="0" w:color="auto"/>
      </w:divBdr>
    </w:div>
    <w:div w:id="1127971335">
      <w:bodyDiv w:val="1"/>
      <w:marLeft w:val="0"/>
      <w:marRight w:val="0"/>
      <w:marTop w:val="0"/>
      <w:marBottom w:val="0"/>
      <w:divBdr>
        <w:top w:val="none" w:sz="0" w:space="0" w:color="auto"/>
        <w:left w:val="none" w:sz="0" w:space="0" w:color="auto"/>
        <w:bottom w:val="none" w:sz="0" w:space="0" w:color="auto"/>
        <w:right w:val="none" w:sz="0" w:space="0" w:color="auto"/>
      </w:divBdr>
    </w:div>
    <w:div w:id="1251309296">
      <w:bodyDiv w:val="1"/>
      <w:marLeft w:val="0"/>
      <w:marRight w:val="0"/>
      <w:marTop w:val="0"/>
      <w:marBottom w:val="0"/>
      <w:divBdr>
        <w:top w:val="none" w:sz="0" w:space="0" w:color="auto"/>
        <w:left w:val="none" w:sz="0" w:space="0" w:color="auto"/>
        <w:bottom w:val="none" w:sz="0" w:space="0" w:color="auto"/>
        <w:right w:val="none" w:sz="0" w:space="0" w:color="auto"/>
      </w:divBdr>
    </w:div>
    <w:div w:id="1262032936">
      <w:bodyDiv w:val="1"/>
      <w:marLeft w:val="0"/>
      <w:marRight w:val="0"/>
      <w:marTop w:val="0"/>
      <w:marBottom w:val="0"/>
      <w:divBdr>
        <w:top w:val="none" w:sz="0" w:space="0" w:color="auto"/>
        <w:left w:val="none" w:sz="0" w:space="0" w:color="auto"/>
        <w:bottom w:val="none" w:sz="0" w:space="0" w:color="auto"/>
        <w:right w:val="none" w:sz="0" w:space="0" w:color="auto"/>
      </w:divBdr>
    </w:div>
    <w:div w:id="1274096595">
      <w:bodyDiv w:val="1"/>
      <w:marLeft w:val="0"/>
      <w:marRight w:val="0"/>
      <w:marTop w:val="0"/>
      <w:marBottom w:val="0"/>
      <w:divBdr>
        <w:top w:val="none" w:sz="0" w:space="0" w:color="auto"/>
        <w:left w:val="none" w:sz="0" w:space="0" w:color="auto"/>
        <w:bottom w:val="none" w:sz="0" w:space="0" w:color="auto"/>
        <w:right w:val="none" w:sz="0" w:space="0" w:color="auto"/>
      </w:divBdr>
    </w:div>
    <w:div w:id="1325625275">
      <w:bodyDiv w:val="1"/>
      <w:marLeft w:val="0"/>
      <w:marRight w:val="0"/>
      <w:marTop w:val="0"/>
      <w:marBottom w:val="0"/>
      <w:divBdr>
        <w:top w:val="none" w:sz="0" w:space="0" w:color="auto"/>
        <w:left w:val="none" w:sz="0" w:space="0" w:color="auto"/>
        <w:bottom w:val="none" w:sz="0" w:space="0" w:color="auto"/>
        <w:right w:val="none" w:sz="0" w:space="0" w:color="auto"/>
      </w:divBdr>
    </w:div>
    <w:div w:id="1326129902">
      <w:bodyDiv w:val="1"/>
      <w:marLeft w:val="0"/>
      <w:marRight w:val="0"/>
      <w:marTop w:val="0"/>
      <w:marBottom w:val="0"/>
      <w:divBdr>
        <w:top w:val="none" w:sz="0" w:space="0" w:color="auto"/>
        <w:left w:val="none" w:sz="0" w:space="0" w:color="auto"/>
        <w:bottom w:val="none" w:sz="0" w:space="0" w:color="auto"/>
        <w:right w:val="none" w:sz="0" w:space="0" w:color="auto"/>
      </w:divBdr>
    </w:div>
    <w:div w:id="1334915124">
      <w:bodyDiv w:val="1"/>
      <w:marLeft w:val="0"/>
      <w:marRight w:val="0"/>
      <w:marTop w:val="0"/>
      <w:marBottom w:val="0"/>
      <w:divBdr>
        <w:top w:val="none" w:sz="0" w:space="0" w:color="auto"/>
        <w:left w:val="none" w:sz="0" w:space="0" w:color="auto"/>
        <w:bottom w:val="none" w:sz="0" w:space="0" w:color="auto"/>
        <w:right w:val="none" w:sz="0" w:space="0" w:color="auto"/>
      </w:divBdr>
    </w:div>
    <w:div w:id="1411999616">
      <w:bodyDiv w:val="1"/>
      <w:marLeft w:val="0"/>
      <w:marRight w:val="0"/>
      <w:marTop w:val="0"/>
      <w:marBottom w:val="0"/>
      <w:divBdr>
        <w:top w:val="none" w:sz="0" w:space="0" w:color="auto"/>
        <w:left w:val="none" w:sz="0" w:space="0" w:color="auto"/>
        <w:bottom w:val="none" w:sz="0" w:space="0" w:color="auto"/>
        <w:right w:val="none" w:sz="0" w:space="0" w:color="auto"/>
      </w:divBdr>
    </w:div>
    <w:div w:id="1420906024">
      <w:bodyDiv w:val="1"/>
      <w:marLeft w:val="0"/>
      <w:marRight w:val="0"/>
      <w:marTop w:val="0"/>
      <w:marBottom w:val="0"/>
      <w:divBdr>
        <w:top w:val="none" w:sz="0" w:space="0" w:color="auto"/>
        <w:left w:val="none" w:sz="0" w:space="0" w:color="auto"/>
        <w:bottom w:val="none" w:sz="0" w:space="0" w:color="auto"/>
        <w:right w:val="none" w:sz="0" w:space="0" w:color="auto"/>
      </w:divBdr>
    </w:div>
    <w:div w:id="1424254181">
      <w:bodyDiv w:val="1"/>
      <w:marLeft w:val="0"/>
      <w:marRight w:val="0"/>
      <w:marTop w:val="0"/>
      <w:marBottom w:val="0"/>
      <w:divBdr>
        <w:top w:val="none" w:sz="0" w:space="0" w:color="auto"/>
        <w:left w:val="none" w:sz="0" w:space="0" w:color="auto"/>
        <w:bottom w:val="none" w:sz="0" w:space="0" w:color="auto"/>
        <w:right w:val="none" w:sz="0" w:space="0" w:color="auto"/>
      </w:divBdr>
    </w:div>
    <w:div w:id="1462309962">
      <w:bodyDiv w:val="1"/>
      <w:marLeft w:val="0"/>
      <w:marRight w:val="0"/>
      <w:marTop w:val="0"/>
      <w:marBottom w:val="0"/>
      <w:divBdr>
        <w:top w:val="none" w:sz="0" w:space="0" w:color="auto"/>
        <w:left w:val="none" w:sz="0" w:space="0" w:color="auto"/>
        <w:bottom w:val="none" w:sz="0" w:space="0" w:color="auto"/>
        <w:right w:val="none" w:sz="0" w:space="0" w:color="auto"/>
      </w:divBdr>
    </w:div>
    <w:div w:id="1463428072">
      <w:bodyDiv w:val="1"/>
      <w:marLeft w:val="0"/>
      <w:marRight w:val="0"/>
      <w:marTop w:val="0"/>
      <w:marBottom w:val="0"/>
      <w:divBdr>
        <w:top w:val="none" w:sz="0" w:space="0" w:color="auto"/>
        <w:left w:val="none" w:sz="0" w:space="0" w:color="auto"/>
        <w:bottom w:val="none" w:sz="0" w:space="0" w:color="auto"/>
        <w:right w:val="none" w:sz="0" w:space="0" w:color="auto"/>
      </w:divBdr>
    </w:div>
    <w:div w:id="1468821764">
      <w:bodyDiv w:val="1"/>
      <w:marLeft w:val="0"/>
      <w:marRight w:val="0"/>
      <w:marTop w:val="0"/>
      <w:marBottom w:val="0"/>
      <w:divBdr>
        <w:top w:val="none" w:sz="0" w:space="0" w:color="auto"/>
        <w:left w:val="none" w:sz="0" w:space="0" w:color="auto"/>
        <w:bottom w:val="none" w:sz="0" w:space="0" w:color="auto"/>
        <w:right w:val="none" w:sz="0" w:space="0" w:color="auto"/>
      </w:divBdr>
    </w:div>
    <w:div w:id="1593853329">
      <w:bodyDiv w:val="1"/>
      <w:marLeft w:val="0"/>
      <w:marRight w:val="0"/>
      <w:marTop w:val="0"/>
      <w:marBottom w:val="0"/>
      <w:divBdr>
        <w:top w:val="none" w:sz="0" w:space="0" w:color="auto"/>
        <w:left w:val="none" w:sz="0" w:space="0" w:color="auto"/>
        <w:bottom w:val="none" w:sz="0" w:space="0" w:color="auto"/>
        <w:right w:val="none" w:sz="0" w:space="0" w:color="auto"/>
      </w:divBdr>
    </w:div>
    <w:div w:id="1604413071">
      <w:bodyDiv w:val="1"/>
      <w:marLeft w:val="0"/>
      <w:marRight w:val="0"/>
      <w:marTop w:val="0"/>
      <w:marBottom w:val="0"/>
      <w:divBdr>
        <w:top w:val="none" w:sz="0" w:space="0" w:color="auto"/>
        <w:left w:val="none" w:sz="0" w:space="0" w:color="auto"/>
        <w:bottom w:val="none" w:sz="0" w:space="0" w:color="auto"/>
        <w:right w:val="none" w:sz="0" w:space="0" w:color="auto"/>
      </w:divBdr>
    </w:div>
    <w:div w:id="1612281056">
      <w:bodyDiv w:val="1"/>
      <w:marLeft w:val="0"/>
      <w:marRight w:val="0"/>
      <w:marTop w:val="0"/>
      <w:marBottom w:val="0"/>
      <w:divBdr>
        <w:top w:val="none" w:sz="0" w:space="0" w:color="auto"/>
        <w:left w:val="none" w:sz="0" w:space="0" w:color="auto"/>
        <w:bottom w:val="none" w:sz="0" w:space="0" w:color="auto"/>
        <w:right w:val="none" w:sz="0" w:space="0" w:color="auto"/>
      </w:divBdr>
    </w:div>
    <w:div w:id="1618021341">
      <w:bodyDiv w:val="1"/>
      <w:marLeft w:val="0"/>
      <w:marRight w:val="0"/>
      <w:marTop w:val="0"/>
      <w:marBottom w:val="0"/>
      <w:divBdr>
        <w:top w:val="none" w:sz="0" w:space="0" w:color="auto"/>
        <w:left w:val="none" w:sz="0" w:space="0" w:color="auto"/>
        <w:bottom w:val="none" w:sz="0" w:space="0" w:color="auto"/>
        <w:right w:val="none" w:sz="0" w:space="0" w:color="auto"/>
      </w:divBdr>
    </w:div>
    <w:div w:id="1748452743">
      <w:bodyDiv w:val="1"/>
      <w:marLeft w:val="0"/>
      <w:marRight w:val="0"/>
      <w:marTop w:val="0"/>
      <w:marBottom w:val="0"/>
      <w:divBdr>
        <w:top w:val="none" w:sz="0" w:space="0" w:color="auto"/>
        <w:left w:val="none" w:sz="0" w:space="0" w:color="auto"/>
        <w:bottom w:val="none" w:sz="0" w:space="0" w:color="auto"/>
        <w:right w:val="none" w:sz="0" w:space="0" w:color="auto"/>
      </w:divBdr>
    </w:div>
    <w:div w:id="1786121782">
      <w:bodyDiv w:val="1"/>
      <w:marLeft w:val="0"/>
      <w:marRight w:val="0"/>
      <w:marTop w:val="0"/>
      <w:marBottom w:val="0"/>
      <w:divBdr>
        <w:top w:val="none" w:sz="0" w:space="0" w:color="auto"/>
        <w:left w:val="none" w:sz="0" w:space="0" w:color="auto"/>
        <w:bottom w:val="none" w:sz="0" w:space="0" w:color="auto"/>
        <w:right w:val="none" w:sz="0" w:space="0" w:color="auto"/>
      </w:divBdr>
    </w:div>
    <w:div w:id="1913158019">
      <w:bodyDiv w:val="1"/>
      <w:marLeft w:val="0"/>
      <w:marRight w:val="0"/>
      <w:marTop w:val="0"/>
      <w:marBottom w:val="0"/>
      <w:divBdr>
        <w:top w:val="none" w:sz="0" w:space="0" w:color="auto"/>
        <w:left w:val="none" w:sz="0" w:space="0" w:color="auto"/>
        <w:bottom w:val="none" w:sz="0" w:space="0" w:color="auto"/>
        <w:right w:val="none" w:sz="0" w:space="0" w:color="auto"/>
      </w:divBdr>
    </w:div>
    <w:div w:id="1942953556">
      <w:bodyDiv w:val="1"/>
      <w:marLeft w:val="0"/>
      <w:marRight w:val="0"/>
      <w:marTop w:val="0"/>
      <w:marBottom w:val="0"/>
      <w:divBdr>
        <w:top w:val="none" w:sz="0" w:space="0" w:color="auto"/>
        <w:left w:val="none" w:sz="0" w:space="0" w:color="auto"/>
        <w:bottom w:val="none" w:sz="0" w:space="0" w:color="auto"/>
        <w:right w:val="none" w:sz="0" w:space="0" w:color="auto"/>
      </w:divBdr>
    </w:div>
    <w:div w:id="2007858916">
      <w:bodyDiv w:val="1"/>
      <w:marLeft w:val="0"/>
      <w:marRight w:val="0"/>
      <w:marTop w:val="0"/>
      <w:marBottom w:val="0"/>
      <w:divBdr>
        <w:top w:val="none" w:sz="0" w:space="0" w:color="auto"/>
        <w:left w:val="none" w:sz="0" w:space="0" w:color="auto"/>
        <w:bottom w:val="none" w:sz="0" w:space="0" w:color="auto"/>
        <w:right w:val="none" w:sz="0" w:space="0" w:color="auto"/>
      </w:divBdr>
    </w:div>
    <w:div w:id="2008510791">
      <w:bodyDiv w:val="1"/>
      <w:marLeft w:val="0"/>
      <w:marRight w:val="0"/>
      <w:marTop w:val="0"/>
      <w:marBottom w:val="0"/>
      <w:divBdr>
        <w:top w:val="none" w:sz="0" w:space="0" w:color="auto"/>
        <w:left w:val="none" w:sz="0" w:space="0" w:color="auto"/>
        <w:bottom w:val="none" w:sz="0" w:space="0" w:color="auto"/>
        <w:right w:val="none" w:sz="0" w:space="0" w:color="auto"/>
      </w:divBdr>
    </w:div>
    <w:div w:id="2071534245">
      <w:bodyDiv w:val="1"/>
      <w:marLeft w:val="0"/>
      <w:marRight w:val="0"/>
      <w:marTop w:val="0"/>
      <w:marBottom w:val="0"/>
      <w:divBdr>
        <w:top w:val="none" w:sz="0" w:space="0" w:color="auto"/>
        <w:left w:val="none" w:sz="0" w:space="0" w:color="auto"/>
        <w:bottom w:val="none" w:sz="0" w:space="0" w:color="auto"/>
        <w:right w:val="none" w:sz="0" w:space="0" w:color="auto"/>
      </w:divBdr>
    </w:div>
    <w:div w:id="2094743426">
      <w:bodyDiv w:val="1"/>
      <w:marLeft w:val="0"/>
      <w:marRight w:val="0"/>
      <w:marTop w:val="0"/>
      <w:marBottom w:val="0"/>
      <w:divBdr>
        <w:top w:val="none" w:sz="0" w:space="0" w:color="auto"/>
        <w:left w:val="none" w:sz="0" w:space="0" w:color="auto"/>
        <w:bottom w:val="none" w:sz="0" w:space="0" w:color="auto"/>
        <w:right w:val="none" w:sz="0" w:space="0" w:color="auto"/>
      </w:divBdr>
    </w:div>
    <w:div w:id="2102990478">
      <w:bodyDiv w:val="1"/>
      <w:marLeft w:val="0"/>
      <w:marRight w:val="0"/>
      <w:marTop w:val="0"/>
      <w:marBottom w:val="0"/>
      <w:divBdr>
        <w:top w:val="none" w:sz="0" w:space="0" w:color="auto"/>
        <w:left w:val="none" w:sz="0" w:space="0" w:color="auto"/>
        <w:bottom w:val="none" w:sz="0" w:space="0" w:color="auto"/>
        <w:right w:val="none" w:sz="0" w:space="0" w:color="auto"/>
      </w:divBdr>
    </w:div>
    <w:div w:id="2134324483">
      <w:bodyDiv w:val="1"/>
      <w:marLeft w:val="0"/>
      <w:marRight w:val="0"/>
      <w:marTop w:val="0"/>
      <w:marBottom w:val="0"/>
      <w:divBdr>
        <w:top w:val="none" w:sz="0" w:space="0" w:color="auto"/>
        <w:left w:val="none" w:sz="0" w:space="0" w:color="auto"/>
        <w:bottom w:val="none" w:sz="0" w:space="0" w:color="auto"/>
        <w:right w:val="none" w:sz="0" w:space="0" w:color="auto"/>
      </w:divBdr>
    </w:div>
    <w:div w:id="214499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bjc/azl03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ja.ojp.gov/sites/g/files/xyckuh186/files/bwc/pdfs/CoPBWVreportNov2015.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irmingham.ac.uk/Documents/college-social-sciences/business/research/crime-justice-policing/conference-presentations-2019/cjp-conference-evidence-based-policing.pdf" TargetMode="External"/><Relationship Id="rId5" Type="http://schemas.openxmlformats.org/officeDocument/2006/relationships/footnotes" Target="footnotes.xml"/><Relationship Id="rId10" Type="http://schemas.openxmlformats.org/officeDocument/2006/relationships/hyperlink" Target="https://assets.publishing.service.gov.uk/government/uploads/system/uploads/attachment_data/file/277111/4262.pdf" TargetMode="External"/><Relationship Id="rId4" Type="http://schemas.openxmlformats.org/officeDocument/2006/relationships/webSettings" Target="webSettings.xml"/><Relationship Id="rId9" Type="http://schemas.openxmlformats.org/officeDocument/2006/relationships/hyperlink" Target="https://doi.org/10.1093/police/pan0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Lor81</b:Tag>
    <b:SourceType>Report</b:SourceType>
    <b:Guid>{1EBB7C0C-1CD2-4852-8C33-400751DA9F27}</b:Guid>
    <b:Title>The Brixton Disorders 10-12 April 1981</b:Title>
    <b:City>London</b:City>
    <b:Year>1981</b:Year>
    <b:Author>
      <b:Author>
        <b:NameList>
          <b:Person>
            <b:Last>Lord Scarman</b:Last>
            <b:First>OBE</b:First>
          </b:Person>
        </b:NameList>
      </b:Author>
    </b:Author>
    <b:Publisher>Official Government Report</b:Publisher>
    <b:RefOrder>32</b:RefOrder>
  </b:Source>
  <b:Source>
    <b:Tag>Met22</b:Tag>
    <b:SourceType>InternetSite</b:SourceType>
    <b:Guid>{10542556-998B-47D6-88DD-58CEE1E3A5BF}</b:Guid>
    <b:Author>
      <b:Author>
        <b:Corporate>Metropolitan Police</b:Corporate>
      </b:Author>
    </b:Author>
    <b:Title>Our Response to issues raised by the crimes of Wayne Couzens</b:Title>
    <b:InternetSiteTitle>Met Police Web site</b:InternetSiteTitle>
    <b:Year>2022</b:Year>
    <b:Month>October</b:Month>
    <b:Day>31</b:Day>
    <b:URL>https://www.met.police.uk/notices/met/our-response-to-issues-raised-by-the-crimes-of-wayne-couzens/</b:URL>
    <b:RefOrder>33</b:RefOrder>
  </b:Source>
  <b:Source>
    <b:Tag>The221</b:Tag>
    <b:SourceType>InternetSite</b:SourceType>
    <b:Guid>{18268358-B164-4541-A84D-43A1EB5C93DF}</b:Guid>
    <b:Author>
      <b:Author>
        <b:Corporate>Police and Criminal Evidence Act 1984</b:Corporate>
      </b:Author>
    </b:Author>
    <b:Title>Police and Criminal Evidence Act 1984</b:Title>
    <b:Year>2022</b:Year>
    <b:InternetSiteTitle>Legislation.gov.uk</b:InternetSiteTitle>
    <b:Month>October</b:Month>
    <b:Day>27</b:Day>
    <b:URL>https://www.legislation.gov.uk/ukpga/1984/60/contents</b:URL>
    <b:RefOrder>1</b:RefOrder>
  </b:Source>
  <b:Source>
    <b:Tag>Col224</b:Tag>
    <b:SourceType>InternetSite</b:SourceType>
    <b:Guid>{E4B5A780-7986-45DE-9DBE-745FE9E41E4B}</b:Guid>
    <b:Title>Code of Ethics</b:Title>
    <b:Year>2022</b:Year>
    <b:Author>
      <b:Author>
        <b:Corporate>College of Policing</b:Corporate>
      </b:Author>
    </b:Author>
    <b:InternetSiteTitle>College of Policing </b:InternetSiteTitle>
    <b:Month>October</b:Month>
    <b:Day>26</b:Day>
    <b:URL>https://www.college.police.uk/ethics/code-of-ethics</b:URL>
    <b:RefOrder>2</b:RefOrder>
  </b:Source>
  <b:Source>
    <b:Tag>Hom222</b:Tag>
    <b:SourceType>InternetSite</b:SourceType>
    <b:Guid>{6BBE78F4-65BF-460A-974E-E013CBA61752}</b:Guid>
    <b:Author>
      <b:Author>
        <b:Corporate>Home Office</b:Corporate>
      </b:Author>
    </b:Author>
    <b:Title>Definition of Policing by Consent</b:Title>
    <b:InternetSiteTitle>Gov UK</b:InternetSiteTitle>
    <b:Year>2022</b:Year>
    <b:Month>October</b:Month>
    <b:Day>31</b:Day>
    <b:URL>https://www.gov.uk/government/publications/policing-by-consent/definition-of-policing-by-consent</b:URL>
    <b:RefOrder>34</b:RefOrder>
  </b:Source>
  <b:Source>
    <b:Tag>Nat22</b:Tag>
    <b:SourceType>Report</b:SourceType>
    <b:Guid>{4157AEE0-554B-4ACA-AFB5-B60401E9DDD5}</b:Guid>
    <b:Author>
      <b:Author>
        <b:Corporate>National Vulnerability Action Plan</b:Corporate>
      </b:Author>
    </b:Author>
    <b:Title>National Vulnerability Action Plan</b:Title>
    <b:Year>2022</b:Year>
    <b:Publisher>College of Policing</b:Publisher>
    <b:City>Norfolk</b:City>
    <b:RefOrder>3</b:RefOrder>
  </b:Source>
  <b:Source>
    <b:Tag>Cro20</b:Tag>
    <b:SourceType>InternetSite</b:SourceType>
    <b:Guid>{2AC488DA-B5D0-41B4-8129-9D75188804AA}</b:Guid>
    <b:Title>Organised Crime Group </b:Title>
    <b:Year>2020</b:Year>
    <b:Author>
      <b:Author>
        <b:Corporate>Crown Prosecution Service</b:Corporate>
      </b:Author>
    </b:Author>
    <b:InternetSiteTitle>Crown Prosecution Website</b:InternetSiteTitle>
    <b:Month>October</b:Month>
    <b:Day>04</b:Day>
    <b:URL>https://www.cps.gov.uk/legal-guidance/organised-crime-group-participating-activities#:~:text=An%20OCG%20is%20defined%20(section,together%20to%20further%20that%20purpose.</b:URL>
    <b:RefOrder>4</b:RefOrder>
  </b:Source>
  <b:Source>
    <b:Tag>Loc22</b:Tag>
    <b:SourceType>InternetSite</b:SourceType>
    <b:Guid>{F40D4008-0558-4CD6-84D3-3B20E4E337D5}</b:Guid>
    <b:Author>
      <b:Author>
        <b:Corporate>Local Government Association </b:Corporate>
      </b:Author>
    </b:Author>
    <b:Title>Local Government Website</b:Title>
    <b:InternetSiteTitle>Government site</b:InternetSiteTitle>
    <b:Year>2022</b:Year>
    <b:Month>October</b:Month>
    <b:Day>31</b:Day>
    <b:URL>https://www.local.gov.uk/sites/default/files/documents/tackling-serious-and-orga-44a.pdf</b:URL>
    <b:RefOrder>5</b:RefOrder>
  </b:Source>
  <b:Source>
    <b:Tag>Nat151</b:Tag>
    <b:SourceType>Report</b:SourceType>
    <b:Guid>{78DF23F0-E572-4471-9685-DEC32278B77E}</b:Guid>
    <b:Title>National Security Capability Review</b:Title>
    <b:Year>2015</b:Year>
    <b:Author>
      <b:Author>
        <b:Corporate>National Security Council</b:Corporate>
      </b:Author>
    </b:Author>
    <b:Publisher>Home Office</b:Publisher>
    <b:City>London </b:City>
    <b:RefOrder>6</b:RefOrder>
  </b:Source>
  <b:Source>
    <b:Tag>Hom18</b:Tag>
    <b:SourceType>Report</b:SourceType>
    <b:Guid>{A87E8E26-D386-4DAA-89F2-6FBE7084FBB9}</b:Guid>
    <b:Title>Criminal Exploitation of children and vulnerable adults: County Lines guidance</b:Title>
    <b:Year>2018</b:Year>
    <b:Author>
      <b:Author>
        <b:Corporate>Home Office </b:Corporate>
      </b:Author>
    </b:Author>
    <b:Publisher>Home Office</b:Publisher>
    <b:City>London </b:City>
    <b:RefOrder>7</b:RefOrder>
  </b:Source>
  <b:Source>
    <b:Tag>Nat15</b:Tag>
    <b:SourceType>Report</b:SourceType>
    <b:Guid>{308F27AA-2F9A-4C18-8040-5763E4AF4AF9}</b:Guid>
    <b:Author>
      <b:Author>
        <b:Corporate>National Crime Agency</b:Corporate>
      </b:Author>
    </b:Author>
    <b:Title>NCA Intelligence Assessment: County Lines, Gangs and Safeguarding</b:Title>
    <b:Year>2015</b:Year>
    <b:Publisher>NCA</b:Publisher>
    <b:City>London </b:City>
    <b:RefOrder>8</b:RefOrder>
  </b:Source>
  <b:Source>
    <b:Tag>Coo12</b:Tag>
    <b:SourceType>Report</b:SourceType>
    <b:Guid>{7F1EA744-BAE8-4A74-8680-47E6BBA63755}</b:Guid>
    <b:Title>A rapid appraisal of the illicit drug market in Southen-On-Sea</b:Title>
    <b:Year>2012</b:Year>
    <b:Publisher>Plymouth University</b:Publisher>
    <b:City>Plymouth</b:City>
    <b:Author>
      <b:Author>
        <b:NameList>
          <b:Person>
            <b:Last>Coomber</b:Last>
            <b:First>R</b:First>
          </b:Person>
          <b:Person>
            <b:Last>Moyle</b:Last>
            <b:First>L</b:First>
          </b:Person>
        </b:NameList>
      </b:Author>
    </b:Author>
    <b:RefOrder>9</b:RefOrder>
  </b:Source>
  <b:Source>
    <b:Tag>Met18</b:Tag>
    <b:SourceType>Report</b:SourceType>
    <b:Guid>{A112954C-97FA-4012-8F2C-070C6BF87565}</b:Guid>
    <b:Title>DIVERT Briefing note</b:Title>
    <b:Year>2018</b:Year>
    <b:Author>
      <b:Author>
        <b:Corporate>Metropolitan Police Police Service</b:Corporate>
      </b:Author>
    </b:Author>
    <b:Publisher>Metropolitan Police</b:Publisher>
    <b:City>London </b:City>
    <b:RefOrder>10</b:RefOrder>
  </b:Source>
  <b:Source>
    <b:Tag>NPC18</b:Tag>
    <b:SourceType>Report</b:SourceType>
    <b:Guid>{8DA14D90-E1CC-41D3-BA22-CC0E8F0C7A84}</b:Guid>
    <b:Author>
      <b:Author>
        <b:Corporate>Redthread Youth Violence Intervention Project</b:Corporate>
      </b:Author>
    </b:Author>
    <b:Title>Redthread Youth Violence Intervention Project</b:Title>
    <b:Year>2018</b:Year>
    <b:Publisher>NPC Associates</b:Publisher>
    <b:City>London</b:City>
    <b:RefOrder>11</b:RefOrder>
  </b:Source>
  <b:Source>
    <b:Tag>Chi18</b:Tag>
    <b:SourceType>Report</b:SourceType>
    <b:Guid>{D69472E8-A134-48E6-8A8C-6CF31BA88091}</b:Guid>
    <b:Author>
      <b:Author>
        <b:Corporate>Childrens Commissioner for England</b:Corporate>
      </b:Author>
    </b:Author>
    <b:Title>Forging Futures through Mentoring: A risk worth pursuing?</b:Title>
    <b:Year>2018</b:Year>
    <b:Publisher>Children's Commissioner</b:Publisher>
    <b:City>London</b:City>
    <b:RefOrder>12</b:RefOrder>
  </b:Source>
  <b:Source>
    <b:Tag>Hal20</b:Tag>
    <b:SourceType>Report</b:SourceType>
    <b:Guid>{619CBC75-E5FE-463A-AE44-70678D0D61F3}</b:Guid>
    <b:Author>
      <b:Author>
        <b:NameList>
          <b:Person>
            <b:Last>Hall</b:Last>
            <b:First>J</b:First>
          </b:Person>
        </b:NameList>
      </b:Author>
    </b:Author>
    <b:Title>Multi Agency Public Protection Arrangements review</b:Title>
    <b:Year>2020</b:Year>
    <b:Publisher>Home Office</b:Publisher>
    <b:City>London</b:City>
    <b:RefOrder>13</b:RefOrder>
  </b:Source>
  <b:Source>
    <b:Tag>Col226</b:Tag>
    <b:SourceType>InternetSite</b:SourceType>
    <b:Guid>{0E2D1C97-9379-46AF-BF41-8E17F4CBB21B}</b:Guid>
    <b:Author>
      <b:Author>
        <b:Corporate>College of Policing</b:Corporate>
      </b:Author>
    </b:Author>
    <b:Title>MAPPA</b:Title>
    <b:InternetSiteTitle>College of policing web site</b:InternetSiteTitle>
    <b:Year>2022</b:Year>
    <b:Month>October </b:Month>
    <b:Day>31</b:Day>
    <b:URL>https://www.college.police.uk/app/major-investigation-and-public-protection/managing-sexual-offenders-and-violent-offenders/multi-agency-public-protection-arrangements-mappa</b:URL>
    <b:RefOrder>14</b:RefOrder>
  </b:Source>
  <b:Source>
    <b:Tag>Unl22</b:Tag>
    <b:SourceType>InternetSite</b:SourceType>
    <b:Guid>{127D56DB-42EA-4957-9D8D-EBC05E43C072}</b:Guid>
    <b:Author>
      <b:Author>
        <b:Corporate>Unlock</b:Corporate>
      </b:Author>
    </b:Author>
    <b:Title>MAPPA</b:Title>
    <b:InternetSiteTitle>Unlock - For People with criminal records</b:InternetSiteTitle>
    <b:Year>2022</b:Year>
    <b:Month>October</b:Month>
    <b:Day>31</b:Day>
    <b:URL>https://unlock.org.uk/advice/mappa/</b:URL>
    <b:RefOrder>15</b:RefOrder>
  </b:Source>
  <b:Source>
    <b:Tag>Bry15</b:Tag>
    <b:SourceType>Report</b:SourceType>
    <b:Guid>{F1447829-413F-449D-AF4C-7AAF48625B4F}</b:Guid>
    <b:Title>Reoffending Analysis of MAPPA Eligible Offenders</b:Title>
    <b:Year>2015</b:Year>
    <b:Author>
      <b:Author>
        <b:NameList>
          <b:Person>
            <b:Last>Bryant</b:Last>
            <b:First>S</b:First>
          </b:Person>
          <b:Person>
            <b:Last>Peck</b:Last>
            <b:First>M</b:First>
          </b:Person>
          <b:Person>
            <b:Last>Lovbakke</b:Last>
            <b:First>J</b:First>
          </b:Person>
        </b:NameList>
      </b:Author>
    </b:Author>
    <b:Publisher>Ministry of Justice</b:Publisher>
    <b:City>London</b:City>
    <b:RefOrder>16</b:RefOrder>
  </b:Source>
  <b:Source>
    <b:Tag>The222</b:Tag>
    <b:SourceType>InternetSite</b:SourceType>
    <b:Guid>{D7190509-3F01-4F18-8605-01B14BE85A95}</b:Guid>
    <b:Title>Criminal Justice Act 2003</b:Title>
    <b:Year>2022</b:Year>
    <b:Author>
      <b:Author>
        <b:Corporate>Criminal Justice Act 2003</b:Corporate>
      </b:Author>
    </b:Author>
    <b:InternetSiteTitle>Legislation Government Website</b:InternetSiteTitle>
    <b:Month>October</b:Month>
    <b:Day>31</b:Day>
    <b:URL>https://www.legislation.gov.uk/ukpga/2003/44/schedule/15</b:URL>
    <b:RefOrder>17</b:RefOrder>
  </b:Source>
  <b:Source>
    <b:Tag>HMI20</b:Tag>
    <b:SourceType>Report</b:SourceType>
    <b:Guid>{5E80D9ED-0341-407A-A08B-8ABFDA9F05AD}</b:Guid>
    <b:Author>
      <b:Author>
        <b:Corporate>HMICFRS</b:Corporate>
      </b:Author>
    </b:Author>
    <b:Title>A joint thematic inspection of Integrated Offender Mangement</b:Title>
    <b:Year>2020</b:Year>
    <b:Publisher>Criminal Justice Joint Inspection</b:Publisher>
    <b:City>London</b:City>
    <b:RefOrder>18</b:RefOrder>
  </b:Source>
  <b:Source>
    <b:Tag>Min15</b:Tag>
    <b:SourceType>Report</b:SourceType>
    <b:Guid>{C9BDB96A-64E8-4DDD-A913-83B7CB1A80D7}</b:Guid>
    <b:Author>
      <b:Author>
        <b:Corporate>Ministry of Justice</b:Corporate>
      </b:Author>
    </b:Author>
    <b:Title>Integrated Offender Management - Key Prinicples</b:Title>
    <b:Year>2015</b:Year>
    <b:Publisher>Home Office</b:Publisher>
    <b:City>London</b:City>
    <b:RefOrder>19</b:RefOrder>
  </b:Source>
  <b:Source>
    <b:Tag>Col227</b:Tag>
    <b:SourceType>InternetSite</b:SourceType>
    <b:Guid>{14BF87D0-50B3-4113-AE62-8A0309C4BD02}</b:Guid>
    <b:Title>The integration of academic, practitioner and offender knowledge to deliver excellence in the multi-agency risk management of violent and sexual offenders in the community</b:Title>
    <b:Year>2022</b:Year>
    <b:Author>
      <b:Author>
        <b:Corporate>Dr N, Mann; Dr S, Lundrigan</b:Corporate>
      </b:Author>
    </b:Author>
    <b:InternetSiteTitle>College of Police Web site</b:InternetSiteTitle>
    <b:Month>October</b:Month>
    <b:Day>31</b:Day>
    <b:URL>https://www.college.police.uk/research/projects/integration-academic-practitioner-and-offender-knowledge-deliver-excellence-multi-agency-risk-management-violent-and-sexual-offenders-community?projectid=869</b:URL>
    <b:RefOrder>20</b:RefOrder>
  </b:Source>
  <b:Source>
    <b:Tag>JRo03</b:Tag>
    <b:SourceType>JournalArticle</b:SourceType>
    <b:Guid>{C430525E-ACC1-4738-933F-CCB9B975EE70}</b:Guid>
    <b:Title>Child Delinquency </b:Title>
    <b:Year>2003</b:Year>
    <b:Author>
      <b:Author>
        <b:NameList>
          <b:Person>
            <b:Last>Flores</b:Last>
            <b:First>J.</b:First>
            <b:Middle>Robert</b:Middle>
          </b:Person>
        </b:NameList>
      </b:Author>
    </b:Author>
    <b:JournalName>Child Delinquency: Early Intervention and Prevention</b:JournalName>
    <b:Pages>1</b:Pages>
    <b:RefOrder>21</b:RefOrder>
  </b:Source>
  <b:Source>
    <b:Tag>Hom20</b:Tag>
    <b:SourceType>Report</b:SourceType>
    <b:Guid>{CDE580CE-3E88-48F5-8E57-211A2DEFBC57}</b:Guid>
    <b:Title>Violence Reduction Unit</b:Title>
    <b:Year>2020</b:Year>
    <b:Author>
      <b:Author>
        <b:Corporate>Home Office</b:Corporate>
      </b:Author>
    </b:Author>
    <b:Publisher>Home Office</b:Publisher>
    <b:City>London</b:City>
    <b:RefOrder>22</b:RefOrder>
  </b:Source>
  <b:Source>
    <b:Tag>How98</b:Tag>
    <b:SourceType>Report</b:SourceType>
    <b:Guid>{552715E8-D750-4626-B3D6-65183F973AB7}</b:Guid>
    <b:Title>Youth Gangs: An Overview</b:Title>
    <b:Year>1998</b:Year>
    <b:Publisher>US Department of Justice</b:Publisher>
    <b:City>Washington DC</b:City>
    <b:Author>
      <b:Author>
        <b:NameList>
          <b:Person>
            <b:Last>Howell</b:Last>
            <b:First>J.C</b:First>
          </b:Person>
        </b:NameList>
      </b:Author>
    </b:Author>
    <b:RefOrder>23</b:RefOrder>
  </b:Source>
  <b:Source>
    <b:Tag>IAS95</b:Tag>
    <b:SourceType>Report</b:SourceType>
    <b:Guid>{F9E630C2-EE79-4B84-9C39-3228E6564B69}</b:Guid>
    <b:Author>
      <b:Author>
        <b:NameList>
          <b:Person>
            <b:Last>Spergel</b:Last>
            <b:First>I.A.</b:First>
          </b:Person>
        </b:NameList>
      </b:Author>
    </b:Author>
    <b:Title>The Youth Gang Problem: A Community Approach</b:Title>
    <b:Year>1995</b:Year>
    <b:Publisher>Oxford University Press</b:Publisher>
    <b:City>New York</b:City>
    <b:RefOrder>24</b:RefOrder>
  </b:Source>
  <b:Source>
    <b:Tag>CMe12</b:Tag>
    <b:SourceType>JournalArticle</b:SourceType>
    <b:Guid>{DA72BB0C-05EA-4EDF-A769-40A089C9CF5B}</b:Guid>
    <b:Author>
      <b:Author>
        <b:NameList>
          <b:Person>
            <b:Last>Melde</b:Last>
            <b:First>C.</b:First>
          </b:Person>
          <b:Person>
            <b:Last>Diem</b:Last>
            <b:First>C.</b:First>
          </b:Person>
          <b:Person>
            <b:Last>Drake</b:Last>
            <b:First>G.</b:First>
          </b:Person>
        </b:NameList>
      </b:Author>
    </b:Author>
    <b:Title>Identifying Correlates of Stable Gang Membership</b:Title>
    <b:Year>2012</b:Year>
    <b:JournalName>Journal of Contemporary Criminal Justice</b:JournalName>
    <b:Pages>482-498</b:Pages>
    <b:RefOrder>25</b:RefOrder>
  </b:Source>
  <b:Source>
    <b:Tag>PBr05</b:Tag>
    <b:SourceType>Book</b:SourceType>
    <b:Guid>{B994BC6E-C85D-450E-BE8D-E7C457E5A20A}</b:Guid>
    <b:Title>Gang Membership and Teenage Offending</b:Title>
    <b:Year>2005</b:Year>
    <b:Author>
      <b:Author>
        <b:NameList>
          <b:Person>
            <b:Last>Bradshaw</b:Last>
            <b:First>P.</b:First>
          </b:Person>
          <b:Person>
            <b:Last>Smith</b:Last>
            <b:First>D.J.</b:First>
          </b:Person>
        </b:NameList>
      </b:Author>
    </b:Author>
    <b:City>Edinburgh</b:City>
    <b:Publisher>Centre for Law and Society</b:Publisher>
    <b:RefOrder>26</b:RefOrder>
  </b:Source>
  <b:Source>
    <b:Tag>BMa05</b:Tag>
    <b:SourceType>Book</b:SourceType>
    <b:Guid>{D813F8A0-8B2C-491A-9B37-55CF6B91F5D1}</b:Guid>
    <b:Author>
      <b:Author>
        <b:NameList>
          <b:Person>
            <b:Last>Marshal</b:Last>
            <b:First>B.</b:First>
          </b:Person>
          <b:Person>
            <b:Last>Webb</b:Last>
            <b:First>B.</b:First>
          </b:Person>
          <b:Person>
            <b:Last>N.Tilley</b:Last>
          </b:Person>
        </b:NameList>
      </b:Author>
    </b:Author>
    <b:Title>Rationalisation of current research on guns, gangs and other weapons</b:Title>
    <b:Year>2005</b:Year>
    <b:City>London</b:City>
    <b:Publisher>UCL Jill Dando Institute of Crime Science</b:Publisher>
    <b:RefOrder>27</b:RefOrder>
  </b:Source>
  <b:Source>
    <b:Tag>Bul08</b:Tag>
    <b:SourceType>JournalArticle</b:SourceType>
    <b:Guid>{91D3FCAC-58AD-41D6-AEAB-3BADBE90409E}</b:Guid>
    <b:Author>
      <b:Author>
        <b:NameList>
          <b:Person>
            <b:Last>Bullock</b:Last>
            <b:First>K.</b:First>
          </b:Person>
          <b:Person>
            <b:Last>Tilley</b:Last>
            <b:First>N.</b:First>
          </b:Person>
        </b:NameList>
      </b:Author>
    </b:Author>
    <b:Title>Understanding and tackling Gang violence.</b:Title>
    <b:Year>2008</b:Year>
    <b:Pages>36-47</b:Pages>
    <b:JournalName>Crime prevention and community safety</b:JournalName>
    <b:RefOrder>28</b:RefOrder>
  </b:Source>
  <b:Source>
    <b:Tag>Hom22</b:Tag>
    <b:SourceType>InternetSite</b:SourceType>
    <b:Guid>{1E6C35E7-1A79-4D45-A3C6-536E16838ED0}</b:Guid>
    <b:Title>Preventing youth violence and gang involvement</b:Title>
    <b:JournalName>Practical advie for schools and colleges</b:JournalName>
    <b:Year>2022</b:Year>
    <b:Pages>4</b:Pages>
    <b:Author>
      <b:Author>
        <b:Corporate>Home Office</b:Corporate>
      </b:Author>
    </b:Author>
    <b:InternetSiteTitle>assets.publishing.service.gov.uk</b:InternetSiteTitle>
    <b:Month>September</b:Month>
    <b:Day>28</b:Day>
    <b:URL>https://assets.publishing.service.gov.uk/government/uploads/system/uploads/attachment_data/file/418131/Preventing_youth_violence_and_gang_involvement_v3_March2015.pdf</b:URL>
    <b:RefOrder>29</b:RefOrder>
  </b:Source>
  <b:Source>
    <b:Tag>APe03</b:Tag>
    <b:SourceType>JournalArticle</b:SourceType>
    <b:Guid>{C31F6184-3905-4EEB-96DD-3327321250F8}</b:Guid>
    <b:Title>Scared Straight and other juvenile awareness programs for preventing juvenile delinquency</b:Title>
    <b:Year>2003</b:Year>
    <b:Author>
      <b:Author>
        <b:NameList>
          <b:Person>
            <b:Last>Petrosino</b:Last>
            <b:First>A.</b:First>
          </b:Person>
          <b:Person>
            <b:Last>Turpinpetrosino</b:Last>
            <b:First>C.</b:First>
          </b:Person>
          <b:Person>
            <b:Last>Buehler</b:Last>
            <b:First>J.</b:First>
          </b:Person>
        </b:NameList>
      </b:Author>
    </b:Author>
    <b:JournalName>A systematic review of randomised experimental evidence </b:JournalName>
    <b:Pages>41-62</b:Pages>
    <b:RefOrder>30</b:RefOrder>
  </b:Source>
  <b:Source>
    <b:Tag>She02</b:Tag>
    <b:SourceType>JournalArticle</b:SourceType>
    <b:Guid>{EA958381-38A8-4C94-854F-92A987C1D0AA}</b:Guid>
    <b:Title>Preventing Crime: What works, what doesn't, what's promising.</b:Title>
    <b:JournalName>A report to the United States Congress</b:JournalName>
    <b:Year>2002</b:Year>
    <b:Author>
      <b:Author>
        <b:NameList>
          <b:Person>
            <b:Last>Sherman</b:Last>
            <b:First>L.</b:First>
            <b:Middle>W.</b:Middle>
          </b:Person>
          <b:Person>
            <b:Last>Gottfredson</b:Last>
            <b:First>D.</b:First>
            <b:Middle>P.</b:Middle>
          </b:Person>
          <b:Person>
            <b:Last>MacKenzie</b:Last>
            <b:First>D.</b:First>
          </b:Person>
          <b:Person>
            <b:Last>Eck</b:Last>
            <b:First>J.</b:First>
          </b:Person>
          <b:Person>
            <b:Last>Reuter</b:Last>
            <b:First>P.</b:First>
          </b:Person>
          <b:Person>
            <b:Last>Bushway</b:Last>
            <b:First>S.</b:First>
          </b:Person>
        </b:NameList>
      </b:Author>
    </b:Author>
    <b:RefOrder>31</b:RefOrder>
  </b:Source>
  <b:Source>
    <b:Tag>Hou19</b:Tag>
    <b:SourceType>JournalArticle</b:SourceType>
    <b:Guid>{8C1F64E2-E3A6-46FB-854D-E4F850ED8E6D}</b:Guid>
    <b:Title>Early Interventions to Reduce Violent Crime</b:Title>
    <b:Year>2019</b:Year>
    <b:Author>
      <b:Author>
        <b:Corporate>Houses of Parliament. Parliamentary Office of Science &amp; Technology</b:Corporate>
      </b:Author>
    </b:Author>
    <b:JournalName>Early Interventions to Reduce Violent Crime</b:JournalName>
    <b:Pages>3</b:Pages>
    <b:RefOrder>35</b:RefOrder>
  </b:Source>
  <b:Source>
    <b:Tag>Clo01</b:Tag>
    <b:SourceType>Book</b:SourceType>
    <b:Guid>{9682DDC6-BE12-4890-BBFB-9B220B98DC5F}</b:Guid>
    <b:Title>Multicultural Britain</b:Title>
    <b:Year>2001</b:Year>
    <b:Author>
      <b:Author>
        <b:NameList>
          <b:Person>
            <b:Last>Cloake</b:Last>
            <b:First>J.</b:First>
            <b:Middle>A.</b:Middle>
          </b:Person>
          <b:Person>
            <b:Last>Tudor</b:Last>
            <b:First>R.</b:First>
            <b:Middle>M.</b:Middle>
          </b:Person>
        </b:NameList>
      </b:Author>
      <b:BookAuthor>
        <b:NameList>
          <b:Person>
            <b:Last>Cloake</b:Last>
            <b:First>J.</b:First>
            <b:Middle>A. &amp; Tudor, R. M.</b:Middle>
          </b:Person>
        </b:NameList>
      </b:BookAuthor>
    </b:Author>
    <b:City>Oxford</b:City>
    <b:Publisher>Oxford University Press</b:Publisher>
    <b:RefOrder>36</b:RefOrder>
  </b:Source>
  <b:Source>
    <b:Tag>Ric89</b:Tag>
    <b:SourceType>JournalArticle</b:SourceType>
    <b:Guid>{0BA19CC0-3D7F-4356-BDE7-7EE1AB75FD39}</b:Guid>
    <b:Title>Margaret Thatcher's Law and Order Agenda</b:Title>
    <b:Year>1989</b:Year>
    <b:Author>
      <b:Author>
        <b:NameList>
          <b:Person>
            <b:Last>Terrill</b:Last>
            <b:First>Richard</b:First>
            <b:Middle>J</b:Middle>
          </b:Person>
        </b:NameList>
      </b:Author>
    </b:Author>
    <b:JournalName>The American Journal of Comparative Law</b:JournalName>
    <b:Pages>429-456</b:Pages>
    <b:RefOrder>37</b:RefOrder>
  </b:Source>
  <b:Source>
    <b:Tag>The12</b:Tag>
    <b:SourceType>JournalArticle</b:SourceType>
    <b:Guid>{05DB18E9-5DFC-4AFB-AE40-DA07F022F257}</b:Guid>
    <b:Title>The Briefing</b:Title>
    <b:Year>2012</b:Year>
    <b:JournalName>Stop and Search</b:JournalName>
    <b:Pages>3</b:Pages>
    <b:Author>
      <b:Author>
        <b:Corporate>The Police Foundation</b:Corporate>
      </b:Author>
    </b:Author>
    <b:RefOrder>38</b:RefOrder>
  </b:Source>
  <b:Source>
    <b:Tag>Wil83</b:Tag>
    <b:SourceType>Report</b:SourceType>
    <b:Guid>{CD6B8A08-D145-4E45-B307-F2BA68598C45}</b:Guid>
    <b:Author>
      <b:Author>
        <b:NameList>
          <b:Person>
            <b:Last>Willis</b:Last>
            <b:First>C</b:First>
            <b:Middle>F</b:Middle>
          </b:Person>
        </b:NameList>
      </b:Author>
    </b:Author>
    <b:Title>Use, Effectiveness and Impact of Police Stop Search Powers</b:Title>
    <b:Year>1983</b:Year>
    <b:Publisher>Home Office</b:Publisher>
    <b:City>London</b:City>
    <b:RefOrder>39</b:RefOrder>
  </b:Source>
  <b:Source>
    <b:Tag>Tyl04</b:Tag>
    <b:SourceType>Report</b:SourceType>
    <b:Guid>{9E6EFFDE-E178-410A-A6F0-141C018E1D5A}</b:Guid>
    <b:Author>
      <b:Author>
        <b:NameList>
          <b:Person>
            <b:Last>Tyler</b:Last>
            <b:First>T</b:First>
            <b:Middle>R</b:Middle>
          </b:Person>
        </b:NameList>
      </b:Author>
    </b:Author>
    <b:Title>Enhancing Police Legitimacy</b:Title>
    <b:Year>2004</b:Year>
    <b:Publisher>Academy of Political and Social Science</b:Publisher>
    <b:City>Washington</b:City>
    <b:RefOrder>40</b:RefOrder>
  </b:Source>
  <b:Source>
    <b:Tag>Sto00</b:Tag>
    <b:SourceType>Report</b:SourceType>
    <b:Guid>{820A3EA7-5B3F-4810-8332-F152D48EE7C5}</b:Guid>
    <b:Author>
      <b:Author>
        <b:NameList>
          <b:Person>
            <b:Last>Stone</b:Last>
            <b:First>V</b:First>
          </b:Person>
          <b:Person>
            <b:Last>Pettigrew</b:Last>
            <b:First>N</b:First>
          </b:Person>
        </b:NameList>
      </b:Author>
    </b:Author>
    <b:Title>The views of the public on stops and searches</b:Title>
    <b:Year>2000</b:Year>
    <b:Publisher>Home Office</b:Publisher>
    <b:City>London</b:City>
    <b:RefOrder>41</b:RefOrder>
  </b:Source>
  <b:Source>
    <b:Tag>IPC09</b:Tag>
    <b:SourceType>InternetSite</b:SourceType>
    <b:Guid>{C8D7A502-F394-43DC-888B-F6C6446CEEB7}</b:Guid>
    <b:Author>
      <b:Author>
        <b:Corporate>IPCC</b:Corporate>
      </b:Author>
    </b:Author>
    <b:Title>IPCC position regarding police powers to stop and search</b:Title>
    <b:Year>2009</b:Year>
    <b:InternetSiteTitle>IPCC Wev site</b:InternetSiteTitle>
    <b:Month>October</b:Month>
    <b:Day>31</b:Day>
    <b:URL>www.ipcc.gov.uk/documents/stop_and_search_policy_position.pdf</b:URL>
    <b:RefOrder>42</b:RefOrder>
  </b:Source>
  <b:Source>
    <b:Tag>Hom221</b:Tag>
    <b:SourceType>InternetSite</b:SourceType>
    <b:Guid>{8CA18670-77FE-4F08-B273-DD461AAD7407}</b:Guid>
    <b:Author>
      <b:Author>
        <b:Corporate>Home Office</b:Corporate>
      </b:Author>
    </b:Author>
    <b:Title>UK Government Website</b:Title>
    <b:InternetSiteTitle>PACE Code A 2015</b:InternetSiteTitle>
    <b:Year>2022</b:Year>
    <b:Month>October</b:Month>
    <b:Day>31</b:Day>
    <b:URL>https://www.gov.uk/government/publications/pace-code-a-2015</b:URL>
    <b:RefOrder>43</b:RefOrder>
  </b:Source>
  <b:Source>
    <b:Tag>Col225</b:Tag>
    <b:SourceType>InternetSite</b:SourceType>
    <b:Guid>{4DC3B949-21BB-4DFE-BFD6-08861A68E63E}</b:Guid>
    <b:Author>
      <b:Author>
        <b:Corporate>College of Policing</b:Corporate>
      </b:Author>
    </b:Author>
    <b:Title>Code of Ethics Review </b:Title>
    <b:InternetSiteTitle>College of  Policing Website</b:InternetSiteTitle>
    <b:Year>2022</b:Year>
    <b:Month>October</b:Month>
    <b:Day>31</b:Day>
    <b:URL>https://www.college.police.uk/article/scope-code-ethics-review-published</b:URL>
    <b:RefOrder>44</b:RefOrder>
  </b:Source>
  <b:Source>
    <b:Tag>The22</b:Tag>
    <b:SourceType>InternetSite</b:SourceType>
    <b:Guid>{DE3A9CCF-9CB8-4D12-9825-44B7013CD722}</b:Guid>
    <b:Title>Vagrancy Act 1824</b:Title>
    <b:Year>2022</b:Year>
    <b:Author>
      <b:Author>
        <b:Corporate>Vagrancy Act 1824, c.83</b:Corporate>
      </b:Author>
    </b:Author>
    <b:InternetSiteTitle>Legislation website</b:InternetSiteTitle>
    <b:Month>October</b:Month>
    <b:Day>27</b:Day>
    <b:URL>https://www.legislation.gov.uk/ukpga/Geo4/5/83/section/4</b:URL>
    <b:RefOrder>45</b:RefOrder>
  </b:Source>
  <b:Source>
    <b:Tag>Tay22</b:Tag>
    <b:SourceType>InternetSite</b:SourceType>
    <b:Guid>{77465916-7327-44B7-B3A0-7E44972221AF}</b:Guid>
    <b:Author>
      <b:Author>
        <b:NameList>
          <b:Person>
            <b:Last>Taylor</b:Last>
            <b:First>D</b:First>
          </b:Person>
        </b:NameList>
      </b:Author>
    </b:Author>
    <b:Title>Drug Wise</b:Title>
    <b:InternetSiteTitle>Drug Wise site</b:InternetSiteTitle>
    <b:Year>2022</b:Year>
    <b:Month>October </b:Month>
    <b:Day>30</b:Day>
    <b:URL>https://www.drugwise.org.uk/wp-content/uploads/Frontline-tactics.pdf</b:URL>
    <b:RefOrder>46</b:RefOrder>
  </b:Source>
</b:Sources>
</file>

<file path=customXml/itemProps1.xml><?xml version="1.0" encoding="utf-8"?>
<ds:datastoreItem xmlns:ds="http://schemas.openxmlformats.org/officeDocument/2006/customXml" ds:itemID="{9D1D8ACD-853C-41E6-872E-C5845B869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5490</Words>
  <Characters>31298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Welsby, Daniel</dc:creator>
  <cp:keywords/>
  <dc:description/>
  <cp:lastModifiedBy>Welsby, Daniel</cp:lastModifiedBy>
  <cp:revision>7</cp:revision>
  <dcterms:created xsi:type="dcterms:W3CDTF">2022-12-07T19:59:00Z</dcterms:created>
  <dcterms:modified xsi:type="dcterms:W3CDTF">2022-12-07T20:10:00Z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2022-12-01T15:07:47Z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bfa6b27b-19e7-4eff-b546-3f1e744cf609</vt:lpwstr>
  </property>
  <property fmtid="{D5CDD505-2E9C-101B-9397-08002B2CF9AE}" pid="8" name="MSIP_Label_f2acd28b-79a3-4a0f-b0ff-4b75658b1549_ContentBits">
    <vt:lpwstr>0</vt:lpwstr>
  </property>
</Properties>
</file>