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318F7" w14:textId="7C24B885" w:rsidR="00AF3930" w:rsidRPr="005735A9" w:rsidRDefault="00E025A0" w:rsidP="005735A9">
      <w:pPr>
        <w:spacing w:line="480" w:lineRule="auto"/>
        <w:jc w:val="center"/>
        <w:rPr>
          <w:sz w:val="24"/>
          <w:szCs w:val="24"/>
        </w:rPr>
      </w:pPr>
      <w:r w:rsidRPr="005735A9">
        <w:rPr>
          <w:sz w:val="28"/>
          <w:szCs w:val="28"/>
        </w:rPr>
        <w:t>F</w:t>
      </w:r>
      <w:r w:rsidR="007A2722" w:rsidRPr="005735A9">
        <w:rPr>
          <w:sz w:val="28"/>
          <w:szCs w:val="28"/>
        </w:rPr>
        <w:t xml:space="preserve">orbidden </w:t>
      </w:r>
      <w:r w:rsidRPr="005735A9">
        <w:rPr>
          <w:sz w:val="28"/>
          <w:szCs w:val="28"/>
        </w:rPr>
        <w:t>L</w:t>
      </w:r>
      <w:r w:rsidR="007A2722" w:rsidRPr="005735A9">
        <w:rPr>
          <w:sz w:val="28"/>
          <w:szCs w:val="28"/>
        </w:rPr>
        <w:t xml:space="preserve">ove or </w:t>
      </w:r>
      <w:r w:rsidRPr="005735A9">
        <w:rPr>
          <w:sz w:val="28"/>
          <w:szCs w:val="28"/>
        </w:rPr>
        <w:t>D</w:t>
      </w:r>
      <w:r w:rsidR="007A2722" w:rsidRPr="005735A9">
        <w:rPr>
          <w:sz w:val="28"/>
          <w:szCs w:val="28"/>
        </w:rPr>
        <w:t xml:space="preserve">esire in </w:t>
      </w:r>
      <w:r w:rsidRPr="005735A9">
        <w:rPr>
          <w:sz w:val="28"/>
          <w:szCs w:val="28"/>
        </w:rPr>
        <w:t>R</w:t>
      </w:r>
      <w:r w:rsidR="007A2722" w:rsidRPr="005735A9">
        <w:rPr>
          <w:sz w:val="28"/>
          <w:szCs w:val="28"/>
        </w:rPr>
        <w:t xml:space="preserve">enaissance </w:t>
      </w:r>
      <w:r w:rsidRPr="005735A9">
        <w:rPr>
          <w:sz w:val="28"/>
          <w:szCs w:val="28"/>
        </w:rPr>
        <w:t>T</w:t>
      </w:r>
      <w:r w:rsidR="007A2722" w:rsidRPr="005735A9">
        <w:rPr>
          <w:sz w:val="28"/>
          <w:szCs w:val="28"/>
        </w:rPr>
        <w:t>heatre</w:t>
      </w:r>
      <w:r w:rsidRPr="005735A9">
        <w:rPr>
          <w:sz w:val="24"/>
          <w:szCs w:val="24"/>
        </w:rPr>
        <w:t>.</w:t>
      </w:r>
    </w:p>
    <w:p w14:paraId="50F29DDD" w14:textId="1DF2DAB3" w:rsidR="00E025A0" w:rsidRPr="005735A9" w:rsidRDefault="005735A9" w:rsidP="005735A9">
      <w:pPr>
        <w:spacing w:line="480" w:lineRule="auto"/>
        <w:rPr>
          <w:sz w:val="24"/>
          <w:szCs w:val="24"/>
        </w:rPr>
      </w:pPr>
      <w:r>
        <w:rPr>
          <w:sz w:val="24"/>
          <w:szCs w:val="24"/>
        </w:rPr>
        <w:t xml:space="preserve">  </w:t>
      </w:r>
      <w:r w:rsidR="00E025A0" w:rsidRPr="005735A9">
        <w:rPr>
          <w:sz w:val="24"/>
          <w:szCs w:val="24"/>
        </w:rPr>
        <w:t>The purposes of plays during the renaissance period were a form of entertainment, fun, moral instruction and questioning, “the stage was but an emblem of the world at large; it was understood to hold a mirror up to nature”.</w:t>
      </w:r>
      <w:r w:rsidR="00E025A0" w:rsidRPr="005735A9">
        <w:rPr>
          <w:rStyle w:val="FootnoteReference"/>
          <w:sz w:val="24"/>
          <w:szCs w:val="24"/>
        </w:rPr>
        <w:footnoteReference w:id="1"/>
      </w:r>
      <w:r w:rsidR="00E025A0" w:rsidRPr="005735A9">
        <w:rPr>
          <w:sz w:val="24"/>
          <w:szCs w:val="24"/>
        </w:rPr>
        <w:t xml:space="preserve"> People would go and watch these plays to be entertained and educated. They were relatable and could be used to teach morals and answer questions or possibly cause questions enabling growth. </w:t>
      </w:r>
      <w:r w:rsidR="00E025A0" w:rsidRPr="005735A9">
        <w:rPr>
          <w:sz w:val="24"/>
          <w:szCs w:val="24"/>
        </w:rPr>
        <w:t>Some people believed that renaissance theatre was influential as well as a form of entertainment</w:t>
      </w:r>
      <w:r w:rsidR="00EC1D6B" w:rsidRPr="005735A9">
        <w:rPr>
          <w:sz w:val="24"/>
          <w:szCs w:val="24"/>
        </w:rPr>
        <w:t>;</w:t>
      </w:r>
      <w:r w:rsidR="00E025A0" w:rsidRPr="005735A9">
        <w:rPr>
          <w:sz w:val="24"/>
          <w:szCs w:val="24"/>
        </w:rPr>
        <w:t xml:space="preserve"> some even </w:t>
      </w:r>
      <w:r w:rsidR="00E025A0" w:rsidRPr="005735A9">
        <w:rPr>
          <w:sz w:val="24"/>
          <w:szCs w:val="24"/>
        </w:rPr>
        <w:t>blamed</w:t>
      </w:r>
      <w:r w:rsidR="00E025A0" w:rsidRPr="005735A9">
        <w:rPr>
          <w:sz w:val="24"/>
          <w:szCs w:val="24"/>
        </w:rPr>
        <w:t xml:space="preserve"> the theatre as a place where the youth are sexually corrupted because of what they see </w:t>
      </w:r>
      <w:r w:rsidR="00E025A0" w:rsidRPr="005735A9">
        <w:rPr>
          <w:sz w:val="24"/>
          <w:szCs w:val="24"/>
        </w:rPr>
        <w:t xml:space="preserve">and </w:t>
      </w:r>
      <w:r w:rsidR="00E025A0" w:rsidRPr="005735A9">
        <w:rPr>
          <w:sz w:val="24"/>
          <w:szCs w:val="24"/>
        </w:rPr>
        <w:t>hear and then go on to repeat themselves.</w:t>
      </w:r>
      <w:r w:rsidR="00E025A0" w:rsidRPr="005735A9">
        <w:rPr>
          <w:rStyle w:val="FootnoteReference"/>
          <w:sz w:val="24"/>
          <w:szCs w:val="24"/>
        </w:rPr>
        <w:footnoteReference w:id="2"/>
      </w:r>
      <w:r w:rsidR="00E025A0" w:rsidRPr="005735A9">
        <w:rPr>
          <w:sz w:val="24"/>
          <w:szCs w:val="24"/>
        </w:rPr>
        <w:t xml:space="preserve"> </w:t>
      </w:r>
      <w:r w:rsidR="00E025A0" w:rsidRPr="005735A9">
        <w:rPr>
          <w:sz w:val="24"/>
          <w:szCs w:val="24"/>
        </w:rPr>
        <w:t>Plays were an important feature of the renaissance</w:t>
      </w:r>
      <w:r w:rsidR="00EC1D6B" w:rsidRPr="005735A9">
        <w:rPr>
          <w:sz w:val="24"/>
          <w:szCs w:val="24"/>
        </w:rPr>
        <w:t>,</w:t>
      </w:r>
      <w:r w:rsidR="00E025A0" w:rsidRPr="005735A9">
        <w:rPr>
          <w:sz w:val="24"/>
          <w:szCs w:val="24"/>
        </w:rPr>
        <w:t xml:space="preserve"> and the</w:t>
      </w:r>
      <w:r w:rsidR="00EC1D6B" w:rsidRPr="005735A9">
        <w:rPr>
          <w:sz w:val="24"/>
          <w:szCs w:val="24"/>
        </w:rPr>
        <w:t>ir topics</w:t>
      </w:r>
      <w:r w:rsidR="00E025A0" w:rsidRPr="005735A9">
        <w:rPr>
          <w:sz w:val="24"/>
          <w:szCs w:val="24"/>
        </w:rPr>
        <w:t xml:space="preserve"> varied. Forbidden love or desire is a theme that runs throughout several plays during this period</w:t>
      </w:r>
      <w:r w:rsidR="00EC1D6B" w:rsidRPr="005735A9">
        <w:rPr>
          <w:sz w:val="24"/>
          <w:szCs w:val="24"/>
        </w:rPr>
        <w:t>. T</w:t>
      </w:r>
      <w:r w:rsidR="00E025A0" w:rsidRPr="005735A9">
        <w:rPr>
          <w:sz w:val="24"/>
          <w:szCs w:val="24"/>
        </w:rPr>
        <w:t xml:space="preserve">his essay will look closer at and discuss this aspect in several plays; Christopher Marlowe’s </w:t>
      </w:r>
      <w:r w:rsidR="00E025A0" w:rsidRPr="005735A9">
        <w:rPr>
          <w:i/>
          <w:iCs/>
          <w:sz w:val="24"/>
          <w:szCs w:val="24"/>
        </w:rPr>
        <w:t>Edward II</w:t>
      </w:r>
      <w:r w:rsidR="00E025A0" w:rsidRPr="005735A9">
        <w:rPr>
          <w:sz w:val="24"/>
          <w:szCs w:val="24"/>
        </w:rPr>
        <w:t>, William Shakespeare</w:t>
      </w:r>
      <w:r w:rsidR="00EC1D6B" w:rsidRPr="005735A9">
        <w:rPr>
          <w:sz w:val="24"/>
          <w:szCs w:val="24"/>
        </w:rPr>
        <w:t>’</w:t>
      </w:r>
      <w:r w:rsidR="00E025A0" w:rsidRPr="005735A9">
        <w:rPr>
          <w:sz w:val="24"/>
          <w:szCs w:val="24"/>
        </w:rPr>
        <w:t xml:space="preserve">s </w:t>
      </w:r>
      <w:r w:rsidR="00E025A0" w:rsidRPr="005735A9">
        <w:rPr>
          <w:i/>
          <w:iCs/>
          <w:sz w:val="24"/>
          <w:szCs w:val="24"/>
        </w:rPr>
        <w:t>Othello</w:t>
      </w:r>
      <w:r w:rsidR="00E025A0" w:rsidRPr="005735A9">
        <w:rPr>
          <w:sz w:val="24"/>
          <w:szCs w:val="24"/>
        </w:rPr>
        <w:t xml:space="preserve"> and </w:t>
      </w:r>
      <w:r w:rsidR="00E025A0" w:rsidRPr="005735A9">
        <w:rPr>
          <w:i/>
          <w:iCs/>
          <w:sz w:val="24"/>
          <w:szCs w:val="24"/>
        </w:rPr>
        <w:t>Measure For Measure</w:t>
      </w:r>
      <w:r w:rsidR="00E025A0" w:rsidRPr="005735A9">
        <w:rPr>
          <w:sz w:val="24"/>
          <w:szCs w:val="24"/>
        </w:rPr>
        <w:t>, and John Ford</w:t>
      </w:r>
      <w:r w:rsidR="00EC1D6B" w:rsidRPr="005735A9">
        <w:rPr>
          <w:sz w:val="24"/>
          <w:szCs w:val="24"/>
        </w:rPr>
        <w:t>’</w:t>
      </w:r>
      <w:r w:rsidR="00E025A0" w:rsidRPr="005735A9">
        <w:rPr>
          <w:sz w:val="24"/>
          <w:szCs w:val="24"/>
        </w:rPr>
        <w:t xml:space="preserve">s </w:t>
      </w:r>
      <w:r w:rsidR="00E025A0" w:rsidRPr="005735A9">
        <w:rPr>
          <w:i/>
          <w:iCs/>
          <w:sz w:val="24"/>
          <w:szCs w:val="24"/>
        </w:rPr>
        <w:t>Tis Pity She’s A Whore.</w:t>
      </w:r>
    </w:p>
    <w:p w14:paraId="68C7A463" w14:textId="4D7D21D3" w:rsidR="007A2722" w:rsidRPr="005735A9" w:rsidRDefault="005735A9" w:rsidP="005735A9">
      <w:pPr>
        <w:spacing w:line="480" w:lineRule="auto"/>
        <w:rPr>
          <w:sz w:val="24"/>
          <w:szCs w:val="24"/>
        </w:rPr>
      </w:pPr>
      <w:r>
        <w:rPr>
          <w:sz w:val="24"/>
          <w:szCs w:val="24"/>
        </w:rPr>
        <w:t xml:space="preserve">  </w:t>
      </w:r>
      <w:r w:rsidR="007A2722" w:rsidRPr="005735A9">
        <w:rPr>
          <w:sz w:val="24"/>
          <w:szCs w:val="24"/>
        </w:rPr>
        <w:t xml:space="preserve">Christopher Marlowe wrote the tragedy </w:t>
      </w:r>
      <w:r w:rsidR="007A2722" w:rsidRPr="005735A9">
        <w:rPr>
          <w:i/>
          <w:iCs/>
          <w:sz w:val="24"/>
          <w:szCs w:val="24"/>
        </w:rPr>
        <w:t>Edward II</w:t>
      </w:r>
      <w:r w:rsidR="007A2722" w:rsidRPr="005735A9">
        <w:rPr>
          <w:sz w:val="24"/>
          <w:szCs w:val="24"/>
        </w:rPr>
        <w:t xml:space="preserve"> around 1592.</w:t>
      </w:r>
      <w:r w:rsidR="007A2722" w:rsidRPr="005735A9">
        <w:rPr>
          <w:rStyle w:val="FootnoteReference"/>
          <w:sz w:val="24"/>
          <w:szCs w:val="24"/>
        </w:rPr>
        <w:footnoteReference w:id="3"/>
      </w:r>
      <w:r w:rsidR="007A2722" w:rsidRPr="005735A9">
        <w:rPr>
          <w:sz w:val="24"/>
          <w:szCs w:val="24"/>
        </w:rPr>
        <w:t xml:space="preserve"> The play tells the story of King Edward II’s reign</w:t>
      </w:r>
      <w:r w:rsidR="00EC1D6B" w:rsidRPr="005735A9">
        <w:rPr>
          <w:sz w:val="24"/>
          <w:szCs w:val="24"/>
        </w:rPr>
        <w:t>, the events leading to his death,</w:t>
      </w:r>
      <w:r w:rsidR="007A2722" w:rsidRPr="005735A9">
        <w:rPr>
          <w:sz w:val="24"/>
          <w:szCs w:val="24"/>
        </w:rPr>
        <w:t xml:space="preserve"> and his son Edward III’s rule. The play begins with Gaveston reading a letter from Edward II requesting that he </w:t>
      </w:r>
      <w:r w:rsidR="00EC1D6B" w:rsidRPr="005735A9">
        <w:rPr>
          <w:sz w:val="24"/>
          <w:szCs w:val="24"/>
        </w:rPr>
        <w:t>join him after his father’s death; Gaveston complies much to the court's dissatisfaction</w:t>
      </w:r>
      <w:r w:rsidR="007A2722" w:rsidRPr="005735A9">
        <w:rPr>
          <w:sz w:val="24"/>
          <w:szCs w:val="24"/>
        </w:rPr>
        <w:t xml:space="preserve">. Edward granted Gaveston titles, raising his status and favouring him above all </w:t>
      </w:r>
      <w:r w:rsidR="00E025A0" w:rsidRPr="005735A9">
        <w:rPr>
          <w:sz w:val="24"/>
          <w:szCs w:val="24"/>
        </w:rPr>
        <w:t>o</w:t>
      </w:r>
      <w:r w:rsidR="007A2722" w:rsidRPr="005735A9">
        <w:rPr>
          <w:sz w:val="24"/>
          <w:szCs w:val="24"/>
        </w:rPr>
        <w:t>thers</w:t>
      </w:r>
      <w:r w:rsidR="00E025A0" w:rsidRPr="005735A9">
        <w:rPr>
          <w:sz w:val="24"/>
          <w:szCs w:val="24"/>
        </w:rPr>
        <w:t>,</w:t>
      </w:r>
      <w:r w:rsidR="007A2722" w:rsidRPr="005735A9">
        <w:rPr>
          <w:sz w:val="24"/>
          <w:szCs w:val="24"/>
        </w:rPr>
        <w:t xml:space="preserve"> including his wife, </w:t>
      </w:r>
      <w:r w:rsidR="00E025A0" w:rsidRPr="005735A9">
        <w:rPr>
          <w:sz w:val="24"/>
          <w:szCs w:val="24"/>
        </w:rPr>
        <w:t>Q</w:t>
      </w:r>
      <w:r w:rsidR="007A2722" w:rsidRPr="005735A9">
        <w:rPr>
          <w:sz w:val="24"/>
          <w:szCs w:val="24"/>
        </w:rPr>
        <w:t>ueen Isabella. Gaveston is banished and sent away</w:t>
      </w:r>
      <w:r w:rsidR="00EC1D6B" w:rsidRPr="005735A9">
        <w:rPr>
          <w:sz w:val="24"/>
          <w:szCs w:val="24"/>
        </w:rPr>
        <w:t>,</w:t>
      </w:r>
      <w:r w:rsidR="007A2722" w:rsidRPr="005735A9">
        <w:rPr>
          <w:sz w:val="24"/>
          <w:szCs w:val="24"/>
        </w:rPr>
        <w:t xml:space="preserve"> leaving a very unhappy Edward whose wife decides it would be better to have Gaveston murdered instead of banished. King Edward eventually gives up his crown to his son</w:t>
      </w:r>
      <w:r w:rsidR="00EC1D6B" w:rsidRPr="005735A9">
        <w:rPr>
          <w:sz w:val="24"/>
          <w:szCs w:val="24"/>
        </w:rPr>
        <w:t>,</w:t>
      </w:r>
      <w:r w:rsidR="007A2722" w:rsidRPr="005735A9">
        <w:rPr>
          <w:sz w:val="24"/>
          <w:szCs w:val="24"/>
        </w:rPr>
        <w:t xml:space="preserve"> </w:t>
      </w:r>
      <w:r w:rsidR="00E025A0" w:rsidRPr="005735A9">
        <w:rPr>
          <w:sz w:val="24"/>
          <w:szCs w:val="24"/>
        </w:rPr>
        <w:t xml:space="preserve">who is </w:t>
      </w:r>
      <w:r w:rsidR="007A2722" w:rsidRPr="005735A9">
        <w:rPr>
          <w:sz w:val="24"/>
          <w:szCs w:val="24"/>
        </w:rPr>
        <w:t>being watched ov</w:t>
      </w:r>
      <w:r w:rsidR="00E025A0" w:rsidRPr="005735A9">
        <w:rPr>
          <w:sz w:val="24"/>
          <w:szCs w:val="24"/>
        </w:rPr>
        <w:t>er</w:t>
      </w:r>
      <w:r w:rsidR="007A2722" w:rsidRPr="005735A9">
        <w:rPr>
          <w:sz w:val="24"/>
          <w:szCs w:val="24"/>
        </w:rPr>
        <w:t xml:space="preserve"> by Mortimer Jr. Edward </w:t>
      </w:r>
      <w:r w:rsidR="007A2722" w:rsidRPr="005735A9">
        <w:rPr>
          <w:sz w:val="24"/>
          <w:szCs w:val="24"/>
        </w:rPr>
        <w:lastRenderedPageBreak/>
        <w:t>II is imprisoned and then murdered</w:t>
      </w:r>
      <w:r w:rsidR="00EC1D6B" w:rsidRPr="005735A9">
        <w:rPr>
          <w:sz w:val="24"/>
          <w:szCs w:val="24"/>
        </w:rPr>
        <w:t>. W</w:t>
      </w:r>
      <w:r w:rsidR="007A2722" w:rsidRPr="005735A9">
        <w:rPr>
          <w:sz w:val="24"/>
          <w:szCs w:val="24"/>
        </w:rPr>
        <w:t>hen King Edward III discovers this</w:t>
      </w:r>
      <w:r w:rsidR="00E025A0" w:rsidRPr="005735A9">
        <w:rPr>
          <w:sz w:val="24"/>
          <w:szCs w:val="24"/>
        </w:rPr>
        <w:t>,</w:t>
      </w:r>
      <w:r w:rsidR="007A2722" w:rsidRPr="005735A9">
        <w:rPr>
          <w:sz w:val="24"/>
          <w:szCs w:val="24"/>
        </w:rPr>
        <w:t xml:space="preserve"> he has his </w:t>
      </w:r>
      <w:r w:rsidR="00E025A0" w:rsidRPr="005735A9">
        <w:rPr>
          <w:sz w:val="24"/>
          <w:szCs w:val="24"/>
        </w:rPr>
        <w:t>protector</w:t>
      </w:r>
      <w:r w:rsidR="007A2722" w:rsidRPr="005735A9">
        <w:rPr>
          <w:sz w:val="24"/>
          <w:szCs w:val="24"/>
        </w:rPr>
        <w:t xml:space="preserve"> killed</w:t>
      </w:r>
      <w:r w:rsidR="00E025A0" w:rsidRPr="005735A9">
        <w:rPr>
          <w:sz w:val="24"/>
          <w:szCs w:val="24"/>
        </w:rPr>
        <w:t>,</w:t>
      </w:r>
      <w:r w:rsidR="007A2722" w:rsidRPr="005735A9">
        <w:rPr>
          <w:sz w:val="24"/>
          <w:szCs w:val="24"/>
        </w:rPr>
        <w:t xml:space="preserve"> and his mother sent to the tower to await trial. </w:t>
      </w:r>
    </w:p>
    <w:p w14:paraId="3B3A91AB" w14:textId="6C822B22" w:rsidR="007A2722" w:rsidRPr="005735A9" w:rsidRDefault="005735A9" w:rsidP="005735A9">
      <w:pPr>
        <w:spacing w:line="480" w:lineRule="auto"/>
        <w:rPr>
          <w:sz w:val="24"/>
          <w:szCs w:val="24"/>
        </w:rPr>
      </w:pPr>
      <w:r>
        <w:rPr>
          <w:sz w:val="24"/>
          <w:szCs w:val="24"/>
        </w:rPr>
        <w:t xml:space="preserve">  </w:t>
      </w:r>
      <w:r w:rsidR="007A2722" w:rsidRPr="005735A9">
        <w:rPr>
          <w:sz w:val="24"/>
          <w:szCs w:val="24"/>
        </w:rPr>
        <w:t>The forbidden love represented in this play is between Edward II and a favourite of his, Gaveston. This love proved problematic in several ways. Firstly, homosexual love was seen as something done by effeminate men, and effeminate men could not be trusted to rule</w:t>
      </w:r>
      <w:r w:rsidR="00EC1D6B" w:rsidRPr="005735A9">
        <w:rPr>
          <w:sz w:val="24"/>
          <w:szCs w:val="24"/>
        </w:rPr>
        <w:t xml:space="preserve"> as t</w:t>
      </w:r>
      <w:r w:rsidR="007A2722" w:rsidRPr="005735A9">
        <w:rPr>
          <w:sz w:val="24"/>
          <w:szCs w:val="24"/>
        </w:rPr>
        <w:t>his was against the established gender norms held in this time period.</w:t>
      </w:r>
      <w:r w:rsidR="007A2722" w:rsidRPr="005735A9">
        <w:rPr>
          <w:rStyle w:val="FootnoteReference"/>
          <w:sz w:val="24"/>
          <w:szCs w:val="24"/>
        </w:rPr>
        <w:footnoteReference w:id="4"/>
      </w:r>
      <w:r w:rsidR="007A2722" w:rsidRPr="005735A9">
        <w:rPr>
          <w:sz w:val="24"/>
          <w:szCs w:val="24"/>
        </w:rPr>
        <w:t xml:space="preserve"> Secondly, sodomy was considered illegal at this time. This law was</w:t>
      </w:r>
      <w:r w:rsidR="00EC1D6B" w:rsidRPr="005735A9">
        <w:rPr>
          <w:sz w:val="24"/>
          <w:szCs w:val="24"/>
        </w:rPr>
        <w:t xml:space="preserve"> no</w:t>
      </w:r>
      <w:r w:rsidR="007A2722" w:rsidRPr="005735A9">
        <w:rPr>
          <w:sz w:val="24"/>
          <w:szCs w:val="24"/>
        </w:rPr>
        <w:t>t regularly enforced in England at the time</w:t>
      </w:r>
      <w:r w:rsidR="00EC1D6B" w:rsidRPr="005735A9">
        <w:rPr>
          <w:sz w:val="24"/>
          <w:szCs w:val="24"/>
        </w:rPr>
        <w:t>. However,</w:t>
      </w:r>
      <w:r w:rsidR="007A2722" w:rsidRPr="005735A9">
        <w:rPr>
          <w:sz w:val="24"/>
          <w:szCs w:val="24"/>
        </w:rPr>
        <w:t xml:space="preserve"> </w:t>
      </w:r>
      <w:r w:rsidR="00EC1D6B" w:rsidRPr="005735A9">
        <w:rPr>
          <w:sz w:val="24"/>
          <w:szCs w:val="24"/>
        </w:rPr>
        <w:t>it became an issue considering how public Edward was with his favouritism of Gaveston and how he attempted to “share” the kingdom with him</w:t>
      </w:r>
      <w:r w:rsidR="007A2722" w:rsidRPr="005735A9">
        <w:rPr>
          <w:sz w:val="24"/>
          <w:szCs w:val="24"/>
        </w:rPr>
        <w:t>.</w:t>
      </w:r>
      <w:r w:rsidR="007A2722" w:rsidRPr="005735A9">
        <w:rPr>
          <w:rStyle w:val="FootnoteReference"/>
          <w:sz w:val="24"/>
          <w:szCs w:val="24"/>
        </w:rPr>
        <w:footnoteReference w:id="5"/>
      </w:r>
      <w:r w:rsidR="007A2722" w:rsidRPr="005735A9">
        <w:rPr>
          <w:sz w:val="24"/>
          <w:szCs w:val="24"/>
        </w:rPr>
        <w:t xml:space="preserve"> This play can be a little confusing in its intent because, at times, it appears to defend homosexuality and, therefore, sodomy. In act 1, scene 4, Mortimer Sr lists several strong authoritative men from antiquity that loved men.</w:t>
      </w:r>
      <w:r w:rsidR="007A2722" w:rsidRPr="005735A9">
        <w:rPr>
          <w:rStyle w:val="FootnoteReference"/>
          <w:sz w:val="24"/>
          <w:szCs w:val="24"/>
        </w:rPr>
        <w:footnoteReference w:id="6"/>
      </w:r>
      <w:r w:rsidR="007A2722" w:rsidRPr="005735A9">
        <w:rPr>
          <w:sz w:val="24"/>
          <w:szCs w:val="24"/>
        </w:rPr>
        <w:t xml:space="preserve"> </w:t>
      </w:r>
      <w:proofErr w:type="spellStart"/>
      <w:r w:rsidR="00E025A0" w:rsidRPr="005735A9">
        <w:rPr>
          <w:sz w:val="24"/>
          <w:szCs w:val="24"/>
        </w:rPr>
        <w:t>Stymeist</w:t>
      </w:r>
      <w:proofErr w:type="spellEnd"/>
      <w:r w:rsidR="00E025A0" w:rsidRPr="005735A9">
        <w:rPr>
          <w:sz w:val="24"/>
          <w:szCs w:val="24"/>
        </w:rPr>
        <w:t xml:space="preserve"> points out that the reference to Hercules and Alexander</w:t>
      </w:r>
      <w:r w:rsidR="00EC1D6B" w:rsidRPr="005735A9">
        <w:rPr>
          <w:sz w:val="24"/>
          <w:szCs w:val="24"/>
        </w:rPr>
        <w:t>,</w:t>
      </w:r>
      <w:r w:rsidR="00E025A0" w:rsidRPr="005735A9">
        <w:rPr>
          <w:sz w:val="24"/>
          <w:szCs w:val="24"/>
        </w:rPr>
        <w:t xml:space="preserve"> in particular, do</w:t>
      </w:r>
      <w:r w:rsidR="00EC1D6B" w:rsidRPr="005735A9">
        <w:rPr>
          <w:sz w:val="24"/>
          <w:szCs w:val="24"/>
        </w:rPr>
        <w:t>es</w:t>
      </w:r>
      <w:r w:rsidR="00E025A0" w:rsidRPr="005735A9">
        <w:rPr>
          <w:sz w:val="24"/>
          <w:szCs w:val="24"/>
        </w:rPr>
        <w:t xml:space="preserve"> not indicate that sodomy causes the loss of masculinity.</w:t>
      </w:r>
      <w:r w:rsidR="00E025A0" w:rsidRPr="005735A9">
        <w:rPr>
          <w:rStyle w:val="FootnoteReference"/>
          <w:sz w:val="24"/>
          <w:szCs w:val="24"/>
        </w:rPr>
        <w:footnoteReference w:id="7"/>
      </w:r>
    </w:p>
    <w:p w14:paraId="1775E7B8" w14:textId="7CED85BB" w:rsidR="007A2722" w:rsidRPr="005735A9" w:rsidRDefault="005735A9" w:rsidP="005735A9">
      <w:pPr>
        <w:spacing w:line="480" w:lineRule="auto"/>
        <w:rPr>
          <w:sz w:val="24"/>
          <w:szCs w:val="24"/>
        </w:rPr>
      </w:pPr>
      <w:r>
        <w:rPr>
          <w:sz w:val="24"/>
          <w:szCs w:val="24"/>
        </w:rPr>
        <w:t xml:space="preserve">  </w:t>
      </w:r>
      <w:r w:rsidR="007A2722" w:rsidRPr="005735A9">
        <w:rPr>
          <w:sz w:val="24"/>
          <w:szCs w:val="24"/>
        </w:rPr>
        <w:t>Ultimately</w:t>
      </w:r>
      <w:r w:rsidR="00EC1D6B" w:rsidRPr="005735A9">
        <w:rPr>
          <w:sz w:val="24"/>
          <w:szCs w:val="24"/>
        </w:rPr>
        <w:t>, having Gaveston and Edward II both die could show the play's audience that no one (not even the king and those he loves) is above the law, which</w:t>
      </w:r>
      <w:r w:rsidR="007A2722" w:rsidRPr="005735A9">
        <w:rPr>
          <w:sz w:val="24"/>
          <w:szCs w:val="24"/>
        </w:rPr>
        <w:t xml:space="preserve"> could serve as a warning to those considering this lifestyle. </w:t>
      </w:r>
    </w:p>
    <w:p w14:paraId="6624DCB5" w14:textId="3DB97DCF" w:rsidR="007A2722" w:rsidRPr="005735A9" w:rsidRDefault="005735A9" w:rsidP="005735A9">
      <w:pPr>
        <w:spacing w:line="480" w:lineRule="auto"/>
        <w:rPr>
          <w:sz w:val="24"/>
          <w:szCs w:val="24"/>
        </w:rPr>
      </w:pPr>
      <w:r>
        <w:rPr>
          <w:i/>
          <w:iCs/>
          <w:sz w:val="24"/>
          <w:szCs w:val="24"/>
        </w:rPr>
        <w:t xml:space="preserve">  </w:t>
      </w:r>
      <w:r w:rsidR="007A2722" w:rsidRPr="005735A9">
        <w:rPr>
          <w:i/>
          <w:iCs/>
          <w:sz w:val="24"/>
          <w:szCs w:val="24"/>
        </w:rPr>
        <w:t xml:space="preserve">Othello </w:t>
      </w:r>
      <w:r w:rsidR="007A2722" w:rsidRPr="005735A9">
        <w:rPr>
          <w:sz w:val="24"/>
          <w:szCs w:val="24"/>
        </w:rPr>
        <w:t>was written by William Shakespeare between 1603 and 1604.</w:t>
      </w:r>
      <w:r w:rsidR="007A2722" w:rsidRPr="005735A9">
        <w:rPr>
          <w:rStyle w:val="FootnoteReference"/>
          <w:sz w:val="24"/>
          <w:szCs w:val="24"/>
        </w:rPr>
        <w:footnoteReference w:id="8"/>
      </w:r>
      <w:r w:rsidR="007A2722" w:rsidRPr="005735A9">
        <w:rPr>
          <w:sz w:val="24"/>
          <w:szCs w:val="24"/>
        </w:rPr>
        <w:t xml:space="preserve"> This play tells the story of Venetian Desdemona’s marriage to Othello, the Moor of Venice. </w:t>
      </w:r>
      <w:r w:rsidR="00E025A0" w:rsidRPr="005735A9">
        <w:rPr>
          <w:sz w:val="24"/>
          <w:szCs w:val="24"/>
        </w:rPr>
        <w:t xml:space="preserve">The play begins </w:t>
      </w:r>
      <w:r w:rsidR="00E025A0" w:rsidRPr="005735A9">
        <w:rPr>
          <w:sz w:val="24"/>
          <w:szCs w:val="24"/>
        </w:rPr>
        <w:lastRenderedPageBreak/>
        <w:t>with Roderigo, a man romantically interested in Desdemona, visiting her father’s home to make him aware of Desdemona’s marriage to Othello, a Moor. Enraged, Desdemona’s father, Brabanzio, goes to Othello and demands to see his daughter. Desdemona confirms that she has indeed married Othello and loves him, and her father’s anger appears to leave him. Othello and Desdemona then leave to go to Cyprus due to war. Wh</w:t>
      </w:r>
      <w:r w:rsidR="00EC1D6B" w:rsidRPr="005735A9">
        <w:rPr>
          <w:sz w:val="24"/>
          <w:szCs w:val="24"/>
        </w:rPr>
        <w:t>ilst</w:t>
      </w:r>
      <w:r w:rsidR="00E025A0" w:rsidRPr="005735A9">
        <w:rPr>
          <w:sz w:val="24"/>
          <w:szCs w:val="24"/>
        </w:rPr>
        <w:t xml:space="preserve"> there, an elaborate scheme by Iago, Othello’s trusted ensign, leads Othello to believe that Desdemona has been unfaithful in her marriage to him and ultimately leads to death for many of the characters, including Desdemona and Othello, both by Othello’s hand.</w:t>
      </w:r>
      <w:r w:rsidR="007A2722" w:rsidRPr="005735A9">
        <w:rPr>
          <w:sz w:val="24"/>
          <w:szCs w:val="24"/>
        </w:rPr>
        <w:t xml:space="preserve"> </w:t>
      </w:r>
    </w:p>
    <w:p w14:paraId="58FD0BCA" w14:textId="26582C93" w:rsidR="00E025A0" w:rsidRPr="005735A9" w:rsidRDefault="005735A9" w:rsidP="005735A9">
      <w:pPr>
        <w:spacing w:line="480" w:lineRule="auto"/>
        <w:rPr>
          <w:sz w:val="24"/>
          <w:szCs w:val="24"/>
        </w:rPr>
      </w:pPr>
      <w:r>
        <w:rPr>
          <w:sz w:val="24"/>
          <w:szCs w:val="24"/>
        </w:rPr>
        <w:t xml:space="preserve">  </w:t>
      </w:r>
      <w:r w:rsidR="00E025A0" w:rsidRPr="005735A9">
        <w:rPr>
          <w:sz w:val="24"/>
          <w:szCs w:val="24"/>
        </w:rPr>
        <w:t xml:space="preserve">The forbidden love in this story is that of Othello and Desdemona. This is </w:t>
      </w:r>
      <w:r w:rsidR="007A2722" w:rsidRPr="005735A9">
        <w:rPr>
          <w:sz w:val="24"/>
          <w:szCs w:val="24"/>
        </w:rPr>
        <w:t xml:space="preserve">shown through the reaction of Desdemona’s father to the news of her marriage to the black man. </w:t>
      </w:r>
      <w:r w:rsidR="00E025A0" w:rsidRPr="005735A9">
        <w:rPr>
          <w:sz w:val="24"/>
          <w:szCs w:val="24"/>
        </w:rPr>
        <w:t>Brabanzio</w:t>
      </w:r>
      <w:r w:rsidR="007A2722" w:rsidRPr="005735A9">
        <w:rPr>
          <w:sz w:val="24"/>
          <w:szCs w:val="24"/>
        </w:rPr>
        <w:t xml:space="preserve"> accuses </w:t>
      </w:r>
      <w:r w:rsidR="00E025A0" w:rsidRPr="005735A9">
        <w:rPr>
          <w:sz w:val="24"/>
          <w:szCs w:val="24"/>
        </w:rPr>
        <w:t>Othello</w:t>
      </w:r>
      <w:r w:rsidR="007A2722" w:rsidRPr="005735A9">
        <w:rPr>
          <w:sz w:val="24"/>
          <w:szCs w:val="24"/>
        </w:rPr>
        <w:t xml:space="preserve"> of having used magic and witchcraft in order to gain her as a wife</w:t>
      </w:r>
      <w:r w:rsidR="00E025A0" w:rsidRPr="005735A9">
        <w:rPr>
          <w:sz w:val="24"/>
          <w:szCs w:val="24"/>
        </w:rPr>
        <w:t xml:space="preserve"> in act 1, scene 3 when confronting Othello after being told he has “been robbed” by Roderigo. Racist terms are also used in Roderigo’s discussion with Brabanzio.</w:t>
      </w:r>
      <w:r w:rsidR="00E025A0" w:rsidRPr="005735A9">
        <w:rPr>
          <w:rStyle w:val="FootnoteReference"/>
          <w:sz w:val="24"/>
          <w:szCs w:val="24"/>
        </w:rPr>
        <w:footnoteReference w:id="9"/>
      </w:r>
    </w:p>
    <w:p w14:paraId="55855BFC" w14:textId="2BD5C596" w:rsidR="007A2722" w:rsidRPr="005735A9" w:rsidRDefault="005735A9" w:rsidP="005735A9">
      <w:pPr>
        <w:spacing w:line="480" w:lineRule="auto"/>
        <w:rPr>
          <w:sz w:val="24"/>
          <w:szCs w:val="24"/>
        </w:rPr>
      </w:pPr>
      <w:r>
        <w:rPr>
          <w:sz w:val="24"/>
          <w:szCs w:val="24"/>
        </w:rPr>
        <w:t xml:space="preserve">  </w:t>
      </w:r>
      <w:r w:rsidR="00E025A0" w:rsidRPr="005735A9">
        <w:rPr>
          <w:sz w:val="24"/>
          <w:szCs w:val="24"/>
        </w:rPr>
        <w:t xml:space="preserve">Another forbidden desire in this play could also be that </w:t>
      </w:r>
      <w:r w:rsidR="007A2722" w:rsidRPr="005735A9">
        <w:rPr>
          <w:sz w:val="24"/>
          <w:szCs w:val="24"/>
        </w:rPr>
        <w:t>Roderigo is in love with Desdemona</w:t>
      </w:r>
      <w:r w:rsidR="00E025A0" w:rsidRPr="005735A9">
        <w:rPr>
          <w:sz w:val="24"/>
          <w:szCs w:val="24"/>
        </w:rPr>
        <w:t xml:space="preserve"> despite her being married, he partakes in Iago’s scheme</w:t>
      </w:r>
      <w:r w:rsidR="00EC1D6B" w:rsidRPr="005735A9">
        <w:rPr>
          <w:sz w:val="24"/>
          <w:szCs w:val="24"/>
        </w:rPr>
        <w:t>,</w:t>
      </w:r>
      <w:r w:rsidR="00E025A0" w:rsidRPr="005735A9">
        <w:rPr>
          <w:sz w:val="24"/>
          <w:szCs w:val="24"/>
        </w:rPr>
        <w:t xml:space="preserve"> hoping to gain the love of Desdemona, but Roderigo ends up dead as well.  </w:t>
      </w:r>
    </w:p>
    <w:p w14:paraId="5DE3C88D" w14:textId="69B90D33" w:rsidR="00E025A0" w:rsidRPr="005735A9" w:rsidRDefault="005735A9" w:rsidP="005735A9">
      <w:pPr>
        <w:spacing w:line="480" w:lineRule="auto"/>
        <w:rPr>
          <w:sz w:val="24"/>
          <w:szCs w:val="24"/>
        </w:rPr>
      </w:pPr>
      <w:r>
        <w:rPr>
          <w:sz w:val="24"/>
          <w:szCs w:val="24"/>
        </w:rPr>
        <w:t xml:space="preserve">  </w:t>
      </w:r>
      <w:r w:rsidR="00E025A0" w:rsidRPr="005735A9">
        <w:rPr>
          <w:sz w:val="24"/>
          <w:szCs w:val="24"/>
        </w:rPr>
        <w:t>Perhaps less obvious is the forbidden desire seen when Othello is himself attempting to stop loving Desdemona after what he believes she has done to him. This can be seen especially before he kills her in act 5, scene 2</w:t>
      </w:r>
      <w:r w:rsidR="00EC1D6B" w:rsidRPr="005735A9">
        <w:rPr>
          <w:sz w:val="24"/>
          <w:szCs w:val="24"/>
        </w:rPr>
        <w:t>,</w:t>
      </w:r>
      <w:r w:rsidR="00E025A0" w:rsidRPr="005735A9">
        <w:rPr>
          <w:sz w:val="24"/>
          <w:szCs w:val="24"/>
        </w:rPr>
        <w:t xml:space="preserve"> when he kisses Desdemona as she sleeps and allows himself a second kiss.</w:t>
      </w:r>
      <w:r w:rsidR="00E025A0" w:rsidRPr="005735A9">
        <w:rPr>
          <w:rStyle w:val="FootnoteReference"/>
          <w:sz w:val="24"/>
          <w:szCs w:val="24"/>
        </w:rPr>
        <w:footnoteReference w:id="10"/>
      </w:r>
      <w:r w:rsidR="00E025A0" w:rsidRPr="005735A9">
        <w:rPr>
          <w:sz w:val="24"/>
          <w:szCs w:val="24"/>
        </w:rPr>
        <w:t xml:space="preserve"> It appears as though he does</w:t>
      </w:r>
      <w:r w:rsidR="00EC1D6B" w:rsidRPr="005735A9">
        <w:rPr>
          <w:sz w:val="24"/>
          <w:szCs w:val="24"/>
        </w:rPr>
        <w:t xml:space="preserve"> no</w:t>
      </w:r>
      <w:r w:rsidR="00E025A0" w:rsidRPr="005735A9">
        <w:rPr>
          <w:sz w:val="24"/>
          <w:szCs w:val="24"/>
        </w:rPr>
        <w:t xml:space="preserve">t want to kill her, but he desires her to have been faithful. </w:t>
      </w:r>
    </w:p>
    <w:p w14:paraId="3E49A026" w14:textId="555D86AF" w:rsidR="007A2722" w:rsidRPr="005735A9" w:rsidRDefault="005735A9" w:rsidP="005735A9">
      <w:pPr>
        <w:spacing w:line="480" w:lineRule="auto"/>
        <w:rPr>
          <w:sz w:val="24"/>
          <w:szCs w:val="24"/>
        </w:rPr>
      </w:pPr>
      <w:r>
        <w:rPr>
          <w:sz w:val="24"/>
          <w:szCs w:val="24"/>
        </w:rPr>
        <w:lastRenderedPageBreak/>
        <w:t xml:space="preserve">  </w:t>
      </w:r>
      <w:r w:rsidR="007A2722" w:rsidRPr="005735A9">
        <w:rPr>
          <w:sz w:val="24"/>
          <w:szCs w:val="24"/>
        </w:rPr>
        <w:t xml:space="preserve">Similarly to </w:t>
      </w:r>
      <w:r w:rsidR="007A2722" w:rsidRPr="005735A9">
        <w:rPr>
          <w:i/>
          <w:iCs/>
          <w:sz w:val="24"/>
          <w:szCs w:val="24"/>
        </w:rPr>
        <w:t>Edward II</w:t>
      </w:r>
      <w:r w:rsidR="00E025A0" w:rsidRPr="005735A9">
        <w:rPr>
          <w:sz w:val="24"/>
          <w:szCs w:val="24"/>
        </w:rPr>
        <w:t>,</w:t>
      </w:r>
      <w:r w:rsidR="007A2722" w:rsidRPr="005735A9">
        <w:rPr>
          <w:sz w:val="24"/>
          <w:szCs w:val="24"/>
        </w:rPr>
        <w:t xml:space="preserve"> the </w:t>
      </w:r>
      <w:r w:rsidR="00E025A0" w:rsidRPr="005735A9">
        <w:rPr>
          <w:sz w:val="24"/>
          <w:szCs w:val="24"/>
        </w:rPr>
        <w:t>forbidden love issue</w:t>
      </w:r>
      <w:r w:rsidR="007A2722" w:rsidRPr="005735A9">
        <w:rPr>
          <w:sz w:val="24"/>
          <w:szCs w:val="24"/>
        </w:rPr>
        <w:t xml:space="preserve"> is </w:t>
      </w:r>
      <w:r w:rsidR="00E025A0" w:rsidRPr="005735A9">
        <w:rPr>
          <w:sz w:val="24"/>
          <w:szCs w:val="24"/>
        </w:rPr>
        <w:t>almost</w:t>
      </w:r>
      <w:r w:rsidR="007A2722" w:rsidRPr="005735A9">
        <w:rPr>
          <w:sz w:val="24"/>
          <w:szCs w:val="24"/>
        </w:rPr>
        <w:t xml:space="preserve"> dismissed </w:t>
      </w:r>
      <w:r w:rsidR="00E025A0" w:rsidRPr="005735A9">
        <w:rPr>
          <w:sz w:val="24"/>
          <w:szCs w:val="24"/>
        </w:rPr>
        <w:t>or not to be seen as the biggest issue in this play</w:t>
      </w:r>
      <w:r w:rsidR="007A2722" w:rsidRPr="005735A9">
        <w:rPr>
          <w:sz w:val="24"/>
          <w:szCs w:val="24"/>
        </w:rPr>
        <w:t xml:space="preserve">. </w:t>
      </w:r>
      <w:r w:rsidR="007A2722" w:rsidRPr="005735A9">
        <w:rPr>
          <w:i/>
          <w:iCs/>
          <w:sz w:val="24"/>
          <w:szCs w:val="24"/>
        </w:rPr>
        <w:t xml:space="preserve">In Edward </w:t>
      </w:r>
      <w:r w:rsidR="00E025A0" w:rsidRPr="005735A9">
        <w:rPr>
          <w:i/>
          <w:iCs/>
          <w:sz w:val="24"/>
          <w:szCs w:val="24"/>
        </w:rPr>
        <w:t xml:space="preserve">II, </w:t>
      </w:r>
      <w:r w:rsidR="007A2722" w:rsidRPr="005735A9">
        <w:rPr>
          <w:sz w:val="24"/>
          <w:szCs w:val="24"/>
        </w:rPr>
        <w:t>homose</w:t>
      </w:r>
      <w:r w:rsidR="00E025A0" w:rsidRPr="005735A9">
        <w:rPr>
          <w:sz w:val="24"/>
          <w:szCs w:val="24"/>
        </w:rPr>
        <w:t>x</w:t>
      </w:r>
      <w:r w:rsidR="007A2722" w:rsidRPr="005735A9">
        <w:rPr>
          <w:sz w:val="24"/>
          <w:szCs w:val="24"/>
        </w:rPr>
        <w:t>uality is one of several issues</w:t>
      </w:r>
      <w:r w:rsidR="00E025A0" w:rsidRPr="005735A9">
        <w:rPr>
          <w:sz w:val="24"/>
          <w:szCs w:val="24"/>
        </w:rPr>
        <w:t xml:space="preserve"> </w:t>
      </w:r>
      <w:r w:rsidR="00EC1D6B" w:rsidRPr="005735A9">
        <w:rPr>
          <w:sz w:val="24"/>
          <w:szCs w:val="24"/>
        </w:rPr>
        <w:t>leading to the king's</w:t>
      </w:r>
      <w:r w:rsidR="00E025A0" w:rsidRPr="005735A9">
        <w:rPr>
          <w:sz w:val="24"/>
          <w:szCs w:val="24"/>
        </w:rPr>
        <w:t xml:space="preserve"> and Gaveston’s death. In</w:t>
      </w:r>
      <w:r w:rsidR="007A2722" w:rsidRPr="005735A9">
        <w:rPr>
          <w:sz w:val="24"/>
          <w:szCs w:val="24"/>
        </w:rPr>
        <w:t xml:space="preserve"> </w:t>
      </w:r>
      <w:r w:rsidR="007A2722" w:rsidRPr="005735A9">
        <w:rPr>
          <w:i/>
          <w:iCs/>
          <w:sz w:val="24"/>
          <w:szCs w:val="24"/>
        </w:rPr>
        <w:t>Othello</w:t>
      </w:r>
      <w:r w:rsidR="00E025A0" w:rsidRPr="005735A9">
        <w:rPr>
          <w:sz w:val="24"/>
          <w:szCs w:val="24"/>
        </w:rPr>
        <w:t>,</w:t>
      </w:r>
      <w:r w:rsidR="007A2722" w:rsidRPr="005735A9">
        <w:rPr>
          <w:sz w:val="24"/>
          <w:szCs w:val="24"/>
        </w:rPr>
        <w:t xml:space="preserve"> race is clearly an issue</w:t>
      </w:r>
      <w:r w:rsidR="00E025A0" w:rsidRPr="005735A9">
        <w:rPr>
          <w:sz w:val="24"/>
          <w:szCs w:val="24"/>
        </w:rPr>
        <w:t xml:space="preserve"> in the beginning; however</w:t>
      </w:r>
      <w:r w:rsidR="007A2722" w:rsidRPr="005735A9">
        <w:rPr>
          <w:sz w:val="24"/>
          <w:szCs w:val="24"/>
        </w:rPr>
        <w:t xml:space="preserve">, this does not take away that Othello is still a trusted individual </w:t>
      </w:r>
      <w:r w:rsidR="00E025A0" w:rsidRPr="005735A9">
        <w:rPr>
          <w:sz w:val="24"/>
          <w:szCs w:val="24"/>
        </w:rPr>
        <w:t>with both rank and power.</w:t>
      </w:r>
      <w:r w:rsidR="007A2722" w:rsidRPr="005735A9">
        <w:rPr>
          <w:rStyle w:val="FootnoteReference"/>
          <w:sz w:val="24"/>
          <w:szCs w:val="24"/>
        </w:rPr>
        <w:footnoteReference w:id="11"/>
      </w:r>
      <w:r w:rsidR="007A2722" w:rsidRPr="005735A9">
        <w:rPr>
          <w:sz w:val="24"/>
          <w:szCs w:val="24"/>
        </w:rPr>
        <w:t xml:space="preserve"> The issue of race in this play actually appeared to be </w:t>
      </w:r>
      <w:r w:rsidR="00EC1D6B" w:rsidRPr="005735A9">
        <w:rPr>
          <w:sz w:val="24"/>
          <w:szCs w:val="24"/>
        </w:rPr>
        <w:t>relatively</w:t>
      </w:r>
      <w:r w:rsidR="007A2722" w:rsidRPr="005735A9">
        <w:rPr>
          <w:sz w:val="24"/>
          <w:szCs w:val="24"/>
        </w:rPr>
        <w:t xml:space="preserve"> minor when placed next to </w:t>
      </w:r>
      <w:r w:rsidR="00E025A0" w:rsidRPr="005735A9">
        <w:rPr>
          <w:sz w:val="24"/>
          <w:szCs w:val="24"/>
        </w:rPr>
        <w:t xml:space="preserve">the </w:t>
      </w:r>
      <w:r w:rsidR="007A2722" w:rsidRPr="005735A9">
        <w:rPr>
          <w:sz w:val="24"/>
          <w:szCs w:val="24"/>
        </w:rPr>
        <w:t>theme of betrayal and deceit. Othello’s race does not appear to contribute to his death or the death of anyone in this play</w:t>
      </w:r>
      <w:r w:rsidR="00EC1D6B" w:rsidRPr="005735A9">
        <w:rPr>
          <w:sz w:val="24"/>
          <w:szCs w:val="24"/>
        </w:rPr>
        <w:t>—j</w:t>
      </w:r>
      <w:r w:rsidR="007A2722" w:rsidRPr="005735A9">
        <w:rPr>
          <w:sz w:val="24"/>
          <w:szCs w:val="24"/>
        </w:rPr>
        <w:t xml:space="preserve">ust some anger on behalf of </w:t>
      </w:r>
      <w:r w:rsidR="00E025A0" w:rsidRPr="005735A9">
        <w:rPr>
          <w:sz w:val="24"/>
          <w:szCs w:val="24"/>
        </w:rPr>
        <w:t>Desdemona’s</w:t>
      </w:r>
      <w:r w:rsidR="007A2722" w:rsidRPr="005735A9">
        <w:rPr>
          <w:sz w:val="24"/>
          <w:szCs w:val="24"/>
        </w:rPr>
        <w:t xml:space="preserve"> father and Roderigo</w:t>
      </w:r>
      <w:r w:rsidR="00EC1D6B" w:rsidRPr="005735A9">
        <w:rPr>
          <w:sz w:val="24"/>
          <w:szCs w:val="24"/>
        </w:rPr>
        <w:t>,</w:t>
      </w:r>
      <w:r w:rsidR="00E025A0" w:rsidRPr="005735A9">
        <w:rPr>
          <w:sz w:val="24"/>
          <w:szCs w:val="24"/>
        </w:rPr>
        <w:t xml:space="preserve"> her </w:t>
      </w:r>
      <w:r w:rsidR="00E025A0" w:rsidRPr="005735A9">
        <w:rPr>
          <w:sz w:val="24"/>
          <w:szCs w:val="24"/>
        </w:rPr>
        <w:t>admirer</w:t>
      </w:r>
      <w:r w:rsidR="00E025A0" w:rsidRPr="005735A9">
        <w:rPr>
          <w:sz w:val="24"/>
          <w:szCs w:val="24"/>
        </w:rPr>
        <w:t xml:space="preserve">. </w:t>
      </w:r>
      <w:r w:rsidR="007A2722" w:rsidRPr="005735A9">
        <w:rPr>
          <w:sz w:val="24"/>
          <w:szCs w:val="24"/>
        </w:rPr>
        <w:t>I</w:t>
      </w:r>
      <w:r w:rsidR="00EC1D6B" w:rsidRPr="005735A9">
        <w:rPr>
          <w:sz w:val="24"/>
          <w:szCs w:val="24"/>
        </w:rPr>
        <w:t>t seems the</w:t>
      </w:r>
      <w:r w:rsidR="007A2722" w:rsidRPr="005735A9">
        <w:rPr>
          <w:sz w:val="24"/>
          <w:szCs w:val="24"/>
        </w:rPr>
        <w:t xml:space="preserve"> lesson here is</w:t>
      </w:r>
      <w:r w:rsidR="00EC1D6B" w:rsidRPr="005735A9">
        <w:rPr>
          <w:sz w:val="24"/>
          <w:szCs w:val="24"/>
        </w:rPr>
        <w:t xml:space="preserve"> not</w:t>
      </w:r>
      <w:r w:rsidR="007A2722" w:rsidRPr="005735A9">
        <w:rPr>
          <w:sz w:val="24"/>
          <w:szCs w:val="24"/>
        </w:rPr>
        <w:t xml:space="preserve"> </w:t>
      </w:r>
      <w:r w:rsidR="00E025A0" w:rsidRPr="005735A9">
        <w:rPr>
          <w:sz w:val="24"/>
          <w:szCs w:val="24"/>
        </w:rPr>
        <w:t>“</w:t>
      </w:r>
      <w:r w:rsidR="007A2722" w:rsidRPr="005735A9">
        <w:rPr>
          <w:sz w:val="24"/>
          <w:szCs w:val="24"/>
        </w:rPr>
        <w:t>do</w:t>
      </w:r>
      <w:r w:rsidR="00E025A0" w:rsidRPr="005735A9">
        <w:rPr>
          <w:sz w:val="24"/>
          <w:szCs w:val="24"/>
        </w:rPr>
        <w:t xml:space="preserve"> not</w:t>
      </w:r>
      <w:r w:rsidR="007A2722" w:rsidRPr="005735A9">
        <w:rPr>
          <w:sz w:val="24"/>
          <w:szCs w:val="24"/>
        </w:rPr>
        <w:t xml:space="preserve"> marry a black </w:t>
      </w:r>
      <w:r w:rsidR="00E025A0" w:rsidRPr="005735A9">
        <w:rPr>
          <w:sz w:val="24"/>
          <w:szCs w:val="24"/>
        </w:rPr>
        <w:t>man” but</w:t>
      </w:r>
      <w:r w:rsidR="007A2722" w:rsidRPr="005735A9">
        <w:rPr>
          <w:sz w:val="24"/>
          <w:szCs w:val="24"/>
        </w:rPr>
        <w:t xml:space="preserve"> </w:t>
      </w:r>
      <w:r w:rsidR="00E025A0" w:rsidRPr="005735A9">
        <w:rPr>
          <w:sz w:val="24"/>
          <w:szCs w:val="24"/>
        </w:rPr>
        <w:t>“</w:t>
      </w:r>
      <w:r w:rsidR="007A2722" w:rsidRPr="005735A9">
        <w:rPr>
          <w:sz w:val="24"/>
          <w:szCs w:val="24"/>
        </w:rPr>
        <w:t xml:space="preserve">be careful </w:t>
      </w:r>
      <w:r w:rsidR="00E025A0" w:rsidRPr="005735A9">
        <w:rPr>
          <w:sz w:val="24"/>
          <w:szCs w:val="24"/>
        </w:rPr>
        <w:t>whom</w:t>
      </w:r>
      <w:r w:rsidR="007A2722" w:rsidRPr="005735A9">
        <w:rPr>
          <w:sz w:val="24"/>
          <w:szCs w:val="24"/>
        </w:rPr>
        <w:t xml:space="preserve"> you trust</w:t>
      </w:r>
      <w:r w:rsidR="00E025A0" w:rsidRPr="005735A9">
        <w:rPr>
          <w:sz w:val="24"/>
          <w:szCs w:val="24"/>
        </w:rPr>
        <w:t>”</w:t>
      </w:r>
      <w:r w:rsidR="007A2722" w:rsidRPr="005735A9">
        <w:rPr>
          <w:sz w:val="24"/>
          <w:szCs w:val="24"/>
        </w:rPr>
        <w:t xml:space="preserve">. </w:t>
      </w:r>
    </w:p>
    <w:p w14:paraId="7535474D" w14:textId="51B64E98" w:rsidR="007A2722" w:rsidRPr="005735A9" w:rsidRDefault="005735A9" w:rsidP="005735A9">
      <w:pPr>
        <w:spacing w:line="480" w:lineRule="auto"/>
        <w:rPr>
          <w:sz w:val="24"/>
          <w:szCs w:val="24"/>
        </w:rPr>
      </w:pPr>
      <w:r>
        <w:rPr>
          <w:sz w:val="24"/>
          <w:szCs w:val="24"/>
        </w:rPr>
        <w:t xml:space="preserve">  </w:t>
      </w:r>
      <w:r w:rsidR="007A2722" w:rsidRPr="005735A9">
        <w:rPr>
          <w:sz w:val="24"/>
          <w:szCs w:val="24"/>
        </w:rPr>
        <w:t>The first performance of John Ford’s ‘</w:t>
      </w:r>
      <w:r w:rsidR="007A2722" w:rsidRPr="005735A9">
        <w:rPr>
          <w:i/>
          <w:iCs/>
          <w:sz w:val="24"/>
          <w:szCs w:val="24"/>
        </w:rPr>
        <w:t xml:space="preserve">Tis Pity She’s a Whore </w:t>
      </w:r>
      <w:r w:rsidR="007A2722" w:rsidRPr="005735A9">
        <w:rPr>
          <w:sz w:val="24"/>
          <w:szCs w:val="24"/>
        </w:rPr>
        <w:t>was between 1629 and 1633.</w:t>
      </w:r>
      <w:r w:rsidR="007A2722" w:rsidRPr="005735A9">
        <w:rPr>
          <w:rStyle w:val="FootnoteReference"/>
          <w:sz w:val="24"/>
          <w:szCs w:val="24"/>
        </w:rPr>
        <w:footnoteReference w:id="12"/>
      </w:r>
      <w:r w:rsidR="007A2722" w:rsidRPr="005735A9">
        <w:rPr>
          <w:sz w:val="24"/>
          <w:szCs w:val="24"/>
        </w:rPr>
        <w:t xml:space="preserve"> It tells the story of the love between brother and sister, </w:t>
      </w:r>
      <w:proofErr w:type="gramStart"/>
      <w:r w:rsidR="007A2722" w:rsidRPr="005735A9">
        <w:rPr>
          <w:sz w:val="24"/>
          <w:szCs w:val="24"/>
        </w:rPr>
        <w:t>Giovani</w:t>
      </w:r>
      <w:proofErr w:type="gramEnd"/>
      <w:r w:rsidR="007A2722" w:rsidRPr="005735A9">
        <w:rPr>
          <w:sz w:val="24"/>
          <w:szCs w:val="24"/>
        </w:rPr>
        <w:t xml:space="preserve"> and Annabella. </w:t>
      </w:r>
      <w:r w:rsidR="00E025A0" w:rsidRPr="005735A9">
        <w:rPr>
          <w:sz w:val="24"/>
          <w:szCs w:val="24"/>
        </w:rPr>
        <w:t xml:space="preserve">The play begins with Giovanni discussing </w:t>
      </w:r>
      <w:r w:rsidR="00EC1D6B" w:rsidRPr="005735A9">
        <w:rPr>
          <w:sz w:val="24"/>
          <w:szCs w:val="24"/>
        </w:rPr>
        <w:t>his love</w:t>
      </w:r>
      <w:r w:rsidR="00E025A0" w:rsidRPr="005735A9">
        <w:rPr>
          <w:sz w:val="24"/>
          <w:szCs w:val="24"/>
        </w:rPr>
        <w:t xml:space="preserve"> for his sister with a friar</w:t>
      </w:r>
      <w:r w:rsidR="00EC1D6B" w:rsidRPr="005735A9">
        <w:rPr>
          <w:sz w:val="24"/>
          <w:szCs w:val="24"/>
        </w:rPr>
        <w:t>;</w:t>
      </w:r>
      <w:r w:rsidR="00E025A0" w:rsidRPr="005735A9">
        <w:rPr>
          <w:sz w:val="24"/>
          <w:szCs w:val="24"/>
        </w:rPr>
        <w:t xml:space="preserve"> the friar advises him to pray</w:t>
      </w:r>
      <w:r w:rsidR="00EC1D6B" w:rsidRPr="005735A9">
        <w:rPr>
          <w:sz w:val="24"/>
          <w:szCs w:val="24"/>
        </w:rPr>
        <w:t>, repent, and</w:t>
      </w:r>
      <w:r w:rsidR="00E025A0" w:rsidRPr="005735A9">
        <w:rPr>
          <w:sz w:val="24"/>
          <w:szCs w:val="24"/>
        </w:rPr>
        <w:t xml:space="preserve"> stop his love for her. Annabella has several suitors that wish to be with her, but she favours none of them and instead admits to reciprocating the feelings Giovani has for her when he confesses his love for her. They decide that they will love each other or kill each other and begin a sexual relationship. When it is discovered that Annabella is pregnant by her brother, she feels she has no choice but to marry one of the suitors (Soranzo) and attempt to pass the baby off as his. After marrying Annabella and discovering she is already pregnant</w:t>
      </w:r>
      <w:r w:rsidR="00EC1D6B" w:rsidRPr="005735A9">
        <w:rPr>
          <w:sz w:val="24"/>
          <w:szCs w:val="24"/>
        </w:rPr>
        <w:t>,</w:t>
      </w:r>
      <w:r w:rsidR="00E025A0" w:rsidRPr="005735A9">
        <w:rPr>
          <w:sz w:val="24"/>
          <w:szCs w:val="24"/>
        </w:rPr>
        <w:t xml:space="preserve"> Soranzo is angry and demands to know the father, but she will not tell him. He finds out from her maid, </w:t>
      </w:r>
      <w:proofErr w:type="spellStart"/>
      <w:r w:rsidR="00E025A0" w:rsidRPr="005735A9">
        <w:rPr>
          <w:sz w:val="24"/>
          <w:szCs w:val="24"/>
        </w:rPr>
        <w:t>Putana</w:t>
      </w:r>
      <w:proofErr w:type="spellEnd"/>
      <w:r w:rsidR="00EC1D6B" w:rsidRPr="005735A9">
        <w:rPr>
          <w:sz w:val="24"/>
          <w:szCs w:val="24"/>
        </w:rPr>
        <w:t>,</w:t>
      </w:r>
      <w:r w:rsidR="00E025A0" w:rsidRPr="005735A9">
        <w:rPr>
          <w:sz w:val="24"/>
          <w:szCs w:val="24"/>
        </w:rPr>
        <w:t xml:space="preserve"> that </w:t>
      </w:r>
      <w:r w:rsidR="00EC1D6B" w:rsidRPr="005735A9">
        <w:rPr>
          <w:sz w:val="24"/>
          <w:szCs w:val="24"/>
        </w:rPr>
        <w:t>Annabella’s brother</w:t>
      </w:r>
      <w:r w:rsidR="00E025A0" w:rsidRPr="005735A9">
        <w:rPr>
          <w:sz w:val="24"/>
          <w:szCs w:val="24"/>
        </w:rPr>
        <w:t xml:space="preserve"> caused the pregnancy. Annabella manages to send a warning to her brother that Soranzo knows that she is pregnant with his child, and Giovanni decides that he will get revenge before Soranzo does. He does this by killing his sister and </w:t>
      </w:r>
      <w:r w:rsidR="00E025A0" w:rsidRPr="005735A9">
        <w:rPr>
          <w:sz w:val="24"/>
          <w:szCs w:val="24"/>
        </w:rPr>
        <w:lastRenderedPageBreak/>
        <w:t xml:space="preserve">presenting her heart on a dagger whilst confessing his incestuous love for her. He then stabs Soranzo, and then Giovanni is stabbed, and they both die. </w:t>
      </w:r>
    </w:p>
    <w:p w14:paraId="10BCB565" w14:textId="31B42497" w:rsidR="007A2722" w:rsidRPr="005735A9" w:rsidRDefault="005735A9" w:rsidP="005735A9">
      <w:pPr>
        <w:spacing w:line="480" w:lineRule="auto"/>
        <w:rPr>
          <w:sz w:val="24"/>
          <w:szCs w:val="24"/>
        </w:rPr>
      </w:pPr>
      <w:r>
        <w:rPr>
          <w:sz w:val="24"/>
          <w:szCs w:val="24"/>
        </w:rPr>
        <w:t xml:space="preserve">  </w:t>
      </w:r>
      <w:r w:rsidR="00E025A0" w:rsidRPr="005735A9">
        <w:rPr>
          <w:sz w:val="24"/>
          <w:szCs w:val="24"/>
        </w:rPr>
        <w:t>T</w:t>
      </w:r>
      <w:r w:rsidR="007A2722" w:rsidRPr="005735A9">
        <w:rPr>
          <w:sz w:val="24"/>
          <w:szCs w:val="24"/>
        </w:rPr>
        <w:t xml:space="preserve">he forbidden aspect of love in this play is incest. </w:t>
      </w:r>
      <w:r w:rsidR="00E025A0" w:rsidRPr="005735A9">
        <w:rPr>
          <w:sz w:val="24"/>
          <w:szCs w:val="24"/>
        </w:rPr>
        <w:t>Incest is a taboo matter and</w:t>
      </w:r>
      <w:r w:rsidR="00EC1D6B" w:rsidRPr="005735A9">
        <w:rPr>
          <w:sz w:val="24"/>
          <w:szCs w:val="24"/>
        </w:rPr>
        <w:t>,</w:t>
      </w:r>
      <w:r w:rsidR="00E025A0" w:rsidRPr="005735A9">
        <w:rPr>
          <w:sz w:val="24"/>
          <w:szCs w:val="24"/>
        </w:rPr>
        <w:t xml:space="preserve"> according to Dennis </w:t>
      </w:r>
      <w:proofErr w:type="spellStart"/>
      <w:r w:rsidR="00E025A0" w:rsidRPr="005735A9">
        <w:rPr>
          <w:sz w:val="24"/>
          <w:szCs w:val="24"/>
        </w:rPr>
        <w:t>Gauer</w:t>
      </w:r>
      <w:proofErr w:type="spellEnd"/>
      <w:r w:rsidR="00EC1D6B" w:rsidRPr="005735A9">
        <w:rPr>
          <w:sz w:val="24"/>
          <w:szCs w:val="24"/>
        </w:rPr>
        <w:t>,</w:t>
      </w:r>
      <w:r w:rsidR="00E025A0" w:rsidRPr="005735A9">
        <w:rPr>
          <w:sz w:val="24"/>
          <w:szCs w:val="24"/>
        </w:rPr>
        <w:t xml:space="preserve"> one that is not often looked at in theatre.</w:t>
      </w:r>
      <w:r w:rsidR="00E025A0" w:rsidRPr="005735A9">
        <w:rPr>
          <w:rStyle w:val="FootnoteReference"/>
          <w:sz w:val="24"/>
          <w:szCs w:val="24"/>
        </w:rPr>
        <w:footnoteReference w:id="13"/>
      </w:r>
      <w:r w:rsidR="00E025A0" w:rsidRPr="005735A9">
        <w:rPr>
          <w:sz w:val="24"/>
          <w:szCs w:val="24"/>
        </w:rPr>
        <w:t xml:space="preserve"> </w:t>
      </w:r>
      <w:proofErr w:type="spellStart"/>
      <w:r w:rsidR="00E025A0" w:rsidRPr="005735A9">
        <w:rPr>
          <w:sz w:val="24"/>
          <w:szCs w:val="24"/>
        </w:rPr>
        <w:t>Gauer</w:t>
      </w:r>
      <w:proofErr w:type="spellEnd"/>
      <w:r w:rsidR="00E025A0" w:rsidRPr="005735A9">
        <w:rPr>
          <w:sz w:val="24"/>
          <w:szCs w:val="24"/>
        </w:rPr>
        <w:t xml:space="preserve"> further argues that incest between brother and sister is a “toned down version of the transgression” when comparing it to incest in a mother</w:t>
      </w:r>
      <w:r w:rsidR="00EC1D6B" w:rsidRPr="005735A9">
        <w:rPr>
          <w:sz w:val="24"/>
          <w:szCs w:val="24"/>
        </w:rPr>
        <w:t>-</w:t>
      </w:r>
      <w:r w:rsidR="00E025A0" w:rsidRPr="005735A9">
        <w:rPr>
          <w:sz w:val="24"/>
          <w:szCs w:val="24"/>
        </w:rPr>
        <w:t>son dynamic.</w:t>
      </w:r>
      <w:r w:rsidR="00E025A0" w:rsidRPr="005735A9">
        <w:rPr>
          <w:rStyle w:val="FootnoteReference"/>
          <w:sz w:val="24"/>
          <w:szCs w:val="24"/>
        </w:rPr>
        <w:footnoteReference w:id="14"/>
      </w:r>
      <w:r w:rsidR="00E025A0" w:rsidRPr="005735A9">
        <w:rPr>
          <w:sz w:val="24"/>
          <w:szCs w:val="24"/>
        </w:rPr>
        <w:t xml:space="preserve"> Sexual behaviours were regulated at this time</w:t>
      </w:r>
      <w:r w:rsidR="00EC1D6B" w:rsidRPr="005735A9">
        <w:rPr>
          <w:sz w:val="24"/>
          <w:szCs w:val="24"/>
        </w:rPr>
        <w:t>,</w:t>
      </w:r>
      <w:r w:rsidR="00E025A0" w:rsidRPr="005735A9">
        <w:rPr>
          <w:sz w:val="24"/>
          <w:szCs w:val="24"/>
        </w:rPr>
        <w:t xml:space="preserve"> and </w:t>
      </w:r>
      <w:r w:rsidR="00EC1D6B" w:rsidRPr="005735A9">
        <w:rPr>
          <w:sz w:val="24"/>
          <w:szCs w:val="24"/>
        </w:rPr>
        <w:t>people</w:t>
      </w:r>
      <w:r w:rsidR="00E025A0" w:rsidRPr="005735A9">
        <w:rPr>
          <w:sz w:val="24"/>
          <w:szCs w:val="24"/>
        </w:rPr>
        <w:t xml:space="preserve"> that had sex outside of the </w:t>
      </w:r>
      <w:r w:rsidR="00EC1D6B" w:rsidRPr="005735A9">
        <w:rPr>
          <w:sz w:val="24"/>
          <w:szCs w:val="24"/>
        </w:rPr>
        <w:t>typic</w:t>
      </w:r>
      <w:r w:rsidR="00E025A0" w:rsidRPr="005735A9">
        <w:rPr>
          <w:sz w:val="24"/>
          <w:szCs w:val="24"/>
        </w:rPr>
        <w:t>al</w:t>
      </w:r>
      <w:r w:rsidR="00EC1D6B" w:rsidRPr="005735A9">
        <w:rPr>
          <w:sz w:val="24"/>
          <w:szCs w:val="24"/>
        </w:rPr>
        <w:t>,</w:t>
      </w:r>
      <w:r w:rsidR="00E025A0" w:rsidRPr="005735A9">
        <w:rPr>
          <w:sz w:val="24"/>
          <w:szCs w:val="24"/>
        </w:rPr>
        <w:t xml:space="preserve"> acceptable reasons were destined to be punished by God.</w:t>
      </w:r>
      <w:r w:rsidR="00E025A0" w:rsidRPr="005735A9">
        <w:rPr>
          <w:rStyle w:val="FootnoteReference"/>
          <w:sz w:val="24"/>
          <w:szCs w:val="24"/>
        </w:rPr>
        <w:footnoteReference w:id="15"/>
      </w:r>
      <w:r w:rsidR="00E025A0" w:rsidRPr="005735A9">
        <w:rPr>
          <w:sz w:val="24"/>
          <w:szCs w:val="24"/>
        </w:rPr>
        <w:t xml:space="preserve"> Society depended on sexual norms, and just as in Marlowe’s </w:t>
      </w:r>
      <w:r w:rsidR="00E025A0" w:rsidRPr="005735A9">
        <w:rPr>
          <w:i/>
          <w:iCs/>
          <w:sz w:val="24"/>
          <w:szCs w:val="24"/>
        </w:rPr>
        <w:t>Edward II</w:t>
      </w:r>
      <w:r w:rsidR="00E025A0" w:rsidRPr="005735A9">
        <w:rPr>
          <w:sz w:val="24"/>
          <w:szCs w:val="24"/>
        </w:rPr>
        <w:t xml:space="preserve"> with sodomy as an issue, incest is also a behaviour that threatens this.</w:t>
      </w:r>
      <w:r w:rsidR="00E025A0" w:rsidRPr="005735A9">
        <w:rPr>
          <w:rStyle w:val="FootnoteReference"/>
          <w:sz w:val="24"/>
          <w:szCs w:val="24"/>
        </w:rPr>
        <w:footnoteReference w:id="16"/>
      </w:r>
      <w:r w:rsidR="00E025A0" w:rsidRPr="005735A9">
        <w:rPr>
          <w:sz w:val="24"/>
          <w:szCs w:val="24"/>
        </w:rPr>
        <w:t xml:space="preserve"> </w:t>
      </w:r>
    </w:p>
    <w:p w14:paraId="5C866D8B" w14:textId="18B89C0B" w:rsidR="007A2722" w:rsidRPr="005735A9" w:rsidRDefault="005735A9" w:rsidP="005735A9">
      <w:pPr>
        <w:spacing w:line="480" w:lineRule="auto"/>
        <w:rPr>
          <w:sz w:val="24"/>
          <w:szCs w:val="24"/>
        </w:rPr>
      </w:pPr>
      <w:r>
        <w:rPr>
          <w:sz w:val="24"/>
          <w:szCs w:val="24"/>
        </w:rPr>
        <w:t xml:space="preserve">  </w:t>
      </w:r>
      <w:r w:rsidR="007A2722" w:rsidRPr="005735A9">
        <w:rPr>
          <w:sz w:val="24"/>
          <w:szCs w:val="24"/>
        </w:rPr>
        <w:t xml:space="preserve">Shakespeare probably wrote </w:t>
      </w:r>
      <w:r w:rsidR="007A2722" w:rsidRPr="005735A9">
        <w:rPr>
          <w:i/>
          <w:iCs/>
          <w:sz w:val="24"/>
          <w:szCs w:val="24"/>
        </w:rPr>
        <w:t>Measure for Measure</w:t>
      </w:r>
      <w:r w:rsidR="007A2722" w:rsidRPr="005735A9">
        <w:rPr>
          <w:sz w:val="24"/>
          <w:szCs w:val="24"/>
        </w:rPr>
        <w:t xml:space="preserve"> in 1604, the year it was possibly first acted.</w:t>
      </w:r>
      <w:r w:rsidR="007A2722" w:rsidRPr="005735A9">
        <w:rPr>
          <w:rStyle w:val="FootnoteReference"/>
          <w:sz w:val="24"/>
          <w:szCs w:val="24"/>
        </w:rPr>
        <w:footnoteReference w:id="17"/>
      </w:r>
      <w:r w:rsidR="007A2722" w:rsidRPr="005735A9">
        <w:rPr>
          <w:sz w:val="24"/>
          <w:szCs w:val="24"/>
        </w:rPr>
        <w:t xml:space="preserve"> </w:t>
      </w:r>
      <w:r w:rsidR="007A2722" w:rsidRPr="005735A9">
        <w:rPr>
          <w:i/>
          <w:iCs/>
          <w:sz w:val="24"/>
          <w:szCs w:val="24"/>
        </w:rPr>
        <w:t xml:space="preserve">Measure for </w:t>
      </w:r>
      <w:r w:rsidR="00EC1D6B" w:rsidRPr="005735A9">
        <w:rPr>
          <w:i/>
          <w:iCs/>
          <w:sz w:val="24"/>
          <w:szCs w:val="24"/>
        </w:rPr>
        <w:t>M</w:t>
      </w:r>
      <w:r w:rsidR="007A2722" w:rsidRPr="005735A9">
        <w:rPr>
          <w:i/>
          <w:iCs/>
          <w:sz w:val="24"/>
          <w:szCs w:val="24"/>
        </w:rPr>
        <w:t>easure</w:t>
      </w:r>
      <w:r w:rsidR="007A2722" w:rsidRPr="005735A9">
        <w:rPr>
          <w:sz w:val="24"/>
          <w:szCs w:val="24"/>
        </w:rPr>
        <w:t xml:space="preserve"> tells the story of a man</w:t>
      </w:r>
      <w:r w:rsidR="00E025A0" w:rsidRPr="005735A9">
        <w:rPr>
          <w:sz w:val="24"/>
          <w:szCs w:val="24"/>
        </w:rPr>
        <w:t>,</w:t>
      </w:r>
      <w:r w:rsidR="007A2722" w:rsidRPr="005735A9">
        <w:rPr>
          <w:sz w:val="24"/>
          <w:szCs w:val="24"/>
        </w:rPr>
        <w:t xml:space="preserve"> </w:t>
      </w:r>
      <w:r w:rsidR="00E025A0" w:rsidRPr="005735A9">
        <w:rPr>
          <w:sz w:val="24"/>
          <w:szCs w:val="24"/>
        </w:rPr>
        <w:t>Claudio,</w:t>
      </w:r>
      <w:r w:rsidR="007A2722" w:rsidRPr="005735A9">
        <w:rPr>
          <w:sz w:val="24"/>
          <w:szCs w:val="24"/>
        </w:rPr>
        <w:t xml:space="preserve"> </w:t>
      </w:r>
      <w:r w:rsidR="00EC1D6B" w:rsidRPr="005735A9">
        <w:rPr>
          <w:sz w:val="24"/>
          <w:szCs w:val="24"/>
        </w:rPr>
        <w:t xml:space="preserve">who is </w:t>
      </w:r>
      <w:r w:rsidR="007A2722" w:rsidRPr="005735A9">
        <w:rPr>
          <w:sz w:val="24"/>
          <w:szCs w:val="24"/>
        </w:rPr>
        <w:t xml:space="preserve">in love </w:t>
      </w:r>
      <w:r w:rsidR="00EC1D6B" w:rsidRPr="005735A9">
        <w:rPr>
          <w:sz w:val="24"/>
          <w:szCs w:val="24"/>
        </w:rPr>
        <w:t>and</w:t>
      </w:r>
      <w:r w:rsidR="007A2722" w:rsidRPr="005735A9">
        <w:rPr>
          <w:sz w:val="24"/>
          <w:szCs w:val="24"/>
        </w:rPr>
        <w:t xml:space="preserve"> breaks the law by having sex and impregnating his fiancé before </w:t>
      </w:r>
      <w:r w:rsidR="00EC1D6B" w:rsidRPr="005735A9">
        <w:rPr>
          <w:sz w:val="24"/>
          <w:szCs w:val="24"/>
        </w:rPr>
        <w:t>marriage</w:t>
      </w:r>
      <w:r w:rsidR="007A2722" w:rsidRPr="005735A9">
        <w:rPr>
          <w:sz w:val="24"/>
          <w:szCs w:val="24"/>
        </w:rPr>
        <w:t xml:space="preserve">. </w:t>
      </w:r>
      <w:r w:rsidR="00E025A0" w:rsidRPr="005735A9">
        <w:rPr>
          <w:sz w:val="24"/>
          <w:szCs w:val="24"/>
        </w:rPr>
        <w:t>Claudio</w:t>
      </w:r>
      <w:r w:rsidR="007A2722" w:rsidRPr="005735A9">
        <w:rPr>
          <w:sz w:val="24"/>
          <w:szCs w:val="24"/>
        </w:rPr>
        <w:t xml:space="preserve"> is then held accountable </w:t>
      </w:r>
      <w:r w:rsidR="00E025A0" w:rsidRPr="005735A9">
        <w:rPr>
          <w:sz w:val="24"/>
          <w:szCs w:val="24"/>
        </w:rPr>
        <w:t>for</w:t>
      </w:r>
      <w:r w:rsidR="007A2722" w:rsidRPr="005735A9">
        <w:rPr>
          <w:sz w:val="24"/>
          <w:szCs w:val="24"/>
        </w:rPr>
        <w:t xml:space="preserve"> his actions and sentenced to death. In an attempt to save her </w:t>
      </w:r>
      <w:r w:rsidR="00E025A0" w:rsidRPr="005735A9">
        <w:rPr>
          <w:sz w:val="24"/>
          <w:szCs w:val="24"/>
        </w:rPr>
        <w:t>brother’s</w:t>
      </w:r>
      <w:r w:rsidR="007A2722" w:rsidRPr="005735A9">
        <w:rPr>
          <w:sz w:val="24"/>
          <w:szCs w:val="24"/>
        </w:rPr>
        <w:t xml:space="preserve"> life</w:t>
      </w:r>
      <w:r w:rsidR="00E025A0" w:rsidRPr="005735A9">
        <w:rPr>
          <w:sz w:val="24"/>
          <w:szCs w:val="24"/>
        </w:rPr>
        <w:t>,</w:t>
      </w:r>
      <w:r w:rsidR="007A2722" w:rsidRPr="005735A9">
        <w:rPr>
          <w:sz w:val="24"/>
          <w:szCs w:val="24"/>
        </w:rPr>
        <w:t xml:space="preserve"> his sister Isabella pleads with Angelo</w:t>
      </w:r>
      <w:r w:rsidR="00E025A0" w:rsidRPr="005735A9">
        <w:rPr>
          <w:sz w:val="24"/>
          <w:szCs w:val="24"/>
        </w:rPr>
        <w:t>, the deputy left in charge by the Duke,</w:t>
      </w:r>
      <w:r w:rsidR="007A2722" w:rsidRPr="005735A9">
        <w:rPr>
          <w:sz w:val="24"/>
          <w:szCs w:val="24"/>
        </w:rPr>
        <w:t xml:space="preserve"> not to have </w:t>
      </w:r>
      <w:r w:rsidR="00E025A0" w:rsidRPr="005735A9">
        <w:rPr>
          <w:sz w:val="24"/>
          <w:szCs w:val="24"/>
        </w:rPr>
        <w:t>Claudio</w:t>
      </w:r>
      <w:r w:rsidR="007A2722" w:rsidRPr="005735A9">
        <w:rPr>
          <w:sz w:val="24"/>
          <w:szCs w:val="24"/>
        </w:rPr>
        <w:t xml:space="preserve"> killed. Angelo agrees to set him free if Isabella, who </w:t>
      </w:r>
      <w:r w:rsidR="00EC1D6B" w:rsidRPr="005735A9">
        <w:rPr>
          <w:sz w:val="24"/>
          <w:szCs w:val="24"/>
        </w:rPr>
        <w:t>i</w:t>
      </w:r>
      <w:r w:rsidR="007A2722" w:rsidRPr="005735A9">
        <w:rPr>
          <w:sz w:val="24"/>
          <w:szCs w:val="24"/>
        </w:rPr>
        <w:t xml:space="preserve">s about to become a nun, has sex with him. Isabella refuses and tells her brother that he must die. The </w:t>
      </w:r>
      <w:r w:rsidR="00EC1D6B" w:rsidRPr="005735A9">
        <w:rPr>
          <w:sz w:val="24"/>
          <w:szCs w:val="24"/>
        </w:rPr>
        <w:t>D</w:t>
      </w:r>
      <w:r w:rsidR="007A2722" w:rsidRPr="005735A9">
        <w:rPr>
          <w:sz w:val="24"/>
          <w:szCs w:val="24"/>
        </w:rPr>
        <w:t>uke</w:t>
      </w:r>
      <w:r w:rsidR="00E025A0" w:rsidRPr="005735A9">
        <w:rPr>
          <w:sz w:val="24"/>
          <w:szCs w:val="24"/>
        </w:rPr>
        <w:t>,</w:t>
      </w:r>
      <w:r w:rsidR="007A2722" w:rsidRPr="005735A9">
        <w:rPr>
          <w:sz w:val="24"/>
          <w:szCs w:val="24"/>
        </w:rPr>
        <w:t xml:space="preserve"> </w:t>
      </w:r>
      <w:r w:rsidR="00EC1D6B" w:rsidRPr="005735A9">
        <w:rPr>
          <w:sz w:val="24"/>
          <w:szCs w:val="24"/>
        </w:rPr>
        <w:t>disguised as a friar throughout the play, discovers Angelo’s plot, and all ends well for most</w:t>
      </w:r>
      <w:r w:rsidR="007A2722" w:rsidRPr="005735A9">
        <w:rPr>
          <w:sz w:val="24"/>
          <w:szCs w:val="24"/>
        </w:rPr>
        <w:t xml:space="preserve"> players. </w:t>
      </w:r>
    </w:p>
    <w:p w14:paraId="22C89F69" w14:textId="2878E6D4" w:rsidR="007A2722" w:rsidRPr="005735A9" w:rsidRDefault="005735A9" w:rsidP="005735A9">
      <w:pPr>
        <w:spacing w:line="480" w:lineRule="auto"/>
        <w:rPr>
          <w:sz w:val="24"/>
          <w:szCs w:val="24"/>
        </w:rPr>
      </w:pPr>
      <w:r>
        <w:rPr>
          <w:sz w:val="24"/>
          <w:szCs w:val="24"/>
        </w:rPr>
        <w:t xml:space="preserve">  </w:t>
      </w:r>
      <w:r w:rsidR="00EC1D6B" w:rsidRPr="005735A9">
        <w:rPr>
          <w:sz w:val="24"/>
          <w:szCs w:val="24"/>
        </w:rPr>
        <w:t>F</w:t>
      </w:r>
      <w:r w:rsidR="007A2722" w:rsidRPr="005735A9">
        <w:rPr>
          <w:sz w:val="24"/>
          <w:szCs w:val="24"/>
        </w:rPr>
        <w:t>orbidden love or desire appears in this play at least twice</w:t>
      </w:r>
      <w:r w:rsidR="00EC1D6B" w:rsidRPr="005735A9">
        <w:rPr>
          <w:sz w:val="24"/>
          <w:szCs w:val="24"/>
        </w:rPr>
        <w:t>, f</w:t>
      </w:r>
      <w:r w:rsidR="007A2722" w:rsidRPr="005735A9">
        <w:rPr>
          <w:sz w:val="24"/>
          <w:szCs w:val="24"/>
        </w:rPr>
        <w:t xml:space="preserve">irst in the desire that overtook Claudio, who had sex before marriage and the second in Angelo’s desire for the chaste </w:t>
      </w:r>
      <w:r w:rsidR="007A2722" w:rsidRPr="005735A9">
        <w:rPr>
          <w:sz w:val="24"/>
          <w:szCs w:val="24"/>
        </w:rPr>
        <w:lastRenderedPageBreak/>
        <w:t>Isabella. Angelo’s desire for Isabelle is worse as he is attempting to commit the same crime for which he is having Isabella’s brother executed for. It is</w:t>
      </w:r>
      <w:r w:rsidR="00EC1D6B" w:rsidRPr="005735A9">
        <w:rPr>
          <w:sz w:val="24"/>
          <w:szCs w:val="24"/>
        </w:rPr>
        <w:t xml:space="preserve"> no</w:t>
      </w:r>
      <w:r w:rsidR="007A2722" w:rsidRPr="005735A9">
        <w:rPr>
          <w:sz w:val="24"/>
          <w:szCs w:val="24"/>
        </w:rPr>
        <w:t xml:space="preserve">t the case of loving someone </w:t>
      </w:r>
      <w:r w:rsidR="00EC1D6B" w:rsidRPr="005735A9">
        <w:rPr>
          <w:sz w:val="24"/>
          <w:szCs w:val="24"/>
        </w:rPr>
        <w:t>he plans to</w:t>
      </w:r>
      <w:r w:rsidR="007A2722" w:rsidRPr="005735A9">
        <w:rPr>
          <w:sz w:val="24"/>
          <w:szCs w:val="24"/>
        </w:rPr>
        <w:t xml:space="preserve"> marry</w:t>
      </w:r>
      <w:r w:rsidR="00E025A0" w:rsidRPr="005735A9">
        <w:rPr>
          <w:sz w:val="24"/>
          <w:szCs w:val="24"/>
        </w:rPr>
        <w:t>,</w:t>
      </w:r>
      <w:r w:rsidR="007A2722" w:rsidRPr="005735A9">
        <w:rPr>
          <w:sz w:val="24"/>
          <w:szCs w:val="24"/>
        </w:rPr>
        <w:t xml:space="preserve"> as is the case for Claudio. Angelo is guilty of lust</w:t>
      </w:r>
      <w:r w:rsidR="00E025A0" w:rsidRPr="005735A9">
        <w:rPr>
          <w:sz w:val="24"/>
          <w:szCs w:val="24"/>
        </w:rPr>
        <w:t>,</w:t>
      </w:r>
      <w:r w:rsidR="007A2722" w:rsidRPr="005735A9">
        <w:rPr>
          <w:sz w:val="24"/>
          <w:szCs w:val="24"/>
        </w:rPr>
        <w:t xml:space="preserve"> whereas it could be argued </w:t>
      </w:r>
      <w:r w:rsidR="00EC1D6B" w:rsidRPr="005735A9">
        <w:rPr>
          <w:sz w:val="24"/>
          <w:szCs w:val="24"/>
        </w:rPr>
        <w:t xml:space="preserve">that </w:t>
      </w:r>
      <w:r w:rsidR="007A2722" w:rsidRPr="005735A9">
        <w:rPr>
          <w:sz w:val="24"/>
          <w:szCs w:val="24"/>
        </w:rPr>
        <w:t>Claudio is guilty of love.</w:t>
      </w:r>
      <w:r w:rsidR="00E025A0" w:rsidRPr="005735A9">
        <w:rPr>
          <w:sz w:val="24"/>
          <w:szCs w:val="24"/>
        </w:rPr>
        <w:t xml:space="preserve"> In Claudio</w:t>
      </w:r>
      <w:r w:rsidR="00EC1D6B" w:rsidRPr="005735A9">
        <w:rPr>
          <w:sz w:val="24"/>
          <w:szCs w:val="24"/>
        </w:rPr>
        <w:t>'</w:t>
      </w:r>
      <w:r w:rsidR="00E025A0" w:rsidRPr="005735A9">
        <w:rPr>
          <w:sz w:val="24"/>
          <w:szCs w:val="24"/>
        </w:rPr>
        <w:t>s case</w:t>
      </w:r>
      <w:r w:rsidR="00EC1D6B" w:rsidRPr="005735A9">
        <w:rPr>
          <w:sz w:val="24"/>
          <w:szCs w:val="24"/>
        </w:rPr>
        <w:t>,</w:t>
      </w:r>
      <w:r w:rsidR="00E025A0" w:rsidRPr="005735A9">
        <w:rPr>
          <w:sz w:val="24"/>
          <w:szCs w:val="24"/>
        </w:rPr>
        <w:t xml:space="preserve"> though, at a time whe</w:t>
      </w:r>
      <w:r w:rsidR="00EC1D6B" w:rsidRPr="005735A9">
        <w:rPr>
          <w:sz w:val="24"/>
          <w:szCs w:val="24"/>
        </w:rPr>
        <w:t>n</w:t>
      </w:r>
      <w:r w:rsidR="00E025A0" w:rsidRPr="005735A9">
        <w:rPr>
          <w:sz w:val="24"/>
          <w:szCs w:val="24"/>
        </w:rPr>
        <w:t xml:space="preserve"> sex was a restricted activity</w:t>
      </w:r>
      <w:r w:rsidR="00EC1D6B" w:rsidRPr="005735A9">
        <w:rPr>
          <w:sz w:val="24"/>
          <w:szCs w:val="24"/>
        </w:rPr>
        <w:t>,</w:t>
      </w:r>
      <w:r w:rsidR="00E025A0" w:rsidRPr="005735A9">
        <w:rPr>
          <w:sz w:val="24"/>
          <w:szCs w:val="24"/>
        </w:rPr>
        <w:t xml:space="preserve"> as above with sodomy and incest, premarital sex was still a punishable offence.</w:t>
      </w:r>
      <w:r w:rsidR="00E025A0" w:rsidRPr="005735A9">
        <w:rPr>
          <w:rStyle w:val="FootnoteReference"/>
          <w:sz w:val="24"/>
          <w:szCs w:val="24"/>
        </w:rPr>
        <w:footnoteReference w:id="18"/>
      </w:r>
      <w:r w:rsidR="00E025A0" w:rsidRPr="005735A9">
        <w:rPr>
          <w:sz w:val="24"/>
          <w:szCs w:val="24"/>
        </w:rPr>
        <w:t xml:space="preserve"> This would make it forbidden, just as it would for Angelo. </w:t>
      </w:r>
    </w:p>
    <w:p w14:paraId="56AEA6A6" w14:textId="3B836B63" w:rsidR="007A2722" w:rsidRPr="005735A9" w:rsidRDefault="005735A9" w:rsidP="005735A9">
      <w:pPr>
        <w:spacing w:line="480" w:lineRule="auto"/>
        <w:rPr>
          <w:sz w:val="24"/>
          <w:szCs w:val="24"/>
        </w:rPr>
      </w:pPr>
      <w:r>
        <w:rPr>
          <w:sz w:val="24"/>
          <w:szCs w:val="24"/>
        </w:rPr>
        <w:t xml:space="preserve">  </w:t>
      </w:r>
      <w:r w:rsidR="00E025A0" w:rsidRPr="005735A9">
        <w:rPr>
          <w:sz w:val="24"/>
          <w:szCs w:val="24"/>
        </w:rPr>
        <w:t>Renaissance t</w:t>
      </w:r>
      <w:r w:rsidR="007A2722" w:rsidRPr="005735A9">
        <w:rPr>
          <w:sz w:val="24"/>
          <w:szCs w:val="24"/>
        </w:rPr>
        <w:t xml:space="preserve">heatre was </w:t>
      </w:r>
      <w:r w:rsidR="00E025A0" w:rsidRPr="005735A9">
        <w:rPr>
          <w:sz w:val="24"/>
          <w:szCs w:val="24"/>
        </w:rPr>
        <w:t xml:space="preserve">important </w:t>
      </w:r>
      <w:r w:rsidR="007A2722" w:rsidRPr="005735A9">
        <w:rPr>
          <w:sz w:val="24"/>
          <w:szCs w:val="24"/>
        </w:rPr>
        <w:t>for education</w:t>
      </w:r>
      <w:r w:rsidR="00E025A0" w:rsidRPr="005735A9">
        <w:rPr>
          <w:sz w:val="24"/>
          <w:szCs w:val="24"/>
        </w:rPr>
        <w:t xml:space="preserve"> and moral instruction. The themes a</w:t>
      </w:r>
      <w:r w:rsidR="007A2722" w:rsidRPr="005735A9">
        <w:rPr>
          <w:sz w:val="24"/>
          <w:szCs w:val="24"/>
        </w:rPr>
        <w:t xml:space="preserve">nd </w:t>
      </w:r>
      <w:r w:rsidR="00E025A0" w:rsidRPr="005735A9">
        <w:rPr>
          <w:sz w:val="24"/>
          <w:szCs w:val="24"/>
        </w:rPr>
        <w:t xml:space="preserve">events that were acted out </w:t>
      </w:r>
      <w:r w:rsidR="007A2722" w:rsidRPr="005735A9">
        <w:rPr>
          <w:sz w:val="24"/>
          <w:szCs w:val="24"/>
        </w:rPr>
        <w:t xml:space="preserve">could teach what had happened in the past </w:t>
      </w:r>
      <w:r w:rsidR="00E025A0" w:rsidRPr="005735A9">
        <w:rPr>
          <w:sz w:val="24"/>
          <w:szCs w:val="24"/>
        </w:rPr>
        <w:t>and</w:t>
      </w:r>
      <w:r w:rsidR="00EC1D6B" w:rsidRPr="005735A9">
        <w:rPr>
          <w:sz w:val="24"/>
          <w:szCs w:val="24"/>
        </w:rPr>
        <w:t>,</w:t>
      </w:r>
      <w:r w:rsidR="00E025A0" w:rsidRPr="005735A9">
        <w:rPr>
          <w:sz w:val="24"/>
          <w:szCs w:val="24"/>
        </w:rPr>
        <w:t xml:space="preserve"> </w:t>
      </w:r>
      <w:r w:rsidR="007A2722" w:rsidRPr="005735A9">
        <w:rPr>
          <w:sz w:val="24"/>
          <w:szCs w:val="24"/>
        </w:rPr>
        <w:t>in some cases</w:t>
      </w:r>
      <w:r w:rsidR="00EC1D6B" w:rsidRPr="005735A9">
        <w:rPr>
          <w:sz w:val="24"/>
          <w:szCs w:val="24"/>
        </w:rPr>
        <w:t>,</w:t>
      </w:r>
      <w:r w:rsidR="007A2722" w:rsidRPr="005735A9">
        <w:rPr>
          <w:sz w:val="24"/>
          <w:szCs w:val="24"/>
        </w:rPr>
        <w:t xml:space="preserve"> the repercussions of </w:t>
      </w:r>
      <w:r w:rsidR="00E025A0" w:rsidRPr="005735A9">
        <w:rPr>
          <w:sz w:val="24"/>
          <w:szCs w:val="24"/>
        </w:rPr>
        <w:t>certain decisions. Th</w:t>
      </w:r>
      <w:r w:rsidR="00EC1D6B" w:rsidRPr="005735A9">
        <w:rPr>
          <w:sz w:val="24"/>
          <w:szCs w:val="24"/>
        </w:rPr>
        <w:t>e plays and their teachings</w:t>
      </w:r>
      <w:r w:rsidR="00E025A0" w:rsidRPr="005735A9">
        <w:rPr>
          <w:sz w:val="24"/>
          <w:szCs w:val="24"/>
        </w:rPr>
        <w:t xml:space="preserve"> could influence the people watching to make better decisions and lead safer li</w:t>
      </w:r>
      <w:r w:rsidR="00EC1D6B" w:rsidRPr="005735A9">
        <w:rPr>
          <w:sz w:val="24"/>
          <w:szCs w:val="24"/>
        </w:rPr>
        <w:t>ves</w:t>
      </w:r>
      <w:r w:rsidR="00E025A0" w:rsidRPr="005735A9">
        <w:rPr>
          <w:sz w:val="24"/>
          <w:szCs w:val="24"/>
        </w:rPr>
        <w:t xml:space="preserve">. Sex was regulated </w:t>
      </w:r>
      <w:r w:rsidR="00EC1D6B" w:rsidRPr="005735A9">
        <w:rPr>
          <w:sz w:val="24"/>
          <w:szCs w:val="24"/>
        </w:rPr>
        <w:t>when</w:t>
      </w:r>
      <w:r w:rsidR="00E025A0" w:rsidRPr="005735A9">
        <w:rPr>
          <w:sz w:val="24"/>
          <w:szCs w:val="24"/>
        </w:rPr>
        <w:t xml:space="preserve"> these plays were written</w:t>
      </w:r>
      <w:r w:rsidR="00EC1D6B" w:rsidRPr="005735A9">
        <w:rPr>
          <w:sz w:val="24"/>
          <w:szCs w:val="24"/>
        </w:rPr>
        <w:t>,</w:t>
      </w:r>
      <w:r w:rsidR="00E025A0" w:rsidRPr="005735A9">
        <w:rPr>
          <w:sz w:val="24"/>
          <w:szCs w:val="24"/>
        </w:rPr>
        <w:t xml:space="preserve"> and each time they were viewed could have been a reminder of this fact and of the repercussions that the individuals watching would have to cope with should they break the laws themselves. </w:t>
      </w:r>
    </w:p>
    <w:p w14:paraId="3ADACF6F" w14:textId="7754AEB6" w:rsidR="007A2722" w:rsidRPr="005735A9" w:rsidRDefault="007A2722" w:rsidP="005735A9">
      <w:pPr>
        <w:spacing w:line="480" w:lineRule="auto"/>
        <w:rPr>
          <w:sz w:val="24"/>
          <w:szCs w:val="24"/>
        </w:rPr>
      </w:pPr>
    </w:p>
    <w:p w14:paraId="06BF70B6" w14:textId="79539B81" w:rsidR="007A2722" w:rsidRPr="005735A9" w:rsidRDefault="007A2722" w:rsidP="005735A9">
      <w:pPr>
        <w:spacing w:line="480" w:lineRule="auto"/>
        <w:rPr>
          <w:sz w:val="24"/>
          <w:szCs w:val="24"/>
        </w:rPr>
      </w:pPr>
    </w:p>
    <w:p w14:paraId="346C8725" w14:textId="42896B56" w:rsidR="007A2722" w:rsidRPr="005735A9" w:rsidRDefault="007A2722" w:rsidP="005735A9">
      <w:pPr>
        <w:spacing w:line="480" w:lineRule="auto"/>
        <w:rPr>
          <w:sz w:val="24"/>
          <w:szCs w:val="24"/>
        </w:rPr>
      </w:pPr>
    </w:p>
    <w:p w14:paraId="6AD1A8F0" w14:textId="77777777" w:rsidR="005735A9" w:rsidRDefault="005735A9" w:rsidP="005735A9">
      <w:pPr>
        <w:spacing w:line="480" w:lineRule="auto"/>
        <w:rPr>
          <w:sz w:val="24"/>
          <w:szCs w:val="24"/>
        </w:rPr>
      </w:pPr>
    </w:p>
    <w:p w14:paraId="3DA22EC4" w14:textId="77777777" w:rsidR="005735A9" w:rsidRDefault="005735A9" w:rsidP="005735A9">
      <w:pPr>
        <w:spacing w:line="480" w:lineRule="auto"/>
        <w:rPr>
          <w:sz w:val="24"/>
          <w:szCs w:val="24"/>
        </w:rPr>
      </w:pPr>
    </w:p>
    <w:p w14:paraId="2FDF6DE7" w14:textId="77777777" w:rsidR="005735A9" w:rsidRDefault="005735A9" w:rsidP="005735A9">
      <w:pPr>
        <w:spacing w:line="480" w:lineRule="auto"/>
        <w:rPr>
          <w:sz w:val="24"/>
          <w:szCs w:val="24"/>
        </w:rPr>
      </w:pPr>
    </w:p>
    <w:p w14:paraId="6217A9BE" w14:textId="77777777" w:rsidR="005735A9" w:rsidRDefault="005735A9" w:rsidP="005735A9">
      <w:pPr>
        <w:spacing w:line="480" w:lineRule="auto"/>
        <w:rPr>
          <w:sz w:val="24"/>
          <w:szCs w:val="24"/>
        </w:rPr>
      </w:pPr>
    </w:p>
    <w:p w14:paraId="2CE7945D" w14:textId="2988043F" w:rsidR="007A2722" w:rsidRPr="005735A9" w:rsidRDefault="007A2722" w:rsidP="005735A9">
      <w:pPr>
        <w:spacing w:line="480" w:lineRule="auto"/>
        <w:rPr>
          <w:sz w:val="24"/>
          <w:szCs w:val="24"/>
        </w:rPr>
      </w:pPr>
      <w:r w:rsidRPr="005735A9">
        <w:rPr>
          <w:sz w:val="24"/>
          <w:szCs w:val="24"/>
        </w:rPr>
        <w:lastRenderedPageBreak/>
        <w:t>Bibliography</w:t>
      </w:r>
    </w:p>
    <w:p w14:paraId="22E539EC" w14:textId="71046DE5" w:rsidR="007A2722" w:rsidRPr="005735A9" w:rsidRDefault="007A2722" w:rsidP="005735A9">
      <w:pPr>
        <w:spacing w:line="480" w:lineRule="auto"/>
        <w:rPr>
          <w:sz w:val="24"/>
          <w:szCs w:val="24"/>
        </w:rPr>
      </w:pPr>
      <w:r w:rsidRPr="005735A9">
        <w:rPr>
          <w:sz w:val="24"/>
          <w:szCs w:val="24"/>
        </w:rPr>
        <w:t>Bevington</w:t>
      </w:r>
      <w:r w:rsidRPr="005735A9">
        <w:rPr>
          <w:sz w:val="24"/>
          <w:szCs w:val="24"/>
        </w:rPr>
        <w:t xml:space="preserve">, </w:t>
      </w:r>
      <w:r w:rsidRPr="005735A9">
        <w:rPr>
          <w:sz w:val="24"/>
          <w:szCs w:val="24"/>
        </w:rPr>
        <w:t>David</w:t>
      </w:r>
      <w:r w:rsidRPr="005735A9">
        <w:rPr>
          <w:sz w:val="24"/>
          <w:szCs w:val="24"/>
        </w:rPr>
        <w:t>.</w:t>
      </w:r>
      <w:r w:rsidRPr="005735A9">
        <w:rPr>
          <w:sz w:val="24"/>
          <w:szCs w:val="24"/>
        </w:rPr>
        <w:t xml:space="preserve"> </w:t>
      </w:r>
      <w:r w:rsidRPr="005735A9">
        <w:rPr>
          <w:i/>
          <w:iCs/>
          <w:sz w:val="24"/>
          <w:szCs w:val="24"/>
        </w:rPr>
        <w:t xml:space="preserve">English Renaissance Drama A Norton Anthology. </w:t>
      </w:r>
      <w:r w:rsidRPr="005735A9">
        <w:rPr>
          <w:sz w:val="24"/>
          <w:szCs w:val="24"/>
        </w:rPr>
        <w:t>(W.W. Norton &amp; Company: London, 2002).</w:t>
      </w:r>
    </w:p>
    <w:p w14:paraId="6AF0C5DE" w14:textId="77777777" w:rsidR="005735A9" w:rsidRDefault="00EC1D6B" w:rsidP="005735A9">
      <w:pPr>
        <w:spacing w:line="480" w:lineRule="auto"/>
        <w:rPr>
          <w:sz w:val="24"/>
          <w:szCs w:val="24"/>
        </w:rPr>
      </w:pPr>
      <w:r w:rsidRPr="005735A9">
        <w:rPr>
          <w:sz w:val="24"/>
          <w:szCs w:val="24"/>
        </w:rPr>
        <w:t xml:space="preserve">Chen, </w:t>
      </w:r>
      <w:r w:rsidRPr="005735A9">
        <w:rPr>
          <w:sz w:val="24"/>
          <w:szCs w:val="24"/>
        </w:rPr>
        <w:t>Ming-</w:t>
      </w:r>
      <w:proofErr w:type="spellStart"/>
      <w:r w:rsidRPr="005735A9">
        <w:rPr>
          <w:sz w:val="24"/>
          <w:szCs w:val="24"/>
        </w:rPr>
        <w:t>hsiu</w:t>
      </w:r>
      <w:proofErr w:type="spellEnd"/>
      <w:r w:rsidRPr="005735A9">
        <w:rPr>
          <w:sz w:val="24"/>
          <w:szCs w:val="24"/>
        </w:rPr>
        <w:t>.</w:t>
      </w:r>
      <w:r w:rsidRPr="005735A9">
        <w:rPr>
          <w:sz w:val="24"/>
          <w:szCs w:val="24"/>
        </w:rPr>
        <w:t xml:space="preserve"> "Marriage and Sexual Regulation in Ford’s’ Tis Pity She’s</w:t>
      </w:r>
      <w:r w:rsidR="00A0514F" w:rsidRPr="005735A9">
        <w:rPr>
          <w:sz w:val="24"/>
          <w:szCs w:val="24"/>
        </w:rPr>
        <w:t xml:space="preserve"> </w:t>
      </w:r>
      <w:r w:rsidRPr="005735A9">
        <w:rPr>
          <w:sz w:val="24"/>
          <w:szCs w:val="24"/>
        </w:rPr>
        <w:t>a Whore." </w:t>
      </w:r>
      <w:proofErr w:type="spellStart"/>
      <w:r w:rsidRPr="005735A9">
        <w:rPr>
          <w:i/>
          <w:iCs/>
          <w:sz w:val="24"/>
          <w:szCs w:val="24"/>
        </w:rPr>
        <w:t>Intergrams</w:t>
      </w:r>
      <w:proofErr w:type="spellEnd"/>
      <w:r w:rsidRPr="005735A9">
        <w:rPr>
          <w:sz w:val="24"/>
          <w:szCs w:val="24"/>
        </w:rPr>
        <w:t> 11.2 (2011): 1-24.</w:t>
      </w:r>
    </w:p>
    <w:p w14:paraId="06150523" w14:textId="1E66DB1E" w:rsidR="005735A9" w:rsidRDefault="00E025A0" w:rsidP="005735A9">
      <w:pPr>
        <w:spacing w:line="480" w:lineRule="auto"/>
        <w:rPr>
          <w:sz w:val="24"/>
          <w:szCs w:val="24"/>
        </w:rPr>
      </w:pPr>
      <w:proofErr w:type="spellStart"/>
      <w:r w:rsidRPr="005735A9">
        <w:rPr>
          <w:sz w:val="24"/>
          <w:szCs w:val="24"/>
        </w:rPr>
        <w:t>Gauer</w:t>
      </w:r>
      <w:proofErr w:type="spellEnd"/>
      <w:r w:rsidRPr="005735A9">
        <w:rPr>
          <w:sz w:val="24"/>
          <w:szCs w:val="24"/>
        </w:rPr>
        <w:t xml:space="preserve">, D. Heart and Blood: Nature and Culture in Tis Pity She’s a Whore. Cahiers </w:t>
      </w:r>
      <w:proofErr w:type="spellStart"/>
      <w:r w:rsidRPr="005735A9">
        <w:rPr>
          <w:sz w:val="24"/>
          <w:szCs w:val="24"/>
        </w:rPr>
        <w:t>Élisabéthains</w:t>
      </w:r>
      <w:proofErr w:type="spellEnd"/>
      <w:r w:rsidRPr="005735A9">
        <w:rPr>
          <w:sz w:val="24"/>
          <w:szCs w:val="24"/>
        </w:rPr>
        <w:t>, 31(1)</w:t>
      </w:r>
      <w:r w:rsidR="00A0514F" w:rsidRPr="005735A9">
        <w:rPr>
          <w:sz w:val="24"/>
          <w:szCs w:val="24"/>
        </w:rPr>
        <w:t xml:space="preserve">, </w:t>
      </w:r>
      <w:r w:rsidR="00A0514F" w:rsidRPr="005735A9">
        <w:rPr>
          <w:sz w:val="24"/>
          <w:szCs w:val="24"/>
        </w:rPr>
        <w:t>(1987).</w:t>
      </w:r>
      <w:r w:rsidRPr="005735A9">
        <w:rPr>
          <w:sz w:val="24"/>
          <w:szCs w:val="24"/>
        </w:rPr>
        <w:t xml:space="preserve"> </w:t>
      </w:r>
      <w:r w:rsidR="00A0514F" w:rsidRPr="005735A9">
        <w:rPr>
          <w:sz w:val="24"/>
          <w:szCs w:val="24"/>
        </w:rPr>
        <w:t>pp</w:t>
      </w:r>
      <w:r w:rsidRPr="005735A9">
        <w:rPr>
          <w:sz w:val="24"/>
          <w:szCs w:val="24"/>
        </w:rPr>
        <w:t xml:space="preserve">45–57. </w:t>
      </w:r>
      <w:hyperlink r:id="rId7" w:history="1">
        <w:r w:rsidRPr="005735A9">
          <w:rPr>
            <w:rStyle w:val="Hyperlink"/>
            <w:sz w:val="24"/>
            <w:szCs w:val="24"/>
          </w:rPr>
          <w:t>https://doi.org/10.1177/018476788703100107</w:t>
        </w:r>
      </w:hyperlink>
      <w:r w:rsidR="00A0514F" w:rsidRPr="005735A9">
        <w:rPr>
          <w:sz w:val="24"/>
          <w:szCs w:val="24"/>
        </w:rPr>
        <w:t xml:space="preserve"> [Accessed 19</w:t>
      </w:r>
      <w:r w:rsidR="00A0514F" w:rsidRPr="005735A9">
        <w:rPr>
          <w:sz w:val="24"/>
          <w:szCs w:val="24"/>
          <w:vertAlign w:val="superscript"/>
        </w:rPr>
        <w:t>th</w:t>
      </w:r>
      <w:r w:rsidR="00A0514F" w:rsidRPr="005735A9">
        <w:rPr>
          <w:sz w:val="24"/>
          <w:szCs w:val="24"/>
        </w:rPr>
        <w:t xml:space="preserve"> February 2023].</w:t>
      </w:r>
    </w:p>
    <w:p w14:paraId="1D7B8C76" w14:textId="0737E33B" w:rsidR="005735A9" w:rsidRPr="005735A9" w:rsidRDefault="00E025A0" w:rsidP="005735A9">
      <w:pPr>
        <w:spacing w:line="480" w:lineRule="auto"/>
        <w:rPr>
          <w:sz w:val="24"/>
          <w:szCs w:val="24"/>
        </w:rPr>
      </w:pPr>
      <w:proofErr w:type="spellStart"/>
      <w:r w:rsidRPr="005735A9">
        <w:rPr>
          <w:rFonts w:eastAsia="Times New Roman" w:cs="Times New Roman"/>
          <w:sz w:val="24"/>
          <w:szCs w:val="24"/>
          <w:lang w:eastAsia="en-GB"/>
        </w:rPr>
        <w:t>Mehl</w:t>
      </w:r>
      <w:proofErr w:type="spellEnd"/>
      <w:r w:rsidRPr="005735A9">
        <w:rPr>
          <w:rFonts w:eastAsia="Times New Roman" w:cs="Times New Roman"/>
          <w:sz w:val="24"/>
          <w:szCs w:val="24"/>
          <w:lang w:eastAsia="en-GB"/>
        </w:rPr>
        <w:t xml:space="preserve">, Dieter. “Forms and Functions of the Play within a Play.” </w:t>
      </w:r>
      <w:r w:rsidRPr="005735A9">
        <w:rPr>
          <w:rFonts w:eastAsia="Times New Roman" w:cs="Times New Roman"/>
          <w:i/>
          <w:iCs/>
          <w:sz w:val="24"/>
          <w:szCs w:val="24"/>
          <w:lang w:eastAsia="en-GB"/>
        </w:rPr>
        <w:t>Renaissance Drama</w:t>
      </w:r>
      <w:r w:rsidRPr="005735A9">
        <w:rPr>
          <w:rFonts w:eastAsia="Times New Roman" w:cs="Times New Roman"/>
          <w:sz w:val="24"/>
          <w:szCs w:val="24"/>
          <w:lang w:eastAsia="en-GB"/>
        </w:rPr>
        <w:t xml:space="preserve">, vol. 8, 1965, pp. 41–61. </w:t>
      </w:r>
      <w:r w:rsidRPr="005735A9">
        <w:rPr>
          <w:rFonts w:eastAsia="Times New Roman" w:cs="Times New Roman"/>
          <w:i/>
          <w:iCs/>
          <w:sz w:val="24"/>
          <w:szCs w:val="24"/>
          <w:lang w:eastAsia="en-GB"/>
        </w:rPr>
        <w:t>JSTOR</w:t>
      </w:r>
      <w:r w:rsidRPr="005735A9">
        <w:rPr>
          <w:rFonts w:eastAsia="Times New Roman" w:cs="Times New Roman"/>
          <w:sz w:val="24"/>
          <w:szCs w:val="24"/>
          <w:lang w:eastAsia="en-GB"/>
        </w:rPr>
        <w:t>,</w:t>
      </w:r>
      <w:r w:rsidR="00A0514F" w:rsidRPr="005735A9">
        <w:rPr>
          <w:rFonts w:eastAsia="Times New Roman" w:cs="Times New Roman"/>
          <w:sz w:val="24"/>
          <w:szCs w:val="24"/>
          <w:lang w:eastAsia="en-GB"/>
        </w:rPr>
        <w:t xml:space="preserve"> </w:t>
      </w:r>
      <w:r w:rsidR="00A0514F" w:rsidRPr="005735A9">
        <w:rPr>
          <w:rFonts w:eastAsia="Times New Roman" w:cs="Times New Roman"/>
          <w:sz w:val="24"/>
          <w:szCs w:val="24"/>
          <w:lang w:eastAsia="en-GB"/>
        </w:rPr>
        <w:t xml:space="preserve">http://www.jstor.org/stable/41913891. </w:t>
      </w:r>
      <w:r w:rsidR="00A0514F" w:rsidRPr="005735A9">
        <w:rPr>
          <w:rFonts w:eastAsia="Times New Roman" w:cs="Times New Roman"/>
          <w:sz w:val="24"/>
          <w:szCs w:val="24"/>
          <w:lang w:eastAsia="en-GB"/>
        </w:rPr>
        <w:t>[</w:t>
      </w:r>
      <w:r w:rsidR="00A0514F" w:rsidRPr="005735A9">
        <w:rPr>
          <w:rFonts w:eastAsia="Times New Roman" w:cs="Times New Roman"/>
          <w:sz w:val="24"/>
          <w:szCs w:val="24"/>
          <w:lang w:eastAsia="en-GB"/>
        </w:rPr>
        <w:t>Accessed 19 Feb. 2023</w:t>
      </w:r>
      <w:r w:rsidR="00A0514F" w:rsidRPr="005735A9">
        <w:rPr>
          <w:rFonts w:eastAsia="Times New Roman" w:cs="Times New Roman"/>
          <w:sz w:val="24"/>
          <w:szCs w:val="24"/>
          <w:lang w:eastAsia="en-GB"/>
        </w:rPr>
        <w:t>]</w:t>
      </w:r>
      <w:r w:rsidRPr="005735A9">
        <w:rPr>
          <w:rFonts w:eastAsia="Times New Roman" w:cs="Times New Roman"/>
          <w:sz w:val="24"/>
          <w:szCs w:val="24"/>
          <w:lang w:eastAsia="en-GB"/>
        </w:rPr>
        <w:t>.</w:t>
      </w:r>
    </w:p>
    <w:p w14:paraId="639EBF20" w14:textId="31E3C9CA" w:rsidR="00A0514F" w:rsidRDefault="00E025A0" w:rsidP="005735A9">
      <w:pPr>
        <w:spacing w:after="0" w:line="480" w:lineRule="auto"/>
        <w:rPr>
          <w:rFonts w:eastAsia="Times New Roman" w:cs="Times New Roman"/>
          <w:sz w:val="24"/>
          <w:szCs w:val="24"/>
          <w:lang w:eastAsia="en-GB"/>
        </w:rPr>
      </w:pPr>
      <w:r w:rsidRPr="007A2722">
        <w:rPr>
          <w:rFonts w:eastAsia="Times New Roman" w:cs="Times New Roman"/>
          <w:sz w:val="24"/>
          <w:szCs w:val="24"/>
          <w:lang w:eastAsia="en-GB"/>
        </w:rPr>
        <w:t xml:space="preserve">Orkin, Martin. “Othello and the ‘Plain Face’ Of Racism.” </w:t>
      </w:r>
      <w:r w:rsidRPr="007A2722">
        <w:rPr>
          <w:rFonts w:eastAsia="Times New Roman" w:cs="Times New Roman"/>
          <w:i/>
          <w:iCs/>
          <w:sz w:val="24"/>
          <w:szCs w:val="24"/>
          <w:lang w:eastAsia="en-GB"/>
        </w:rPr>
        <w:t>Shakespeare Quarterly</w:t>
      </w:r>
      <w:r w:rsidRPr="007A2722">
        <w:rPr>
          <w:rFonts w:eastAsia="Times New Roman" w:cs="Times New Roman"/>
          <w:sz w:val="24"/>
          <w:szCs w:val="24"/>
          <w:lang w:eastAsia="en-GB"/>
        </w:rPr>
        <w:t xml:space="preserve">, vol. 38, no. 2, 1987, pp. 166–88. </w:t>
      </w:r>
      <w:r w:rsidRPr="007A2722">
        <w:rPr>
          <w:rFonts w:eastAsia="Times New Roman" w:cs="Times New Roman"/>
          <w:i/>
          <w:iCs/>
          <w:sz w:val="24"/>
          <w:szCs w:val="24"/>
          <w:lang w:eastAsia="en-GB"/>
        </w:rPr>
        <w:t>JSTOR</w:t>
      </w:r>
      <w:r w:rsidRPr="007A2722">
        <w:rPr>
          <w:rFonts w:eastAsia="Times New Roman" w:cs="Times New Roman"/>
          <w:sz w:val="24"/>
          <w:szCs w:val="24"/>
          <w:lang w:eastAsia="en-GB"/>
        </w:rPr>
        <w:t>, https://doi.org/10.2307/2870559. Accessed 19 Feb. 2023.</w:t>
      </w:r>
    </w:p>
    <w:p w14:paraId="0AC112D8" w14:textId="77777777" w:rsidR="005735A9" w:rsidRPr="005735A9" w:rsidRDefault="005735A9" w:rsidP="005735A9">
      <w:pPr>
        <w:spacing w:after="0" w:line="480" w:lineRule="auto"/>
        <w:rPr>
          <w:rFonts w:eastAsia="Times New Roman" w:cs="Times New Roman"/>
          <w:sz w:val="24"/>
          <w:szCs w:val="24"/>
          <w:lang w:eastAsia="en-GB"/>
        </w:rPr>
      </w:pPr>
    </w:p>
    <w:p w14:paraId="11542D01" w14:textId="2BFC8E62" w:rsidR="007A2722" w:rsidRDefault="007A2722" w:rsidP="005735A9">
      <w:pPr>
        <w:spacing w:after="0" w:line="480" w:lineRule="auto"/>
        <w:rPr>
          <w:rFonts w:eastAsia="Times New Roman" w:cs="Times New Roman"/>
          <w:sz w:val="24"/>
          <w:szCs w:val="24"/>
          <w:lang w:eastAsia="en-GB"/>
        </w:rPr>
      </w:pPr>
      <w:proofErr w:type="spellStart"/>
      <w:r w:rsidRPr="007A2722">
        <w:rPr>
          <w:rFonts w:eastAsia="Times New Roman" w:cs="Times New Roman"/>
          <w:sz w:val="24"/>
          <w:szCs w:val="24"/>
          <w:lang w:eastAsia="en-GB"/>
        </w:rPr>
        <w:t>Stymeist</w:t>
      </w:r>
      <w:proofErr w:type="spellEnd"/>
      <w:r w:rsidRPr="007A2722">
        <w:rPr>
          <w:rFonts w:eastAsia="Times New Roman" w:cs="Times New Roman"/>
          <w:sz w:val="24"/>
          <w:szCs w:val="24"/>
          <w:lang w:eastAsia="en-GB"/>
        </w:rPr>
        <w:t xml:space="preserve">, David. “Status, Sodomy, and the </w:t>
      </w:r>
      <w:proofErr w:type="spellStart"/>
      <w:r w:rsidRPr="007A2722">
        <w:rPr>
          <w:rFonts w:eastAsia="Times New Roman" w:cs="Times New Roman"/>
          <w:sz w:val="24"/>
          <w:szCs w:val="24"/>
          <w:lang w:eastAsia="en-GB"/>
        </w:rPr>
        <w:t>Theater</w:t>
      </w:r>
      <w:proofErr w:type="spellEnd"/>
      <w:r w:rsidRPr="007A2722">
        <w:rPr>
          <w:rFonts w:eastAsia="Times New Roman" w:cs="Times New Roman"/>
          <w:sz w:val="24"/>
          <w:szCs w:val="24"/>
          <w:lang w:eastAsia="en-GB"/>
        </w:rPr>
        <w:t xml:space="preserve"> in Marlowe’s ‘Edward II.’” </w:t>
      </w:r>
      <w:r w:rsidRPr="007A2722">
        <w:rPr>
          <w:rFonts w:eastAsia="Times New Roman" w:cs="Times New Roman"/>
          <w:i/>
          <w:iCs/>
          <w:sz w:val="24"/>
          <w:szCs w:val="24"/>
          <w:lang w:eastAsia="en-GB"/>
        </w:rPr>
        <w:t>Studies in English Literature, 1500-1900</w:t>
      </w:r>
      <w:r w:rsidRPr="007A2722">
        <w:rPr>
          <w:rFonts w:eastAsia="Times New Roman" w:cs="Times New Roman"/>
          <w:sz w:val="24"/>
          <w:szCs w:val="24"/>
          <w:lang w:eastAsia="en-GB"/>
        </w:rPr>
        <w:t xml:space="preserve">, vol. 44, no. 2, 2004, pp. 233–53. </w:t>
      </w:r>
      <w:r w:rsidRPr="007A2722">
        <w:rPr>
          <w:rFonts w:eastAsia="Times New Roman" w:cs="Times New Roman"/>
          <w:i/>
          <w:iCs/>
          <w:sz w:val="24"/>
          <w:szCs w:val="24"/>
          <w:lang w:eastAsia="en-GB"/>
        </w:rPr>
        <w:t>JSTOR</w:t>
      </w:r>
      <w:r w:rsidRPr="007A2722">
        <w:rPr>
          <w:rFonts w:eastAsia="Times New Roman" w:cs="Times New Roman"/>
          <w:sz w:val="24"/>
          <w:szCs w:val="24"/>
          <w:lang w:eastAsia="en-GB"/>
        </w:rPr>
        <w:t xml:space="preserve">, http://www.jstor.org/stable/3844628. </w:t>
      </w:r>
      <w:r w:rsidR="00A0514F" w:rsidRPr="005735A9">
        <w:rPr>
          <w:rFonts w:eastAsia="Times New Roman" w:cs="Times New Roman"/>
          <w:sz w:val="24"/>
          <w:szCs w:val="24"/>
          <w:lang w:eastAsia="en-GB"/>
        </w:rPr>
        <w:t>[</w:t>
      </w:r>
      <w:r w:rsidRPr="007A2722">
        <w:rPr>
          <w:rFonts w:eastAsia="Times New Roman" w:cs="Times New Roman"/>
          <w:sz w:val="24"/>
          <w:szCs w:val="24"/>
          <w:lang w:eastAsia="en-GB"/>
        </w:rPr>
        <w:t>Accessed 19 Feb. 2023</w:t>
      </w:r>
      <w:r w:rsidR="00A0514F" w:rsidRPr="005735A9">
        <w:rPr>
          <w:rFonts w:eastAsia="Times New Roman" w:cs="Times New Roman"/>
          <w:sz w:val="24"/>
          <w:szCs w:val="24"/>
          <w:lang w:eastAsia="en-GB"/>
        </w:rPr>
        <w:t>]</w:t>
      </w:r>
      <w:r w:rsidRPr="007A2722">
        <w:rPr>
          <w:rFonts w:eastAsia="Times New Roman" w:cs="Times New Roman"/>
          <w:sz w:val="24"/>
          <w:szCs w:val="24"/>
          <w:lang w:eastAsia="en-GB"/>
        </w:rPr>
        <w:t>.</w:t>
      </w:r>
    </w:p>
    <w:p w14:paraId="12EF1BFF" w14:textId="77777777" w:rsidR="005735A9" w:rsidRPr="005735A9" w:rsidRDefault="005735A9" w:rsidP="005735A9">
      <w:pPr>
        <w:spacing w:after="0" w:line="480" w:lineRule="auto"/>
        <w:rPr>
          <w:rFonts w:eastAsia="Times New Roman" w:cs="Times New Roman"/>
          <w:sz w:val="24"/>
          <w:szCs w:val="24"/>
          <w:lang w:eastAsia="en-GB"/>
        </w:rPr>
      </w:pPr>
    </w:p>
    <w:p w14:paraId="5FE42E99" w14:textId="7D614FBB" w:rsidR="00E025A0" w:rsidRPr="005735A9" w:rsidRDefault="007A2722" w:rsidP="005735A9">
      <w:pPr>
        <w:spacing w:line="480" w:lineRule="auto"/>
        <w:rPr>
          <w:sz w:val="24"/>
          <w:szCs w:val="24"/>
        </w:rPr>
      </w:pPr>
      <w:r w:rsidRPr="005735A9">
        <w:rPr>
          <w:sz w:val="24"/>
          <w:szCs w:val="24"/>
        </w:rPr>
        <w:t xml:space="preserve">Wells, Stanley and Taylor, Gary. </w:t>
      </w:r>
      <w:r w:rsidRPr="005735A9">
        <w:rPr>
          <w:i/>
          <w:iCs/>
          <w:sz w:val="24"/>
          <w:szCs w:val="24"/>
        </w:rPr>
        <w:t xml:space="preserve">The Oxford Shakespeare </w:t>
      </w:r>
      <w:proofErr w:type="gramStart"/>
      <w:r w:rsidRPr="005735A9">
        <w:rPr>
          <w:i/>
          <w:iCs/>
          <w:sz w:val="24"/>
          <w:szCs w:val="24"/>
        </w:rPr>
        <w:t>The</w:t>
      </w:r>
      <w:proofErr w:type="gramEnd"/>
      <w:r w:rsidRPr="005735A9">
        <w:rPr>
          <w:i/>
          <w:iCs/>
          <w:sz w:val="24"/>
          <w:szCs w:val="24"/>
        </w:rPr>
        <w:t xml:space="preserve"> Complete Works </w:t>
      </w:r>
      <w:r w:rsidRPr="005735A9">
        <w:rPr>
          <w:sz w:val="24"/>
          <w:szCs w:val="24"/>
        </w:rPr>
        <w:t>(Clarendon Press: Oxford, 1994).</w:t>
      </w:r>
    </w:p>
    <w:sectPr w:rsidR="00E025A0" w:rsidRPr="005735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7F681" w14:textId="77777777" w:rsidR="004D3675" w:rsidRDefault="004D3675" w:rsidP="007A2722">
      <w:pPr>
        <w:spacing w:after="0" w:line="240" w:lineRule="auto"/>
      </w:pPr>
      <w:r>
        <w:separator/>
      </w:r>
    </w:p>
  </w:endnote>
  <w:endnote w:type="continuationSeparator" w:id="0">
    <w:p w14:paraId="73585996" w14:textId="77777777" w:rsidR="004D3675" w:rsidRDefault="004D3675" w:rsidP="007A2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54107" w14:textId="77777777" w:rsidR="004D3675" w:rsidRDefault="004D3675" w:rsidP="007A2722">
      <w:pPr>
        <w:spacing w:after="0" w:line="240" w:lineRule="auto"/>
      </w:pPr>
      <w:r>
        <w:separator/>
      </w:r>
    </w:p>
  </w:footnote>
  <w:footnote w:type="continuationSeparator" w:id="0">
    <w:p w14:paraId="0A5F334A" w14:textId="77777777" w:rsidR="004D3675" w:rsidRDefault="004D3675" w:rsidP="007A2722">
      <w:pPr>
        <w:spacing w:after="0" w:line="240" w:lineRule="auto"/>
      </w:pPr>
      <w:r>
        <w:continuationSeparator/>
      </w:r>
    </w:p>
  </w:footnote>
  <w:footnote w:id="1">
    <w:p w14:paraId="1EA8E0BD" w14:textId="30376341" w:rsidR="00E025A0" w:rsidRDefault="00E025A0">
      <w:pPr>
        <w:pStyle w:val="FootnoteText"/>
      </w:pPr>
      <w:r>
        <w:rPr>
          <w:rStyle w:val="FootnoteReference"/>
        </w:rPr>
        <w:footnoteRef/>
      </w:r>
      <w:r>
        <w:t xml:space="preserve"> </w:t>
      </w:r>
      <w:proofErr w:type="spellStart"/>
      <w:r w:rsidRPr="00E025A0">
        <w:t>Mehl</w:t>
      </w:r>
      <w:proofErr w:type="spellEnd"/>
      <w:r w:rsidRPr="00E025A0">
        <w:t xml:space="preserve">, Dieter. “Forms and Functions of the Play within a Play.” </w:t>
      </w:r>
      <w:r w:rsidRPr="00E025A0">
        <w:rPr>
          <w:i/>
          <w:iCs/>
        </w:rPr>
        <w:t>Renaissance Drama</w:t>
      </w:r>
      <w:r w:rsidRPr="00E025A0">
        <w:t xml:space="preserve">, vol. 8, 1965, pp. 41–61. </w:t>
      </w:r>
      <w:r w:rsidRPr="00E025A0">
        <w:rPr>
          <w:i/>
          <w:iCs/>
        </w:rPr>
        <w:t>JSTOR</w:t>
      </w:r>
      <w:r w:rsidRPr="00E025A0">
        <w:t>, http://www.jstor.org/stable/41913891. Accessed 19 Feb. 2023.</w:t>
      </w:r>
    </w:p>
  </w:footnote>
  <w:footnote w:id="2">
    <w:p w14:paraId="501AEAA5" w14:textId="77777777" w:rsidR="00E025A0" w:rsidRDefault="00E025A0" w:rsidP="00E025A0">
      <w:pPr>
        <w:pStyle w:val="FootnoteText"/>
      </w:pPr>
      <w:r>
        <w:rPr>
          <w:rStyle w:val="FootnoteReference"/>
        </w:rPr>
        <w:footnoteRef/>
      </w:r>
      <w:r>
        <w:t xml:space="preserve"> David, </w:t>
      </w:r>
      <w:proofErr w:type="spellStart"/>
      <w:r w:rsidRPr="007A2722">
        <w:t>Stymeist</w:t>
      </w:r>
      <w:proofErr w:type="spellEnd"/>
      <w:r w:rsidRPr="007A2722">
        <w:t xml:space="preserve">. “Status, Sodomy, and the </w:t>
      </w:r>
      <w:proofErr w:type="spellStart"/>
      <w:r w:rsidRPr="007A2722">
        <w:t>Theater</w:t>
      </w:r>
      <w:proofErr w:type="spellEnd"/>
      <w:r w:rsidRPr="007A2722">
        <w:t xml:space="preserve"> in Marlowe’s ‘Edward II.’” </w:t>
      </w:r>
      <w:r w:rsidRPr="007A2722">
        <w:rPr>
          <w:i/>
          <w:iCs/>
        </w:rPr>
        <w:t>Studies in English Literature, 1500-1900</w:t>
      </w:r>
      <w:r w:rsidRPr="007A2722">
        <w:t xml:space="preserve">, vol. 44, no. 2, 2004, pp. 233–53. </w:t>
      </w:r>
      <w:r w:rsidRPr="007A2722">
        <w:rPr>
          <w:i/>
          <w:iCs/>
        </w:rPr>
        <w:t>JSTOR</w:t>
      </w:r>
      <w:r w:rsidRPr="007A2722">
        <w:t>, http://www.jstor.org/stable/3844628. Accessed 19 Feb. 2023</w:t>
      </w:r>
      <w:r>
        <w:t xml:space="preserve"> page 235.</w:t>
      </w:r>
    </w:p>
  </w:footnote>
  <w:footnote w:id="3">
    <w:p w14:paraId="2C1C6B02" w14:textId="280920A1" w:rsidR="007A2722" w:rsidRPr="007A2722" w:rsidRDefault="007A2722">
      <w:pPr>
        <w:pStyle w:val="FootnoteText"/>
      </w:pPr>
      <w:r>
        <w:rPr>
          <w:rStyle w:val="FootnoteReference"/>
        </w:rPr>
        <w:footnoteRef/>
      </w:r>
      <w:r>
        <w:t xml:space="preserve"> David, Bevington., </w:t>
      </w:r>
      <w:r>
        <w:rPr>
          <w:i/>
          <w:iCs/>
        </w:rPr>
        <w:t xml:space="preserve">English Renaissance Drama A Norton Anthology. </w:t>
      </w:r>
      <w:r>
        <w:t>(W.W. Norton &amp; Company: London, 2002). P351.</w:t>
      </w:r>
    </w:p>
  </w:footnote>
  <w:footnote w:id="4">
    <w:p w14:paraId="0A3774E8" w14:textId="7870C3FC" w:rsidR="007A2722" w:rsidRDefault="007A2722">
      <w:pPr>
        <w:pStyle w:val="FootnoteText"/>
      </w:pPr>
      <w:r>
        <w:rPr>
          <w:rStyle w:val="FootnoteReference"/>
        </w:rPr>
        <w:footnoteRef/>
      </w:r>
      <w:r>
        <w:t xml:space="preserve"> David, </w:t>
      </w:r>
      <w:proofErr w:type="spellStart"/>
      <w:r w:rsidRPr="007A2722">
        <w:t>Stymeist</w:t>
      </w:r>
      <w:proofErr w:type="spellEnd"/>
      <w:r w:rsidRPr="007A2722">
        <w:t xml:space="preserve">. “Status, Sodomy, and the </w:t>
      </w:r>
      <w:proofErr w:type="spellStart"/>
      <w:r w:rsidRPr="007A2722">
        <w:t>Theater</w:t>
      </w:r>
      <w:proofErr w:type="spellEnd"/>
      <w:r w:rsidRPr="007A2722">
        <w:t xml:space="preserve"> in Marlowe’s ‘Edward II.’” </w:t>
      </w:r>
      <w:r w:rsidRPr="007A2722">
        <w:rPr>
          <w:i/>
          <w:iCs/>
        </w:rPr>
        <w:t>Studies in English Literature, 1500-1900</w:t>
      </w:r>
      <w:r w:rsidRPr="007A2722">
        <w:t xml:space="preserve">, vol. 44, no. 2, 2004, pp. 233–53. </w:t>
      </w:r>
      <w:r w:rsidRPr="007A2722">
        <w:rPr>
          <w:i/>
          <w:iCs/>
        </w:rPr>
        <w:t>JSTOR</w:t>
      </w:r>
      <w:r w:rsidRPr="007A2722">
        <w:t>, http://www.jstor.org/stable/3844628. Accessed 19 Feb. 2023.</w:t>
      </w:r>
    </w:p>
  </w:footnote>
  <w:footnote w:id="5">
    <w:p w14:paraId="77A55F9A" w14:textId="72111450" w:rsidR="007A2722" w:rsidRDefault="007A2722">
      <w:pPr>
        <w:pStyle w:val="FootnoteText"/>
      </w:pPr>
      <w:r>
        <w:rPr>
          <w:rStyle w:val="FootnoteReference"/>
        </w:rPr>
        <w:footnoteRef/>
      </w:r>
      <w:r>
        <w:t xml:space="preserve"> </w:t>
      </w:r>
      <w:r>
        <w:t xml:space="preserve">David, Bevington., </w:t>
      </w:r>
      <w:r>
        <w:rPr>
          <w:i/>
          <w:iCs/>
        </w:rPr>
        <w:t xml:space="preserve">English Renaissance Drama A Norton Anthology. </w:t>
      </w:r>
      <w:r>
        <w:t>(W.W. Norton &amp; Company: London, 2002). P351.</w:t>
      </w:r>
      <w:r>
        <w:t xml:space="preserve"> AND </w:t>
      </w:r>
      <w:r>
        <w:t xml:space="preserve">David, </w:t>
      </w:r>
      <w:proofErr w:type="spellStart"/>
      <w:r w:rsidRPr="007A2722">
        <w:t>Stymeist</w:t>
      </w:r>
      <w:proofErr w:type="spellEnd"/>
      <w:r w:rsidRPr="007A2722">
        <w:t xml:space="preserve">. “Status, Sodomy, and the </w:t>
      </w:r>
      <w:proofErr w:type="spellStart"/>
      <w:r w:rsidRPr="007A2722">
        <w:t>Theater</w:t>
      </w:r>
      <w:proofErr w:type="spellEnd"/>
      <w:r w:rsidRPr="007A2722">
        <w:t xml:space="preserve"> in Marlowe’s ‘Edward II.’” </w:t>
      </w:r>
      <w:r w:rsidRPr="007A2722">
        <w:rPr>
          <w:i/>
          <w:iCs/>
        </w:rPr>
        <w:t>Studies in English Literature, 1500-1900</w:t>
      </w:r>
      <w:r w:rsidRPr="007A2722">
        <w:t xml:space="preserve">, vol. 44, no. 2, 2004, pp. 233–53. </w:t>
      </w:r>
      <w:r w:rsidRPr="007A2722">
        <w:rPr>
          <w:i/>
          <w:iCs/>
        </w:rPr>
        <w:t>JSTOR</w:t>
      </w:r>
      <w:r w:rsidRPr="007A2722">
        <w:t>, http://www.jstor.org/stable/3844628. Accessed 19 Feb. 2023.</w:t>
      </w:r>
    </w:p>
  </w:footnote>
  <w:footnote w:id="6">
    <w:p w14:paraId="6F4E494B" w14:textId="1E2EA43F" w:rsidR="007A2722" w:rsidRDefault="007A2722">
      <w:pPr>
        <w:pStyle w:val="FootnoteText"/>
      </w:pPr>
      <w:r>
        <w:rPr>
          <w:rStyle w:val="FootnoteReference"/>
        </w:rPr>
        <w:footnoteRef/>
      </w:r>
      <w:r>
        <w:t xml:space="preserve"> </w:t>
      </w:r>
      <w:r>
        <w:t xml:space="preserve">David, Bevington., </w:t>
      </w:r>
      <w:r>
        <w:rPr>
          <w:i/>
          <w:iCs/>
        </w:rPr>
        <w:t xml:space="preserve">English Renaissance Drama A Norton Anthology. </w:t>
      </w:r>
      <w:r>
        <w:t>(W.W. Norton &amp; Company: London, 2002). P3</w:t>
      </w:r>
      <w:r>
        <w:t>73.</w:t>
      </w:r>
    </w:p>
  </w:footnote>
  <w:footnote w:id="7">
    <w:p w14:paraId="330930EA" w14:textId="0B9F12C9" w:rsidR="00E025A0" w:rsidRDefault="00E025A0">
      <w:pPr>
        <w:pStyle w:val="FootnoteText"/>
      </w:pPr>
      <w:r>
        <w:rPr>
          <w:rStyle w:val="FootnoteReference"/>
        </w:rPr>
        <w:footnoteRef/>
      </w:r>
      <w:r>
        <w:t xml:space="preserve"> </w:t>
      </w:r>
      <w:r>
        <w:t xml:space="preserve">David, </w:t>
      </w:r>
      <w:proofErr w:type="spellStart"/>
      <w:r w:rsidRPr="007A2722">
        <w:t>Stymeist</w:t>
      </w:r>
      <w:proofErr w:type="spellEnd"/>
      <w:r w:rsidRPr="007A2722">
        <w:t xml:space="preserve">. “Status, Sodomy, and the </w:t>
      </w:r>
      <w:proofErr w:type="spellStart"/>
      <w:r w:rsidRPr="007A2722">
        <w:t>Theater</w:t>
      </w:r>
      <w:proofErr w:type="spellEnd"/>
      <w:r w:rsidRPr="007A2722">
        <w:t xml:space="preserve"> in Marlowe’s ‘Edward II.’” </w:t>
      </w:r>
      <w:r w:rsidRPr="007A2722">
        <w:rPr>
          <w:i/>
          <w:iCs/>
        </w:rPr>
        <w:t>Studies in English Literature, 1500-1900</w:t>
      </w:r>
      <w:r w:rsidRPr="007A2722">
        <w:t xml:space="preserve">, vol. 44, no. 2, 2004, pp. 233–53. </w:t>
      </w:r>
      <w:r w:rsidRPr="007A2722">
        <w:rPr>
          <w:i/>
          <w:iCs/>
        </w:rPr>
        <w:t>JSTOR</w:t>
      </w:r>
      <w:r w:rsidRPr="007A2722">
        <w:t xml:space="preserve">, </w:t>
      </w:r>
      <w:hyperlink r:id="rId1" w:history="1">
        <w:r w:rsidRPr="00862386">
          <w:rPr>
            <w:rStyle w:val="Hyperlink"/>
          </w:rPr>
          <w:t>http://www.jstor.org/stable/3844628. Accessed 19 Feb. 2023</w:t>
        </w:r>
      </w:hyperlink>
      <w:r w:rsidRPr="007A2722">
        <w:t>.</w:t>
      </w:r>
      <w:r>
        <w:t xml:space="preserve"> Page 239.</w:t>
      </w:r>
    </w:p>
  </w:footnote>
  <w:footnote w:id="8">
    <w:p w14:paraId="1519543D" w14:textId="2584EEC1" w:rsidR="007A2722" w:rsidRDefault="007A2722">
      <w:pPr>
        <w:pStyle w:val="FootnoteText"/>
      </w:pPr>
      <w:r>
        <w:rPr>
          <w:rStyle w:val="FootnoteReference"/>
        </w:rPr>
        <w:footnoteRef/>
      </w:r>
      <w:r>
        <w:t xml:space="preserve"> </w:t>
      </w:r>
      <w:r w:rsidRPr="007A2722">
        <w:t>Stanley</w:t>
      </w:r>
      <w:r>
        <w:t>, Wells,</w:t>
      </w:r>
      <w:r w:rsidRPr="007A2722">
        <w:t xml:space="preserve"> and Gary</w:t>
      </w:r>
      <w:r>
        <w:t>, Taylor</w:t>
      </w:r>
      <w:r w:rsidRPr="007A2722">
        <w:t xml:space="preserve">. </w:t>
      </w:r>
      <w:r w:rsidRPr="007A2722">
        <w:rPr>
          <w:i/>
          <w:iCs/>
        </w:rPr>
        <w:t xml:space="preserve">The Oxford Shakespeare </w:t>
      </w:r>
      <w:proofErr w:type="gramStart"/>
      <w:r w:rsidRPr="007A2722">
        <w:rPr>
          <w:i/>
          <w:iCs/>
        </w:rPr>
        <w:t>The</w:t>
      </w:r>
      <w:proofErr w:type="gramEnd"/>
      <w:r w:rsidRPr="007A2722">
        <w:rPr>
          <w:i/>
          <w:iCs/>
        </w:rPr>
        <w:t xml:space="preserve"> Complete Works </w:t>
      </w:r>
      <w:r w:rsidRPr="007A2722">
        <w:t>(Clarendon Press: Oxford, 1994).</w:t>
      </w:r>
      <w:r>
        <w:t xml:space="preserve"> P819.</w:t>
      </w:r>
    </w:p>
  </w:footnote>
  <w:footnote w:id="9">
    <w:p w14:paraId="17EAE2A8" w14:textId="74160C19" w:rsidR="00E025A0" w:rsidRDefault="00E025A0">
      <w:pPr>
        <w:pStyle w:val="FootnoteText"/>
      </w:pPr>
      <w:r>
        <w:rPr>
          <w:rStyle w:val="FootnoteReference"/>
        </w:rPr>
        <w:footnoteRef/>
      </w:r>
      <w:r>
        <w:t xml:space="preserve"> </w:t>
      </w:r>
      <w:r w:rsidRPr="007A2722">
        <w:t>Stanley</w:t>
      </w:r>
      <w:r>
        <w:t>, Wells,</w:t>
      </w:r>
      <w:r w:rsidRPr="007A2722">
        <w:t xml:space="preserve"> and Gary</w:t>
      </w:r>
      <w:r>
        <w:t>, Taylor</w:t>
      </w:r>
      <w:r w:rsidRPr="007A2722">
        <w:t xml:space="preserve">. </w:t>
      </w:r>
      <w:r w:rsidRPr="007A2722">
        <w:rPr>
          <w:i/>
          <w:iCs/>
        </w:rPr>
        <w:t xml:space="preserve">The Oxford Shakespeare </w:t>
      </w:r>
      <w:proofErr w:type="gramStart"/>
      <w:r w:rsidRPr="007A2722">
        <w:rPr>
          <w:i/>
          <w:iCs/>
        </w:rPr>
        <w:t>The</w:t>
      </w:r>
      <w:proofErr w:type="gramEnd"/>
      <w:r w:rsidRPr="007A2722">
        <w:rPr>
          <w:i/>
          <w:iCs/>
        </w:rPr>
        <w:t xml:space="preserve"> Complete Works </w:t>
      </w:r>
      <w:r w:rsidRPr="007A2722">
        <w:t>(Clarendon Press: Oxford, 1994).</w:t>
      </w:r>
      <w:r>
        <w:t xml:space="preserve"> P8</w:t>
      </w:r>
      <w:r>
        <w:t>22.</w:t>
      </w:r>
    </w:p>
  </w:footnote>
  <w:footnote w:id="10">
    <w:p w14:paraId="68E3FE7A" w14:textId="57322184" w:rsidR="00E025A0" w:rsidRDefault="00E025A0">
      <w:pPr>
        <w:pStyle w:val="FootnoteText"/>
      </w:pPr>
      <w:r>
        <w:rPr>
          <w:rStyle w:val="FootnoteReference"/>
        </w:rPr>
        <w:footnoteRef/>
      </w:r>
      <w:r>
        <w:t xml:space="preserve"> </w:t>
      </w:r>
      <w:r w:rsidRPr="007A2722">
        <w:t>Stanley</w:t>
      </w:r>
      <w:r>
        <w:t>, Wells,</w:t>
      </w:r>
      <w:r w:rsidRPr="007A2722">
        <w:t xml:space="preserve"> and Gary</w:t>
      </w:r>
      <w:r>
        <w:t>, Taylor</w:t>
      </w:r>
      <w:r w:rsidRPr="007A2722">
        <w:t xml:space="preserve">. </w:t>
      </w:r>
      <w:r w:rsidRPr="007A2722">
        <w:rPr>
          <w:i/>
          <w:iCs/>
        </w:rPr>
        <w:t xml:space="preserve">The Oxford Shakespeare </w:t>
      </w:r>
      <w:proofErr w:type="gramStart"/>
      <w:r w:rsidRPr="007A2722">
        <w:rPr>
          <w:i/>
          <w:iCs/>
        </w:rPr>
        <w:t>The</w:t>
      </w:r>
      <w:proofErr w:type="gramEnd"/>
      <w:r w:rsidRPr="007A2722">
        <w:rPr>
          <w:i/>
          <w:iCs/>
        </w:rPr>
        <w:t xml:space="preserve"> Complete Works </w:t>
      </w:r>
      <w:r w:rsidRPr="007A2722">
        <w:t>(Clarendon Press: Oxford, 1994).</w:t>
      </w:r>
      <w:r>
        <w:t xml:space="preserve"> P8</w:t>
      </w:r>
      <w:r>
        <w:t>49.</w:t>
      </w:r>
    </w:p>
  </w:footnote>
  <w:footnote w:id="11">
    <w:p w14:paraId="7A15DB40" w14:textId="29893D35" w:rsidR="007A2722" w:rsidRDefault="007A2722">
      <w:pPr>
        <w:pStyle w:val="FootnoteText"/>
      </w:pPr>
      <w:r>
        <w:rPr>
          <w:rStyle w:val="FootnoteReference"/>
        </w:rPr>
        <w:footnoteRef/>
      </w:r>
      <w:r>
        <w:t xml:space="preserve"> </w:t>
      </w:r>
      <w:r w:rsidR="00EC1D6B">
        <w:t xml:space="preserve">Martin, </w:t>
      </w:r>
      <w:r w:rsidRPr="007A2722">
        <w:t>Orki</w:t>
      </w:r>
      <w:r w:rsidR="00EC1D6B">
        <w:t>n</w:t>
      </w:r>
      <w:r w:rsidRPr="007A2722">
        <w:t xml:space="preserve">. “Othello and the ‘Plain Face’ Of Racism.” </w:t>
      </w:r>
      <w:r w:rsidRPr="007A2722">
        <w:rPr>
          <w:i/>
          <w:iCs/>
        </w:rPr>
        <w:t>Shakespeare Quarterly</w:t>
      </w:r>
      <w:r w:rsidRPr="007A2722">
        <w:t xml:space="preserve">, vol. 38, no. 2, 1987, pp. 166–88. </w:t>
      </w:r>
      <w:r w:rsidRPr="007A2722">
        <w:rPr>
          <w:i/>
          <w:iCs/>
        </w:rPr>
        <w:t>JSTOR</w:t>
      </w:r>
      <w:r w:rsidRPr="007A2722">
        <w:t>, https://doi.org/10.2307/2870559. Accessed 19 Feb. 2023.</w:t>
      </w:r>
    </w:p>
  </w:footnote>
  <w:footnote w:id="12">
    <w:p w14:paraId="1D2042E3" w14:textId="1E556D28" w:rsidR="007A2722" w:rsidRDefault="007A2722">
      <w:pPr>
        <w:pStyle w:val="FootnoteText"/>
      </w:pPr>
      <w:r>
        <w:rPr>
          <w:rStyle w:val="FootnoteReference"/>
        </w:rPr>
        <w:footnoteRef/>
      </w:r>
      <w:r>
        <w:t xml:space="preserve"> </w:t>
      </w:r>
      <w:r>
        <w:t xml:space="preserve">David, Bevington., </w:t>
      </w:r>
      <w:r>
        <w:rPr>
          <w:i/>
          <w:iCs/>
        </w:rPr>
        <w:t xml:space="preserve">English Renaissance Drama A Norton Anthology. </w:t>
      </w:r>
      <w:r>
        <w:t>(W.W. Norton &amp; Company: London, 2002</w:t>
      </w:r>
      <w:proofErr w:type="gramStart"/>
      <w:r>
        <w:t>).</w:t>
      </w:r>
      <w:r>
        <w:t>p</w:t>
      </w:r>
      <w:proofErr w:type="gramEnd"/>
      <w:r>
        <w:t>1905.</w:t>
      </w:r>
    </w:p>
  </w:footnote>
  <w:footnote w:id="13">
    <w:p w14:paraId="054B9944" w14:textId="55B5B19B" w:rsidR="00E025A0" w:rsidRDefault="00E025A0">
      <w:pPr>
        <w:pStyle w:val="FootnoteText"/>
      </w:pPr>
      <w:r>
        <w:rPr>
          <w:rStyle w:val="FootnoteReference"/>
        </w:rPr>
        <w:footnoteRef/>
      </w:r>
      <w:r>
        <w:t xml:space="preserve"> David </w:t>
      </w:r>
      <w:proofErr w:type="spellStart"/>
      <w:r w:rsidRPr="00E025A0">
        <w:t>Gauer</w:t>
      </w:r>
      <w:proofErr w:type="spellEnd"/>
      <w:r w:rsidRPr="00E025A0">
        <w:t xml:space="preserve">. (1987). Heart and Blood: Nature and Culture in Tis Pity She’s a Whore. Cahiers </w:t>
      </w:r>
      <w:proofErr w:type="spellStart"/>
      <w:r w:rsidRPr="00E025A0">
        <w:t>Élisabéthains</w:t>
      </w:r>
      <w:proofErr w:type="spellEnd"/>
      <w:r w:rsidRPr="00E025A0">
        <w:t>, 31(1), 45–57. https://doi.org/10.1177/018476788703100107</w:t>
      </w:r>
    </w:p>
  </w:footnote>
  <w:footnote w:id="14">
    <w:p w14:paraId="79B248D1" w14:textId="7C0908DE" w:rsidR="00E025A0" w:rsidRDefault="00E025A0">
      <w:pPr>
        <w:pStyle w:val="FootnoteText"/>
      </w:pPr>
      <w:r>
        <w:rPr>
          <w:rStyle w:val="FootnoteReference"/>
        </w:rPr>
        <w:footnoteRef/>
      </w:r>
      <w:r>
        <w:t xml:space="preserve"> David, </w:t>
      </w:r>
      <w:proofErr w:type="spellStart"/>
      <w:r w:rsidRPr="00E025A0">
        <w:t>Gauer</w:t>
      </w:r>
      <w:proofErr w:type="spellEnd"/>
      <w:r w:rsidRPr="00E025A0">
        <w:t xml:space="preserve">. (1987). Heart and Blood: Nature and Culture in Tis Pity She’s a Whore. Cahiers </w:t>
      </w:r>
      <w:proofErr w:type="spellStart"/>
      <w:r w:rsidRPr="00E025A0">
        <w:t>Élisabéthains</w:t>
      </w:r>
      <w:proofErr w:type="spellEnd"/>
      <w:r w:rsidRPr="00E025A0">
        <w:t>, 31(1), 45–57. https://doi.org/10.1177/018476788703100107</w:t>
      </w:r>
    </w:p>
  </w:footnote>
  <w:footnote w:id="15">
    <w:p w14:paraId="7D5DC504" w14:textId="495D8ED2" w:rsidR="00E025A0" w:rsidRDefault="00E025A0">
      <w:pPr>
        <w:pStyle w:val="FootnoteText"/>
      </w:pPr>
      <w:r>
        <w:rPr>
          <w:rStyle w:val="FootnoteReference"/>
        </w:rPr>
        <w:footnoteRef/>
      </w:r>
      <w:r>
        <w:t xml:space="preserve"> </w:t>
      </w:r>
      <w:r w:rsidRPr="00E025A0">
        <w:t>Ming-</w:t>
      </w:r>
      <w:proofErr w:type="spellStart"/>
      <w:r w:rsidRPr="00E025A0">
        <w:t>hsiu</w:t>
      </w:r>
      <w:proofErr w:type="spellEnd"/>
      <w:r w:rsidR="00EC1D6B">
        <w:t>, Chen.</w:t>
      </w:r>
      <w:r w:rsidRPr="00E025A0">
        <w:t xml:space="preserve"> "Marriage and Sexual Regulation in Ford’s’ Tis Pity </w:t>
      </w:r>
      <w:proofErr w:type="spellStart"/>
      <w:r w:rsidRPr="00E025A0">
        <w:t>She’sa</w:t>
      </w:r>
      <w:proofErr w:type="spellEnd"/>
      <w:r w:rsidRPr="00E025A0">
        <w:t xml:space="preserve"> Whore." </w:t>
      </w:r>
      <w:proofErr w:type="spellStart"/>
      <w:r w:rsidRPr="00E025A0">
        <w:rPr>
          <w:i/>
          <w:iCs/>
        </w:rPr>
        <w:t>Intergrams</w:t>
      </w:r>
      <w:proofErr w:type="spellEnd"/>
      <w:r w:rsidRPr="00E025A0">
        <w:t> 11.2 (2011): 1-24.</w:t>
      </w:r>
    </w:p>
  </w:footnote>
  <w:footnote w:id="16">
    <w:p w14:paraId="21F0119F" w14:textId="098C3796" w:rsidR="00E025A0" w:rsidRDefault="00E025A0">
      <w:pPr>
        <w:pStyle w:val="FootnoteText"/>
      </w:pPr>
      <w:r>
        <w:rPr>
          <w:rStyle w:val="FootnoteReference"/>
        </w:rPr>
        <w:footnoteRef/>
      </w:r>
      <w:r>
        <w:t xml:space="preserve"> </w:t>
      </w:r>
      <w:r w:rsidR="00EC1D6B">
        <w:t xml:space="preserve">David </w:t>
      </w:r>
      <w:proofErr w:type="spellStart"/>
      <w:r w:rsidRPr="007A2722">
        <w:t>Stymeist</w:t>
      </w:r>
      <w:proofErr w:type="spellEnd"/>
      <w:r w:rsidRPr="007A2722">
        <w:t xml:space="preserve">. “Status, Sodomy, and the </w:t>
      </w:r>
      <w:proofErr w:type="spellStart"/>
      <w:r w:rsidRPr="007A2722">
        <w:t>Theater</w:t>
      </w:r>
      <w:proofErr w:type="spellEnd"/>
      <w:r w:rsidRPr="007A2722">
        <w:t xml:space="preserve"> in Marlowe’s ‘Edward II.’” </w:t>
      </w:r>
      <w:r w:rsidRPr="007A2722">
        <w:rPr>
          <w:i/>
          <w:iCs/>
        </w:rPr>
        <w:t>Studies in English Literature, 1500-1900</w:t>
      </w:r>
      <w:r w:rsidRPr="007A2722">
        <w:t xml:space="preserve">, vol. 44, no. 2, 2004, pp. 233–53. </w:t>
      </w:r>
      <w:r w:rsidRPr="007A2722">
        <w:rPr>
          <w:i/>
          <w:iCs/>
        </w:rPr>
        <w:t>JSTOR</w:t>
      </w:r>
      <w:r w:rsidRPr="007A2722">
        <w:t>, http://www.jstor.org/stable/3844628. Accessed 19 Feb. 2023.</w:t>
      </w:r>
    </w:p>
  </w:footnote>
  <w:footnote w:id="17">
    <w:p w14:paraId="59C0524A" w14:textId="192DF3BB" w:rsidR="007A2722" w:rsidRDefault="007A2722">
      <w:pPr>
        <w:pStyle w:val="FootnoteText"/>
      </w:pPr>
      <w:r>
        <w:rPr>
          <w:rStyle w:val="FootnoteReference"/>
        </w:rPr>
        <w:footnoteRef/>
      </w:r>
      <w:r>
        <w:t xml:space="preserve"> </w:t>
      </w:r>
      <w:r w:rsidRPr="007A2722">
        <w:t>Stanley</w:t>
      </w:r>
      <w:r>
        <w:t>, Wells</w:t>
      </w:r>
      <w:r w:rsidRPr="007A2722">
        <w:t xml:space="preserve"> and Gary</w:t>
      </w:r>
      <w:r>
        <w:t>, Taylor</w:t>
      </w:r>
      <w:r w:rsidRPr="007A2722">
        <w:t xml:space="preserve">. </w:t>
      </w:r>
      <w:r w:rsidRPr="007A2722">
        <w:rPr>
          <w:i/>
          <w:iCs/>
        </w:rPr>
        <w:t xml:space="preserve">The Oxford Shakespeare </w:t>
      </w:r>
      <w:proofErr w:type="gramStart"/>
      <w:r w:rsidRPr="007A2722">
        <w:rPr>
          <w:i/>
          <w:iCs/>
        </w:rPr>
        <w:t>The</w:t>
      </w:r>
      <w:proofErr w:type="gramEnd"/>
      <w:r w:rsidRPr="007A2722">
        <w:rPr>
          <w:i/>
          <w:iCs/>
        </w:rPr>
        <w:t xml:space="preserve"> Complete Works </w:t>
      </w:r>
      <w:r w:rsidRPr="007A2722">
        <w:t>(Clarendon Press: Oxford, 1994).</w:t>
      </w:r>
      <w:r>
        <w:t xml:space="preserve"> P</w:t>
      </w:r>
      <w:r>
        <w:t>789.</w:t>
      </w:r>
    </w:p>
  </w:footnote>
  <w:footnote w:id="18">
    <w:p w14:paraId="303D39EB" w14:textId="3BB87193" w:rsidR="00E025A0" w:rsidRDefault="00E025A0">
      <w:pPr>
        <w:pStyle w:val="FootnoteText"/>
      </w:pPr>
      <w:r>
        <w:rPr>
          <w:rStyle w:val="FootnoteReference"/>
        </w:rPr>
        <w:footnoteRef/>
      </w:r>
      <w:r>
        <w:t xml:space="preserve"> </w:t>
      </w:r>
      <w:r w:rsidR="00EC1D6B">
        <w:t xml:space="preserve">David </w:t>
      </w:r>
      <w:proofErr w:type="spellStart"/>
      <w:r w:rsidRPr="007A2722">
        <w:t>Stymeist</w:t>
      </w:r>
      <w:proofErr w:type="spellEnd"/>
      <w:r w:rsidRPr="007A2722">
        <w:t xml:space="preserve">. “Status, Sodomy, and the </w:t>
      </w:r>
      <w:proofErr w:type="spellStart"/>
      <w:r w:rsidRPr="007A2722">
        <w:t>Theater</w:t>
      </w:r>
      <w:proofErr w:type="spellEnd"/>
      <w:r w:rsidRPr="007A2722">
        <w:t xml:space="preserve"> in Marlowe’s ‘Edward II.’” </w:t>
      </w:r>
      <w:r w:rsidRPr="007A2722">
        <w:rPr>
          <w:i/>
          <w:iCs/>
        </w:rPr>
        <w:t>Studies in English Literature, 1500-1900</w:t>
      </w:r>
      <w:r w:rsidRPr="007A2722">
        <w:t xml:space="preserve">, vol. 44, no. 2, 2004, pp. 233–53. </w:t>
      </w:r>
      <w:r w:rsidRPr="007A2722">
        <w:rPr>
          <w:i/>
          <w:iCs/>
        </w:rPr>
        <w:t>JSTOR</w:t>
      </w:r>
      <w:r w:rsidRPr="007A2722">
        <w:t>, http://www.jstor.org/stable/3844628. Accessed 19 Feb. 2023.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gQiE0tDM1NzCwszSyUdpeDU4uLM/DyQAsNaAKSE/MUsAAAA"/>
  </w:docVars>
  <w:rsids>
    <w:rsidRoot w:val="007A2722"/>
    <w:rsid w:val="00030B74"/>
    <w:rsid w:val="00061A9A"/>
    <w:rsid w:val="00072FF0"/>
    <w:rsid w:val="00081779"/>
    <w:rsid w:val="000C3858"/>
    <w:rsid w:val="000C4106"/>
    <w:rsid w:val="00137995"/>
    <w:rsid w:val="001958C2"/>
    <w:rsid w:val="00213634"/>
    <w:rsid w:val="00215DCF"/>
    <w:rsid w:val="00255DBF"/>
    <w:rsid w:val="00283835"/>
    <w:rsid w:val="00283FAF"/>
    <w:rsid w:val="002D2565"/>
    <w:rsid w:val="0031682F"/>
    <w:rsid w:val="00320847"/>
    <w:rsid w:val="00375A96"/>
    <w:rsid w:val="00387F73"/>
    <w:rsid w:val="003A562B"/>
    <w:rsid w:val="003E3D4D"/>
    <w:rsid w:val="003F443F"/>
    <w:rsid w:val="00404D5D"/>
    <w:rsid w:val="0043218A"/>
    <w:rsid w:val="00463217"/>
    <w:rsid w:val="00471FB9"/>
    <w:rsid w:val="00483226"/>
    <w:rsid w:val="004B3A0F"/>
    <w:rsid w:val="004C4E5D"/>
    <w:rsid w:val="004C5C0F"/>
    <w:rsid w:val="004D3675"/>
    <w:rsid w:val="004D6485"/>
    <w:rsid w:val="0057209F"/>
    <w:rsid w:val="00573376"/>
    <w:rsid w:val="005735A9"/>
    <w:rsid w:val="0057509D"/>
    <w:rsid w:val="005D35A0"/>
    <w:rsid w:val="00614472"/>
    <w:rsid w:val="00645192"/>
    <w:rsid w:val="006B1C13"/>
    <w:rsid w:val="006F408A"/>
    <w:rsid w:val="0072395D"/>
    <w:rsid w:val="00730A7C"/>
    <w:rsid w:val="00762E8B"/>
    <w:rsid w:val="00790C09"/>
    <w:rsid w:val="007A0AD6"/>
    <w:rsid w:val="007A2722"/>
    <w:rsid w:val="007A6263"/>
    <w:rsid w:val="007B125D"/>
    <w:rsid w:val="007C6232"/>
    <w:rsid w:val="007F1E7D"/>
    <w:rsid w:val="0081111A"/>
    <w:rsid w:val="00812D3C"/>
    <w:rsid w:val="00816A36"/>
    <w:rsid w:val="00832CE2"/>
    <w:rsid w:val="00844831"/>
    <w:rsid w:val="008B409C"/>
    <w:rsid w:val="008E1084"/>
    <w:rsid w:val="008E6530"/>
    <w:rsid w:val="008E6DFF"/>
    <w:rsid w:val="009376D3"/>
    <w:rsid w:val="009379DE"/>
    <w:rsid w:val="009A51B1"/>
    <w:rsid w:val="009B5BAC"/>
    <w:rsid w:val="009C3016"/>
    <w:rsid w:val="009E4BCC"/>
    <w:rsid w:val="00A0514F"/>
    <w:rsid w:val="00A070D7"/>
    <w:rsid w:val="00A14694"/>
    <w:rsid w:val="00A503D0"/>
    <w:rsid w:val="00A606C4"/>
    <w:rsid w:val="00A85CEE"/>
    <w:rsid w:val="00AA1C0F"/>
    <w:rsid w:val="00AD0502"/>
    <w:rsid w:val="00AE0695"/>
    <w:rsid w:val="00AF3930"/>
    <w:rsid w:val="00AF564E"/>
    <w:rsid w:val="00B02A52"/>
    <w:rsid w:val="00BD2E40"/>
    <w:rsid w:val="00C039DE"/>
    <w:rsid w:val="00C90C1F"/>
    <w:rsid w:val="00C92AE5"/>
    <w:rsid w:val="00CC6EBE"/>
    <w:rsid w:val="00D16F77"/>
    <w:rsid w:val="00D6726B"/>
    <w:rsid w:val="00D7488A"/>
    <w:rsid w:val="00D932F7"/>
    <w:rsid w:val="00D95521"/>
    <w:rsid w:val="00DC5DFF"/>
    <w:rsid w:val="00DE67FB"/>
    <w:rsid w:val="00E020E3"/>
    <w:rsid w:val="00E025A0"/>
    <w:rsid w:val="00E14911"/>
    <w:rsid w:val="00E30FD7"/>
    <w:rsid w:val="00E451E0"/>
    <w:rsid w:val="00E53487"/>
    <w:rsid w:val="00EC1D6B"/>
    <w:rsid w:val="00EF0A46"/>
    <w:rsid w:val="00EF4844"/>
    <w:rsid w:val="00F0674D"/>
    <w:rsid w:val="00F17FC0"/>
    <w:rsid w:val="00F57EC4"/>
    <w:rsid w:val="00F8473B"/>
    <w:rsid w:val="00FB767F"/>
    <w:rsid w:val="00FD1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D16F6"/>
  <w15:docId w15:val="{F7A1AF0D-8008-415F-A74D-62AB50108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A27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2722"/>
    <w:rPr>
      <w:sz w:val="20"/>
      <w:szCs w:val="20"/>
    </w:rPr>
  </w:style>
  <w:style w:type="character" w:styleId="FootnoteReference">
    <w:name w:val="footnote reference"/>
    <w:basedOn w:val="DefaultParagraphFont"/>
    <w:uiPriority w:val="99"/>
    <w:semiHidden/>
    <w:unhideWhenUsed/>
    <w:rsid w:val="007A2722"/>
    <w:rPr>
      <w:vertAlign w:val="superscript"/>
    </w:rPr>
  </w:style>
  <w:style w:type="character" w:styleId="Hyperlink">
    <w:name w:val="Hyperlink"/>
    <w:basedOn w:val="DefaultParagraphFont"/>
    <w:uiPriority w:val="99"/>
    <w:unhideWhenUsed/>
    <w:rsid w:val="00E025A0"/>
    <w:rPr>
      <w:color w:val="0563C1" w:themeColor="hyperlink"/>
      <w:u w:val="single"/>
    </w:rPr>
  </w:style>
  <w:style w:type="character" w:styleId="UnresolvedMention">
    <w:name w:val="Unresolved Mention"/>
    <w:basedOn w:val="DefaultParagraphFont"/>
    <w:uiPriority w:val="99"/>
    <w:semiHidden/>
    <w:unhideWhenUsed/>
    <w:rsid w:val="00E025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84318">
      <w:bodyDiv w:val="1"/>
      <w:marLeft w:val="0"/>
      <w:marRight w:val="0"/>
      <w:marTop w:val="0"/>
      <w:marBottom w:val="0"/>
      <w:divBdr>
        <w:top w:val="none" w:sz="0" w:space="0" w:color="auto"/>
        <w:left w:val="none" w:sz="0" w:space="0" w:color="auto"/>
        <w:bottom w:val="none" w:sz="0" w:space="0" w:color="auto"/>
        <w:right w:val="none" w:sz="0" w:space="0" w:color="auto"/>
      </w:divBdr>
      <w:divsChild>
        <w:div w:id="1792898553">
          <w:marLeft w:val="0"/>
          <w:marRight w:val="0"/>
          <w:marTop w:val="0"/>
          <w:marBottom w:val="0"/>
          <w:divBdr>
            <w:top w:val="none" w:sz="0" w:space="0" w:color="auto"/>
            <w:left w:val="none" w:sz="0" w:space="0" w:color="auto"/>
            <w:bottom w:val="none" w:sz="0" w:space="0" w:color="auto"/>
            <w:right w:val="none" w:sz="0" w:space="0" w:color="auto"/>
          </w:divBdr>
          <w:divsChild>
            <w:div w:id="139200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87913">
      <w:bodyDiv w:val="1"/>
      <w:marLeft w:val="0"/>
      <w:marRight w:val="0"/>
      <w:marTop w:val="0"/>
      <w:marBottom w:val="0"/>
      <w:divBdr>
        <w:top w:val="none" w:sz="0" w:space="0" w:color="auto"/>
        <w:left w:val="none" w:sz="0" w:space="0" w:color="auto"/>
        <w:bottom w:val="none" w:sz="0" w:space="0" w:color="auto"/>
        <w:right w:val="none" w:sz="0" w:space="0" w:color="auto"/>
      </w:divBdr>
      <w:divsChild>
        <w:div w:id="995955927">
          <w:marLeft w:val="0"/>
          <w:marRight w:val="0"/>
          <w:marTop w:val="0"/>
          <w:marBottom w:val="0"/>
          <w:divBdr>
            <w:top w:val="none" w:sz="0" w:space="0" w:color="auto"/>
            <w:left w:val="none" w:sz="0" w:space="0" w:color="auto"/>
            <w:bottom w:val="none" w:sz="0" w:space="0" w:color="auto"/>
            <w:right w:val="none" w:sz="0" w:space="0" w:color="auto"/>
          </w:divBdr>
          <w:divsChild>
            <w:div w:id="14113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52075">
      <w:bodyDiv w:val="1"/>
      <w:marLeft w:val="0"/>
      <w:marRight w:val="0"/>
      <w:marTop w:val="0"/>
      <w:marBottom w:val="0"/>
      <w:divBdr>
        <w:top w:val="none" w:sz="0" w:space="0" w:color="auto"/>
        <w:left w:val="none" w:sz="0" w:space="0" w:color="auto"/>
        <w:bottom w:val="none" w:sz="0" w:space="0" w:color="auto"/>
        <w:right w:val="none" w:sz="0" w:space="0" w:color="auto"/>
      </w:divBdr>
      <w:divsChild>
        <w:div w:id="1045056531">
          <w:marLeft w:val="0"/>
          <w:marRight w:val="0"/>
          <w:marTop w:val="0"/>
          <w:marBottom w:val="0"/>
          <w:divBdr>
            <w:top w:val="none" w:sz="0" w:space="0" w:color="auto"/>
            <w:left w:val="none" w:sz="0" w:space="0" w:color="auto"/>
            <w:bottom w:val="none" w:sz="0" w:space="0" w:color="auto"/>
            <w:right w:val="none" w:sz="0" w:space="0" w:color="auto"/>
          </w:divBdr>
          <w:divsChild>
            <w:div w:id="125373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923936">
      <w:bodyDiv w:val="1"/>
      <w:marLeft w:val="0"/>
      <w:marRight w:val="0"/>
      <w:marTop w:val="0"/>
      <w:marBottom w:val="0"/>
      <w:divBdr>
        <w:top w:val="none" w:sz="0" w:space="0" w:color="auto"/>
        <w:left w:val="none" w:sz="0" w:space="0" w:color="auto"/>
        <w:bottom w:val="none" w:sz="0" w:space="0" w:color="auto"/>
        <w:right w:val="none" w:sz="0" w:space="0" w:color="auto"/>
      </w:divBdr>
      <w:divsChild>
        <w:div w:id="1223835743">
          <w:marLeft w:val="0"/>
          <w:marRight w:val="0"/>
          <w:marTop w:val="0"/>
          <w:marBottom w:val="0"/>
          <w:divBdr>
            <w:top w:val="none" w:sz="0" w:space="0" w:color="auto"/>
            <w:left w:val="none" w:sz="0" w:space="0" w:color="auto"/>
            <w:bottom w:val="none" w:sz="0" w:space="0" w:color="auto"/>
            <w:right w:val="none" w:sz="0" w:space="0" w:color="auto"/>
          </w:divBdr>
          <w:divsChild>
            <w:div w:id="214319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595435">
      <w:bodyDiv w:val="1"/>
      <w:marLeft w:val="0"/>
      <w:marRight w:val="0"/>
      <w:marTop w:val="0"/>
      <w:marBottom w:val="0"/>
      <w:divBdr>
        <w:top w:val="none" w:sz="0" w:space="0" w:color="auto"/>
        <w:left w:val="none" w:sz="0" w:space="0" w:color="auto"/>
        <w:bottom w:val="none" w:sz="0" w:space="0" w:color="auto"/>
        <w:right w:val="none" w:sz="0" w:space="0" w:color="auto"/>
      </w:divBdr>
      <w:divsChild>
        <w:div w:id="1151022952">
          <w:marLeft w:val="0"/>
          <w:marRight w:val="0"/>
          <w:marTop w:val="0"/>
          <w:marBottom w:val="0"/>
          <w:divBdr>
            <w:top w:val="none" w:sz="0" w:space="0" w:color="auto"/>
            <w:left w:val="none" w:sz="0" w:space="0" w:color="auto"/>
            <w:bottom w:val="none" w:sz="0" w:space="0" w:color="auto"/>
            <w:right w:val="none" w:sz="0" w:space="0" w:color="auto"/>
          </w:divBdr>
          <w:divsChild>
            <w:div w:id="8665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77/01847678870310010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jstor.org/stable/3844628.%20Accessed%2019%20Feb.%20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08C51-844B-4A47-BE20-78F03DBFF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7</Pages>
  <Words>1643</Words>
  <Characters>9367</Characters>
  <Application>Microsoft Office Word</Application>
  <DocSecurity>0</DocSecurity>
  <Lines>78</Lines>
  <Paragraphs>21</Paragraphs>
  <ScaleCrop>false</ScaleCrop>
  <Company/>
  <LinksUpToDate>false</LinksUpToDate>
  <CharactersWithSpaces>10989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Philps (1901524)</dc:creator>
  <cp:keywords/>
  <dc:description/>
  <cp:lastModifiedBy>Kerry Philps (1901524)</cp:lastModifiedBy>
  <cp:revision>6</cp:revision>
  <dcterms:created xsi:type="dcterms:W3CDTF">2023-02-19T18:25:00Z</dcterms:created>
  <dcterms:modified xsi:type="dcterms:W3CDTF">2023-02-19T23:43:00Z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27427af8-6958-4b6f-95ad-867527ce728c</vt:lpwstr>
  </property>
</Properties>
</file>