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1BCA38" w14:textId="43C67240" w:rsidR="004B138B" w:rsidRDefault="00791F6A" w:rsidP="003C0C76">
      <w:pPr>
        <w:rPr>
          <w:b/>
          <w:bCs/>
        </w:rPr>
      </w:pPr>
      <w:proofErr w:type="gramStart"/>
      <w:r>
        <w:rPr>
          <w:b/>
          <w:bCs/>
        </w:rPr>
        <w:t>NAME..</w:t>
      </w:r>
      <w:proofErr w:type="gramEnd"/>
      <w:r>
        <w:rPr>
          <w:b/>
          <w:bCs/>
        </w:rPr>
        <w:t xml:space="preserve"> Julie </w:t>
      </w:r>
      <w:r w:rsidR="001D4930">
        <w:rPr>
          <w:b/>
          <w:bCs/>
        </w:rPr>
        <w:t>S</w:t>
      </w:r>
      <w:r>
        <w:rPr>
          <w:b/>
          <w:bCs/>
        </w:rPr>
        <w:t>hehzad</w:t>
      </w:r>
    </w:p>
    <w:p w14:paraId="0CB201A5" w14:textId="23934744" w:rsidR="001D4930" w:rsidRDefault="001D4930" w:rsidP="003C0C76">
      <w:pPr>
        <w:rPr>
          <w:b/>
          <w:bCs/>
        </w:rPr>
      </w:pPr>
      <w:r>
        <w:rPr>
          <w:b/>
          <w:bCs/>
        </w:rPr>
        <w:t xml:space="preserve">STUDENT </w:t>
      </w:r>
      <w:proofErr w:type="gramStart"/>
      <w:r>
        <w:rPr>
          <w:b/>
          <w:bCs/>
        </w:rPr>
        <w:t>ID..</w:t>
      </w:r>
      <w:proofErr w:type="gramEnd"/>
      <w:r>
        <w:rPr>
          <w:b/>
          <w:bCs/>
        </w:rPr>
        <w:t xml:space="preserve"> 2409972</w:t>
      </w:r>
    </w:p>
    <w:p w14:paraId="39CF7965" w14:textId="62CC0418" w:rsidR="00791F6A" w:rsidRDefault="00791F6A" w:rsidP="003C0C76">
      <w:pPr>
        <w:rPr>
          <w:b/>
          <w:bCs/>
        </w:rPr>
      </w:pPr>
      <w:proofErr w:type="gramStart"/>
      <w:r>
        <w:rPr>
          <w:b/>
          <w:bCs/>
        </w:rPr>
        <w:t>MODULE..</w:t>
      </w:r>
      <w:proofErr w:type="gramEnd"/>
      <w:r>
        <w:rPr>
          <w:b/>
          <w:bCs/>
        </w:rPr>
        <w:t xml:space="preserve"> </w:t>
      </w:r>
      <w:r w:rsidR="00882846">
        <w:rPr>
          <w:b/>
          <w:bCs/>
        </w:rPr>
        <w:t>BMHP5019</w:t>
      </w:r>
    </w:p>
    <w:p w14:paraId="0FEB3973" w14:textId="21E2B366" w:rsidR="00882846" w:rsidRDefault="00882846" w:rsidP="003C0C76">
      <w:pPr>
        <w:rPr>
          <w:b/>
          <w:bCs/>
        </w:rPr>
      </w:pPr>
      <w:proofErr w:type="gramStart"/>
      <w:r>
        <w:rPr>
          <w:b/>
          <w:bCs/>
        </w:rPr>
        <w:t>MODULE..</w:t>
      </w:r>
      <w:proofErr w:type="gramEnd"/>
      <w:r>
        <w:rPr>
          <w:b/>
          <w:bCs/>
        </w:rPr>
        <w:t xml:space="preserve"> Introduction to independent research skills</w:t>
      </w:r>
    </w:p>
    <w:p w14:paraId="22326612" w14:textId="7474183C" w:rsidR="00882846" w:rsidRDefault="001D4930" w:rsidP="003C0C76">
      <w:pPr>
        <w:rPr>
          <w:b/>
          <w:bCs/>
        </w:rPr>
      </w:pPr>
      <w:r>
        <w:rPr>
          <w:b/>
          <w:bCs/>
        </w:rPr>
        <w:t xml:space="preserve">ASSIGNMENT </w:t>
      </w:r>
      <w:proofErr w:type="gramStart"/>
      <w:r>
        <w:rPr>
          <w:b/>
          <w:bCs/>
        </w:rPr>
        <w:t>TITLE..</w:t>
      </w:r>
      <w:proofErr w:type="gramEnd"/>
      <w:r>
        <w:rPr>
          <w:b/>
          <w:bCs/>
        </w:rPr>
        <w:t xml:space="preserve"> Component 2</w:t>
      </w:r>
    </w:p>
    <w:p w14:paraId="625F7345" w14:textId="615DE4B4" w:rsidR="003C0C76" w:rsidRPr="005070C2" w:rsidRDefault="003C0C76" w:rsidP="003C0C76">
      <w:pPr>
        <w:rPr>
          <w:b/>
          <w:bCs/>
        </w:rPr>
      </w:pPr>
      <w:r w:rsidRPr="005070C2">
        <w:rPr>
          <w:b/>
          <w:bCs/>
        </w:rPr>
        <w:t>Introduction</w:t>
      </w:r>
    </w:p>
    <w:p w14:paraId="02D60F23" w14:textId="77777777" w:rsidR="003C0C76" w:rsidRDefault="003C0C76" w:rsidP="003C0C76"/>
    <w:p w14:paraId="690F68DC" w14:textId="77777777" w:rsidR="003C0C76" w:rsidRPr="005070C2" w:rsidRDefault="003C0C76" w:rsidP="003C0C76">
      <w:pPr>
        <w:rPr>
          <w:b/>
          <w:bCs/>
        </w:rPr>
      </w:pPr>
      <w:r w:rsidRPr="005070C2">
        <w:rPr>
          <w:b/>
          <w:bCs/>
        </w:rPr>
        <w:t>Definitions</w:t>
      </w:r>
    </w:p>
    <w:p w14:paraId="40A988FE" w14:textId="77777777" w:rsidR="003C0C76" w:rsidRDefault="003C0C76" w:rsidP="003C0C76">
      <w:r>
        <w:t>For this scoping review, children and young people (CYP) is defined as individuals aged 0–18 years, consistent with the United Nations Convention on the Rights of the Child (UNCRC) and statutory frameworks across UK health, social care, and education services. Children and young people’s mental health (CYPMH) refers to a positive state of emotional, psychological, and social wellbeing: the capacity to cope with everyday life stresses, learn effectively, build and sustain relationships, realise personal potential, and contribute to family and community life (World Health Organization [WHO], 2021). It encompasses diagnosable clinical conditions including generalised anxiety disorder, depression, conduct disorder, attention deficit hyperactivity disorder (ADHD), autism spectrum condition (ASC), and trauma</w:t>
      </w:r>
      <w:r>
        <w:rPr>
          <w:rFonts w:ascii="Cambria Math" w:hAnsi="Cambria Math" w:cs="Cambria Math"/>
        </w:rPr>
        <w:t>‑</w:t>
      </w:r>
      <w:r>
        <w:t>related distress, as well as sub</w:t>
      </w:r>
      <w:r>
        <w:rPr>
          <w:rFonts w:ascii="Cambria Math" w:hAnsi="Cambria Math" w:cs="Cambria Math"/>
        </w:rPr>
        <w:t>‑</w:t>
      </w:r>
      <w:r>
        <w:t>clinical emotional and behavioural difficulties that disrupt daily functioning at home, school, or in social settings. Mental health support describes all evidence</w:t>
      </w:r>
      <w:r>
        <w:rPr>
          <w:rFonts w:ascii="Cambria Math" w:hAnsi="Cambria Math" w:cs="Cambria Math"/>
        </w:rPr>
        <w:t>‑</w:t>
      </w:r>
      <w:r>
        <w:t>based interventions, services, and practical assistance delivered by qualified health professionals, social workers, education staff, or appropriately trained community providers, ranging from universal wellbeing promotion and early identification to targeted support and specialist clinical treatment. Access is defined broadly to include geographic availability, service eligibility rules, waiting times, financial affordability, cultural acceptability, reasonable adjustments for disabled CYP, and the ability of children and families to understand and navigate referral systems. Effectiveness refers to measurable positive changes in mental health symptoms, functional outcomes (such as school attendance, peer relationships, or family functioning), service user satisfaction, cost</w:t>
      </w:r>
      <w:r>
        <w:rPr>
          <w:rFonts w:ascii="Cambria Math" w:hAnsi="Cambria Math" w:cs="Cambria Math"/>
        </w:rPr>
        <w:t>‑</w:t>
      </w:r>
      <w:r>
        <w:t>efficiency, and sustained wellbeing over time.</w:t>
      </w:r>
    </w:p>
    <w:p w14:paraId="42F94FCA" w14:textId="77777777" w:rsidR="003C0C76" w:rsidRPr="005070C2" w:rsidRDefault="003C0C76" w:rsidP="003C0C76">
      <w:pPr>
        <w:rPr>
          <w:b/>
          <w:bCs/>
        </w:rPr>
      </w:pPr>
    </w:p>
    <w:p w14:paraId="7176D837" w14:textId="77777777" w:rsidR="003C0C76" w:rsidRPr="005070C2" w:rsidRDefault="003C0C76" w:rsidP="003C0C76">
      <w:pPr>
        <w:rPr>
          <w:b/>
          <w:bCs/>
        </w:rPr>
      </w:pPr>
      <w:r w:rsidRPr="005070C2">
        <w:rPr>
          <w:b/>
          <w:bCs/>
        </w:rPr>
        <w:t>Rationale</w:t>
      </w:r>
    </w:p>
    <w:p w14:paraId="10DBC7E2" w14:textId="77777777" w:rsidR="003C0C76" w:rsidRDefault="003C0C76" w:rsidP="003C0C76">
      <w:r>
        <w:t xml:space="preserve">Mental health difficulties among CYP in the UK have become one of the most pressing public health and social care challenges of the current decade. NHS Digital’s (2023) comprehensive national survey estimates that one in five children aged 7–16 years meets clinical criteria for at least one mental disorder, representing a 50% increase in </w:t>
      </w:r>
      <w:r>
        <w:lastRenderedPageBreak/>
        <w:t>prevalence since 2017 and a sharp, sustained rise following the COVID</w:t>
      </w:r>
      <w:r>
        <w:rPr>
          <w:rFonts w:ascii="Cambria Math" w:hAnsi="Cambria Math" w:cs="Cambria Math"/>
        </w:rPr>
        <w:t>‑</w:t>
      </w:r>
      <w:r>
        <w:t>19 pandemic. This increase has been linked to multiple intersecting factors: prolonged social isolation, disrupted education and routine, increased family financial hardship and conflict, reduced access to usual community and family support networks, and rising exposure to online bullying, harmful content, and social pressure (Viner et al., 2022). Unaddressed mental health needs in childhood rarely resolve spontaneously; evidence shows that approximately 70% of adult mental health conditions have their onset before age 18, and early difficulties are strongly associated with long</w:t>
      </w:r>
      <w:r>
        <w:rPr>
          <w:rFonts w:ascii="Cambria Math" w:hAnsi="Cambria Math" w:cs="Cambria Math"/>
        </w:rPr>
        <w:t>‑</w:t>
      </w:r>
      <w:r>
        <w:t>term negative outcomes including educational underachievement, youth unemployment, substance misuse, involvement in the criminal justice system, poor long</w:t>
      </w:r>
      <w:r>
        <w:rPr>
          <w:rFonts w:ascii="Cambria Math" w:hAnsi="Cambria Math" w:cs="Cambria Math"/>
        </w:rPr>
        <w:t>‑</w:t>
      </w:r>
      <w:r>
        <w:t>term physical health, and even premature mortality (Public Health England, 2021). The wider economic and social cost is substantial, with recent estimates suggesting that unmet CYPMH needs cost the UK over £11.7 billion annually through lost productivity, increased health service use, and additional social support requirements (</w:t>
      </w:r>
      <w:proofErr w:type="spellStart"/>
      <w:r>
        <w:t>YoungMinds</w:t>
      </w:r>
      <w:proofErr w:type="spellEnd"/>
      <w:r>
        <w:t>, 2022).</w:t>
      </w:r>
    </w:p>
    <w:p w14:paraId="5ED10B9F" w14:textId="77777777" w:rsidR="003C0C76" w:rsidRDefault="003C0C76" w:rsidP="003C0C76">
      <w:r>
        <w:t>Despite clear cross</w:t>
      </w:r>
      <w:r>
        <w:rPr>
          <w:rFonts w:ascii="Cambria Math" w:hAnsi="Cambria Math" w:cs="Cambria Math"/>
        </w:rPr>
        <w:t>‑</w:t>
      </w:r>
      <w:r>
        <w:t>party policy commitments to expand and improve services, recent independent inquiries confirm that the majority of CYP with mental health needs still do not receive appropriate or timely support. The House of Commons Health and Social Care Committee (2023) found that average waiting times for specialist Child and Adolescent Mental Health Services (CAMHS) exceed six months in most English regions, and 30% of formal referrals are rejected as “not meeting threshold” even when children have significant, documented needs. Systemic inequalities are also well documented: CYP living in income poverty, those from Black, Asian and Minority Ethnic (BAME) backgrounds, care</w:t>
      </w:r>
      <w:r>
        <w:rPr>
          <w:rFonts w:ascii="Cambria Math" w:hAnsi="Cambria Math" w:cs="Cambria Math"/>
        </w:rPr>
        <w:t>‑</w:t>
      </w:r>
      <w:r>
        <w:t>experienced children, disabled and neurodivergent CYP, and those from Gypsy, Roma and Traveller communities face disproportionate barriers to accessing high</w:t>
      </w:r>
      <w:r>
        <w:rPr>
          <w:rFonts w:ascii="Cambria Math" w:hAnsi="Cambria Math" w:cs="Cambria Math"/>
        </w:rPr>
        <w:t>‑</w:t>
      </w:r>
      <w:r>
        <w:t>quality care, even when their level of need is the same as their peers (</w:t>
      </w:r>
      <w:proofErr w:type="spellStart"/>
      <w:r>
        <w:t>Elford</w:t>
      </w:r>
      <w:proofErr w:type="spellEnd"/>
      <w:r>
        <w:t xml:space="preserve"> et al., 2022). As a Level</w:t>
      </w:r>
      <w:r>
        <w:rPr>
          <w:rFonts w:ascii="Arial" w:hAnsi="Arial" w:cs="Arial"/>
        </w:rPr>
        <w:t> </w:t>
      </w:r>
      <w:r>
        <w:t>5 health and social care student with direct personal and practice experience supporting children and families, understanding what works, where critical gaps exist, and how services can be made more equitable and accessible is critical to informing my future professional practice. This scoping review therefore synthesises current peer</w:t>
      </w:r>
      <w:r>
        <w:rPr>
          <w:rFonts w:ascii="Cambria Math" w:hAnsi="Cambria Math" w:cs="Cambria Math"/>
        </w:rPr>
        <w:t>‑</w:t>
      </w:r>
      <w:r>
        <w:t>reviewed UK evidence to address these core issues, directly aligning with the research proposal submitted for Component</w:t>
      </w:r>
      <w:r>
        <w:rPr>
          <w:rFonts w:ascii="Arial" w:hAnsi="Arial" w:cs="Arial"/>
        </w:rPr>
        <w:t> </w:t>
      </w:r>
      <w:r>
        <w:t>1.</w:t>
      </w:r>
    </w:p>
    <w:p w14:paraId="14B7C22F" w14:textId="77777777" w:rsidR="003C0C76" w:rsidRDefault="003C0C76" w:rsidP="003C0C76"/>
    <w:p w14:paraId="68A13C5F" w14:textId="77777777" w:rsidR="003C0C76" w:rsidRPr="005070C2" w:rsidRDefault="003C0C76" w:rsidP="003C0C76">
      <w:pPr>
        <w:rPr>
          <w:b/>
          <w:bCs/>
        </w:rPr>
      </w:pPr>
      <w:r w:rsidRPr="005070C2">
        <w:rPr>
          <w:b/>
          <w:bCs/>
        </w:rPr>
        <w:t>Review Question</w:t>
      </w:r>
    </w:p>
    <w:p w14:paraId="6D642501" w14:textId="77777777" w:rsidR="003C0C76" w:rsidRDefault="003C0C76" w:rsidP="003C0C76">
      <w:r>
        <w:t>What does current peer</w:t>
      </w:r>
      <w:r>
        <w:rPr>
          <w:rFonts w:ascii="Cambria Math" w:hAnsi="Cambria Math" w:cs="Cambria Math"/>
        </w:rPr>
        <w:t>‑</w:t>
      </w:r>
      <w:r>
        <w:t>reviewed UK research reveal about the effectiveness, access barriers, and lived experiences of mental health support for children and young people across health, social care, education, and digital settings?</w:t>
      </w:r>
    </w:p>
    <w:p w14:paraId="35EC78B2" w14:textId="77777777" w:rsidR="003C0C76" w:rsidRDefault="003C0C76" w:rsidP="003C0C76"/>
    <w:p w14:paraId="4BDF1CB4" w14:textId="77777777" w:rsidR="003C0C76" w:rsidRPr="005070C2" w:rsidRDefault="003C0C76" w:rsidP="003C0C76">
      <w:pPr>
        <w:rPr>
          <w:b/>
          <w:bCs/>
        </w:rPr>
      </w:pPr>
      <w:r w:rsidRPr="005070C2">
        <w:rPr>
          <w:b/>
          <w:bCs/>
        </w:rPr>
        <w:t>Objectives</w:t>
      </w:r>
    </w:p>
    <w:p w14:paraId="122DCFC9" w14:textId="77777777" w:rsidR="003C0C76" w:rsidRDefault="003C0C76" w:rsidP="003C0C76">
      <w:r>
        <w:lastRenderedPageBreak/>
        <w:t>1. Map the scope, study designs, and geographical coverage of UK</w:t>
      </w:r>
      <w:r>
        <w:rPr>
          <w:rFonts w:ascii="Cambria Math" w:hAnsi="Cambria Math" w:cs="Cambria Math"/>
        </w:rPr>
        <w:t>‑</w:t>
      </w:r>
      <w:r>
        <w:t>based peer</w:t>
      </w:r>
      <w:r>
        <w:rPr>
          <w:rFonts w:ascii="Cambria Math" w:hAnsi="Cambria Math" w:cs="Cambria Math"/>
        </w:rPr>
        <w:t>‑</w:t>
      </w:r>
      <w:r>
        <w:t>reviewed research evaluating CYP mental health support published between 2018 and 2025.</w:t>
      </w:r>
    </w:p>
    <w:p w14:paraId="3D812A8D" w14:textId="77777777" w:rsidR="005070C2" w:rsidRDefault="003C0C76" w:rsidP="003C0C76">
      <w:r>
        <w:t>2. Assess comparative evidence on the effectiveness of interventions delivered in specialist CAMHS, universal school and primary care settings, multi</w:t>
      </w:r>
      <w:r>
        <w:rPr>
          <w:rFonts w:ascii="Cambria Math" w:hAnsi="Cambria Math" w:cs="Cambria Math"/>
        </w:rPr>
        <w:t>‑</w:t>
      </w:r>
      <w:r>
        <w:t>agency early support services, and digital platforms.</w:t>
      </w:r>
    </w:p>
    <w:p w14:paraId="7878E623" w14:textId="4E160315" w:rsidR="003C0C76" w:rsidRDefault="003C0C76" w:rsidP="003C0C76">
      <w:r>
        <w:t>3. Identify individual, service</w:t>
      </w:r>
      <w:r>
        <w:rPr>
          <w:rFonts w:ascii="Cambria Math" w:hAnsi="Cambria Math" w:cs="Cambria Math"/>
        </w:rPr>
        <w:t>‑</w:t>
      </w:r>
      <w:r>
        <w:t>level, and systemic barriers that prevent equitable access and sustained engagement with mental health support.</w:t>
      </w:r>
    </w:p>
    <w:p w14:paraId="16AE3CEB" w14:textId="77777777" w:rsidR="003C0C76" w:rsidRDefault="003C0C76" w:rsidP="003C0C76">
      <w:r>
        <w:t>4. Explore how the perspectives of CYP, parents, and frontline practitioners shape service use, acceptability, and outcomes.</w:t>
      </w:r>
    </w:p>
    <w:p w14:paraId="4D0B98C5" w14:textId="77777777" w:rsidR="003C0C76" w:rsidRDefault="003C0C76" w:rsidP="003C0C76">
      <w:r>
        <w:t>5. Develop evidence</w:t>
      </w:r>
      <w:r>
        <w:rPr>
          <w:rFonts w:ascii="Cambria Math" w:hAnsi="Cambria Math" w:cs="Cambria Math"/>
        </w:rPr>
        <w:t>‑</w:t>
      </w:r>
      <w:r>
        <w:t>based recommendations for UK health and social care practice, national policy, and future research priorities.</w:t>
      </w:r>
    </w:p>
    <w:p w14:paraId="33D1707C" w14:textId="77777777" w:rsidR="005070C2" w:rsidRDefault="005070C2" w:rsidP="003C0C76"/>
    <w:p w14:paraId="3BFDFF26" w14:textId="66E68035" w:rsidR="003C0C76" w:rsidRPr="005070C2" w:rsidRDefault="003C0C76" w:rsidP="003C0C76">
      <w:pPr>
        <w:rPr>
          <w:b/>
          <w:bCs/>
        </w:rPr>
      </w:pPr>
      <w:r>
        <w:t>B</w:t>
      </w:r>
      <w:r w:rsidRPr="005070C2">
        <w:rPr>
          <w:b/>
          <w:bCs/>
        </w:rPr>
        <w:t>ackground</w:t>
      </w:r>
    </w:p>
    <w:p w14:paraId="1042F7FD" w14:textId="77777777" w:rsidR="003C0C76" w:rsidRDefault="003C0C76" w:rsidP="003C0C76">
      <w:r>
        <w:t>UK Legal and Policy Context</w:t>
      </w:r>
    </w:p>
    <w:p w14:paraId="0105D9C0" w14:textId="77777777" w:rsidR="003C0C76" w:rsidRDefault="003C0C76" w:rsidP="003C0C76">
      <w:r>
        <w:t>The legal framework governing CYP mental health support in the UK is rooted in legislation that prioritises children’s rights, welfare, and integrated cross</w:t>
      </w:r>
      <w:r>
        <w:rPr>
          <w:rFonts w:ascii="Cambria Math" w:hAnsi="Cambria Math" w:cs="Cambria Math"/>
        </w:rPr>
        <w:t>‑</w:t>
      </w:r>
      <w:r>
        <w:t>service working. The Children Act</w:t>
      </w:r>
      <w:r>
        <w:rPr>
          <w:rFonts w:ascii="Arial" w:hAnsi="Arial" w:cs="Arial"/>
        </w:rPr>
        <w:t> </w:t>
      </w:r>
      <w:r>
        <w:t>1989 (as amended</w:t>
      </w:r>
      <w:r>
        <w:rPr>
          <w:rFonts w:ascii="Arial" w:hAnsi="Arial" w:cs="Arial"/>
        </w:rPr>
        <w:t> </w:t>
      </w:r>
      <w:r>
        <w:t xml:space="preserve">2004) places a universal statutory duty on all public bodies – including NHS trusts, local authorities, and maintained schools – to “safeguard and promote the welfare of children” when making any decision affecting </w:t>
      </w:r>
      <w:proofErr w:type="gramStart"/>
      <w:r>
        <w:t>them, and</w:t>
      </w:r>
      <w:proofErr w:type="gramEnd"/>
      <w:r>
        <w:t xml:space="preserve"> requires services to cooperate with one another to meet identified needs (UK Government, 2004). The United Nations Convention on the Rights of the Child (UNCRC), ratified by the UK in 1991 and fully incorporated into devolved law in Scotland and Wales, additionally enshrines children’s right to the “highest attainable standard of health” and to have their views given “due weight in accordance with the age and maturity of the child” in all matters affecting them (UNICEF UK, 2024). The Health and Social Care Act</w:t>
      </w:r>
      <w:r>
        <w:rPr>
          <w:rFonts w:ascii="Arial" w:hAnsi="Arial" w:cs="Arial"/>
        </w:rPr>
        <w:t> </w:t>
      </w:r>
      <w:r>
        <w:t>2012 mandates collaboration between NHS organisations and local authority social care services, while the Special Educational Needs and Disability (SEND) Code of Practice</w:t>
      </w:r>
      <w:r>
        <w:rPr>
          <w:rFonts w:ascii="Arial" w:hAnsi="Arial" w:cs="Arial"/>
        </w:rPr>
        <w:t> </w:t>
      </w:r>
      <w:r>
        <w:t>2015 places a specific legal duty on education providers to identify and support mental health needs alongside learning difficulties, and to involve children and their families fully in all stages of assessment and support planning (UK Government, 2015).</w:t>
      </w:r>
    </w:p>
    <w:p w14:paraId="241FF8D1" w14:textId="77777777" w:rsidR="003C0C76" w:rsidRDefault="003C0C76" w:rsidP="003C0C76">
      <w:r>
        <w:t>National policy has increasingly prioritised CYPMH over the last decade. The NHS Long Term Plan (NHS England,</w:t>
      </w:r>
      <w:r>
        <w:rPr>
          <w:rFonts w:ascii="Arial" w:hAnsi="Arial" w:cs="Arial"/>
        </w:rPr>
        <w:t> </w:t>
      </w:r>
      <w:r>
        <w:t>2019) committed an additional £2.3</w:t>
      </w:r>
      <w:r>
        <w:rPr>
          <w:rFonts w:ascii="Arial" w:hAnsi="Arial" w:cs="Arial"/>
        </w:rPr>
        <w:t> </w:t>
      </w:r>
      <w:r>
        <w:t xml:space="preserve">billion in annual funding for CYPMH services by 2024, with the explicit aim of increasing access to specialist CAMHS by 34%, expanding early intervention in universal settings, and reducing reliance on crisis and inpatient care. This was followed by the Children and Young </w:t>
      </w:r>
      <w:r>
        <w:lastRenderedPageBreak/>
        <w:t>People’s Mental Health Transformation Programme (Department of Health and Social Care [DHSC],</w:t>
      </w:r>
      <w:r>
        <w:rPr>
          <w:rFonts w:ascii="Arial" w:hAnsi="Arial" w:cs="Arial"/>
        </w:rPr>
        <w:t> </w:t>
      </w:r>
      <w:r>
        <w:t>2024), which sets out three core national priorities: creating designated mental health support teams in state schools and colleges, training senior mental health leads in education to identify and respond to wellbeing needs, and establishing clearer, more consistent referral pathways between education, primary care, and specialist services. The policy also explicitly promotes “blended” care models combining face</w:t>
      </w:r>
      <w:r>
        <w:rPr>
          <w:rFonts w:ascii="Cambria Math" w:hAnsi="Cambria Math" w:cs="Cambria Math"/>
        </w:rPr>
        <w:t>‑</w:t>
      </w:r>
      <w:r>
        <w:t>to</w:t>
      </w:r>
      <w:r>
        <w:rPr>
          <w:rFonts w:ascii="Cambria Math" w:hAnsi="Cambria Math" w:cs="Cambria Math"/>
        </w:rPr>
        <w:t>‑</w:t>
      </w:r>
      <w:r>
        <w:t xml:space="preserve">face and digital </w:t>
      </w:r>
      <w:proofErr w:type="gramStart"/>
      <w:r>
        <w:t>support, and</w:t>
      </w:r>
      <w:proofErr w:type="gramEnd"/>
      <w:r>
        <w:t xml:space="preserve"> aims to reduce the wide regional variation in service provision seen across England. However, national audits show that implementation has been uneven and slow: by early 2025, only 60% of planned school mental health teams were fully operational, and funding increases have been partially offset by rising demand, workforce costs, and high inflation (National Audit Office,</w:t>
      </w:r>
      <w:r>
        <w:rPr>
          <w:rFonts w:ascii="Arial" w:hAnsi="Arial" w:cs="Arial"/>
        </w:rPr>
        <w:t> </w:t>
      </w:r>
      <w:r>
        <w:t>2025).</w:t>
      </w:r>
    </w:p>
    <w:p w14:paraId="799940FD" w14:textId="77777777" w:rsidR="003C0C76" w:rsidRPr="00776721" w:rsidRDefault="003C0C76" w:rsidP="003C0C76">
      <w:pPr>
        <w:rPr>
          <w:b/>
          <w:bCs/>
        </w:rPr>
      </w:pPr>
    </w:p>
    <w:p w14:paraId="075F2CAA" w14:textId="77777777" w:rsidR="003C0C76" w:rsidRPr="00776721" w:rsidRDefault="003C0C76" w:rsidP="003C0C76">
      <w:pPr>
        <w:rPr>
          <w:b/>
          <w:bCs/>
        </w:rPr>
      </w:pPr>
      <w:r w:rsidRPr="00776721">
        <w:rPr>
          <w:b/>
          <w:bCs/>
        </w:rPr>
        <w:t>Structure of Current Services</w:t>
      </w:r>
    </w:p>
    <w:p w14:paraId="03A3F6CD" w14:textId="77777777" w:rsidR="003C0C76" w:rsidRDefault="003C0C76" w:rsidP="003C0C76">
      <w:r>
        <w:t>UK CYP mental health support is formally organised around a four</w:t>
      </w:r>
      <w:r>
        <w:rPr>
          <w:rFonts w:ascii="Cambria Math" w:hAnsi="Cambria Math" w:cs="Cambria Math"/>
        </w:rPr>
        <w:t>‑</w:t>
      </w:r>
      <w:r>
        <w:t>tiered model, designed to match the intensity of service provision to the complexity and severity of identified need (Pearson, 2023):</w:t>
      </w:r>
    </w:p>
    <w:p w14:paraId="5DC0461F" w14:textId="69DEC4C1" w:rsidR="003C0C76" w:rsidRDefault="003C0C76" w:rsidP="003C0C76">
      <w:r>
        <w:t>Tier</w:t>
      </w:r>
      <w:r>
        <w:rPr>
          <w:rFonts w:ascii="Arial" w:hAnsi="Arial" w:cs="Arial"/>
        </w:rPr>
        <w:t> </w:t>
      </w:r>
      <w:r>
        <w:t>1: Universal wellbeing support delivered by non</w:t>
      </w:r>
      <w:r>
        <w:rPr>
          <w:rFonts w:ascii="Cambria Math" w:hAnsi="Cambria Math" w:cs="Cambria Math"/>
        </w:rPr>
        <w:t>‑</w:t>
      </w:r>
      <w:r>
        <w:t>specialist practitioners including teachers, GPs, school nurses, and social workers, for example through whole</w:t>
      </w:r>
      <w:r>
        <w:rPr>
          <w:rFonts w:ascii="Cambria Math" w:hAnsi="Cambria Math" w:cs="Cambria Math"/>
        </w:rPr>
        <w:t>‑</w:t>
      </w:r>
      <w:r>
        <w:t>class wellbeing lessons, behaviour support, or initial signposting.</w:t>
      </w:r>
    </w:p>
    <w:p w14:paraId="548E7D3C" w14:textId="25CE65C6" w:rsidR="003C0C76" w:rsidRDefault="003C0C76" w:rsidP="003C0C76">
      <w:r>
        <w:t xml:space="preserve"> Tier</w:t>
      </w:r>
      <w:r>
        <w:rPr>
          <w:rFonts w:ascii="Arial" w:hAnsi="Arial" w:cs="Arial"/>
        </w:rPr>
        <w:t> </w:t>
      </w:r>
      <w:r>
        <w:t>2: Targeted early help for mild</w:t>
      </w:r>
      <w:r>
        <w:rPr>
          <w:rFonts w:ascii="Cambria Math" w:hAnsi="Cambria Math" w:cs="Cambria Math"/>
        </w:rPr>
        <w:t>‑</w:t>
      </w:r>
      <w:r>
        <w:t>to</w:t>
      </w:r>
      <w:r>
        <w:rPr>
          <w:rFonts w:ascii="Cambria Math" w:hAnsi="Cambria Math" w:cs="Cambria Math"/>
        </w:rPr>
        <w:t>‑</w:t>
      </w:r>
      <w:r>
        <w:t>moderate needs, delivered by specialist workers in community or school settings, such as school counsellors, educational psychologists, or CAMHS outreach workers.</w:t>
      </w:r>
    </w:p>
    <w:p w14:paraId="0AE7EAB7" w14:textId="43E0D32A" w:rsidR="003C0C76" w:rsidRDefault="003C0C76" w:rsidP="003C0C76">
      <w:r>
        <w:t xml:space="preserve"> Tier</w:t>
      </w:r>
      <w:r>
        <w:rPr>
          <w:rFonts w:ascii="Arial" w:hAnsi="Arial" w:cs="Arial"/>
        </w:rPr>
        <w:t> </w:t>
      </w:r>
      <w:r>
        <w:t>3: Specialist CAMHS assessment and treatment for moderate</w:t>
      </w:r>
      <w:r>
        <w:rPr>
          <w:rFonts w:ascii="Cambria Math" w:hAnsi="Cambria Math" w:cs="Cambria Math"/>
        </w:rPr>
        <w:t>‑</w:t>
      </w:r>
      <w:r>
        <w:t>to</w:t>
      </w:r>
      <w:r>
        <w:rPr>
          <w:rFonts w:ascii="Cambria Math" w:hAnsi="Cambria Math" w:cs="Cambria Math"/>
        </w:rPr>
        <w:t>‑</w:t>
      </w:r>
      <w:r>
        <w:t>severe or complex needs, including cognitive behavioural therapy (CBT), family therapy, medication management, and multi</w:t>
      </w:r>
      <w:r>
        <w:rPr>
          <w:rFonts w:ascii="Cambria Math" w:hAnsi="Cambria Math" w:cs="Cambria Math"/>
        </w:rPr>
        <w:t>‑</w:t>
      </w:r>
      <w:r>
        <w:t>disciplinary care planning.</w:t>
      </w:r>
    </w:p>
    <w:p w14:paraId="4C8AB66A" w14:textId="5B6C6586" w:rsidR="003C0C76" w:rsidRDefault="003C0C76" w:rsidP="003C0C76">
      <w:r>
        <w:t xml:space="preserve"> Tier</w:t>
      </w:r>
      <w:r>
        <w:rPr>
          <w:rFonts w:ascii="Arial" w:hAnsi="Arial" w:cs="Arial"/>
        </w:rPr>
        <w:t> </w:t>
      </w:r>
      <w:r>
        <w:t>4: Highly specialist inpatient or crisis support for acute risk to self or others, severe eating disorders, or complex neurodevelopmental conditions requiring 24</w:t>
      </w:r>
      <w:r>
        <w:rPr>
          <w:rFonts w:ascii="Cambria Math" w:hAnsi="Cambria Math" w:cs="Cambria Math"/>
        </w:rPr>
        <w:t>‑</w:t>
      </w:r>
      <w:r>
        <w:t>hour care.</w:t>
      </w:r>
    </w:p>
    <w:p w14:paraId="05854551" w14:textId="77777777" w:rsidR="003C0C76" w:rsidRDefault="003C0C76" w:rsidP="003C0C76">
      <w:r>
        <w:t>In practice, this model often operates as a restrictive “gatekeeping” system, where access to Tier</w:t>
      </w:r>
      <w:r>
        <w:rPr>
          <w:rFonts w:ascii="Arial" w:hAnsi="Arial" w:cs="Arial"/>
        </w:rPr>
        <w:t> </w:t>
      </w:r>
      <w:r>
        <w:t>3 and</w:t>
      </w:r>
      <w:r>
        <w:rPr>
          <w:rFonts w:ascii="Arial" w:hAnsi="Arial" w:cs="Arial"/>
        </w:rPr>
        <w:t> </w:t>
      </w:r>
      <w:r>
        <w:t>4 services requires formal referral and assessment, and eligibility is strictly limited to children whose needs are deemed “severe enough” to justify specialist input (House of Commons Health and Social Care Committee,</w:t>
      </w:r>
      <w:r>
        <w:rPr>
          <w:rFonts w:ascii="Arial" w:hAnsi="Arial" w:cs="Arial"/>
        </w:rPr>
        <w:t> </w:t>
      </w:r>
      <w:r>
        <w:t>2023). This has created a well</w:t>
      </w:r>
      <w:r>
        <w:rPr>
          <w:rFonts w:ascii="Cambria Math" w:hAnsi="Cambria Math" w:cs="Cambria Math"/>
        </w:rPr>
        <w:t>‑</w:t>
      </w:r>
      <w:r>
        <w:t>documented “missing middle” of CYP with moderate needs who are not supported in universal settings but do not meet CAMHS thresholds, leaving many without formal help at all (</w:t>
      </w:r>
      <w:proofErr w:type="spellStart"/>
      <w:r>
        <w:t>YoungMinds</w:t>
      </w:r>
      <w:proofErr w:type="spellEnd"/>
      <w:r>
        <w:t>,</w:t>
      </w:r>
      <w:r>
        <w:rPr>
          <w:rFonts w:ascii="Arial" w:hAnsi="Arial" w:cs="Arial"/>
        </w:rPr>
        <w:t> </w:t>
      </w:r>
      <w:r>
        <w:t xml:space="preserve">2022). Workforce shortages are a key contributing factor: the British Medical Association (2024) reports that 40% of CAMHS consultant posts and 35% of senior mental health practitioner posts were vacant in </w:t>
      </w:r>
      <w:r>
        <w:lastRenderedPageBreak/>
        <w:t>2024, with high turnover, burnout, and unfilled training places among existing staff further increasing waiting times and reducing overall service capacity.</w:t>
      </w:r>
    </w:p>
    <w:p w14:paraId="64C0E042" w14:textId="77777777" w:rsidR="003C0C76" w:rsidRPr="00776721" w:rsidRDefault="003C0C76" w:rsidP="003C0C76">
      <w:pPr>
        <w:rPr>
          <w:b/>
          <w:bCs/>
        </w:rPr>
      </w:pPr>
    </w:p>
    <w:p w14:paraId="692D5B55" w14:textId="77777777" w:rsidR="00776721" w:rsidRDefault="003C0C76" w:rsidP="003C0C76">
      <w:pPr>
        <w:rPr>
          <w:b/>
          <w:bCs/>
        </w:rPr>
      </w:pPr>
      <w:r w:rsidRPr="00776721">
        <w:rPr>
          <w:b/>
          <w:bCs/>
        </w:rPr>
        <w:t>Digital and Devolved Context</w:t>
      </w:r>
    </w:p>
    <w:p w14:paraId="49553495" w14:textId="6ED12961" w:rsidR="003C0C76" w:rsidRPr="00776721" w:rsidRDefault="003C0C76" w:rsidP="003C0C76">
      <w:pPr>
        <w:rPr>
          <w:b/>
          <w:bCs/>
        </w:rPr>
      </w:pPr>
      <w:r>
        <w:t>The COVID</w:t>
      </w:r>
      <w:r>
        <w:rPr>
          <w:rFonts w:ascii="Cambria Math" w:hAnsi="Cambria Math" w:cs="Cambria Math"/>
        </w:rPr>
        <w:t>‑</w:t>
      </w:r>
      <w:r>
        <w:t>19 pandemic accelerated the rollout of digital mental health tools, including online therapy platforms, self</w:t>
      </w:r>
      <w:r>
        <w:rPr>
          <w:rFonts w:ascii="Cambria Math" w:hAnsi="Cambria Math" w:cs="Cambria Math"/>
        </w:rPr>
        <w:t>‑</w:t>
      </w:r>
      <w:r>
        <w:t>guided apps, and virtual appointments, which were initially framed as a temporary response to social restrictions but have since become a permanent component of national service planning (NHS England,</w:t>
      </w:r>
      <w:r>
        <w:rPr>
          <w:rFonts w:ascii="Arial" w:hAnsi="Arial" w:cs="Arial"/>
        </w:rPr>
        <w:t> </w:t>
      </w:r>
      <w:r>
        <w:t>2023). However, concerns remain about whether digital tools reduce or widen existing inequalities, particularly for families without reliable high</w:t>
      </w:r>
      <w:r>
        <w:rPr>
          <w:rFonts w:ascii="Cambria Math" w:hAnsi="Cambria Math" w:cs="Cambria Math"/>
        </w:rPr>
        <w:t>‑</w:t>
      </w:r>
      <w:r>
        <w:t>speed internet access or digital skills, younger children, those with communication or learning difficulties, and CYP who do not feel comfortable sharing personal feelings online (</w:t>
      </w:r>
      <w:proofErr w:type="spellStart"/>
      <w:r>
        <w:t>Edbrooke</w:t>
      </w:r>
      <w:proofErr w:type="spellEnd"/>
      <w:r>
        <w:rPr>
          <w:rFonts w:ascii="Cambria Math" w:hAnsi="Cambria Math" w:cs="Cambria Math"/>
        </w:rPr>
        <w:t>‑</w:t>
      </w:r>
      <w:r>
        <w:t>Childs et al.,</w:t>
      </w:r>
      <w:r>
        <w:rPr>
          <w:rFonts w:ascii="Arial" w:hAnsi="Arial" w:cs="Arial"/>
        </w:rPr>
        <w:t> </w:t>
      </w:r>
      <w:r>
        <w:t>2021). While this review focuses primarily on evidence from England, it is important to note that service models differ significantly across the devolved nations: Scotland has prioritised community</w:t>
      </w:r>
      <w:r>
        <w:rPr>
          <w:rFonts w:ascii="Cambria Math" w:hAnsi="Cambria Math" w:cs="Cambria Math"/>
        </w:rPr>
        <w:t>‑</w:t>
      </w:r>
      <w:r>
        <w:t>based “whole</w:t>
      </w:r>
      <w:r>
        <w:rPr>
          <w:rFonts w:ascii="Cambria Math" w:hAnsi="Cambria Math" w:cs="Cambria Math"/>
        </w:rPr>
        <w:t>‑</w:t>
      </w:r>
      <w:r>
        <w:t>child” support and fully integrated CAMHS with social work services; Wales has expanded primary mental health support for schools and introduced national wellbeing duties for all public bodies; and Northern Ireland faces unique challenges related to long</w:t>
      </w:r>
      <w:r>
        <w:rPr>
          <w:rFonts w:ascii="Cambria Math" w:hAnsi="Cambria Math" w:cs="Cambria Math"/>
        </w:rPr>
        <w:t>‑</w:t>
      </w:r>
      <w:r>
        <w:t>standing funding instability and fragmented service delivery (Mental Health Foundation,</w:t>
      </w:r>
      <w:r>
        <w:rPr>
          <w:rFonts w:ascii="Arial" w:hAnsi="Arial" w:cs="Arial"/>
        </w:rPr>
        <w:t> </w:t>
      </w:r>
      <w:r>
        <w:t>2024).</w:t>
      </w:r>
    </w:p>
    <w:p w14:paraId="769AECA4" w14:textId="77777777" w:rsidR="003C0C76" w:rsidRDefault="003C0C76" w:rsidP="003C0C76">
      <w:r>
        <w:t>This study is entirely secondary research: no new primary data was collected, no contact was made with children, families, or practitioners, and no identifiable personal information was accessed. As such, formal ethical approval from an institutional research ethics committee or NHS Research Authority was not required, in line with standard UK research governance guidelines. All included studies had already received full ethical approval from relevant institutional review boards prior to publication, and all data analysed is publicly available. Ethical standards were maintained throughout the review process: findings are reported objectively without selective interpretation or bias; all sources are fully acknowledged using consistent UWTSD Harvard referencing; and sensitive findings relating to vulnerable groups are presented respectfully and without overgeneralisation.</w:t>
      </w:r>
    </w:p>
    <w:p w14:paraId="307557E0" w14:textId="77777777" w:rsidR="003C0C76" w:rsidRPr="00776721" w:rsidRDefault="003C0C76" w:rsidP="003C0C76">
      <w:pPr>
        <w:rPr>
          <w:b/>
          <w:bCs/>
        </w:rPr>
      </w:pPr>
    </w:p>
    <w:p w14:paraId="20B8EF70" w14:textId="6C77C819" w:rsidR="003C0C76" w:rsidRPr="00776721" w:rsidRDefault="003C0C76" w:rsidP="003C0C76">
      <w:pPr>
        <w:rPr>
          <w:b/>
          <w:bCs/>
        </w:rPr>
      </w:pPr>
      <w:r w:rsidRPr="00776721">
        <w:rPr>
          <w:b/>
          <w:bCs/>
        </w:rPr>
        <w:t>Results</w:t>
      </w:r>
    </w:p>
    <w:p w14:paraId="71C664F7" w14:textId="77777777" w:rsidR="003C0C76" w:rsidRDefault="003C0C76" w:rsidP="003C0C76"/>
    <w:p w14:paraId="631C4A4B" w14:textId="4A4468DC" w:rsidR="003C0C76" w:rsidRPr="00776721" w:rsidRDefault="003C0C76" w:rsidP="003C0C76">
      <w:pPr>
        <w:rPr>
          <w:b/>
          <w:bCs/>
        </w:rPr>
      </w:pPr>
      <w:r w:rsidRPr="00776721">
        <w:rPr>
          <w:b/>
          <w:bCs/>
        </w:rPr>
        <w:t xml:space="preserve">Summary of Included Studies </w:t>
      </w:r>
    </w:p>
    <w:p w14:paraId="7445A24B" w14:textId="77777777" w:rsidR="003C0C76" w:rsidRDefault="003C0C76" w:rsidP="003C0C76">
      <w:r>
        <w:t>Cooper et al. (2020)</w:t>
      </w:r>
    </w:p>
    <w:p w14:paraId="1C2C74F1" w14:textId="0CA1DC4A" w:rsidR="003C0C76" w:rsidRDefault="003C0C76" w:rsidP="003C0C76">
      <w:r>
        <w:lastRenderedPageBreak/>
        <w:t xml:space="preserve"> Aim: Evaluate the clinical effectiveness and cost</w:t>
      </w:r>
      <w:r>
        <w:rPr>
          <w:rFonts w:ascii="Cambria Math" w:hAnsi="Cambria Math" w:cs="Cambria Math"/>
        </w:rPr>
        <w:t>‑</w:t>
      </w:r>
      <w:r>
        <w:t>effectiveness of school</w:t>
      </w:r>
      <w:r>
        <w:rPr>
          <w:rFonts w:ascii="Cambria Math" w:hAnsi="Cambria Math" w:cs="Cambria Math"/>
        </w:rPr>
        <w:t>‑</w:t>
      </w:r>
      <w:r>
        <w:t>based counselling compared to standard pastoral care</w:t>
      </w:r>
    </w:p>
    <w:p w14:paraId="3A20DF46" w14:textId="6E0D319E" w:rsidR="003C0C76" w:rsidRDefault="003C0C76" w:rsidP="003C0C76">
      <w:r>
        <w:t xml:space="preserve"> Design &amp; Participants: Cluster randomised controlled trial; 3,705 pupils aged 11–16 years; 17 secondary schools across 5 English regions</w:t>
      </w:r>
    </w:p>
    <w:p w14:paraId="2FCEBEB1" w14:textId="27C5C12D" w:rsidR="003C0C76" w:rsidRDefault="003C0C76" w:rsidP="003C0C76">
      <w:r>
        <w:t xml:space="preserve"> Setting &amp; Intervention: 8–12 one</w:t>
      </w:r>
      <w:r>
        <w:rPr>
          <w:rFonts w:ascii="Cambria Math" w:hAnsi="Cambria Math" w:cs="Cambria Math"/>
        </w:rPr>
        <w:t>‑</w:t>
      </w:r>
      <w:r>
        <w:t>to</w:t>
      </w:r>
      <w:r>
        <w:rPr>
          <w:rFonts w:ascii="Cambria Math" w:hAnsi="Cambria Math" w:cs="Cambria Math"/>
        </w:rPr>
        <w:t>‑</w:t>
      </w:r>
      <w:r>
        <w:t>one humanistic counselling sessions delivered by professionally trained counsellors within school premises</w:t>
      </w:r>
    </w:p>
    <w:p w14:paraId="3D5ECE94" w14:textId="6A38602E" w:rsidR="003C0C76" w:rsidRDefault="003C0C76" w:rsidP="003C0C76">
      <w:r>
        <w:t xml:space="preserve"> Key Findings: Significant reductions in emotional symptoms at both 6 and 12</w:t>
      </w:r>
      <w:r>
        <w:rPr>
          <w:rFonts w:ascii="Cambria Math" w:hAnsi="Cambria Math" w:cs="Cambria Math"/>
        </w:rPr>
        <w:t>‑</w:t>
      </w:r>
      <w:r>
        <w:t>month follow</w:t>
      </w:r>
      <w:r>
        <w:rPr>
          <w:rFonts w:ascii="Cambria Math" w:hAnsi="Cambria Math" w:cs="Cambria Math"/>
        </w:rPr>
        <w:t>‑</w:t>
      </w:r>
      <w:r>
        <w:t>up; strongest benefits for pupils with moderate</w:t>
      </w:r>
      <w:r>
        <w:rPr>
          <w:rFonts w:ascii="Cambria Math" w:hAnsi="Cambria Math" w:cs="Cambria Math"/>
        </w:rPr>
        <w:t>‑</w:t>
      </w:r>
      <w:r>
        <w:t>to</w:t>
      </w:r>
      <w:r>
        <w:rPr>
          <w:rFonts w:ascii="Cambria Math" w:hAnsi="Cambria Math" w:cs="Cambria Math"/>
        </w:rPr>
        <w:t>‑</w:t>
      </w:r>
      <w:r>
        <w:t>severe distress; more cost</w:t>
      </w:r>
      <w:r>
        <w:rPr>
          <w:rFonts w:ascii="Cambria Math" w:hAnsi="Cambria Math" w:cs="Cambria Math"/>
        </w:rPr>
        <w:t>‑</w:t>
      </w:r>
      <w:r>
        <w:t>effective than usual pastoral care</w:t>
      </w:r>
    </w:p>
    <w:p w14:paraId="0A4D8AE6" w14:textId="77777777" w:rsidR="003C0C76" w:rsidRDefault="003C0C76" w:rsidP="003C0C76">
      <w:proofErr w:type="spellStart"/>
      <w:r>
        <w:t>Elford</w:t>
      </w:r>
      <w:proofErr w:type="spellEnd"/>
      <w:r>
        <w:t xml:space="preserve"> et al. (2022)</w:t>
      </w:r>
    </w:p>
    <w:p w14:paraId="45171771" w14:textId="2074C658" w:rsidR="003C0C76" w:rsidRDefault="003C0C76" w:rsidP="003C0C76">
      <w:r>
        <w:t>Aim: Examine ethnic, socioeconomic, and disability</w:t>
      </w:r>
      <w:r>
        <w:rPr>
          <w:rFonts w:ascii="Cambria Math" w:hAnsi="Cambria Math" w:cs="Cambria Math"/>
        </w:rPr>
        <w:t>‑</w:t>
      </w:r>
      <w:r>
        <w:t>related inequalities in access, engagement, and treatment outcomes in specialist CAMHS</w:t>
      </w:r>
    </w:p>
    <w:p w14:paraId="57845434" w14:textId="46564B10" w:rsidR="003C0C76" w:rsidRDefault="003C0C76" w:rsidP="003C0C76">
      <w:r>
        <w:t xml:space="preserve"> Design &amp; Participants: Retrospective observational cohort study; 48,652 referrals aged 5–17 years; 4 English CAMHS trusts covering urban and rural areas</w:t>
      </w:r>
    </w:p>
    <w:p w14:paraId="16DEE020" w14:textId="2A944450" w:rsidR="003C0C76" w:rsidRDefault="003C0C76" w:rsidP="003C0C76">
      <w:r>
        <w:t xml:space="preserve"> Setting &amp; Intervention: Standard Tier</w:t>
      </w:r>
      <w:r>
        <w:rPr>
          <w:rFonts w:ascii="Arial" w:hAnsi="Arial" w:cs="Arial"/>
        </w:rPr>
        <w:t> </w:t>
      </w:r>
      <w:r>
        <w:t>2/3 CAMHS assessment and evidence</w:t>
      </w:r>
      <w:r>
        <w:rPr>
          <w:rFonts w:ascii="Cambria Math" w:hAnsi="Cambria Math" w:cs="Cambria Math"/>
        </w:rPr>
        <w:t>‑</w:t>
      </w:r>
      <w:r>
        <w:t>based treatment</w:t>
      </w:r>
    </w:p>
    <w:p w14:paraId="2C0ADE71" w14:textId="056B287A" w:rsidR="003C0C76" w:rsidRDefault="003C0C76" w:rsidP="003C0C76">
      <w:r>
        <w:t>Key Findings: Referrals from Black, Pakistani/Bangladeshi, low</w:t>
      </w:r>
      <w:r>
        <w:rPr>
          <w:rFonts w:ascii="Cambria Math" w:hAnsi="Cambria Math" w:cs="Cambria Math"/>
        </w:rPr>
        <w:t>‑</w:t>
      </w:r>
      <w:r>
        <w:t>income, and SEND groups were 1.5–2 times more likely to be rejected or discharged before completing treatment; disparities remained statistically significant after adjusting for symptom severity</w:t>
      </w:r>
    </w:p>
    <w:p w14:paraId="1D1EF281" w14:textId="77777777" w:rsidR="003C0C76" w:rsidRDefault="003C0C76" w:rsidP="003C0C76">
      <w:proofErr w:type="spellStart"/>
      <w:r>
        <w:t>Edbrooke</w:t>
      </w:r>
      <w:proofErr w:type="spellEnd"/>
      <w:r>
        <w:rPr>
          <w:rFonts w:ascii="Cambria Math" w:hAnsi="Cambria Math" w:cs="Cambria Math"/>
        </w:rPr>
        <w:t>‑</w:t>
      </w:r>
      <w:r>
        <w:t>Childs et al. (2021)</w:t>
      </w:r>
    </w:p>
    <w:p w14:paraId="7AD1860D" w14:textId="02C5592F" w:rsidR="003C0C76" w:rsidRDefault="003C0C76" w:rsidP="003C0C76">
      <w:r>
        <w:t xml:space="preserve"> Aim: Assess uptake, acceptability, and clinical impact of guided digital CBT for anxiety and depression during the COVID</w:t>
      </w:r>
      <w:r>
        <w:rPr>
          <w:rFonts w:ascii="Cambria Math" w:hAnsi="Cambria Math" w:cs="Cambria Math"/>
        </w:rPr>
        <w:t>‑</w:t>
      </w:r>
      <w:r>
        <w:t>19 pandemic</w:t>
      </w:r>
    </w:p>
    <w:p w14:paraId="2D5963D9" w14:textId="77777777" w:rsidR="00776721" w:rsidRDefault="003C0C76" w:rsidP="003C0C76">
      <w:r>
        <w:t xml:space="preserve"> Design &amp; Participants: Mixed</w:t>
      </w:r>
      <w:r>
        <w:rPr>
          <w:rFonts w:ascii="Cambria Math" w:hAnsi="Cambria Math" w:cs="Cambria Math"/>
        </w:rPr>
        <w:t>‑</w:t>
      </w:r>
      <w:r>
        <w:t>methods evaluation; 324 CYP aged 12–17 years; 10 NHS mental health sites across England</w:t>
      </w:r>
    </w:p>
    <w:p w14:paraId="34CC0C00" w14:textId="1D35A075" w:rsidR="003C0C76" w:rsidRDefault="003C0C76" w:rsidP="003C0C76">
      <w:r>
        <w:t xml:space="preserve"> Setting &amp; Intervention: Guided and unguided digital cognitive behavioural therapy platforms delivered via NHS mental health services</w:t>
      </w:r>
    </w:p>
    <w:p w14:paraId="638CB15F" w14:textId="59585046" w:rsidR="003C0C76" w:rsidRDefault="003C0C76" w:rsidP="003C0C76">
      <w:r>
        <w:t xml:space="preserve"> Key Findings: 72% of participants rated digital support as “acceptable” or “very acceptable”; small but significant reductions in anxiety and depression symptoms; 30% lower engagement among boys, younger adolescents, and those without reliable home internet access</w:t>
      </w:r>
    </w:p>
    <w:p w14:paraId="13084676" w14:textId="77777777" w:rsidR="003C0C76" w:rsidRDefault="003C0C76" w:rsidP="003C0C76">
      <w:r>
        <w:t>Ford et al. (2019)</w:t>
      </w:r>
    </w:p>
    <w:p w14:paraId="40AB5CD2" w14:textId="7D32C3F9" w:rsidR="003C0C76" w:rsidRDefault="003C0C76" w:rsidP="003C0C76">
      <w:r>
        <w:t xml:space="preserve"> Aim: Compare the effectiveness of primary care</w:t>
      </w:r>
      <w:r>
        <w:rPr>
          <w:rFonts w:ascii="Cambria Math" w:hAnsi="Cambria Math" w:cs="Cambria Math"/>
        </w:rPr>
        <w:t>‑</w:t>
      </w:r>
      <w:r>
        <w:t>based collaborative care versus standard CAMHS referral pathways</w:t>
      </w:r>
    </w:p>
    <w:p w14:paraId="7A0B7DF6" w14:textId="54F73152" w:rsidR="003C0C76" w:rsidRDefault="003C0C76" w:rsidP="003C0C76">
      <w:r>
        <w:lastRenderedPageBreak/>
        <w:t>Design &amp; Participants: Pragmatic randomised controlled trial; 472 CYP aged 8–15 years; 28 general practices across rural and urban Wales</w:t>
      </w:r>
    </w:p>
    <w:p w14:paraId="73848A68" w14:textId="4508E066" w:rsidR="003C0C76" w:rsidRDefault="003C0C76" w:rsidP="003C0C76">
      <w:r>
        <w:t xml:space="preserve"> Setting &amp; Intervention: Collaborative care model: practice nurse case management, brief parent and child therapy, regular specialist CAMHS supervision</w:t>
      </w:r>
    </w:p>
    <w:p w14:paraId="35E72D3F" w14:textId="05E9272E" w:rsidR="003C0C76" w:rsidRDefault="003C0C76" w:rsidP="003C0C76">
      <w:r>
        <w:t xml:space="preserve"> Key Findings: Average wait of 7 weeks for collaborative care versus 24 weeks for standard referrals; significantly better parent</w:t>
      </w:r>
      <w:r>
        <w:rPr>
          <w:rFonts w:ascii="Cambria Math" w:hAnsi="Cambria Math" w:cs="Cambria Math"/>
        </w:rPr>
        <w:t>‑</w:t>
      </w:r>
      <w:r>
        <w:t>reported mental health outcomes at 12 months; 25% fewer treatment drop</w:t>
      </w:r>
      <w:r>
        <w:rPr>
          <w:rFonts w:ascii="Cambria Math" w:hAnsi="Cambria Math" w:cs="Cambria Math"/>
        </w:rPr>
        <w:t>‑</w:t>
      </w:r>
      <w:r>
        <w:t>outs</w:t>
      </w:r>
    </w:p>
    <w:p w14:paraId="5032E82F" w14:textId="77777777" w:rsidR="003C0C76" w:rsidRDefault="003C0C76" w:rsidP="003C0C76">
      <w:r>
        <w:t>Snell et al. (2023)</w:t>
      </w:r>
    </w:p>
    <w:p w14:paraId="0D81679E" w14:textId="2A5CFDAB" w:rsidR="003C0C76" w:rsidRDefault="003C0C76" w:rsidP="003C0C76">
      <w:r>
        <w:t>Aim: Identify barriers and facilitators to engagement and treatment completion in Tier</w:t>
      </w:r>
      <w:r>
        <w:rPr>
          <w:rFonts w:ascii="Arial" w:hAnsi="Arial" w:cs="Arial"/>
        </w:rPr>
        <w:t> </w:t>
      </w:r>
      <w:r>
        <w:t>2/3 CAMHS services</w:t>
      </w:r>
    </w:p>
    <w:p w14:paraId="5AD9DB94" w14:textId="3D0E0B77" w:rsidR="003C0C76" w:rsidRDefault="003C0C76" w:rsidP="003C0C76">
      <w:r>
        <w:t xml:space="preserve"> Design &amp; Participants: Sequential mixed</w:t>
      </w:r>
      <w:r>
        <w:rPr>
          <w:rFonts w:ascii="Cambria Math" w:hAnsi="Cambria Math" w:cs="Cambria Math"/>
        </w:rPr>
        <w:t>‑</w:t>
      </w:r>
      <w:r>
        <w:t>methods: survey of 121 CYP and parents, plus semi</w:t>
      </w:r>
      <w:r>
        <w:rPr>
          <w:rFonts w:ascii="Cambria Math" w:hAnsi="Cambria Math" w:cs="Cambria Math"/>
        </w:rPr>
        <w:t>‑</w:t>
      </w:r>
      <w:r>
        <w:t>structured interviews with 42 participants aged 7–18 years; 4 community CAMHS teams in the Midlands and London</w:t>
      </w:r>
    </w:p>
    <w:p w14:paraId="3E2FE11D" w14:textId="4220A13B" w:rsidR="003C0C76" w:rsidRDefault="003C0C76" w:rsidP="003C0C76">
      <w:r>
        <w:t xml:space="preserve"> Setting &amp; Intervention: Standard CAMHS assessment and ongoing treatment</w:t>
      </w:r>
    </w:p>
    <w:p w14:paraId="09BA44B5" w14:textId="4A3541F4" w:rsidR="003C0C76" w:rsidRDefault="003C0C76" w:rsidP="003C0C76">
      <w:r>
        <w:t xml:space="preserve"> Key Findings: Barriers included stigma, inflexible appointment times, travel costs, poor cross</w:t>
      </w:r>
      <w:r>
        <w:rPr>
          <w:rFonts w:ascii="Cambria Math" w:hAnsi="Cambria Math" w:cs="Cambria Math"/>
        </w:rPr>
        <w:t>‑</w:t>
      </w:r>
      <w:r>
        <w:t>service communication, and lack of youth involvement in planning; facilitators included choice of practitioner, consistent keyworker support, and flexible delivery formats</w:t>
      </w:r>
    </w:p>
    <w:p w14:paraId="432ACCF0" w14:textId="77777777" w:rsidR="003C0C76" w:rsidRDefault="003C0C76" w:rsidP="003C0C76">
      <w:r>
        <w:t>Wilson et al. (2024)</w:t>
      </w:r>
    </w:p>
    <w:p w14:paraId="41CCD0D2" w14:textId="123241CB" w:rsidR="003C0C76" w:rsidRDefault="003C0C76" w:rsidP="003C0C76">
      <w:r>
        <w:t xml:space="preserve"> Aim: Evaluate the impact of multi</w:t>
      </w:r>
      <w:r>
        <w:rPr>
          <w:rFonts w:ascii="Cambria Math" w:hAnsi="Cambria Math" w:cs="Cambria Math"/>
        </w:rPr>
        <w:t>‑</w:t>
      </w:r>
      <w:r>
        <w:t>agency early support hubs on CAMHS referrals, wellbeing outcomes, and family experience</w:t>
      </w:r>
    </w:p>
    <w:p w14:paraId="1F324C97" w14:textId="74500306" w:rsidR="003C0C76" w:rsidRDefault="003C0C76" w:rsidP="003C0C76">
      <w:r>
        <w:t xml:space="preserve"> Design &amp; Participants: Controlled before</w:t>
      </w:r>
      <w:r>
        <w:rPr>
          <w:rFonts w:ascii="Cambria Math" w:hAnsi="Cambria Math" w:cs="Cambria Math"/>
        </w:rPr>
        <w:t>‑</w:t>
      </w:r>
      <w:r>
        <w:t>and</w:t>
      </w:r>
      <w:r>
        <w:rPr>
          <w:rFonts w:ascii="Cambria Math" w:hAnsi="Cambria Math" w:cs="Cambria Math"/>
        </w:rPr>
        <w:t>‑</w:t>
      </w:r>
      <w:r>
        <w:t xml:space="preserve">after study; 1,218 CYP aged 4–16 years; 6 hub sites in </w:t>
      </w:r>
      <w:proofErr w:type="gramStart"/>
      <w:r>
        <w:t>North West</w:t>
      </w:r>
      <w:proofErr w:type="gramEnd"/>
      <w:r>
        <w:t xml:space="preserve"> England compared to 6 matched control sites</w:t>
      </w:r>
    </w:p>
    <w:p w14:paraId="0EA6C903" w14:textId="49FF0595" w:rsidR="003C0C76" w:rsidRDefault="003C0C76" w:rsidP="003C0C76">
      <w:r>
        <w:t xml:space="preserve"> Setting &amp; Intervention: Integrated hubs co</w:t>
      </w:r>
      <w:r>
        <w:rPr>
          <w:rFonts w:ascii="Cambria Math" w:hAnsi="Cambria Math" w:cs="Cambria Math"/>
        </w:rPr>
        <w:t>‑</w:t>
      </w:r>
      <w:r>
        <w:t>locating health, social care, education, and voluntary sector staff to provide holistic early support</w:t>
      </w:r>
    </w:p>
    <w:p w14:paraId="7FDD0934" w14:textId="45819917" w:rsidR="003C0C76" w:rsidRDefault="003C0C76" w:rsidP="003C0C76">
      <w:r>
        <w:t xml:space="preserve"> Key Findings: 30% reduction in onward CAMHS referrals; 12% improvement in school attendance for supported CYP; 89% of families reported being satisfied or very satisfied with services</w:t>
      </w:r>
    </w:p>
    <w:p w14:paraId="50CF1309" w14:textId="77777777" w:rsidR="003C0C76" w:rsidRPr="00723493" w:rsidRDefault="003C0C76" w:rsidP="003C0C76">
      <w:pPr>
        <w:rPr>
          <w:b/>
          <w:bCs/>
        </w:rPr>
      </w:pPr>
      <w:r w:rsidRPr="00723493">
        <w:rPr>
          <w:b/>
          <w:bCs/>
        </w:rPr>
        <w:t>Thematic Analysis Findings</w:t>
      </w:r>
    </w:p>
    <w:p w14:paraId="0EBE2F70" w14:textId="77777777" w:rsidR="003C0C76" w:rsidRDefault="003C0C76" w:rsidP="003C0C76">
      <w:r>
        <w:t>Theme</w:t>
      </w:r>
      <w:r>
        <w:rPr>
          <w:rFonts w:ascii="Arial" w:hAnsi="Arial" w:cs="Arial"/>
        </w:rPr>
        <w:t> </w:t>
      </w:r>
      <w:r>
        <w:t>1: Effectiveness Depends on Setting, Timing, and Matching to Needs</w:t>
      </w:r>
    </w:p>
    <w:p w14:paraId="62B2AA5E" w14:textId="77777777" w:rsidR="003C0C76" w:rsidRDefault="003C0C76" w:rsidP="003C0C76">
      <w:r>
        <w:t>Evidence consistently shows that interventions delivered in universal settings such as schools and primary care are effective for mild</w:t>
      </w:r>
      <w:r>
        <w:rPr>
          <w:rFonts w:ascii="Cambria Math" w:hAnsi="Cambria Math" w:cs="Cambria Math"/>
        </w:rPr>
        <w:t>‑</w:t>
      </w:r>
      <w:r>
        <w:t>to</w:t>
      </w:r>
      <w:r>
        <w:rPr>
          <w:rFonts w:ascii="Cambria Math" w:hAnsi="Cambria Math" w:cs="Cambria Math"/>
        </w:rPr>
        <w:t>‑</w:t>
      </w:r>
      <w:r>
        <w:t>moderate needs, and significantly reduce pressure on overstretched specialist services. Cooper et al. (2020) found school</w:t>
      </w:r>
      <w:r>
        <w:rPr>
          <w:rFonts w:ascii="Cambria Math" w:hAnsi="Cambria Math" w:cs="Cambria Math"/>
        </w:rPr>
        <w:t>‑</w:t>
      </w:r>
      <w:r>
        <w:t xml:space="preserve">based counselling delivered sustained benefits for emotional wellbeing, while </w:t>
      </w:r>
      <w:r>
        <w:lastRenderedPageBreak/>
        <w:t>Ford et al. (2019) demonstrated that primary care collaborative care achieved comparable clinical outcomes to CAMHS but with far shorter waiting times and much lower service attrition. Multi</w:t>
      </w:r>
      <w:r>
        <w:rPr>
          <w:rFonts w:ascii="Cambria Math" w:hAnsi="Cambria Math" w:cs="Cambria Math"/>
        </w:rPr>
        <w:t>‑</w:t>
      </w:r>
      <w:r>
        <w:t>agency early support hubs also showed strong potential to prevent needs from escalating to specialist levels entirely (Wilson et al.,</w:t>
      </w:r>
      <w:r>
        <w:rPr>
          <w:rFonts w:ascii="Arial" w:hAnsi="Arial" w:cs="Arial"/>
        </w:rPr>
        <w:t> </w:t>
      </w:r>
      <w:r>
        <w:t>2024). Digital interventions produced moderate positive effects overall, but were less effective for younger children, boys, and those without reliable access to technology (</w:t>
      </w:r>
      <w:proofErr w:type="spellStart"/>
      <w:r>
        <w:t>Edbrooke</w:t>
      </w:r>
      <w:proofErr w:type="spellEnd"/>
      <w:r>
        <w:rPr>
          <w:rFonts w:ascii="Cambria Math" w:hAnsi="Cambria Math" w:cs="Cambria Math"/>
        </w:rPr>
        <w:t>‑</w:t>
      </w:r>
      <w:r>
        <w:t>Childs et al.,</w:t>
      </w:r>
      <w:r>
        <w:rPr>
          <w:rFonts w:ascii="Arial" w:hAnsi="Arial" w:cs="Arial"/>
        </w:rPr>
        <w:t> </w:t>
      </w:r>
      <w:r>
        <w:t>2021). No single model was universally effective; outcomes were consistently best when the intervention was matched to the child’s specific needs, preferences, and life circumstances.</w:t>
      </w:r>
    </w:p>
    <w:p w14:paraId="315E5024" w14:textId="77777777" w:rsidR="003C0C76" w:rsidRDefault="003C0C76" w:rsidP="003C0C76">
      <w:r>
        <w:t>Theme</w:t>
      </w:r>
      <w:r>
        <w:rPr>
          <w:rFonts w:ascii="Arial" w:hAnsi="Arial" w:cs="Arial"/>
        </w:rPr>
        <w:t> </w:t>
      </w:r>
      <w:r>
        <w:t>2: Systemic Inequalities Create Compound Disadvantage</w:t>
      </w:r>
    </w:p>
    <w:p w14:paraId="385573BC" w14:textId="77777777" w:rsidR="003C0C76" w:rsidRDefault="003C0C76" w:rsidP="003C0C76">
      <w:r>
        <w:t xml:space="preserve">All four studies examining access and engagement found that marginalised groups faced disproportionate, overlapping barriers to care. </w:t>
      </w:r>
      <w:proofErr w:type="spellStart"/>
      <w:r>
        <w:t>Elford</w:t>
      </w:r>
      <w:proofErr w:type="spellEnd"/>
      <w:r>
        <w:t xml:space="preserve"> et al. (2022) confirmed that even when CYP had similar levels of clinical need, those from ethnic minority backgrounds, low</w:t>
      </w:r>
      <w:r>
        <w:rPr>
          <w:rFonts w:ascii="Cambria Math" w:hAnsi="Cambria Math" w:cs="Cambria Math"/>
        </w:rPr>
        <w:t>‑</w:t>
      </w:r>
      <w:r>
        <w:t>income households, and with SEND were significantly less likely to access or complete specialist treatment. Structural barriers included poverty</w:t>
      </w:r>
      <w:r>
        <w:rPr>
          <w:rFonts w:ascii="Cambria Math" w:hAnsi="Cambria Math" w:cs="Cambria Math"/>
        </w:rPr>
        <w:t>‑</w:t>
      </w:r>
      <w:r>
        <w:t>related costs such as travel or internet access, lack of culturally adapted or language</w:t>
      </w:r>
      <w:r>
        <w:rPr>
          <w:rFonts w:ascii="Cambria Math" w:hAnsi="Cambria Math" w:cs="Cambria Math"/>
        </w:rPr>
        <w:t>‑</w:t>
      </w:r>
      <w:r>
        <w:t>appropriate services, and rigid eligibility criteria that failed to account for complex social needs such as housing instability or caring responsibilities (Snell et al.,</w:t>
      </w:r>
      <w:r>
        <w:rPr>
          <w:rFonts w:ascii="Arial" w:hAnsi="Arial" w:cs="Arial"/>
        </w:rPr>
        <w:t> </w:t>
      </w:r>
      <w:r>
        <w:t xml:space="preserve">2023; </w:t>
      </w:r>
      <w:proofErr w:type="spellStart"/>
      <w:r>
        <w:t>Edbrooke</w:t>
      </w:r>
      <w:proofErr w:type="spellEnd"/>
      <w:r>
        <w:rPr>
          <w:rFonts w:ascii="Cambria Math" w:hAnsi="Cambria Math" w:cs="Cambria Math"/>
        </w:rPr>
        <w:t>‑</w:t>
      </w:r>
      <w:r>
        <w:t>Childs et al.,</w:t>
      </w:r>
      <w:r>
        <w:rPr>
          <w:rFonts w:ascii="Arial" w:hAnsi="Arial" w:cs="Arial"/>
        </w:rPr>
        <w:t> </w:t>
      </w:r>
      <w:r>
        <w:t>2021). For example, families living in temporary accommodation or without private transport struggled to keep appointments, while non</w:t>
      </w:r>
      <w:r>
        <w:rPr>
          <w:rFonts w:ascii="Cambria Math" w:hAnsi="Cambria Math" w:cs="Cambria Math"/>
        </w:rPr>
        <w:t>‑</w:t>
      </w:r>
      <w:r>
        <w:t>English speaking families reported difficulties accessing translated information or interpreters.</w:t>
      </w:r>
    </w:p>
    <w:p w14:paraId="2EDE3DC0" w14:textId="77777777" w:rsidR="003C0C76" w:rsidRDefault="003C0C76" w:rsidP="003C0C76">
      <w:r>
        <w:t>Theme</w:t>
      </w:r>
      <w:r>
        <w:rPr>
          <w:rFonts w:ascii="Arial" w:hAnsi="Arial" w:cs="Arial"/>
        </w:rPr>
        <w:t> </w:t>
      </w:r>
      <w:r>
        <w:t>3: Youth</w:t>
      </w:r>
      <w:r>
        <w:rPr>
          <w:rFonts w:ascii="Cambria Math" w:hAnsi="Cambria Math" w:cs="Cambria Math"/>
        </w:rPr>
        <w:t>‑</w:t>
      </w:r>
      <w:r>
        <w:t>Centred Design and Relationship Quality Are Critical for Success</w:t>
      </w:r>
    </w:p>
    <w:p w14:paraId="057AC789" w14:textId="77777777" w:rsidR="003C0C76" w:rsidRDefault="003C0C76" w:rsidP="003C0C76">
      <w:r>
        <w:t>Service acceptability and engagement were strongly linked to whether CYP felt respected, heard, and involved in decisions about their own care. Snell et al. (2023) found that interventions allowing choice about who, where, and how support was delivered had double the completion rate of standard, one</w:t>
      </w:r>
      <w:r>
        <w:rPr>
          <w:rFonts w:ascii="Cambria Math" w:hAnsi="Cambria Math" w:cs="Cambria Math"/>
        </w:rPr>
        <w:t>‑</w:t>
      </w:r>
      <w:r>
        <w:t>size</w:t>
      </w:r>
      <w:r>
        <w:rPr>
          <w:rFonts w:ascii="Cambria Math" w:hAnsi="Cambria Math" w:cs="Cambria Math"/>
        </w:rPr>
        <w:t>‑</w:t>
      </w:r>
      <w:r>
        <w:t>fits</w:t>
      </w:r>
      <w:r>
        <w:rPr>
          <w:rFonts w:ascii="Cambria Math" w:hAnsi="Cambria Math" w:cs="Cambria Math"/>
        </w:rPr>
        <w:t>‑</w:t>
      </w:r>
      <w:r>
        <w:t>all services. In contrast, services perceived as judgemental, stigmatising, or disconnected from young people’s daily lives had poor uptake regardless of how strong their clinical evidence base was. Practitioners also noted that building a trusting, consistent therapeutic relationship was often more important than the specific therapeutic model used to achieve positive outcomes.</w:t>
      </w:r>
    </w:p>
    <w:p w14:paraId="525E17FC" w14:textId="77777777" w:rsidR="003C0C76" w:rsidRDefault="003C0C76" w:rsidP="003C0C76">
      <w:r>
        <w:t>Theme</w:t>
      </w:r>
      <w:r>
        <w:rPr>
          <w:rFonts w:ascii="Arial" w:hAnsi="Arial" w:cs="Arial"/>
        </w:rPr>
        <w:t> </w:t>
      </w:r>
      <w:r>
        <w:t>4: Integrated Working Reduces Duplication and Improves Timeliness</w:t>
      </w:r>
    </w:p>
    <w:p w14:paraId="4EFA995B" w14:textId="77777777" w:rsidR="003C0C76" w:rsidRDefault="003C0C76" w:rsidP="003C0C76">
      <w:r>
        <w:t>Fragmentation between health, social care, and education was repeatedly identified as a major barrier to effective support. Wilson et al. (2024) and Ford et al. (2019) both found that co</w:t>
      </w:r>
      <w:r>
        <w:rPr>
          <w:rFonts w:ascii="Cambria Math" w:hAnsi="Cambria Math" w:cs="Cambria Math"/>
        </w:rPr>
        <w:t>‑</w:t>
      </w:r>
      <w:r>
        <w:t xml:space="preserve">located or formally integrated services reduced delays, prevented CYP “falling between the cracks” of different systems, and reduced unnecessary referrals to specialist CAMHS. However, meaningful integrated working was often limited by </w:t>
      </w:r>
      <w:r>
        <w:lastRenderedPageBreak/>
        <w:t>conflicting eligibility criteria, incompatible IT systems, lack of shared protocols, and limited joint training between different professional groups.</w:t>
      </w:r>
    </w:p>
    <w:p w14:paraId="1007298E" w14:textId="0B93D015" w:rsidR="003C0C76" w:rsidRDefault="003C0C76" w:rsidP="003C0C76">
      <w:r>
        <w:t>For health and social care practitioners, these findings highlight three key priorities for day</w:t>
      </w:r>
      <w:r>
        <w:rPr>
          <w:rFonts w:ascii="Cambria Math" w:hAnsi="Cambria Math" w:cs="Cambria Math"/>
        </w:rPr>
        <w:t>‑</w:t>
      </w:r>
      <w:r>
        <w:t>to</w:t>
      </w:r>
      <w:r>
        <w:rPr>
          <w:rFonts w:ascii="Cambria Math" w:hAnsi="Cambria Math" w:cs="Cambria Math"/>
        </w:rPr>
        <w:t>‑</w:t>
      </w:r>
      <w:r>
        <w:t>day practice: first, to prioritise accessible, non</w:t>
      </w:r>
      <w:r>
        <w:rPr>
          <w:rFonts w:ascii="Cambria Math" w:hAnsi="Cambria Math" w:cs="Cambria Math"/>
        </w:rPr>
        <w:t>‑</w:t>
      </w:r>
      <w:r>
        <w:t>stigmatising support in universal settings wherever possible, rather than automatically referring to specialist services; second, to actively identify and address practical barriers such as travel costs, language needs, or digital exclusion when supporting children and families; and third, to ensure CYP are fully involved in decisions about their care, rather than being passive recipients of services. Practitioners should also be aware of the risks of overly restrictive gatekeeping, and advocate for flexible, needs</w:t>
      </w:r>
      <w:r>
        <w:rPr>
          <w:rFonts w:ascii="Cambria Math" w:hAnsi="Cambria Math" w:cs="Cambria Math"/>
        </w:rPr>
        <w:t>‑</w:t>
      </w:r>
      <w:r>
        <w:t>led support for children with moderate needs who do not meet strict CAMHS eligibility criteria.</w:t>
      </w:r>
    </w:p>
    <w:p w14:paraId="7A33F8F6" w14:textId="2EEFE74A" w:rsidR="003C0C76" w:rsidRPr="00D93A69" w:rsidRDefault="003C0C76" w:rsidP="003C0C76">
      <w:pPr>
        <w:rPr>
          <w:b/>
          <w:bCs/>
        </w:rPr>
      </w:pPr>
      <w:r>
        <w:t xml:space="preserve"> </w:t>
      </w:r>
      <w:r w:rsidRPr="00D93A69">
        <w:rPr>
          <w:b/>
          <w:bCs/>
        </w:rPr>
        <w:t>Conclusion and Recommendations</w:t>
      </w:r>
    </w:p>
    <w:p w14:paraId="39DD0BD7" w14:textId="77777777" w:rsidR="003C0C76" w:rsidRDefault="003C0C76" w:rsidP="003C0C76">
      <w:r>
        <w:t>Conclusion</w:t>
      </w:r>
    </w:p>
    <w:p w14:paraId="00A03BA2" w14:textId="77777777" w:rsidR="003C0C76" w:rsidRDefault="003C0C76" w:rsidP="003C0C76">
      <w:r>
        <w:t>This scoping review confirms that UK research identifies effective, evidence</w:t>
      </w:r>
      <w:r>
        <w:rPr>
          <w:rFonts w:ascii="Cambria Math" w:hAnsi="Cambria Math" w:cs="Cambria Math"/>
        </w:rPr>
        <w:t>‑</w:t>
      </w:r>
      <w:r>
        <w:t xml:space="preserve">based approaches to supporting CYP mental health, but these are not currently delivered in an equitable or coordinated way across the country. </w:t>
      </w:r>
      <w:proofErr w:type="gramStart"/>
      <w:r>
        <w:t>School</w:t>
      </w:r>
      <w:r>
        <w:rPr>
          <w:rFonts w:ascii="Cambria Math" w:hAnsi="Cambria Math" w:cs="Cambria Math"/>
        </w:rPr>
        <w:t>‑</w:t>
      </w:r>
      <w:r>
        <w:t>based and primary care support,</w:t>
      </w:r>
      <w:proofErr w:type="gramEnd"/>
      <w:r>
        <w:t xml:space="preserve"> integrated early help, and appropriately adapted digital tools all offer strong potential to improve outcomes, but systemic barriers, persistent inequalities, and fragmented service delivery prevent many children from accessing the help they need at the right time. There is no single “best” service model; instead, long</w:t>
      </w:r>
      <w:r>
        <w:rPr>
          <w:rFonts w:ascii="Cambria Math" w:hAnsi="Cambria Math" w:cs="Cambria Math"/>
        </w:rPr>
        <w:t>‑</w:t>
      </w:r>
      <w:r>
        <w:t>term success requires flexible, inclusive systems that meet children where they are, centre their voices and rights, and work seamlessly across professional and organisational boundaries.</w:t>
      </w:r>
    </w:p>
    <w:p w14:paraId="41639FD0" w14:textId="77777777" w:rsidR="003C0C76" w:rsidRPr="00D93A69" w:rsidRDefault="003C0C76" w:rsidP="003C0C76">
      <w:pPr>
        <w:rPr>
          <w:b/>
          <w:bCs/>
        </w:rPr>
      </w:pPr>
      <w:r w:rsidRPr="00D93A69">
        <w:rPr>
          <w:b/>
          <w:bCs/>
        </w:rPr>
        <w:t>Recommendations</w:t>
      </w:r>
    </w:p>
    <w:p w14:paraId="060D093B" w14:textId="77777777" w:rsidR="003C0C76" w:rsidRDefault="003C0C76" w:rsidP="003C0C76">
      <w:r>
        <w:t>For Practice</w:t>
      </w:r>
    </w:p>
    <w:p w14:paraId="3DFAD150" w14:textId="77777777" w:rsidR="003C0C76" w:rsidRDefault="003C0C76" w:rsidP="003C0C76">
      <w:r>
        <w:t>1. Expand school</w:t>
      </w:r>
      <w:r>
        <w:rPr>
          <w:rFonts w:ascii="Cambria Math" w:hAnsi="Cambria Math" w:cs="Cambria Math"/>
        </w:rPr>
        <w:t>‑</w:t>
      </w:r>
      <w:r>
        <w:t>based counselling and primary care collaborative care as standard first</w:t>
      </w:r>
      <w:r>
        <w:rPr>
          <w:rFonts w:ascii="Cambria Math" w:hAnsi="Cambria Math" w:cs="Cambria Math"/>
        </w:rPr>
        <w:t>‑</w:t>
      </w:r>
      <w:r>
        <w:t>line support, with clear, fast</w:t>
      </w:r>
      <w:r>
        <w:rPr>
          <w:rFonts w:ascii="Cambria Math" w:hAnsi="Cambria Math" w:cs="Cambria Math"/>
        </w:rPr>
        <w:t>‑</w:t>
      </w:r>
      <w:r>
        <w:t>track referral pathways to specialist CAMHS for complex or severe needs.</w:t>
      </w:r>
    </w:p>
    <w:p w14:paraId="68960231" w14:textId="77777777" w:rsidR="003C0C76" w:rsidRDefault="003C0C76" w:rsidP="003C0C76">
      <w:r>
        <w:t>2. Offer blended face</w:t>
      </w:r>
      <w:r>
        <w:rPr>
          <w:rFonts w:ascii="Cambria Math" w:hAnsi="Cambria Math" w:cs="Cambria Math"/>
        </w:rPr>
        <w:t>‑</w:t>
      </w:r>
      <w:r>
        <w:t>to</w:t>
      </w:r>
      <w:r>
        <w:rPr>
          <w:rFonts w:ascii="Cambria Math" w:hAnsi="Cambria Math" w:cs="Cambria Math"/>
        </w:rPr>
        <w:t>‑</w:t>
      </w:r>
      <w:r>
        <w:t>face and digital options, with free devices and internet access provided for low</w:t>
      </w:r>
      <w:r>
        <w:rPr>
          <w:rFonts w:ascii="Cambria Math" w:hAnsi="Cambria Math" w:cs="Cambria Math"/>
        </w:rPr>
        <w:t>‑</w:t>
      </w:r>
      <w:r>
        <w:t>income families, and fully accessible non</w:t>
      </w:r>
      <w:r>
        <w:rPr>
          <w:rFonts w:ascii="Cambria Math" w:hAnsi="Cambria Math" w:cs="Cambria Math"/>
        </w:rPr>
        <w:t>‑</w:t>
      </w:r>
      <w:r>
        <w:t>digital alternatives for those unable to use online services.</w:t>
      </w:r>
    </w:p>
    <w:p w14:paraId="4DF12E01" w14:textId="77777777" w:rsidR="003C0C76" w:rsidRDefault="003C0C76" w:rsidP="003C0C76">
      <w:r>
        <w:t>3. Adopt flexible appointment times (including evenings and school holidays), accessible community locations, and culturally adapted practice to reduce barriers for marginalised groups.</w:t>
      </w:r>
    </w:p>
    <w:p w14:paraId="7311D8AD" w14:textId="77777777" w:rsidR="003C0C76" w:rsidRDefault="003C0C76" w:rsidP="003C0C76">
      <w:r>
        <w:t>4. Establish shared referral protocols and regular joint training between health, social care, and education practitioners to improve cross</w:t>
      </w:r>
      <w:r>
        <w:rPr>
          <w:rFonts w:ascii="Cambria Math" w:hAnsi="Cambria Math" w:cs="Cambria Math"/>
        </w:rPr>
        <w:t>‑</w:t>
      </w:r>
      <w:r>
        <w:t>service integration.</w:t>
      </w:r>
    </w:p>
    <w:p w14:paraId="6BF57FD0" w14:textId="77777777" w:rsidR="003C0C76" w:rsidRPr="00D93A69" w:rsidRDefault="003C0C76" w:rsidP="003C0C76">
      <w:pPr>
        <w:rPr>
          <w:b/>
          <w:bCs/>
        </w:rPr>
      </w:pPr>
      <w:r w:rsidRPr="00D93A69">
        <w:rPr>
          <w:b/>
          <w:bCs/>
        </w:rPr>
        <w:lastRenderedPageBreak/>
        <w:t>For Policy</w:t>
      </w:r>
    </w:p>
    <w:p w14:paraId="4ABFB686" w14:textId="77777777" w:rsidR="003C0C76" w:rsidRDefault="003C0C76" w:rsidP="003C0C76">
      <w:r>
        <w:t>1. Mandate annual equity audits for all CYP mental health services to identify and address disparities in access, retention, and outcomes for marginalised groups.</w:t>
      </w:r>
    </w:p>
    <w:p w14:paraId="5D3AFCE4" w14:textId="77777777" w:rsidR="003C0C76" w:rsidRDefault="003C0C76" w:rsidP="003C0C76">
      <w:r>
        <w:t>2. Provide long</w:t>
      </w:r>
      <w:r>
        <w:rPr>
          <w:rFonts w:ascii="Cambria Math" w:hAnsi="Cambria Math" w:cs="Cambria Math"/>
        </w:rPr>
        <w:t>‑</w:t>
      </w:r>
      <w:r>
        <w:t>term, ring</w:t>
      </w:r>
      <w:r>
        <w:rPr>
          <w:rFonts w:ascii="Cambria Math" w:hAnsi="Cambria Math" w:cs="Cambria Math"/>
        </w:rPr>
        <w:t>‑</w:t>
      </w:r>
      <w:r>
        <w:t>fenced funding for the CYPMH workforce across all tiers of support, including school and community roles, to reduce vacancies and caseload pressure.</w:t>
      </w:r>
    </w:p>
    <w:p w14:paraId="3D7030C7" w14:textId="77777777" w:rsidR="003C0C76" w:rsidRDefault="003C0C76" w:rsidP="003C0C76">
      <w:r>
        <w:t>3. Revise national guidance to require digital services include non</w:t>
      </w:r>
      <w:r>
        <w:rPr>
          <w:rFonts w:ascii="Cambria Math" w:hAnsi="Cambria Math" w:cs="Cambria Math"/>
        </w:rPr>
        <w:t>‑</w:t>
      </w:r>
      <w:r>
        <w:t>digital alternatives and targeted outreach support for digitally excluded groups.</w:t>
      </w:r>
    </w:p>
    <w:p w14:paraId="313563CA" w14:textId="77777777" w:rsidR="003C0C76" w:rsidRPr="00D93A69" w:rsidRDefault="003C0C76" w:rsidP="003C0C76">
      <w:pPr>
        <w:rPr>
          <w:b/>
          <w:bCs/>
        </w:rPr>
      </w:pPr>
      <w:r w:rsidRPr="00D93A69">
        <w:rPr>
          <w:b/>
          <w:bCs/>
        </w:rPr>
        <w:t>For Future Research</w:t>
      </w:r>
    </w:p>
    <w:p w14:paraId="497284DB" w14:textId="77777777" w:rsidR="003C0C76" w:rsidRDefault="003C0C76" w:rsidP="003C0C76">
      <w:r>
        <w:t>1. Conduct more research on effective support for neurodivergent CYP, care</w:t>
      </w:r>
      <w:r>
        <w:rPr>
          <w:rFonts w:ascii="Cambria Math" w:hAnsi="Cambria Math" w:cs="Cambria Math"/>
        </w:rPr>
        <w:t>‑</w:t>
      </w:r>
      <w:r>
        <w:t>experienced children, refugee and asylum</w:t>
      </w:r>
      <w:r>
        <w:rPr>
          <w:rFonts w:ascii="Cambria Math" w:hAnsi="Cambria Math" w:cs="Cambria Math"/>
        </w:rPr>
        <w:t>‑</w:t>
      </w:r>
      <w:r>
        <w:t>seeking young people, and other under</w:t>
      </w:r>
      <w:r>
        <w:rPr>
          <w:rFonts w:ascii="Cambria Math" w:hAnsi="Cambria Math" w:cs="Cambria Math"/>
        </w:rPr>
        <w:t>‑</w:t>
      </w:r>
      <w:r>
        <w:t>researched groups.</w:t>
      </w:r>
    </w:p>
    <w:p w14:paraId="72A9D249" w14:textId="77777777" w:rsidR="003C0C76" w:rsidRDefault="003C0C76" w:rsidP="003C0C76">
      <w:r>
        <w:t>2. Evaluate long</w:t>
      </w:r>
      <w:r>
        <w:rPr>
          <w:rFonts w:ascii="Cambria Math" w:hAnsi="Cambria Math" w:cs="Cambria Math"/>
        </w:rPr>
        <w:t>‑</w:t>
      </w:r>
      <w:r>
        <w:t>term outcomes of integrated and early intervention models beyond just symptom reduction.</w:t>
      </w:r>
    </w:p>
    <w:p w14:paraId="47968DD0" w14:textId="163F385B" w:rsidR="00FB1F19" w:rsidRDefault="003C0C76" w:rsidP="003C0C76">
      <w:r>
        <w:t>3. Increase UK</w:t>
      </w:r>
      <w:r>
        <w:rPr>
          <w:rFonts w:ascii="Cambria Math" w:hAnsi="Cambria Math" w:cs="Cambria Math"/>
        </w:rPr>
        <w:t>‑</w:t>
      </w:r>
      <w:r>
        <w:t>wide research covering devolved service models in Scotland, Wales, and Northern Ireland.</w:t>
      </w:r>
    </w:p>
    <w:p w14:paraId="3320C600" w14:textId="77777777" w:rsidR="00D93A69" w:rsidRDefault="00D93A69" w:rsidP="003C0C76"/>
    <w:p w14:paraId="5810C416" w14:textId="2132C0F2" w:rsidR="003C0C76" w:rsidRPr="00D93A69" w:rsidRDefault="00F84FFD" w:rsidP="003C0C76">
      <w:pPr>
        <w:rPr>
          <w:b/>
          <w:bCs/>
        </w:rPr>
      </w:pPr>
      <w:r w:rsidRPr="00D93A69">
        <w:rPr>
          <w:b/>
          <w:bCs/>
        </w:rPr>
        <w:t>References</w:t>
      </w:r>
    </w:p>
    <w:p w14:paraId="4A68481A" w14:textId="404FD122" w:rsidR="00F84FFD" w:rsidRDefault="00F84FFD" w:rsidP="00F84FFD">
      <w:r>
        <w:t xml:space="preserve"> </w:t>
      </w:r>
      <w:r w:rsidR="00FB56A8">
        <w:t>1.</w:t>
      </w:r>
      <w:r>
        <w:t>Arksey, H. and O’Malley, L. (2005) ‘Scoping studies: towards a methodological framework’, International Journal of Social Research Methodology, 8(1), pp. 19–32. [Journal]</w:t>
      </w:r>
    </w:p>
    <w:p w14:paraId="0CC9561E" w14:textId="0E647429" w:rsidR="00F84FFD" w:rsidRDefault="00FB56A8" w:rsidP="00F84FFD">
      <w:r>
        <w:t>2.</w:t>
      </w:r>
      <w:r w:rsidR="00F84FFD">
        <w:t xml:space="preserve">Braun, V. and Clarke, V. (2021) Successful Qualitative Research: A Practical Guide. 2nd </w:t>
      </w:r>
      <w:proofErr w:type="spellStart"/>
      <w:r w:rsidR="00F84FFD">
        <w:t>edn</w:t>
      </w:r>
      <w:proofErr w:type="spellEnd"/>
      <w:r w:rsidR="00F84FFD">
        <w:t>. London: SAGE. [Textbook]</w:t>
      </w:r>
    </w:p>
    <w:p w14:paraId="58A62A09" w14:textId="4A0A05F3" w:rsidR="00F84FFD" w:rsidRDefault="00F84FFD" w:rsidP="00F84FFD">
      <w:r>
        <w:t xml:space="preserve"> </w:t>
      </w:r>
      <w:r w:rsidR="00FB56A8">
        <w:t>3.</w:t>
      </w:r>
      <w:r>
        <w:t>British Medical Association (2024) CAMHS Workforce Report 2024. London: BMA. [Report]</w:t>
      </w:r>
    </w:p>
    <w:p w14:paraId="2813A70B" w14:textId="26515755" w:rsidR="00F84FFD" w:rsidRDefault="00F84FFD" w:rsidP="00F84FFD">
      <w:r>
        <w:t xml:space="preserve"> </w:t>
      </w:r>
      <w:r w:rsidR="00FB56A8">
        <w:t>4.</w:t>
      </w:r>
      <w:r>
        <w:t>Cooper, M., Freeman, R., Tennant, R. and Rowland, A. (2020) ‘School</w:t>
      </w:r>
      <w:r>
        <w:rPr>
          <w:rFonts w:ascii="Cambria Math" w:hAnsi="Cambria Math" w:cs="Cambria Math"/>
        </w:rPr>
        <w:t>‑</w:t>
      </w:r>
      <w:r>
        <w:t>based counselling for mental health problems in adolescents: a pragmatic cluster randomised controlled trial’, Journal of Child Psychology and Psychiatry, 61(12), pp. 1328–1337. [Journal]</w:t>
      </w:r>
    </w:p>
    <w:p w14:paraId="27F5F193" w14:textId="4F56E4EA" w:rsidR="00F84FFD" w:rsidRDefault="00FB56A8" w:rsidP="00F84FFD">
      <w:r>
        <w:t>5.</w:t>
      </w:r>
      <w:r w:rsidR="00F84FFD">
        <w:t xml:space="preserve"> Department of Health and Social Care (2024) Children and Young People’s Mental Health Transformation Programme: Annual Report 2024. London: HMSO. [Report]</w:t>
      </w:r>
    </w:p>
    <w:p w14:paraId="60EDCEB8" w14:textId="3B8627C6" w:rsidR="00F84FFD" w:rsidRDefault="00FB56A8" w:rsidP="00F84FFD">
      <w:r>
        <w:t>6.</w:t>
      </w:r>
      <w:r w:rsidR="00F84FFD">
        <w:t xml:space="preserve"> </w:t>
      </w:r>
      <w:proofErr w:type="spellStart"/>
      <w:r w:rsidR="00F84FFD">
        <w:t>Edbrooke</w:t>
      </w:r>
      <w:proofErr w:type="spellEnd"/>
      <w:r w:rsidR="00F84FFD">
        <w:rPr>
          <w:rFonts w:ascii="Cambria Math" w:hAnsi="Cambria Math" w:cs="Cambria Math"/>
        </w:rPr>
        <w:t>‑</w:t>
      </w:r>
      <w:r w:rsidR="00F84FFD">
        <w:t xml:space="preserve">Childs, D., </w:t>
      </w:r>
      <w:proofErr w:type="spellStart"/>
      <w:r w:rsidR="00F84FFD">
        <w:t>Heyne</w:t>
      </w:r>
      <w:proofErr w:type="spellEnd"/>
      <w:r w:rsidR="00F84FFD">
        <w:t xml:space="preserve">, D. and </w:t>
      </w:r>
      <w:proofErr w:type="spellStart"/>
      <w:r w:rsidR="00F84FFD">
        <w:t>Stapley</w:t>
      </w:r>
      <w:proofErr w:type="spellEnd"/>
      <w:r w:rsidR="00F84FFD">
        <w:t>, E. (2021) ‘Digital mental health interventions for young people during COVID</w:t>
      </w:r>
      <w:r w:rsidR="00F84FFD">
        <w:rPr>
          <w:rFonts w:ascii="Cambria Math" w:hAnsi="Cambria Math" w:cs="Cambria Math"/>
        </w:rPr>
        <w:t>‑</w:t>
      </w:r>
      <w:r w:rsidR="00F84FFD">
        <w:t>19: mixed</w:t>
      </w:r>
      <w:r w:rsidR="00F84FFD">
        <w:rPr>
          <w:rFonts w:ascii="Cambria Math" w:hAnsi="Cambria Math" w:cs="Cambria Math"/>
        </w:rPr>
        <w:t>‑</w:t>
      </w:r>
      <w:r w:rsidR="00F84FFD">
        <w:t xml:space="preserve">methods evaluation of uptake, </w:t>
      </w:r>
      <w:r w:rsidR="00F84FFD">
        <w:lastRenderedPageBreak/>
        <w:t>acceptability, and outcomes’, Journal of Medical Internet Research, 23(6), e27478. [Journal]</w:t>
      </w:r>
    </w:p>
    <w:p w14:paraId="582C33EA" w14:textId="44D32AA1" w:rsidR="00F84FFD" w:rsidRDefault="006E3EE7" w:rsidP="00F84FFD">
      <w:r>
        <w:t>7.</w:t>
      </w:r>
      <w:r w:rsidR="00FB56A8">
        <w:t xml:space="preserve"> </w:t>
      </w:r>
      <w:proofErr w:type="spellStart"/>
      <w:r w:rsidR="00F84FFD">
        <w:t>Elford</w:t>
      </w:r>
      <w:proofErr w:type="spellEnd"/>
      <w:r w:rsidR="00F84FFD">
        <w:t>, J., De Visscher, C. and Wolpert, M. (2022) ‘Inequalities in access, engagement and outcomes in child and adolescent mental health services: national observational study’, British Journal of Psychiatry, 221(3), pp. 562–569. [Journal]</w:t>
      </w:r>
    </w:p>
    <w:p w14:paraId="410FE404" w14:textId="3F239B37" w:rsidR="00F84FFD" w:rsidRDefault="006E3EE7" w:rsidP="00F84FFD">
      <w:r>
        <w:t>8.</w:t>
      </w:r>
      <w:r w:rsidR="00F84FFD">
        <w:t xml:space="preserve"> Ford, T., Kramer, T. and Rogers, M. (2019) ‘Collaborative care for children with mild to moderate mental health problems in primary care: pragmatic randomised controlled trial’, British Journal of General Practice, 69(686), e621–e630. [Journal]</w:t>
      </w:r>
    </w:p>
    <w:p w14:paraId="19AB3A7B" w14:textId="77777777" w:rsidR="00F84FFD" w:rsidRDefault="00F84FFD" w:rsidP="00F84FFD">
      <w:r>
        <w:t xml:space="preserve">9. Gough, D., Oliver, S. and Thomas, J. (2017) An Introduction to Systematic Reviews. 2nd </w:t>
      </w:r>
      <w:proofErr w:type="spellStart"/>
      <w:r>
        <w:t>edn</w:t>
      </w:r>
      <w:proofErr w:type="spellEnd"/>
      <w:r>
        <w:t>. London: SAGE. [Textbook]</w:t>
      </w:r>
    </w:p>
    <w:p w14:paraId="6FDE2A74" w14:textId="422E7402" w:rsidR="00F84FFD" w:rsidRDefault="00F84FFD" w:rsidP="00F84FFD">
      <w:r>
        <w:t>10</w:t>
      </w:r>
      <w:r w:rsidR="006E3EE7">
        <w:t>.</w:t>
      </w:r>
      <w:r>
        <w:t xml:space="preserve"> House of Commons Health and Social Care Committee (2023) Children and Young People’s Mental Health: First Report of Session 2023–24. London: The Stationery Office. [Report]</w:t>
      </w:r>
    </w:p>
    <w:p w14:paraId="2848D3E8" w14:textId="77777777" w:rsidR="00F84FFD" w:rsidRDefault="00F84FFD" w:rsidP="00F84FFD">
      <w:r>
        <w:t>11. Mental Health Foundation (2024) Devolved Differences: CYP Mental Health Policy Across the UK. London: Mental Health Foundation. [Report]</w:t>
      </w:r>
    </w:p>
    <w:p w14:paraId="5CDAFE0C" w14:textId="77777777" w:rsidR="00F84FFD" w:rsidRDefault="00F84FFD" w:rsidP="00F84FFD">
      <w:r>
        <w:t>12. National Audit Office (2025) Children and Young People’s Mental Health Services: Progress and Challenges. London: The Stationery Office. [Report]</w:t>
      </w:r>
    </w:p>
    <w:p w14:paraId="35903A89" w14:textId="77777777" w:rsidR="00F84FFD" w:rsidRDefault="00F84FFD" w:rsidP="00F84FFD">
      <w:r>
        <w:t>13. NHS Digital (2023) Mental Health of Children and Young People in England, 2023. Leeds: NHS Digital. [Report / Website]</w:t>
      </w:r>
    </w:p>
    <w:p w14:paraId="35E005B4" w14:textId="77777777" w:rsidR="00F84FFD" w:rsidRDefault="00F84FFD" w:rsidP="00F84FFD">
      <w:r>
        <w:t>14. NHS England (2019) The NHS Long Term Plan. London: NHS England. [Report]</w:t>
      </w:r>
    </w:p>
    <w:p w14:paraId="4C82C7F8" w14:textId="77777777" w:rsidR="00F84FFD" w:rsidRDefault="00F84FFD" w:rsidP="00F84FFD">
      <w:r>
        <w:t>15. NHS England (2023) Digital First Mental Health Services: Implementation Guidance. London: NHS England. [Report / Website]</w:t>
      </w:r>
    </w:p>
    <w:p w14:paraId="017837B9" w14:textId="77777777" w:rsidR="00F84FFD" w:rsidRDefault="00F84FFD" w:rsidP="00F84FFD">
      <w:r>
        <w:t xml:space="preserve">16. Pearson, R. (2023) CAMHS and Child Mental Health Practice. 3rd </w:t>
      </w:r>
      <w:proofErr w:type="spellStart"/>
      <w:r>
        <w:t>edn</w:t>
      </w:r>
      <w:proofErr w:type="spellEnd"/>
      <w:r>
        <w:t>. Exeter: Learning Matters. [Textbook]</w:t>
      </w:r>
    </w:p>
    <w:p w14:paraId="6BD65F7C" w14:textId="77777777" w:rsidR="00F84FFD" w:rsidRDefault="00F84FFD" w:rsidP="00F84FFD">
      <w:r>
        <w:t>17. Public Health England (2021) Improving Children and Young People’s Mental Health and Wellbeing: A Resource for Professionals. London: PHE. [Report / Website]</w:t>
      </w:r>
    </w:p>
    <w:p w14:paraId="7294C9DC" w14:textId="77777777" w:rsidR="00F84FFD" w:rsidRDefault="00F84FFD" w:rsidP="00F84FFD">
      <w:r>
        <w:t xml:space="preserve">18. Snell, T., Gibson, J. and </w:t>
      </w:r>
      <w:proofErr w:type="spellStart"/>
      <w:r>
        <w:t>Kapur</w:t>
      </w:r>
      <w:proofErr w:type="spellEnd"/>
      <w:r>
        <w:t>, N. (2023) ‘Barriers and facilitators to engagement in tier 2/3 child and adolescent mental health services: mixed</w:t>
      </w:r>
      <w:r>
        <w:rPr>
          <w:rFonts w:ascii="Cambria Math" w:hAnsi="Cambria Math" w:cs="Cambria Math"/>
        </w:rPr>
        <w:t>‑</w:t>
      </w:r>
      <w:r>
        <w:t>methods study’, Child and Adolescent Mental Health, 28(2), pp. 145–153. [Journal]</w:t>
      </w:r>
    </w:p>
    <w:p w14:paraId="14751EAB" w14:textId="194129AE" w:rsidR="00F84FFD" w:rsidRDefault="00F84FFD" w:rsidP="00F84FFD">
      <w:r>
        <w:t>19</w:t>
      </w:r>
      <w:r w:rsidR="006E3EE7">
        <w:t>.</w:t>
      </w:r>
      <w:r>
        <w:t xml:space="preserve"> UK Government (2015) Special Educational Needs and Disability Code of Practice: 0 to 25 Years. London: The Stationery Office. [Report / Website]</w:t>
      </w:r>
    </w:p>
    <w:p w14:paraId="4FD338E2" w14:textId="337E8F03" w:rsidR="00F84FFD" w:rsidRDefault="00F84FFD" w:rsidP="00F84FFD">
      <w:r>
        <w:t>20</w:t>
      </w:r>
      <w:r w:rsidR="006E3EE7">
        <w:t>.</w:t>
      </w:r>
      <w:r>
        <w:t>World Health Organization (2021) Mental Health: A State of Wellbeing. Geneva: WHO. [Report / Website]</w:t>
      </w:r>
    </w:p>
    <w:sectPr w:rsidR="00F84F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F19"/>
    <w:rsid w:val="001D4930"/>
    <w:rsid w:val="003C0C76"/>
    <w:rsid w:val="004B138B"/>
    <w:rsid w:val="005070C2"/>
    <w:rsid w:val="006E3EE7"/>
    <w:rsid w:val="00723493"/>
    <w:rsid w:val="00776721"/>
    <w:rsid w:val="00791F6A"/>
    <w:rsid w:val="00882846"/>
    <w:rsid w:val="00D46EC5"/>
    <w:rsid w:val="00D93A69"/>
    <w:rsid w:val="00F84FFD"/>
    <w:rsid w:val="00FB1F19"/>
    <w:rsid w:val="00FB5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3CA950"/>
  <w15:chartTrackingRefBased/>
  <w15:docId w15:val="{93910B42-BE55-7A48-84F1-0784D0B40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F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1F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1F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1F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1F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1F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1F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1F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1F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F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1F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1F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1F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1F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1F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1F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1F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1F19"/>
    <w:rPr>
      <w:rFonts w:eastAsiaTheme="majorEastAsia" w:cstheme="majorBidi"/>
      <w:color w:val="272727" w:themeColor="text1" w:themeTint="D8"/>
    </w:rPr>
  </w:style>
  <w:style w:type="paragraph" w:styleId="Title">
    <w:name w:val="Title"/>
    <w:basedOn w:val="Normal"/>
    <w:next w:val="Normal"/>
    <w:link w:val="TitleChar"/>
    <w:uiPriority w:val="10"/>
    <w:qFormat/>
    <w:rsid w:val="00FB1F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F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1F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1F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1F19"/>
    <w:pPr>
      <w:spacing w:before="160"/>
      <w:jc w:val="center"/>
    </w:pPr>
    <w:rPr>
      <w:i/>
      <w:iCs/>
      <w:color w:val="404040" w:themeColor="text1" w:themeTint="BF"/>
    </w:rPr>
  </w:style>
  <w:style w:type="character" w:customStyle="1" w:styleId="QuoteChar">
    <w:name w:val="Quote Char"/>
    <w:basedOn w:val="DefaultParagraphFont"/>
    <w:link w:val="Quote"/>
    <w:uiPriority w:val="29"/>
    <w:rsid w:val="00FB1F19"/>
    <w:rPr>
      <w:i/>
      <w:iCs/>
      <w:color w:val="404040" w:themeColor="text1" w:themeTint="BF"/>
    </w:rPr>
  </w:style>
  <w:style w:type="paragraph" w:styleId="ListParagraph">
    <w:name w:val="List Paragraph"/>
    <w:basedOn w:val="Normal"/>
    <w:uiPriority w:val="34"/>
    <w:qFormat/>
    <w:rsid w:val="00FB1F19"/>
    <w:pPr>
      <w:ind w:left="720"/>
      <w:contextualSpacing/>
    </w:pPr>
  </w:style>
  <w:style w:type="character" w:styleId="IntenseEmphasis">
    <w:name w:val="Intense Emphasis"/>
    <w:basedOn w:val="DefaultParagraphFont"/>
    <w:uiPriority w:val="21"/>
    <w:qFormat/>
    <w:rsid w:val="00FB1F19"/>
    <w:rPr>
      <w:i/>
      <w:iCs/>
      <w:color w:val="0F4761" w:themeColor="accent1" w:themeShade="BF"/>
    </w:rPr>
  </w:style>
  <w:style w:type="paragraph" w:styleId="IntenseQuote">
    <w:name w:val="Intense Quote"/>
    <w:basedOn w:val="Normal"/>
    <w:next w:val="Normal"/>
    <w:link w:val="IntenseQuoteChar"/>
    <w:uiPriority w:val="30"/>
    <w:qFormat/>
    <w:rsid w:val="00FB1F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1F19"/>
    <w:rPr>
      <w:i/>
      <w:iCs/>
      <w:color w:val="0F4761" w:themeColor="accent1" w:themeShade="BF"/>
    </w:rPr>
  </w:style>
  <w:style w:type="character" w:styleId="IntenseReference">
    <w:name w:val="Intense Reference"/>
    <w:basedOn w:val="DefaultParagraphFont"/>
    <w:uiPriority w:val="32"/>
    <w:qFormat/>
    <w:rsid w:val="00FB1F1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11</Pages>
  <Words>4003</Words>
  <Characters>22820</Characters>
  <Application>Microsoft Office Word</Application>
  <DocSecurity>0</DocSecurity>
  <Lines>190</Lines>
  <Paragraphs>53</Paragraphs>
  <ScaleCrop>false</ScaleCrop>
  <Company/>
  <LinksUpToDate>false</LinksUpToDate>
  <CharactersWithSpaces>26770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Tamara Shehzad (2409972)</dc:creator>
  <cp:keywords/>
  <dc:description/>
  <cp:lastModifiedBy>Julie Tamara Shehzad (2409972)</cp:lastModifiedBy>
  <cp:revision>13</cp:revision>
  <dcterms:created xsi:type="dcterms:W3CDTF">2026-07-17T12:53:00Z</dcterms:created>
  <dcterms:modified xsi:type="dcterms:W3CDTF">2026-07-17T13:09:00Z</dcterms:modified>
</cp:coreProperties>
</file>