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01F4E7" w14:textId="77777777" w:rsidR="00C468A0" w:rsidRDefault="00C468A0" w:rsidP="0054445A">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lang w:val="en-US"/>
        </w:rPr>
        <w:t>Children, Young People and the Digital Environment:</w:t>
      </w:r>
      <w:r>
        <w:rPr>
          <w:rStyle w:val="eop"/>
          <w:rFonts w:ascii="Arial" w:hAnsi="Arial" w:cs="Arial"/>
        </w:rPr>
        <w:t> </w:t>
      </w:r>
    </w:p>
    <w:p w14:paraId="731D324F" w14:textId="77777777" w:rsidR="00C468A0" w:rsidRDefault="00C468A0" w:rsidP="0054445A">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lang w:val="en-US"/>
        </w:rPr>
        <w:t>A Critical Analysis of Emergent Technologies, Social Media and Digital Communities in the United Kingdom and Wales</w:t>
      </w:r>
      <w:r>
        <w:rPr>
          <w:rStyle w:val="eop"/>
          <w:rFonts w:ascii="Arial" w:hAnsi="Arial" w:cs="Arial"/>
        </w:rPr>
        <w:t> </w:t>
      </w:r>
    </w:p>
    <w:p w14:paraId="421FEC39"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Introduction</w:t>
      </w:r>
      <w:r>
        <w:rPr>
          <w:rStyle w:val="eop"/>
          <w:rFonts w:ascii="Arial" w:hAnsi="Arial" w:cs="Arial"/>
        </w:rPr>
        <w:t> </w:t>
      </w:r>
    </w:p>
    <w:p w14:paraId="5DB6135B"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Emerging technologies are integral to the everyday environments in which children learn, play, negotiate rules, and explore identity. To move beyond conventional debates about ‘screen time’, the digital environment should be understood as a form of social infrastructure: it has an architecture of platform design and governance, enables specific forms of agency through young people’s engagement, and distributes opportunities and risks unequally (Christakis, 2025).</w:t>
      </w:r>
      <w:r>
        <w:rPr>
          <w:rStyle w:val="eop"/>
          <w:rFonts w:ascii="Arial" w:hAnsi="Arial" w:cs="Arial"/>
        </w:rPr>
        <w:t> </w:t>
      </w:r>
    </w:p>
    <w:p w14:paraId="2D11834B"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In Wales, a rights-based policy tradition and a wellbeing framework raise expectations that public services will prevent harm and reduce inequalities. The Rights of Children and Young Persons (Wales) Measure 2011 requires Welsh Ministers to give due regard to the United Nations Convention on the Rights of the Child (UNCRC) when making strategic decisions. This obligation reinforces the argument that digital environments must be designed and governed to realise children’s rights in practice, rather than merely managing risk retrospectively. This is particularly important, as children’s digital lives are now closely integrated with their education, participation, and access to services, making digital exclusion a form of social exclusion (Wales Government, 2024).</w:t>
      </w:r>
      <w:r>
        <w:rPr>
          <w:rStyle w:val="eop"/>
          <w:rFonts w:ascii="Arial" w:hAnsi="Arial" w:cs="Arial"/>
        </w:rPr>
        <w:t> </w:t>
      </w:r>
    </w:p>
    <w:p w14:paraId="13E6AA0B"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This essay explores the effects of emerging technologies on children’s development and well-being, with a particular focus on Wales and the United Kingdom. It offers policy recommendations to protect, educate, and support young people. The approach highlights the importance of regulating platform features and social factors, rather than placing responsibility on children themselves (Livingstone and Blum-Ross, 2020).</w:t>
      </w:r>
      <w:r>
        <w:rPr>
          <w:rStyle w:val="eop"/>
          <w:rFonts w:ascii="Arial" w:hAnsi="Arial" w:cs="Arial"/>
        </w:rPr>
        <w:t> </w:t>
      </w:r>
    </w:p>
    <w:p w14:paraId="13161AA7"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US"/>
        </w:rPr>
        <w:t> </w:t>
      </w:r>
      <w:r>
        <w:rPr>
          <w:rStyle w:val="eop"/>
          <w:rFonts w:ascii="Calibri" w:hAnsi="Calibri" w:cs="Calibri"/>
          <w:sz w:val="22"/>
          <w:szCs w:val="22"/>
        </w:rPr>
        <w:t> </w:t>
      </w:r>
    </w:p>
    <w:p w14:paraId="5209240D"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US"/>
        </w:rPr>
        <w:t> </w:t>
      </w:r>
      <w:r>
        <w:rPr>
          <w:rStyle w:val="eop"/>
          <w:rFonts w:ascii="Calibri" w:hAnsi="Calibri" w:cs="Calibri"/>
          <w:sz w:val="22"/>
          <w:szCs w:val="22"/>
        </w:rPr>
        <w:t> </w:t>
      </w:r>
    </w:p>
    <w:p w14:paraId="43B8E715"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Conceptualising emergent technologies and digital communities.</w:t>
      </w:r>
      <w:r>
        <w:rPr>
          <w:rStyle w:val="eop"/>
          <w:rFonts w:ascii="Arial" w:hAnsi="Arial" w:cs="Arial"/>
        </w:rPr>
        <w:t> </w:t>
      </w:r>
    </w:p>
    <w:p w14:paraId="2785DABC"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 xml:space="preserve">In this context, “emergent technologies” refers less to any single device and more to a rapidly changing ecology: smartphones, social platforms, messaging apps, short-form video, online games, AI-enabled search and creation tools, and networked devices that </w:t>
      </w:r>
      <w:r>
        <w:rPr>
          <w:rStyle w:val="normaltextrun"/>
          <w:rFonts w:ascii="Arial" w:hAnsi="Arial" w:cs="Arial"/>
          <w:lang w:val="en-US"/>
        </w:rPr>
        <w:lastRenderedPageBreak/>
        <w:t>increasingly personalise what children see and how they interact. What is “emergent” is the speed at which platform rules, recommender systems and commercial incentives evolve, often faster than families, schools, and regulators can respond. Evidence from the United Kingdom on children’s media use illustrates the scale of this ecology and the pace of change, with widespread smartphone access and routine use of social, video, and gaming services across the United Kingdom, including Wales, in both home and peer cultures (Ofcom, 2023; Murcia et al., 2024).</w:t>
      </w:r>
      <w:r>
        <w:rPr>
          <w:rStyle w:val="eop"/>
          <w:rFonts w:ascii="Arial" w:hAnsi="Arial" w:cs="Arial"/>
        </w:rPr>
        <w:t> </w:t>
      </w:r>
    </w:p>
    <w:p w14:paraId="22BECC08" w14:textId="77777777" w:rsidR="00F1469D" w:rsidRDefault="00F1469D" w:rsidP="0054445A">
      <w:pPr>
        <w:pStyle w:val="paragraph"/>
        <w:spacing w:before="0" w:beforeAutospacing="0" w:after="0" w:afterAutospacing="0" w:line="360" w:lineRule="auto"/>
        <w:textAlignment w:val="baseline"/>
        <w:rPr>
          <w:rFonts w:ascii="Segoe UI" w:hAnsi="Segoe UI" w:cs="Segoe UI"/>
          <w:color w:val="0F4761"/>
          <w:sz w:val="18"/>
          <w:szCs w:val="18"/>
        </w:rPr>
      </w:pPr>
    </w:p>
    <w:p w14:paraId="55252A6C"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Development and Learning: Wales-specific educational expectations.</w:t>
      </w:r>
      <w:r>
        <w:rPr>
          <w:rStyle w:val="eop"/>
          <w:rFonts w:ascii="Arial" w:hAnsi="Arial" w:cs="Arial"/>
        </w:rPr>
        <w:t> </w:t>
      </w:r>
    </w:p>
    <w:p w14:paraId="0DD9600F" w14:textId="700578A6"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According to the Welsh Government (2016), digital competence in Wales is not a specialist skill but a core capability that should be developed alongside literacy and numeracy across the Curriculum for Wales. The Digital Competence Framework (DCF) organises learning around digital citizenship, interaction and collaboration, content creation and production, and data and computational thinking. It explicitly links online behaviours to health and well-being, identity and reputation, and digital rights. This focus is important for children’s development, as it positions digital life as a space where they practise judgement, empathy, and self-regulation, not just technical skills. It also provides a practical way for schools to teach how digital platforms work, rather than leaving children to learn through trial</w:t>
      </w:r>
      <w:r w:rsidR="00C352DB">
        <w:rPr>
          <w:rStyle w:val="normaltextrun"/>
          <w:rFonts w:ascii="Arial" w:hAnsi="Arial" w:cs="Arial"/>
          <w:lang w:val="en-US"/>
        </w:rPr>
        <w:t xml:space="preserve"> and error</w:t>
      </w:r>
      <w:r>
        <w:rPr>
          <w:rStyle w:val="normaltextrun"/>
          <w:rFonts w:ascii="Arial" w:hAnsi="Arial" w:cs="Arial"/>
          <w:lang w:val="en-US"/>
        </w:rPr>
        <w:t> and the risk of potential harm.</w:t>
      </w:r>
      <w:r>
        <w:rPr>
          <w:rStyle w:val="eop"/>
          <w:rFonts w:ascii="Arial" w:hAnsi="Arial" w:cs="Arial"/>
        </w:rPr>
        <w:t> </w:t>
      </w:r>
    </w:p>
    <w:p w14:paraId="6746C55C"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 </w:t>
      </w:r>
      <w:r>
        <w:rPr>
          <w:rStyle w:val="eop"/>
          <w:rFonts w:ascii="Arial" w:hAnsi="Arial" w:cs="Arial"/>
        </w:rPr>
        <w:t> </w:t>
      </w:r>
    </w:p>
    <w:p w14:paraId="210E572E"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Emergent AI tools are now part of the learning ecology, creating a new boundary problem: when does assistance become a substitution? Evidence from the United Kingdom Parliamentary (2024) briefings suggests that generative AI can support understanding when used to support learning. </w:t>
      </w:r>
      <w:r>
        <w:rPr>
          <w:rStyle w:val="eop"/>
          <w:rFonts w:ascii="Arial" w:hAnsi="Arial" w:cs="Arial"/>
        </w:rPr>
        <w:t> </w:t>
      </w:r>
    </w:p>
    <w:p w14:paraId="3E3343BF"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lang w:val="en-US"/>
        </w:rPr>
        <w:t>Skill development may decline when highly polished AI-generated outputs replace the productive struggle essential for building competence. Therefore, schools and colleges would prioritise process-focused teaching and assessment methods, such as drafts, oral explanations, and supervised in-class problem-solving, to demonstrate understanding. Additionally, learners require explicit instruction on verification, bias, and responsible use, especially when AI is employed as a coping mechanism for literacy difficulties or low confidence (Williams et al., 2022).</w:t>
      </w:r>
      <w:r>
        <w:rPr>
          <w:rStyle w:val="eop"/>
          <w:rFonts w:ascii="Arial" w:hAnsi="Arial" w:cs="Arial"/>
        </w:rPr>
        <w:t> </w:t>
      </w:r>
    </w:p>
    <w:p w14:paraId="4FBACD87"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lang w:val="en-US"/>
        </w:rPr>
        <w:lastRenderedPageBreak/>
        <w:t> </w:t>
      </w:r>
      <w:r>
        <w:rPr>
          <w:rStyle w:val="eop"/>
          <w:rFonts w:ascii="Calibri" w:hAnsi="Calibri" w:cs="Calibri"/>
          <w:sz w:val="22"/>
          <w:szCs w:val="22"/>
        </w:rPr>
        <w:t> </w:t>
      </w:r>
    </w:p>
    <w:p w14:paraId="4C6B9766"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Behaviour, wellbeing and the limits of “hours online”.</w:t>
      </w:r>
      <w:r>
        <w:rPr>
          <w:rStyle w:val="eop"/>
          <w:rFonts w:ascii="Arial" w:hAnsi="Arial" w:cs="Arial"/>
        </w:rPr>
        <w:t> </w:t>
      </w:r>
    </w:p>
    <w:p w14:paraId="569BF859"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Large-scale UK cohort data demonstrate that simple time-based measures may be misleading. An analysis of the Millennium Cohort Study by Kelly and colleagues (2019) found that increased daily social media use among 14-year-olds (n = 10,904) was associated with higher depressive symptom scores. The authors proposed plausible pathways, including online harassment, sleep disruption, reduced self-esteem, and body dissatisfaction. Importantly, the findings do not support the simplistic assertion that “social media causes poor mental health”; instead, they highlight specific experiences and mechanisms that concentrate risk. This distinction is significant for practice, as factors such as harassment, sleep displacement, and appearance-based comparison represent identifiable targets for safeguarding interventions and improved platform design.</w:t>
      </w:r>
      <w:r>
        <w:rPr>
          <w:rStyle w:val="eop"/>
          <w:rFonts w:ascii="Arial" w:hAnsi="Arial" w:cs="Arial"/>
        </w:rPr>
        <w:t> </w:t>
      </w:r>
    </w:p>
    <w:p w14:paraId="5879B27A"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3893556F" w14:textId="4FC0E662"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Longitudinal evidence from the United Kingdom cautions against the idea that increased social media use directly predicts later psychological distress. Analysis of data from the Understanding Society study by Plackett, Sheringham, and Dykxhoorn (2023) found limited evidence that greater social media use predicted subsequent mental health problems after controlling </w:t>
      </w:r>
      <w:r w:rsidR="00F1469D">
        <w:rPr>
          <w:rStyle w:val="normaltextrun"/>
          <w:rFonts w:ascii="Arial" w:hAnsi="Arial" w:cs="Arial"/>
          <w:lang w:val="en-US"/>
        </w:rPr>
        <w:t xml:space="preserve">for </w:t>
      </w:r>
      <w:r>
        <w:rPr>
          <w:rStyle w:val="normaltextrun"/>
          <w:rFonts w:ascii="Arial" w:hAnsi="Arial" w:cs="Arial"/>
          <w:lang w:val="en-US"/>
        </w:rPr>
        <w:t>relevant confounders. These findings underscore the importance of longitudinal designs and adjusting for family, social, and contextual factors that influence both technology use and well-being. When considered alongside results from the Millennium Cohort Study, the evidence suggests a more nuanced interpretation: digital platforms are most likely to be harmful when time spent online coincides with specific adverse experiences and pre-existing vulnerabilities, whereas total hours alone often serve as a weak indicator of risk (Matthews et al., 2025).</w:t>
      </w:r>
      <w:r>
        <w:rPr>
          <w:rStyle w:val="eop"/>
          <w:rFonts w:ascii="Arial" w:hAnsi="Arial" w:cs="Arial"/>
        </w:rPr>
        <w:t> </w:t>
      </w:r>
    </w:p>
    <w:p w14:paraId="120AFF4F"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07415AC5"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 xml:space="preserve">A more precise approach involves examining how platform architecture influences user experience and how young people adapt to it. Drawing on qualitative interviews with young individuals reporting mental health difficulties, Livingstone et al. (2026) demonstrate that features such as viral or trending content and personalised feeds can increase exposure to material perceived as “triggering.” </w:t>
      </w:r>
      <w:r>
        <w:rPr>
          <w:rStyle w:val="normaltextrun"/>
          <w:rFonts w:ascii="Arial" w:hAnsi="Arial" w:cs="Arial"/>
          <w:lang w:val="en-US"/>
        </w:rPr>
        <w:lastRenderedPageBreak/>
        <w:t>Consequently, some participants reported becoming hypervigilant, closely monitoring their feeds and blaming themselves when harmful content appeared. The authors define “platform literacy” as an expanded form of digital literacy that encompasses an understanding of business models, data practices, and algorithmic curation. They argue that well-being strategies should integrate skill-building with structural reforms to prevent vulnerable users from having to manage opaque systems independently (Kostyrka</w:t>
      </w:r>
      <w:r>
        <w:rPr>
          <w:rStyle w:val="normaltextrun"/>
          <w:rFonts w:ascii="Cambria Math" w:hAnsi="Cambria Math" w:cs="Segoe UI"/>
          <w:lang w:val="en-US"/>
        </w:rPr>
        <w:t>‐</w:t>
      </w:r>
      <w:r>
        <w:rPr>
          <w:rStyle w:val="normaltextrun"/>
          <w:rFonts w:ascii="Arial" w:hAnsi="Arial" w:cs="Arial"/>
          <w:lang w:val="en-US"/>
        </w:rPr>
        <w:t>Allchorne et al., 2022).</w:t>
      </w:r>
      <w:r>
        <w:rPr>
          <w:rStyle w:val="eop"/>
          <w:rFonts w:ascii="Arial" w:hAnsi="Arial" w:cs="Arial"/>
        </w:rPr>
        <w:t> </w:t>
      </w:r>
    </w:p>
    <w:p w14:paraId="250ADEBB"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7143EA11"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Emergent technologies influence wellbeing through digital health support, including school-based mental health applications, messaging functions, and self-monitoring tools. Feasibility research in the United Kingdom on a co-designed, school-delivered web application (MindMate2) indicates that adolescents are more likely to accept digital support when it is tailored for young people, integrated within trusted environments, and connected to clear pathways for escalation to adult assistance. This is significant for development and behaviour as it repositions technology from a “distraction” to a form of accessible, low-threshold support. Nonetheless, prioritising privacy, data security, and equitable access is essential to prevent the exacerbation of inequalities related to device availability or reliable home internet access (Hugh-Jones et al., 2022).</w:t>
      </w:r>
      <w:r>
        <w:rPr>
          <w:rStyle w:val="eop"/>
          <w:rFonts w:ascii="Arial" w:hAnsi="Arial" w:cs="Arial"/>
        </w:rPr>
        <w:t> </w:t>
      </w:r>
    </w:p>
    <w:p w14:paraId="46BFB7C9"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55777859"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b/>
          <w:bCs/>
          <w:lang w:val="en-US"/>
        </w:rPr>
        <w:t>Socialisation, identity, and safety in digital communities.</w:t>
      </w:r>
      <w:r>
        <w:rPr>
          <w:rStyle w:val="eop"/>
          <w:rFonts w:ascii="Arial" w:hAnsi="Arial" w:cs="Arial"/>
        </w:rPr>
        <w:t> </w:t>
      </w:r>
    </w:p>
    <w:p w14:paraId="6350D701"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Digital communities can expand social participation, especially for young people who find it difficult to connect with peers locally. However, these communities also generate new opportunities for peer cruelty and status rivalry. Roberts and colleagues' (2023) survey from Wales on cyberbullying demonstrates that patterns of victimisation and perpetration change in response to broader social disruptions. This finding highlights for practitioners that online aggression is influenced by offline factors such as school routines, supervision, and stress. Crucially, cyberbullying is not merely a behavioural issue; it constitutes relational harm that can negatively impact school belonging, self-esteem, and help-seeking behaviour. Consequently, anti-bullying strategies should incorporate clear reporting mechanisms, positive peer norms, and restorative approaches in addition to sanctions (Peck et al., 2024).</w:t>
      </w:r>
      <w:r>
        <w:rPr>
          <w:rStyle w:val="eop"/>
          <w:rFonts w:ascii="Arial" w:hAnsi="Arial" w:cs="Arial"/>
        </w:rPr>
        <w:t> </w:t>
      </w:r>
    </w:p>
    <w:p w14:paraId="2F55380D"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lastRenderedPageBreak/>
        <w:t> </w:t>
      </w:r>
      <w:r>
        <w:rPr>
          <w:rStyle w:val="eop"/>
          <w:rFonts w:ascii="Arial" w:hAnsi="Arial" w:cs="Arial"/>
        </w:rPr>
        <w:t> </w:t>
      </w:r>
    </w:p>
    <w:p w14:paraId="735419C5"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The digital environment affects individuals earlier in life than many adult models of “teen online risk” indicate. A United Kingdom cross-sectional survey of children aged 0 to 36 months demonstrates that even very young children’s digital experiences involve inequality and rights issues within the family home, such as access to devices, parental mediation, and the commercial design of “child-directed” media. This analysis extends beyond adolescence, showing that the foundations of digital habits and expectations are established before formal schooling begins. Therefore, early-years guidance, parental support, and regulation of design practices should be regarded as essential components of safeguarding rather than optional measures (Winter et al, 2025).</w:t>
      </w:r>
      <w:r>
        <w:rPr>
          <w:rStyle w:val="eop"/>
          <w:rFonts w:ascii="Arial" w:hAnsi="Arial" w:cs="Arial"/>
        </w:rPr>
        <w:t> </w:t>
      </w:r>
    </w:p>
    <w:p w14:paraId="78054A11"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7C6D8C9B"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Governance and legal duties: from “user responsibility” to “safe by design”.</w:t>
      </w:r>
      <w:r>
        <w:rPr>
          <w:rStyle w:val="eop"/>
          <w:rFonts w:ascii="Arial" w:hAnsi="Arial" w:cs="Arial"/>
        </w:rPr>
        <w:t> </w:t>
      </w:r>
    </w:p>
    <w:p w14:paraId="11B801D5"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The United Kingdom policy is increasingly imposing stronger statutory duties on online platforms, reflecting the recognition that simple “stay safe online” messages are insufficient when risks are embedded in attention-driven systems. The Online Safety Act 2023 establishes a regulatory framework to enhance the safety of regulated internet services, including obligations related to illegal content and protections for children. This marks a shift from primarily reactive content moderation to more proactive strategies, such as risk assessment and safety-by-design measures. For children and young people, the critical issue is whether these duties result in practical design changes, including safer default settings, greater control over recommendations, and effective age verification, rather than merely increasing warnings and reporting options (United Kingdom Government GOV UK, 2023).</w:t>
      </w:r>
      <w:r>
        <w:rPr>
          <w:rStyle w:val="eop"/>
          <w:rFonts w:ascii="Arial" w:hAnsi="Arial" w:cs="Arial"/>
        </w:rPr>
        <w:t> </w:t>
      </w:r>
    </w:p>
    <w:p w14:paraId="192FA6F4"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5B2B1507"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 xml:space="preserve">Data protection constitutes a complementary pillar, as personalisation and targeted advertising depend on extensive data collection. The Age-Appropriate Design Code (Children’s Code) establishes standards for services accessed by children, including high-privacy defaults and limitations on harmful profiling. From a developmental standpoint, privacy functions not only as a legal right but also as a prerequisite for healthy experimentation and identity formation. Persistent and commercialised data trails exacerbate the consequences of typical adolescent errors. In practice, </w:t>
      </w:r>
      <w:r>
        <w:rPr>
          <w:rStyle w:val="normaltextrun"/>
          <w:rFonts w:ascii="Arial" w:hAnsi="Arial" w:cs="Arial"/>
          <w:lang w:val="en-US"/>
        </w:rPr>
        <w:lastRenderedPageBreak/>
        <w:t>safeguarding within schools and youth services entails enhancing children’s comprehension of privacy settings, promoting regulatory compliance, and contesting design choices that normalise surveillance (Information Commissioner’s Office, 2020).</w:t>
      </w:r>
      <w:r>
        <w:rPr>
          <w:rStyle w:val="eop"/>
          <w:rFonts w:ascii="Arial" w:hAnsi="Arial" w:cs="Arial"/>
        </w:rPr>
        <w:t> </w:t>
      </w:r>
    </w:p>
    <w:p w14:paraId="1E282AFB" w14:textId="77777777" w:rsidR="00F1469D" w:rsidRDefault="00F1469D" w:rsidP="0054445A">
      <w:pPr>
        <w:pStyle w:val="paragraph"/>
        <w:spacing w:before="0" w:beforeAutospacing="0" w:after="0" w:afterAutospacing="0" w:line="360" w:lineRule="auto"/>
        <w:textAlignment w:val="baseline"/>
        <w:rPr>
          <w:rFonts w:ascii="Segoe UI" w:hAnsi="Segoe UI" w:cs="Segoe UI"/>
          <w:color w:val="0F4761"/>
          <w:sz w:val="18"/>
          <w:szCs w:val="18"/>
        </w:rPr>
      </w:pPr>
    </w:p>
    <w:p w14:paraId="1ED2A6C7"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Inequality and social exclusion: why the digital environment amplifies disadvantages.</w:t>
      </w:r>
      <w:r>
        <w:rPr>
          <w:rStyle w:val="eop"/>
          <w:rFonts w:ascii="Arial" w:hAnsi="Arial" w:cs="Arial"/>
        </w:rPr>
        <w:t> </w:t>
      </w:r>
    </w:p>
    <w:p w14:paraId="1254F617" w14:textId="1CF25CF0"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Digital environments are stratified in ways that reflect broader structural inequalities. Helsper (2021) contends that digital disadvantage is inseparable from social disadvantage; unequal access to devices, stable connectivity, and skills often exacerbate existing inequalities in education, employment, and social participation. For children and young people, meaningful digital inclusion requires combining access with capability and protection, thereby supporting safe, confident, and critical engagement while reducing unequal exposure to online risks. This perspective is especially relevant in Wales, where reducing inequality is a stated policy priority</w:t>
      </w:r>
      <w:r w:rsidR="00F1469D">
        <w:rPr>
          <w:rStyle w:val="normaltextrun"/>
          <w:rFonts w:ascii="Arial" w:hAnsi="Arial" w:cs="Arial"/>
          <w:lang w:val="en-US"/>
        </w:rPr>
        <w:t xml:space="preserve">, and where </w:t>
      </w:r>
      <w:r>
        <w:rPr>
          <w:rStyle w:val="normaltextrun"/>
          <w:rFonts w:ascii="Arial" w:hAnsi="Arial" w:cs="Arial"/>
          <w:lang w:val="en-US"/>
        </w:rPr>
        <w:t>rural geography and deprivation intensify barriers to connectivity and service access.</w:t>
      </w:r>
      <w:r>
        <w:rPr>
          <w:rStyle w:val="eop"/>
          <w:rFonts w:ascii="Arial" w:hAnsi="Arial" w:cs="Arial"/>
        </w:rPr>
        <w:t> </w:t>
      </w:r>
    </w:p>
    <w:p w14:paraId="60718301"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 </w:t>
      </w:r>
      <w:r>
        <w:rPr>
          <w:rStyle w:val="eop"/>
          <w:rFonts w:ascii="Arial" w:hAnsi="Arial" w:cs="Arial"/>
        </w:rPr>
        <w:t> </w:t>
      </w:r>
    </w:p>
    <w:p w14:paraId="7DBBB578"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Hill and his colleagues (2025) strengthened the evidence base by establishing a Minimum Digital Living Standard for households with children. Developed through public engagement and evaluated using mixed methods, including a UK-wide survey and qualitative research, with additional focus on families in Wales, the project conceptualises digital access as a social participation threshold, essential for families to navigate daily life safely and effectively, rather than a discretionary consumer good. This perspective aligns with Welsh policy priorities on rights, well-being, and reducing inequality. For practitioners and services, the primary implication is that integrated interventions, combining device provision, affordable data, digital skills training, and ongoing support, are more effective at reducing exclusion than isolated initiatives.</w:t>
      </w:r>
      <w:r>
        <w:rPr>
          <w:rStyle w:val="eop"/>
          <w:rFonts w:ascii="Arial" w:hAnsi="Arial" w:cs="Arial"/>
        </w:rPr>
        <w:t> </w:t>
      </w:r>
    </w:p>
    <w:p w14:paraId="5644DD16" w14:textId="77777777" w:rsidR="00F1469D" w:rsidRDefault="00F1469D" w:rsidP="0054445A">
      <w:pPr>
        <w:pStyle w:val="paragraph"/>
        <w:spacing w:before="0" w:beforeAutospacing="0" w:after="0" w:afterAutospacing="0" w:line="360" w:lineRule="auto"/>
        <w:textAlignment w:val="baseline"/>
        <w:rPr>
          <w:rStyle w:val="eop"/>
          <w:rFonts w:ascii="Arial" w:hAnsi="Arial" w:cs="Arial"/>
        </w:rPr>
      </w:pPr>
    </w:p>
    <w:p w14:paraId="4BC872CB" w14:textId="77777777" w:rsidR="00F1469D" w:rsidRDefault="00F1469D" w:rsidP="0054445A">
      <w:pPr>
        <w:pStyle w:val="paragraph"/>
        <w:spacing w:before="0" w:beforeAutospacing="0" w:after="0" w:afterAutospacing="0" w:line="360" w:lineRule="auto"/>
        <w:textAlignment w:val="baseline"/>
        <w:rPr>
          <w:rFonts w:ascii="Segoe UI" w:hAnsi="Segoe UI" w:cs="Segoe UI"/>
          <w:sz w:val="18"/>
          <w:szCs w:val="18"/>
        </w:rPr>
      </w:pPr>
    </w:p>
    <w:p w14:paraId="252DC351" w14:textId="6F576E2A"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lastRenderedPageBreak/>
        <w:t>The Social Services and Well-being (Wales) Act 2014 mandates a statutory focus on prevention and well-being outcomes within Welsh social care and youth support services. This framework extends to addressing digital harm and digital exclusion. Care and support planning </w:t>
      </w:r>
      <w:r w:rsidR="00F1469D">
        <w:rPr>
          <w:rStyle w:val="normaltextrun"/>
          <w:rFonts w:ascii="Arial" w:hAnsi="Arial" w:cs="Arial"/>
          <w:lang w:val="en-US"/>
        </w:rPr>
        <w:t>incorporates</w:t>
      </w:r>
      <w:r>
        <w:rPr>
          <w:rStyle w:val="normaltextrun"/>
          <w:rFonts w:ascii="Arial" w:hAnsi="Arial" w:cs="Arial"/>
          <w:lang w:val="en-US"/>
        </w:rPr>
        <w:t> digital factors, including safe access, privacy, risk of exploitation, and the capacity to engage with education and services. These factors affect participation levels and the progression of need (United Kingdom Government GOV UK,2014/2015).</w:t>
      </w:r>
      <w:r>
        <w:rPr>
          <w:rStyle w:val="eop"/>
          <w:rFonts w:ascii="Arial" w:hAnsi="Arial" w:cs="Arial"/>
        </w:rPr>
        <w:t> </w:t>
      </w:r>
    </w:p>
    <w:p w14:paraId="67AAC4AD"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 </w:t>
      </w:r>
      <w:r>
        <w:rPr>
          <w:rStyle w:val="eop"/>
          <w:rFonts w:ascii="Arial" w:hAnsi="Arial" w:cs="Arial"/>
        </w:rPr>
        <w:t> </w:t>
      </w:r>
    </w:p>
    <w:p w14:paraId="1D482147"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Implications for practice in Wales: education, safeguarding and wellbeing systems.</w:t>
      </w:r>
      <w:r>
        <w:rPr>
          <w:rStyle w:val="eop"/>
          <w:rFonts w:ascii="Arial" w:hAnsi="Arial" w:cs="Arial"/>
        </w:rPr>
        <w:t> </w:t>
      </w:r>
    </w:p>
    <w:p w14:paraId="73316101" w14:textId="77777777" w:rsidR="00C468A0" w:rsidRDefault="00C468A0" w:rsidP="0054445A">
      <w:pPr>
        <w:pStyle w:val="paragraph"/>
        <w:spacing w:before="0" w:beforeAutospacing="0" w:after="0" w:afterAutospacing="0" w:line="360" w:lineRule="auto"/>
        <w:textAlignment w:val="baseline"/>
        <w:rPr>
          <w:rStyle w:val="eop"/>
          <w:rFonts w:ascii="Arial" w:hAnsi="Arial" w:cs="Arial"/>
        </w:rPr>
      </w:pPr>
      <w:r>
        <w:rPr>
          <w:rStyle w:val="normaltextrun"/>
          <w:rFonts w:ascii="Arial" w:hAnsi="Arial" w:cs="Arial"/>
          <w:lang w:val="en-US"/>
        </w:rPr>
        <w:t>The Institute of Education-Wales (2020) defines “digital resilience” as a shared responsibility between education and safeguarding sectors, emphasising the importance of enabling children and young people to identify misinformation, seek support, recover from harm, and utilise online opportunities constructively. A practical measure is to integrate platform literacy into the Digital Competence Framework (DCF), specifically within the digital citizenship strand, through age-appropriate instruction on recommendation systems, persuasive design, and privacy. This integration should complement relational strategies that enhance peer support and promote help-seeking from trusted adults. Additionally, clear safeguarding protocols are crucial when online harms intersect with exploitation, repeated bullying, or exposure to self-harm content, as the boundary between an “online issue” and a child protection concern can rapidly change (Welsh Government, 2020).</w:t>
      </w:r>
      <w:r>
        <w:rPr>
          <w:rStyle w:val="eop"/>
          <w:rFonts w:ascii="Arial" w:hAnsi="Arial" w:cs="Arial"/>
        </w:rPr>
        <w:t> </w:t>
      </w:r>
    </w:p>
    <w:p w14:paraId="54CB0582" w14:textId="77777777" w:rsidR="00F1469D" w:rsidRDefault="00F1469D" w:rsidP="0054445A">
      <w:pPr>
        <w:pStyle w:val="paragraph"/>
        <w:spacing w:before="0" w:beforeAutospacing="0" w:after="0" w:afterAutospacing="0" w:line="360" w:lineRule="auto"/>
        <w:textAlignment w:val="baseline"/>
        <w:rPr>
          <w:rFonts w:ascii="Segoe UI" w:hAnsi="Segoe UI" w:cs="Segoe UI"/>
          <w:color w:val="0F4761"/>
          <w:sz w:val="18"/>
          <w:szCs w:val="18"/>
        </w:rPr>
      </w:pPr>
    </w:p>
    <w:p w14:paraId="486356C1" w14:textId="77777777" w:rsidR="00C468A0" w:rsidRDefault="00C468A0" w:rsidP="0054445A">
      <w:pPr>
        <w:pStyle w:val="paragraph"/>
        <w:spacing w:before="0" w:beforeAutospacing="0" w:after="0" w:afterAutospacing="0" w:line="360" w:lineRule="auto"/>
        <w:textAlignment w:val="baseline"/>
        <w:rPr>
          <w:rFonts w:ascii="Segoe UI" w:hAnsi="Segoe UI" w:cs="Segoe UI"/>
          <w:color w:val="0F4761"/>
          <w:sz w:val="18"/>
          <w:szCs w:val="18"/>
        </w:rPr>
      </w:pPr>
      <w:r>
        <w:rPr>
          <w:rStyle w:val="normaltextrun"/>
          <w:rFonts w:ascii="Arial" w:hAnsi="Arial" w:cs="Arial"/>
          <w:b/>
          <w:bCs/>
          <w:lang w:val="en-US"/>
        </w:rPr>
        <w:t>Conclusion</w:t>
      </w:r>
      <w:r>
        <w:rPr>
          <w:rStyle w:val="eop"/>
          <w:rFonts w:ascii="Arial" w:hAnsi="Arial" w:cs="Arial"/>
        </w:rPr>
        <w:t> </w:t>
      </w:r>
    </w:p>
    <w:p w14:paraId="2603F977" w14:textId="77777777" w:rsidR="00C468A0" w:rsidRDefault="00C468A0" w:rsidP="0054445A">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lang w:val="en-US"/>
        </w:rPr>
        <w:t xml:space="preserve">In Wales and across the United Kingdom, emergent technologies function simultaneously as a developmental environment, a commercial system, and a rights domain. Current evidence rejects single explanations of harm and instead highlights identifiable mechanisms such as harassment, sleep disruption, algorithmic amplification, and datafication, as well as the unequal capacity of different groups to manage associated risks. The most effective response involves adopting a “safe by design and inclusive by default” approach, which includes regulation to realign platform incentives, </w:t>
      </w:r>
      <w:r>
        <w:rPr>
          <w:rStyle w:val="normaltextrun"/>
          <w:rFonts w:ascii="Arial" w:hAnsi="Arial" w:cs="Arial"/>
          <w:lang w:val="en-US"/>
        </w:rPr>
        <w:lastRenderedPageBreak/>
        <w:t>education to develop critical platform literacy, and social policies that integrate digital inclusion into anti-poverty and anti-exclusion frameworks. This approach aligns with Wales’s wellbeing duties, emphasising prevention, integration, and meaningful participation in shaping daily living conditions both online and offline (Wales Government, 2024/2026).</w:t>
      </w:r>
      <w:r>
        <w:rPr>
          <w:rStyle w:val="eop"/>
          <w:rFonts w:ascii="Arial" w:hAnsi="Arial" w:cs="Arial"/>
        </w:rPr>
        <w:t> </w:t>
      </w:r>
    </w:p>
    <w:p w14:paraId="1549FBEC" w14:textId="77777777" w:rsidR="0058335A" w:rsidRDefault="0058335A" w:rsidP="008A49BC">
      <w:pPr>
        <w:spacing w:after="0" w:line="360" w:lineRule="auto"/>
        <w:rPr>
          <w:rFonts w:ascii="Arial" w:hAnsi="Arial" w:cs="Arial"/>
          <w:sz w:val="24"/>
          <w:szCs w:val="24"/>
        </w:rPr>
      </w:pPr>
    </w:p>
    <w:p w14:paraId="37149932" w14:textId="77777777" w:rsidR="0058335A" w:rsidRDefault="0058335A" w:rsidP="008A49BC">
      <w:pPr>
        <w:spacing w:after="0" w:line="360" w:lineRule="auto"/>
        <w:rPr>
          <w:rFonts w:ascii="Arial" w:hAnsi="Arial" w:cs="Arial"/>
          <w:sz w:val="24"/>
          <w:szCs w:val="24"/>
        </w:rPr>
      </w:pPr>
    </w:p>
    <w:p w14:paraId="33F1A8F1" w14:textId="77777777" w:rsidR="00073D31" w:rsidRDefault="00073D31" w:rsidP="008A49BC">
      <w:pPr>
        <w:spacing w:after="0" w:line="360" w:lineRule="auto"/>
        <w:rPr>
          <w:rFonts w:ascii="Arial" w:hAnsi="Arial" w:cs="Arial"/>
          <w:sz w:val="24"/>
          <w:szCs w:val="24"/>
        </w:rPr>
      </w:pPr>
    </w:p>
    <w:p w14:paraId="47BF4EBF" w14:textId="77777777" w:rsidR="00073D31" w:rsidRDefault="00073D31" w:rsidP="008A49BC">
      <w:pPr>
        <w:spacing w:after="0" w:line="360" w:lineRule="auto"/>
        <w:rPr>
          <w:rFonts w:ascii="Arial" w:hAnsi="Arial" w:cs="Arial"/>
          <w:sz w:val="24"/>
          <w:szCs w:val="24"/>
        </w:rPr>
      </w:pPr>
    </w:p>
    <w:p w14:paraId="632649EA" w14:textId="77777777" w:rsidR="00073D31" w:rsidRDefault="00073D31" w:rsidP="008A49BC">
      <w:pPr>
        <w:spacing w:after="0" w:line="360" w:lineRule="auto"/>
        <w:rPr>
          <w:rFonts w:ascii="Arial" w:hAnsi="Arial" w:cs="Arial"/>
          <w:sz w:val="24"/>
          <w:szCs w:val="24"/>
        </w:rPr>
      </w:pPr>
    </w:p>
    <w:p w14:paraId="308FB81A" w14:textId="77777777" w:rsidR="00073D31" w:rsidRDefault="00073D31" w:rsidP="008A49BC">
      <w:pPr>
        <w:spacing w:after="0" w:line="360" w:lineRule="auto"/>
        <w:rPr>
          <w:rFonts w:ascii="Arial" w:hAnsi="Arial" w:cs="Arial"/>
          <w:sz w:val="24"/>
          <w:szCs w:val="24"/>
        </w:rPr>
      </w:pPr>
    </w:p>
    <w:p w14:paraId="6FF1A04B" w14:textId="77777777" w:rsidR="00073D31" w:rsidRDefault="00073D31" w:rsidP="008A49BC">
      <w:pPr>
        <w:spacing w:after="0" w:line="360" w:lineRule="auto"/>
        <w:rPr>
          <w:rFonts w:ascii="Arial" w:hAnsi="Arial" w:cs="Arial"/>
          <w:sz w:val="24"/>
          <w:szCs w:val="24"/>
        </w:rPr>
      </w:pPr>
    </w:p>
    <w:p w14:paraId="3152B33C" w14:textId="77777777" w:rsidR="00073D31" w:rsidRDefault="00073D31" w:rsidP="008A49BC">
      <w:pPr>
        <w:spacing w:after="0" w:line="360" w:lineRule="auto"/>
        <w:rPr>
          <w:rFonts w:ascii="Arial" w:hAnsi="Arial" w:cs="Arial"/>
          <w:sz w:val="24"/>
          <w:szCs w:val="24"/>
        </w:rPr>
      </w:pPr>
    </w:p>
    <w:p w14:paraId="052DC3BA" w14:textId="77777777" w:rsidR="00073D31" w:rsidRDefault="00073D31" w:rsidP="008A49BC">
      <w:pPr>
        <w:spacing w:after="0" w:line="360" w:lineRule="auto"/>
        <w:rPr>
          <w:rFonts w:ascii="Arial" w:hAnsi="Arial" w:cs="Arial"/>
          <w:sz w:val="24"/>
          <w:szCs w:val="24"/>
        </w:rPr>
      </w:pPr>
    </w:p>
    <w:p w14:paraId="55A2BE9C" w14:textId="77777777" w:rsidR="00073D31" w:rsidRDefault="00073D31" w:rsidP="008A49BC">
      <w:pPr>
        <w:spacing w:after="0" w:line="360" w:lineRule="auto"/>
        <w:rPr>
          <w:rFonts w:ascii="Arial" w:hAnsi="Arial" w:cs="Arial"/>
          <w:sz w:val="24"/>
          <w:szCs w:val="24"/>
        </w:rPr>
      </w:pPr>
    </w:p>
    <w:p w14:paraId="7BD62010" w14:textId="77777777" w:rsidR="00073D31" w:rsidRDefault="00073D31" w:rsidP="008A49BC">
      <w:pPr>
        <w:spacing w:after="0" w:line="360" w:lineRule="auto"/>
        <w:rPr>
          <w:rFonts w:ascii="Arial" w:hAnsi="Arial" w:cs="Arial"/>
          <w:sz w:val="24"/>
          <w:szCs w:val="24"/>
        </w:rPr>
      </w:pPr>
    </w:p>
    <w:p w14:paraId="675DD23C" w14:textId="77777777" w:rsidR="00073D31" w:rsidRDefault="00073D31" w:rsidP="008A49BC">
      <w:pPr>
        <w:spacing w:after="0" w:line="360" w:lineRule="auto"/>
        <w:rPr>
          <w:rFonts w:ascii="Arial" w:hAnsi="Arial" w:cs="Arial"/>
          <w:sz w:val="24"/>
          <w:szCs w:val="24"/>
        </w:rPr>
      </w:pPr>
    </w:p>
    <w:p w14:paraId="4B2DD653" w14:textId="77777777" w:rsidR="00073D31" w:rsidRDefault="00073D31" w:rsidP="008A49BC">
      <w:pPr>
        <w:spacing w:after="0" w:line="360" w:lineRule="auto"/>
        <w:rPr>
          <w:rFonts w:ascii="Arial" w:hAnsi="Arial" w:cs="Arial"/>
          <w:sz w:val="24"/>
          <w:szCs w:val="24"/>
        </w:rPr>
      </w:pPr>
    </w:p>
    <w:p w14:paraId="3E52B481" w14:textId="77777777" w:rsidR="00073D31" w:rsidRDefault="00073D31" w:rsidP="008A49BC">
      <w:pPr>
        <w:spacing w:after="0" w:line="360" w:lineRule="auto"/>
        <w:rPr>
          <w:rFonts w:ascii="Arial" w:hAnsi="Arial" w:cs="Arial"/>
          <w:sz w:val="24"/>
          <w:szCs w:val="24"/>
        </w:rPr>
      </w:pPr>
    </w:p>
    <w:p w14:paraId="04B109E3" w14:textId="77777777" w:rsidR="00073D31" w:rsidRDefault="00073D31" w:rsidP="008A49BC">
      <w:pPr>
        <w:spacing w:after="0" w:line="360" w:lineRule="auto"/>
        <w:rPr>
          <w:rFonts w:ascii="Arial" w:hAnsi="Arial" w:cs="Arial"/>
          <w:sz w:val="24"/>
          <w:szCs w:val="24"/>
        </w:rPr>
      </w:pPr>
    </w:p>
    <w:p w14:paraId="05994879" w14:textId="77777777" w:rsidR="00073D31" w:rsidRDefault="00073D31" w:rsidP="008A49BC">
      <w:pPr>
        <w:spacing w:after="0" w:line="360" w:lineRule="auto"/>
        <w:rPr>
          <w:rFonts w:ascii="Arial" w:hAnsi="Arial" w:cs="Arial"/>
          <w:sz w:val="24"/>
          <w:szCs w:val="24"/>
        </w:rPr>
      </w:pPr>
    </w:p>
    <w:p w14:paraId="52CEE1B5" w14:textId="77777777" w:rsidR="00073D31" w:rsidRDefault="00073D31" w:rsidP="008A49BC">
      <w:pPr>
        <w:spacing w:after="0" w:line="360" w:lineRule="auto"/>
        <w:rPr>
          <w:rFonts w:ascii="Arial" w:hAnsi="Arial" w:cs="Arial"/>
          <w:sz w:val="24"/>
          <w:szCs w:val="24"/>
        </w:rPr>
      </w:pPr>
    </w:p>
    <w:p w14:paraId="0905018E" w14:textId="77777777" w:rsidR="00073D31" w:rsidRDefault="00073D31" w:rsidP="008A49BC">
      <w:pPr>
        <w:spacing w:after="0" w:line="360" w:lineRule="auto"/>
        <w:rPr>
          <w:rFonts w:ascii="Arial" w:hAnsi="Arial" w:cs="Arial"/>
          <w:sz w:val="24"/>
          <w:szCs w:val="24"/>
        </w:rPr>
      </w:pPr>
    </w:p>
    <w:p w14:paraId="08D83E07" w14:textId="77777777" w:rsidR="00073D31" w:rsidRDefault="00073D31" w:rsidP="008A49BC">
      <w:pPr>
        <w:spacing w:after="0" w:line="360" w:lineRule="auto"/>
        <w:rPr>
          <w:rFonts w:ascii="Arial" w:hAnsi="Arial" w:cs="Arial"/>
          <w:sz w:val="24"/>
          <w:szCs w:val="24"/>
        </w:rPr>
      </w:pPr>
    </w:p>
    <w:p w14:paraId="55E6BF49" w14:textId="77777777" w:rsidR="00073D31" w:rsidRDefault="00073D31" w:rsidP="008A49BC">
      <w:pPr>
        <w:spacing w:after="0" w:line="360" w:lineRule="auto"/>
        <w:rPr>
          <w:rFonts w:ascii="Arial" w:hAnsi="Arial" w:cs="Arial"/>
          <w:sz w:val="24"/>
          <w:szCs w:val="24"/>
        </w:rPr>
      </w:pPr>
    </w:p>
    <w:p w14:paraId="4A4E640F" w14:textId="77777777" w:rsidR="00073D31" w:rsidRDefault="00073D31" w:rsidP="008A49BC">
      <w:pPr>
        <w:spacing w:after="0" w:line="360" w:lineRule="auto"/>
        <w:rPr>
          <w:rFonts w:ascii="Arial" w:hAnsi="Arial" w:cs="Arial"/>
          <w:sz w:val="24"/>
          <w:szCs w:val="24"/>
        </w:rPr>
      </w:pPr>
    </w:p>
    <w:p w14:paraId="7EC1D789" w14:textId="77777777" w:rsidR="00073D31" w:rsidRDefault="00073D31" w:rsidP="008A49BC">
      <w:pPr>
        <w:spacing w:after="0" w:line="360" w:lineRule="auto"/>
        <w:rPr>
          <w:rFonts w:ascii="Arial" w:hAnsi="Arial" w:cs="Arial"/>
          <w:sz w:val="24"/>
          <w:szCs w:val="24"/>
        </w:rPr>
      </w:pPr>
    </w:p>
    <w:p w14:paraId="7CC6EBA6" w14:textId="77777777" w:rsidR="00073D31" w:rsidRDefault="00073D31" w:rsidP="008A49BC">
      <w:pPr>
        <w:spacing w:after="0" w:line="360" w:lineRule="auto"/>
        <w:rPr>
          <w:rFonts w:ascii="Arial" w:hAnsi="Arial" w:cs="Arial"/>
          <w:sz w:val="24"/>
          <w:szCs w:val="24"/>
        </w:rPr>
      </w:pPr>
    </w:p>
    <w:p w14:paraId="779952E8" w14:textId="77777777" w:rsidR="00631D7B" w:rsidRDefault="00631D7B" w:rsidP="008A49BC">
      <w:pPr>
        <w:spacing w:after="0" w:line="360" w:lineRule="auto"/>
        <w:rPr>
          <w:rFonts w:ascii="Arial" w:hAnsi="Arial" w:cs="Arial"/>
          <w:sz w:val="24"/>
          <w:szCs w:val="24"/>
        </w:rPr>
      </w:pPr>
    </w:p>
    <w:p w14:paraId="585AA9EE" w14:textId="77777777" w:rsidR="00631D7B" w:rsidRDefault="00631D7B" w:rsidP="008A49BC">
      <w:pPr>
        <w:spacing w:after="0" w:line="360" w:lineRule="auto"/>
        <w:rPr>
          <w:rFonts w:ascii="Arial" w:hAnsi="Arial" w:cs="Arial"/>
          <w:sz w:val="24"/>
          <w:szCs w:val="24"/>
        </w:rPr>
      </w:pPr>
    </w:p>
    <w:p w14:paraId="156C1354" w14:textId="77777777" w:rsidR="00631D7B" w:rsidRDefault="00631D7B" w:rsidP="008A49BC">
      <w:pPr>
        <w:spacing w:after="0" w:line="360" w:lineRule="auto"/>
        <w:rPr>
          <w:rFonts w:ascii="Arial" w:hAnsi="Arial" w:cs="Arial"/>
          <w:sz w:val="24"/>
          <w:szCs w:val="24"/>
        </w:rPr>
      </w:pPr>
    </w:p>
    <w:p w14:paraId="0BF0E5E3" w14:textId="290C68A5" w:rsidR="00F70E79" w:rsidRDefault="00631D7B" w:rsidP="00631D7B">
      <w:pPr>
        <w:rPr>
          <w:rFonts w:ascii="Arial" w:hAnsi="Arial" w:cs="Arial"/>
          <w:sz w:val="24"/>
          <w:szCs w:val="24"/>
        </w:rPr>
      </w:pPr>
      <w:r>
        <w:rPr>
          <w:rFonts w:ascii="Arial" w:hAnsi="Arial" w:cs="Arial"/>
          <w:sz w:val="24"/>
          <w:szCs w:val="24"/>
        </w:rPr>
        <w:br w:type="page"/>
      </w:r>
      <w:r w:rsidR="004554A5">
        <w:rPr>
          <w:rFonts w:ascii="Arial" w:hAnsi="Arial" w:cs="Arial"/>
          <w:sz w:val="24"/>
          <w:szCs w:val="24"/>
        </w:rPr>
        <w:lastRenderedPageBreak/>
        <w:t>Reference list:</w:t>
      </w:r>
    </w:p>
    <w:p w14:paraId="56EAAB17" w14:textId="77777777" w:rsidR="004554A5" w:rsidRDefault="004554A5" w:rsidP="008A49BC">
      <w:pPr>
        <w:spacing w:after="0" w:line="360" w:lineRule="auto"/>
        <w:rPr>
          <w:rFonts w:ascii="Arial" w:hAnsi="Arial" w:cs="Arial"/>
          <w:sz w:val="24"/>
          <w:szCs w:val="24"/>
        </w:rPr>
      </w:pPr>
    </w:p>
    <w:p w14:paraId="72FA3E77" w14:textId="012EDF1F" w:rsidR="004554A5" w:rsidRDefault="004554A5" w:rsidP="008A49BC">
      <w:pPr>
        <w:spacing w:after="0" w:line="360" w:lineRule="auto"/>
        <w:rPr>
          <w:rFonts w:ascii="Arial" w:hAnsi="Arial" w:cs="Arial"/>
          <w:sz w:val="24"/>
          <w:szCs w:val="24"/>
        </w:rPr>
      </w:pPr>
      <w:r w:rsidRPr="007657DE">
        <w:rPr>
          <w:rFonts w:ascii="Arial" w:hAnsi="Arial" w:cs="Arial"/>
          <w:sz w:val="24"/>
          <w:szCs w:val="24"/>
        </w:rPr>
        <w:t>Christakis</w:t>
      </w:r>
      <w:r w:rsidRPr="004554A5">
        <w:rPr>
          <w:rFonts w:ascii="Arial" w:hAnsi="Arial" w:cs="Arial"/>
          <w:sz w:val="24"/>
          <w:szCs w:val="24"/>
        </w:rPr>
        <w:t xml:space="preserve">, D.A. (2025) Handbook of Children and Screens: </w:t>
      </w:r>
      <w:r w:rsidRPr="004554A5">
        <w:rPr>
          <w:rFonts w:ascii="Arial" w:hAnsi="Arial" w:cs="Arial"/>
          <w:i/>
          <w:iCs/>
          <w:sz w:val="24"/>
          <w:szCs w:val="24"/>
        </w:rPr>
        <w:t>Digital Media, Development, and Well-Being from Birth Through Adolescence</w:t>
      </w:r>
      <w:r w:rsidRPr="004554A5">
        <w:rPr>
          <w:rFonts w:ascii="Arial" w:hAnsi="Arial" w:cs="Arial"/>
          <w:sz w:val="24"/>
          <w:szCs w:val="24"/>
        </w:rPr>
        <w:t>. 1st edn. Springer Nature.</w:t>
      </w:r>
    </w:p>
    <w:p w14:paraId="24AD0776" w14:textId="77777777" w:rsidR="0058335A" w:rsidRDefault="0058335A" w:rsidP="008A49BC">
      <w:pPr>
        <w:spacing w:after="0" w:line="360" w:lineRule="auto"/>
        <w:rPr>
          <w:rFonts w:ascii="Arial" w:hAnsi="Arial" w:cs="Arial"/>
          <w:sz w:val="24"/>
          <w:szCs w:val="24"/>
        </w:rPr>
      </w:pPr>
    </w:p>
    <w:p w14:paraId="40245C0C" w14:textId="4E019B04" w:rsidR="0058335A" w:rsidRDefault="0058335A" w:rsidP="008A49BC">
      <w:pPr>
        <w:spacing w:after="0" w:line="360" w:lineRule="auto"/>
        <w:rPr>
          <w:rFonts w:ascii="Arial" w:hAnsi="Arial" w:cs="Arial"/>
          <w:sz w:val="24"/>
          <w:szCs w:val="24"/>
        </w:rPr>
      </w:pPr>
      <w:r w:rsidRPr="007657DE">
        <w:rPr>
          <w:rFonts w:ascii="Arial" w:hAnsi="Arial" w:cs="Arial"/>
          <w:sz w:val="24"/>
          <w:szCs w:val="24"/>
        </w:rPr>
        <w:t xml:space="preserve">Helsper, </w:t>
      </w:r>
      <w:r w:rsidRPr="0058335A">
        <w:rPr>
          <w:rFonts w:ascii="Arial" w:hAnsi="Arial" w:cs="Arial"/>
          <w:sz w:val="24"/>
          <w:szCs w:val="24"/>
        </w:rPr>
        <w:t xml:space="preserve">E.J. (2021) </w:t>
      </w:r>
      <w:r w:rsidRPr="0058335A">
        <w:rPr>
          <w:rFonts w:ascii="Arial" w:hAnsi="Arial" w:cs="Arial"/>
          <w:sz w:val="24"/>
          <w:szCs w:val="24"/>
        </w:rPr>
        <w:t>Digital</w:t>
      </w:r>
      <w:r w:rsidRPr="0058335A">
        <w:rPr>
          <w:rFonts w:ascii="Arial" w:hAnsi="Arial" w:cs="Arial"/>
          <w:sz w:val="24"/>
          <w:szCs w:val="24"/>
        </w:rPr>
        <w:t xml:space="preserve"> Disconnect: </w:t>
      </w:r>
      <w:r w:rsidRPr="0058335A">
        <w:rPr>
          <w:rFonts w:ascii="Arial" w:hAnsi="Arial" w:cs="Arial"/>
          <w:i/>
          <w:iCs/>
          <w:sz w:val="24"/>
          <w:szCs w:val="24"/>
        </w:rPr>
        <w:t>The Social Causes and Consequences of Digital Inequalities</w:t>
      </w:r>
      <w:r w:rsidRPr="0058335A">
        <w:rPr>
          <w:rFonts w:ascii="Arial" w:hAnsi="Arial" w:cs="Arial"/>
          <w:sz w:val="24"/>
          <w:szCs w:val="24"/>
        </w:rPr>
        <w:t>.</w:t>
      </w:r>
      <w:r>
        <w:rPr>
          <w:rFonts w:ascii="Arial" w:hAnsi="Arial" w:cs="Arial"/>
          <w:sz w:val="24"/>
          <w:szCs w:val="24"/>
        </w:rPr>
        <w:t xml:space="preserve"> 1</w:t>
      </w:r>
      <w:r w:rsidRPr="0058335A">
        <w:rPr>
          <w:rFonts w:ascii="Arial" w:hAnsi="Arial" w:cs="Arial"/>
          <w:sz w:val="24"/>
          <w:szCs w:val="24"/>
          <w:vertAlign w:val="superscript"/>
        </w:rPr>
        <w:t>st</w:t>
      </w:r>
      <w:r>
        <w:rPr>
          <w:rFonts w:ascii="Arial" w:hAnsi="Arial" w:cs="Arial"/>
          <w:sz w:val="24"/>
          <w:szCs w:val="24"/>
        </w:rPr>
        <w:t xml:space="preserve"> edn.</w:t>
      </w:r>
      <w:r w:rsidRPr="0058335A">
        <w:rPr>
          <w:rFonts w:ascii="Arial" w:hAnsi="Arial" w:cs="Arial"/>
          <w:sz w:val="24"/>
          <w:szCs w:val="24"/>
        </w:rPr>
        <w:t xml:space="preserve"> London: S</w:t>
      </w:r>
      <w:r w:rsidR="0010142C">
        <w:rPr>
          <w:rFonts w:ascii="Arial" w:hAnsi="Arial" w:cs="Arial"/>
          <w:sz w:val="24"/>
          <w:szCs w:val="24"/>
        </w:rPr>
        <w:t>age</w:t>
      </w:r>
      <w:r w:rsidRPr="0058335A">
        <w:rPr>
          <w:rFonts w:ascii="Arial" w:hAnsi="Arial" w:cs="Arial"/>
          <w:sz w:val="24"/>
          <w:szCs w:val="24"/>
        </w:rPr>
        <w:t>.</w:t>
      </w:r>
    </w:p>
    <w:p w14:paraId="51E68605" w14:textId="77777777" w:rsidR="00323E25" w:rsidRDefault="00323E25" w:rsidP="008A49BC">
      <w:pPr>
        <w:spacing w:after="0" w:line="360" w:lineRule="auto"/>
        <w:rPr>
          <w:rFonts w:ascii="Arial" w:hAnsi="Arial" w:cs="Arial"/>
          <w:sz w:val="24"/>
          <w:szCs w:val="24"/>
        </w:rPr>
      </w:pPr>
    </w:p>
    <w:p w14:paraId="6FD04623" w14:textId="0C0C22F5" w:rsidR="00323E25" w:rsidRDefault="00323E25" w:rsidP="008A49BC">
      <w:pPr>
        <w:spacing w:after="0" w:line="360" w:lineRule="auto"/>
        <w:rPr>
          <w:rFonts w:ascii="Arial" w:hAnsi="Arial" w:cs="Arial"/>
          <w:sz w:val="24"/>
          <w:szCs w:val="24"/>
        </w:rPr>
      </w:pPr>
      <w:r w:rsidRPr="007657DE">
        <w:rPr>
          <w:rFonts w:ascii="Arial" w:hAnsi="Arial" w:cs="Arial"/>
          <w:sz w:val="24"/>
          <w:szCs w:val="24"/>
        </w:rPr>
        <w:t xml:space="preserve">Hill, </w:t>
      </w:r>
      <w:r w:rsidRPr="00323E25">
        <w:rPr>
          <w:rFonts w:ascii="Arial" w:hAnsi="Arial" w:cs="Arial"/>
          <w:sz w:val="24"/>
          <w:szCs w:val="24"/>
        </w:rPr>
        <w:t xml:space="preserve">K., Blackwell, C., Balchin, E., Stone, E. and Yates, </w:t>
      </w:r>
      <w:r w:rsidR="009E13F2" w:rsidRPr="00323E25">
        <w:rPr>
          <w:rFonts w:ascii="Arial" w:hAnsi="Arial" w:cs="Arial"/>
          <w:sz w:val="24"/>
          <w:szCs w:val="24"/>
        </w:rPr>
        <w:t>S. (</w:t>
      </w:r>
      <w:r w:rsidRPr="00323E25">
        <w:rPr>
          <w:rFonts w:ascii="Arial" w:hAnsi="Arial" w:cs="Arial"/>
          <w:sz w:val="24"/>
          <w:szCs w:val="24"/>
        </w:rPr>
        <w:t>2025)</w:t>
      </w:r>
      <w:r>
        <w:rPr>
          <w:rFonts w:ascii="Arial" w:hAnsi="Arial" w:cs="Arial"/>
          <w:sz w:val="24"/>
          <w:szCs w:val="24"/>
        </w:rPr>
        <w:t xml:space="preserve"> ‘</w:t>
      </w:r>
      <w:r w:rsidRPr="00323E25">
        <w:rPr>
          <w:rFonts w:ascii="Arial" w:hAnsi="Arial" w:cs="Arial"/>
          <w:sz w:val="24"/>
          <w:szCs w:val="24"/>
        </w:rPr>
        <w:t>A Minimum Digital Living Standard for UK Households in 2025: Full report</w:t>
      </w:r>
      <w:r>
        <w:rPr>
          <w:rFonts w:ascii="Arial" w:hAnsi="Arial" w:cs="Arial"/>
          <w:sz w:val="24"/>
          <w:szCs w:val="24"/>
        </w:rPr>
        <w:t xml:space="preserve">’, </w:t>
      </w:r>
      <w:r>
        <w:rPr>
          <w:rFonts w:ascii="Arial" w:hAnsi="Arial" w:cs="Arial"/>
          <w:i/>
          <w:iCs/>
          <w:sz w:val="24"/>
          <w:szCs w:val="24"/>
        </w:rPr>
        <w:t>Centre for</w:t>
      </w:r>
      <w:r w:rsidRPr="00323E25">
        <w:rPr>
          <w:rFonts w:ascii="Arial" w:hAnsi="Arial" w:cs="Arial"/>
          <w:i/>
          <w:iCs/>
          <w:sz w:val="24"/>
          <w:szCs w:val="24"/>
        </w:rPr>
        <w:t xml:space="preserve"> Research in Social Policy</w:t>
      </w:r>
      <w:r>
        <w:rPr>
          <w:rFonts w:ascii="Arial" w:hAnsi="Arial" w:cs="Arial"/>
          <w:sz w:val="24"/>
          <w:szCs w:val="24"/>
        </w:rPr>
        <w:t>.</w:t>
      </w:r>
      <w:r w:rsidRPr="00323E25">
        <w:rPr>
          <w:rFonts w:ascii="Arial" w:hAnsi="Arial" w:cs="Arial"/>
          <w:sz w:val="24"/>
          <w:szCs w:val="24"/>
        </w:rPr>
        <w:t xml:space="preserve"> Available at: </w:t>
      </w:r>
      <w:r w:rsidRPr="00B2170B">
        <w:rPr>
          <w:rFonts w:ascii="Arial" w:hAnsi="Arial" w:cs="Arial"/>
          <w:sz w:val="24"/>
          <w:szCs w:val="24"/>
        </w:rPr>
        <w:t>https://mdls.org.uk/wp-content/uploads/2025/06/MDLS-Full-Report-Final-Tagged.pdf</w:t>
      </w:r>
      <w:r>
        <w:rPr>
          <w:rFonts w:ascii="Arial" w:hAnsi="Arial" w:cs="Arial"/>
          <w:sz w:val="24"/>
          <w:szCs w:val="24"/>
        </w:rPr>
        <w:t xml:space="preserve"> (</w:t>
      </w:r>
      <w:r w:rsidRPr="00323E25">
        <w:rPr>
          <w:rFonts w:ascii="Arial" w:hAnsi="Arial" w:cs="Arial"/>
          <w:sz w:val="24"/>
          <w:szCs w:val="24"/>
        </w:rPr>
        <w:t xml:space="preserve">Accessed 29 </w:t>
      </w:r>
      <w:r>
        <w:rPr>
          <w:rFonts w:ascii="Arial" w:hAnsi="Arial" w:cs="Arial"/>
          <w:sz w:val="24"/>
          <w:szCs w:val="24"/>
        </w:rPr>
        <w:t>February</w:t>
      </w:r>
      <w:r w:rsidRPr="00323E25">
        <w:rPr>
          <w:rFonts w:ascii="Arial" w:hAnsi="Arial" w:cs="Arial"/>
          <w:sz w:val="24"/>
          <w:szCs w:val="24"/>
        </w:rPr>
        <w:t xml:space="preserve"> 2026</w:t>
      </w:r>
      <w:r>
        <w:rPr>
          <w:rFonts w:ascii="Arial" w:hAnsi="Arial" w:cs="Arial"/>
          <w:sz w:val="24"/>
          <w:szCs w:val="24"/>
        </w:rPr>
        <w:t>)</w:t>
      </w:r>
      <w:r w:rsidRPr="00323E25">
        <w:rPr>
          <w:rFonts w:ascii="Arial" w:hAnsi="Arial" w:cs="Arial"/>
          <w:sz w:val="24"/>
          <w:szCs w:val="24"/>
        </w:rPr>
        <w:t>.</w:t>
      </w:r>
    </w:p>
    <w:p w14:paraId="3F758DE5" w14:textId="77777777" w:rsidR="0058335A" w:rsidRDefault="0058335A" w:rsidP="008A49BC">
      <w:pPr>
        <w:spacing w:after="0" w:line="360" w:lineRule="auto"/>
        <w:rPr>
          <w:rFonts w:ascii="Arial" w:hAnsi="Arial" w:cs="Arial"/>
          <w:sz w:val="24"/>
          <w:szCs w:val="24"/>
        </w:rPr>
      </w:pPr>
    </w:p>
    <w:p w14:paraId="4A9B5CB7" w14:textId="70C84569" w:rsidR="0058335A" w:rsidRDefault="0058335A" w:rsidP="008A49BC">
      <w:pPr>
        <w:spacing w:after="0" w:line="360" w:lineRule="auto"/>
        <w:rPr>
          <w:rFonts w:ascii="Arial" w:hAnsi="Arial" w:cs="Arial"/>
          <w:sz w:val="24"/>
          <w:szCs w:val="24"/>
        </w:rPr>
      </w:pPr>
      <w:r w:rsidRPr="007657DE">
        <w:rPr>
          <w:rFonts w:ascii="Arial" w:hAnsi="Arial" w:cs="Arial"/>
          <w:sz w:val="24"/>
          <w:szCs w:val="24"/>
        </w:rPr>
        <w:t xml:space="preserve">Hugh-Jones, </w:t>
      </w:r>
      <w:r w:rsidRPr="0058335A">
        <w:rPr>
          <w:rFonts w:ascii="Arial" w:hAnsi="Arial" w:cs="Arial"/>
          <w:sz w:val="24"/>
          <w:szCs w:val="24"/>
        </w:rPr>
        <w:t xml:space="preserve">S., Pert, K., Kendal, S., </w:t>
      </w:r>
      <w:r w:rsidR="00C352DB" w:rsidRPr="0058335A">
        <w:rPr>
          <w:rFonts w:ascii="Arial" w:hAnsi="Arial" w:cs="Arial"/>
          <w:sz w:val="24"/>
          <w:szCs w:val="24"/>
        </w:rPr>
        <w:t>Eltringham, S.</w:t>
      </w:r>
      <w:r w:rsidR="00A94584" w:rsidRPr="0058335A">
        <w:rPr>
          <w:rFonts w:ascii="Arial" w:hAnsi="Arial" w:cs="Arial"/>
          <w:sz w:val="24"/>
          <w:szCs w:val="24"/>
        </w:rPr>
        <w:t>, S.</w:t>
      </w:r>
      <w:r w:rsidRPr="0058335A">
        <w:rPr>
          <w:rFonts w:ascii="Arial" w:hAnsi="Arial" w:cs="Arial"/>
          <w:sz w:val="24"/>
          <w:szCs w:val="24"/>
        </w:rPr>
        <w:t xml:space="preserve">, </w:t>
      </w:r>
      <w:r w:rsidRPr="0058335A">
        <w:rPr>
          <w:rFonts w:ascii="Arial" w:hAnsi="Arial" w:cs="Arial"/>
          <w:sz w:val="24"/>
          <w:szCs w:val="24"/>
        </w:rPr>
        <w:t>Skelton, C., Yaziji, N. and West, R.</w:t>
      </w:r>
      <w:r w:rsidR="00A94584">
        <w:rPr>
          <w:rFonts w:ascii="Arial" w:hAnsi="Arial" w:cs="Arial"/>
          <w:sz w:val="24"/>
          <w:szCs w:val="24"/>
        </w:rPr>
        <w:t xml:space="preserve"> </w:t>
      </w:r>
      <w:r w:rsidRPr="0058335A">
        <w:rPr>
          <w:rFonts w:ascii="Arial" w:hAnsi="Arial" w:cs="Arial"/>
          <w:sz w:val="24"/>
          <w:szCs w:val="24"/>
        </w:rPr>
        <w:t>(</w:t>
      </w:r>
      <w:r w:rsidR="007657DE" w:rsidRPr="0058335A">
        <w:rPr>
          <w:rFonts w:ascii="Arial" w:hAnsi="Arial" w:cs="Arial"/>
          <w:sz w:val="24"/>
          <w:szCs w:val="24"/>
        </w:rPr>
        <w:t>2022)</w:t>
      </w:r>
      <w:r w:rsidR="007657DE">
        <w:rPr>
          <w:rFonts w:ascii="Arial" w:hAnsi="Arial" w:cs="Arial"/>
          <w:sz w:val="24"/>
          <w:szCs w:val="24"/>
        </w:rPr>
        <w:t xml:space="preserve"> ‘</w:t>
      </w:r>
      <w:r w:rsidRPr="0058335A">
        <w:rPr>
          <w:rFonts w:ascii="Arial" w:hAnsi="Arial" w:cs="Arial"/>
          <w:sz w:val="24"/>
          <w:szCs w:val="24"/>
        </w:rPr>
        <w:t xml:space="preserve">Adolescents accept digital mental health support in schools: A co-design and feasibility study of a school-based app for UK </w:t>
      </w:r>
      <w:r>
        <w:rPr>
          <w:rFonts w:ascii="Arial" w:hAnsi="Arial" w:cs="Arial"/>
          <w:sz w:val="24"/>
          <w:szCs w:val="24"/>
        </w:rPr>
        <w:t>adolescents’</w:t>
      </w:r>
      <w:r w:rsidRPr="0058335A">
        <w:rPr>
          <w:rFonts w:ascii="Arial" w:hAnsi="Arial" w:cs="Arial"/>
          <w:sz w:val="24"/>
          <w:szCs w:val="24"/>
        </w:rPr>
        <w:t xml:space="preserve">, </w:t>
      </w:r>
      <w:r w:rsidRPr="0058335A">
        <w:rPr>
          <w:rFonts w:ascii="Arial" w:hAnsi="Arial" w:cs="Arial"/>
          <w:i/>
          <w:iCs/>
          <w:sz w:val="24"/>
          <w:szCs w:val="24"/>
        </w:rPr>
        <w:t>Mental Health and Prevention</w:t>
      </w:r>
      <w:r w:rsidRPr="0058335A">
        <w:rPr>
          <w:rFonts w:ascii="Arial" w:hAnsi="Arial" w:cs="Arial"/>
          <w:sz w:val="24"/>
          <w:szCs w:val="24"/>
        </w:rPr>
        <w:t>, 27, 200241.</w:t>
      </w:r>
      <w:r>
        <w:rPr>
          <w:rFonts w:ascii="Arial" w:hAnsi="Arial" w:cs="Arial"/>
          <w:sz w:val="24"/>
          <w:szCs w:val="24"/>
        </w:rPr>
        <w:t xml:space="preserve"> Available at:</w:t>
      </w:r>
      <w:r w:rsidR="00A94584">
        <w:rPr>
          <w:rFonts w:ascii="Arial" w:hAnsi="Arial" w:cs="Arial"/>
          <w:sz w:val="24"/>
          <w:szCs w:val="24"/>
        </w:rPr>
        <w:t xml:space="preserve"> </w:t>
      </w:r>
      <w:r w:rsidRPr="0058335A">
        <w:rPr>
          <w:rFonts w:ascii="Arial" w:hAnsi="Arial" w:cs="Arial"/>
          <w:sz w:val="24"/>
          <w:szCs w:val="24"/>
        </w:rPr>
        <w:t>https://doi.org/10.1016/j.mhp.2022.200241</w:t>
      </w:r>
      <w:r>
        <w:rPr>
          <w:rFonts w:ascii="Arial" w:hAnsi="Arial" w:cs="Arial"/>
          <w:sz w:val="24"/>
          <w:szCs w:val="24"/>
        </w:rPr>
        <w:t xml:space="preserve"> </w:t>
      </w:r>
      <w:r w:rsidRPr="0058335A">
        <w:rPr>
          <w:rFonts w:ascii="Arial" w:hAnsi="Arial" w:cs="Arial"/>
          <w:sz w:val="24"/>
          <w:szCs w:val="24"/>
        </w:rPr>
        <w:t xml:space="preserve">(Accessed </w:t>
      </w:r>
      <w:r w:rsidR="00473573">
        <w:rPr>
          <w:rFonts w:ascii="Arial" w:hAnsi="Arial" w:cs="Arial"/>
          <w:sz w:val="24"/>
          <w:szCs w:val="24"/>
        </w:rPr>
        <w:t>6</w:t>
      </w:r>
      <w:r w:rsidRPr="0058335A">
        <w:rPr>
          <w:rFonts w:ascii="Arial" w:hAnsi="Arial" w:cs="Arial"/>
          <w:sz w:val="24"/>
          <w:szCs w:val="24"/>
        </w:rPr>
        <w:t xml:space="preserve"> March 2026).</w:t>
      </w:r>
    </w:p>
    <w:p w14:paraId="47CFF4E6" w14:textId="77777777" w:rsidR="00A94584" w:rsidRDefault="00A94584" w:rsidP="008A49BC">
      <w:pPr>
        <w:spacing w:after="0" w:line="360" w:lineRule="auto"/>
        <w:rPr>
          <w:rFonts w:ascii="Arial" w:hAnsi="Arial" w:cs="Arial"/>
          <w:sz w:val="24"/>
          <w:szCs w:val="24"/>
        </w:rPr>
      </w:pPr>
    </w:p>
    <w:p w14:paraId="75DCBF73" w14:textId="4679D22D" w:rsidR="00A94584" w:rsidRDefault="009D414C" w:rsidP="008A49BC">
      <w:pPr>
        <w:spacing w:after="0" w:line="360" w:lineRule="auto"/>
        <w:rPr>
          <w:rFonts w:ascii="Arial" w:hAnsi="Arial" w:cs="Arial"/>
          <w:sz w:val="24"/>
          <w:szCs w:val="24"/>
        </w:rPr>
      </w:pPr>
      <w:r w:rsidRPr="007657DE">
        <w:rPr>
          <w:rFonts w:ascii="Arial" w:hAnsi="Arial" w:cs="Arial"/>
          <w:sz w:val="24"/>
          <w:szCs w:val="24"/>
        </w:rPr>
        <w:t xml:space="preserve">Information Commissioner’s Office </w:t>
      </w:r>
      <w:r w:rsidRPr="009D414C">
        <w:rPr>
          <w:rFonts w:ascii="Arial" w:hAnsi="Arial" w:cs="Arial"/>
          <w:sz w:val="24"/>
          <w:szCs w:val="24"/>
        </w:rPr>
        <w:t xml:space="preserve">(2020) </w:t>
      </w:r>
      <w:r w:rsidRPr="009D414C">
        <w:rPr>
          <w:rFonts w:ascii="Arial" w:hAnsi="Arial" w:cs="Arial"/>
          <w:sz w:val="24"/>
          <w:szCs w:val="24"/>
        </w:rPr>
        <w:t>Age-appropriate</w:t>
      </w:r>
      <w:r w:rsidRPr="009D414C">
        <w:rPr>
          <w:rFonts w:ascii="Arial" w:hAnsi="Arial" w:cs="Arial"/>
          <w:sz w:val="24"/>
          <w:szCs w:val="24"/>
        </w:rPr>
        <w:t xml:space="preserve"> design: a code of practice for online services.</w:t>
      </w:r>
      <w:r w:rsidRPr="009D414C">
        <w:rPr>
          <w:rFonts w:ascii="Arial" w:hAnsi="Arial" w:cs="Arial"/>
          <w:i/>
          <w:iCs/>
          <w:sz w:val="24"/>
          <w:szCs w:val="24"/>
        </w:rPr>
        <w:t xml:space="preserve"> ICO</w:t>
      </w:r>
      <w:r>
        <w:rPr>
          <w:rFonts w:ascii="Arial" w:hAnsi="Arial" w:cs="Arial"/>
          <w:sz w:val="24"/>
          <w:szCs w:val="24"/>
        </w:rPr>
        <w:t>.</w:t>
      </w:r>
      <w:r w:rsidRPr="009D414C">
        <w:rPr>
          <w:rFonts w:ascii="Arial" w:hAnsi="Arial" w:cs="Arial"/>
          <w:sz w:val="24"/>
          <w:szCs w:val="24"/>
        </w:rPr>
        <w:t xml:space="preserve"> Available at: </w:t>
      </w:r>
      <w:r w:rsidRPr="00531E72">
        <w:rPr>
          <w:rFonts w:ascii="Arial" w:hAnsi="Arial" w:cs="Arial"/>
          <w:sz w:val="24"/>
          <w:szCs w:val="24"/>
        </w:rPr>
        <w:t>https://ico.org.uk/for-organisations/uk-gdpr-guidance-and-resources/childrens-information/childrens-code-guidance-and-resources/age-appropriate-design-a-code-of-practice-for-online-services/</w:t>
      </w:r>
      <w:r>
        <w:rPr>
          <w:rFonts w:ascii="Arial" w:hAnsi="Arial" w:cs="Arial"/>
          <w:sz w:val="24"/>
          <w:szCs w:val="24"/>
        </w:rPr>
        <w:t xml:space="preserve"> </w:t>
      </w:r>
      <w:r w:rsidRPr="009D414C">
        <w:rPr>
          <w:rFonts w:ascii="Arial" w:hAnsi="Arial" w:cs="Arial"/>
          <w:sz w:val="24"/>
          <w:szCs w:val="24"/>
        </w:rPr>
        <w:t xml:space="preserve">(Accessed </w:t>
      </w:r>
      <w:r w:rsidR="00473573">
        <w:rPr>
          <w:rFonts w:ascii="Arial" w:hAnsi="Arial" w:cs="Arial"/>
          <w:sz w:val="24"/>
          <w:szCs w:val="24"/>
        </w:rPr>
        <w:t>5</w:t>
      </w:r>
      <w:r w:rsidRPr="009D414C">
        <w:rPr>
          <w:rFonts w:ascii="Arial" w:hAnsi="Arial" w:cs="Arial"/>
          <w:sz w:val="24"/>
          <w:szCs w:val="24"/>
        </w:rPr>
        <w:t xml:space="preserve"> March 2026).</w:t>
      </w:r>
    </w:p>
    <w:p w14:paraId="4832F00A" w14:textId="77777777" w:rsidR="007E38D1" w:rsidRDefault="007E38D1" w:rsidP="008A49BC">
      <w:pPr>
        <w:spacing w:after="0" w:line="360" w:lineRule="auto"/>
        <w:rPr>
          <w:rFonts w:ascii="Arial" w:hAnsi="Arial" w:cs="Arial"/>
          <w:sz w:val="24"/>
          <w:szCs w:val="24"/>
        </w:rPr>
      </w:pPr>
    </w:p>
    <w:p w14:paraId="6A582889" w14:textId="5D2503C0" w:rsidR="007E38D1" w:rsidRDefault="007E38D1" w:rsidP="008A49BC">
      <w:pPr>
        <w:spacing w:after="0" w:line="360" w:lineRule="auto"/>
        <w:rPr>
          <w:rFonts w:ascii="Arial" w:hAnsi="Arial" w:cs="Arial"/>
          <w:sz w:val="24"/>
          <w:szCs w:val="24"/>
        </w:rPr>
      </w:pPr>
      <w:r w:rsidRPr="007657DE">
        <w:rPr>
          <w:rFonts w:ascii="Arial" w:hAnsi="Arial" w:cs="Arial"/>
          <w:sz w:val="24"/>
          <w:szCs w:val="24"/>
        </w:rPr>
        <w:t>Institute of Education</w:t>
      </w:r>
      <w:r>
        <w:rPr>
          <w:rFonts w:ascii="Arial" w:hAnsi="Arial" w:cs="Arial"/>
          <w:sz w:val="24"/>
          <w:szCs w:val="24"/>
        </w:rPr>
        <w:t>-Wales</w:t>
      </w:r>
      <w:r w:rsidRPr="007E38D1">
        <w:rPr>
          <w:rFonts w:ascii="Arial" w:hAnsi="Arial" w:cs="Arial"/>
          <w:sz w:val="24"/>
          <w:szCs w:val="24"/>
        </w:rPr>
        <w:t xml:space="preserve"> (2020) Written Statement: Enhancing digital resilience in education: An action plan to protect children and young people online (Minister of Education-Cabinet statement, 20 November 2020), UCL. Available at: </w:t>
      </w:r>
      <w:r w:rsidR="00571C07" w:rsidRPr="00571C07">
        <w:rPr>
          <w:rFonts w:ascii="Arial" w:hAnsi="Arial" w:cs="Arial"/>
          <w:sz w:val="24"/>
          <w:szCs w:val="24"/>
        </w:rPr>
        <w:t>https://dera.ioe.ac.uk/id/eprint/37096/</w:t>
      </w:r>
      <w:r w:rsidR="00571C07">
        <w:rPr>
          <w:rFonts w:ascii="Arial" w:hAnsi="Arial" w:cs="Arial"/>
          <w:sz w:val="24"/>
          <w:szCs w:val="24"/>
        </w:rPr>
        <w:t xml:space="preserve"> </w:t>
      </w:r>
      <w:r w:rsidRPr="007E38D1">
        <w:rPr>
          <w:rFonts w:ascii="Arial" w:hAnsi="Arial" w:cs="Arial"/>
          <w:sz w:val="24"/>
          <w:szCs w:val="24"/>
        </w:rPr>
        <w:t>(Accessed 9 March 2026).</w:t>
      </w:r>
    </w:p>
    <w:p w14:paraId="4C69F8E2" w14:textId="77777777" w:rsidR="00531E72" w:rsidRDefault="00531E72" w:rsidP="008A49BC">
      <w:pPr>
        <w:spacing w:after="0" w:line="360" w:lineRule="auto"/>
        <w:rPr>
          <w:rFonts w:ascii="Arial" w:hAnsi="Arial" w:cs="Arial"/>
          <w:sz w:val="24"/>
          <w:szCs w:val="24"/>
        </w:rPr>
      </w:pPr>
    </w:p>
    <w:p w14:paraId="345ECBFD" w14:textId="4FF04066" w:rsidR="00531E72" w:rsidRDefault="00531E72" w:rsidP="008A49BC">
      <w:pPr>
        <w:spacing w:after="0" w:line="360" w:lineRule="auto"/>
        <w:rPr>
          <w:rFonts w:ascii="Arial" w:hAnsi="Arial" w:cs="Arial"/>
          <w:sz w:val="24"/>
          <w:szCs w:val="24"/>
        </w:rPr>
      </w:pPr>
      <w:r w:rsidRPr="007657DE">
        <w:rPr>
          <w:rFonts w:ascii="Arial" w:hAnsi="Arial" w:cs="Arial"/>
          <w:sz w:val="24"/>
          <w:szCs w:val="24"/>
        </w:rPr>
        <w:lastRenderedPageBreak/>
        <w:t xml:space="preserve">Kelly, </w:t>
      </w:r>
      <w:r w:rsidRPr="00531E72">
        <w:rPr>
          <w:rFonts w:ascii="Arial" w:hAnsi="Arial" w:cs="Arial"/>
          <w:sz w:val="24"/>
          <w:szCs w:val="24"/>
        </w:rPr>
        <w:t>Y., Zilanawala, A., Booker, C. and Sacker, A.</w:t>
      </w:r>
      <w:r w:rsidR="005F38EE">
        <w:rPr>
          <w:rFonts w:ascii="Arial" w:hAnsi="Arial" w:cs="Arial"/>
          <w:sz w:val="24"/>
          <w:szCs w:val="24"/>
        </w:rPr>
        <w:t xml:space="preserve"> </w:t>
      </w:r>
      <w:r w:rsidRPr="00531E72">
        <w:rPr>
          <w:rFonts w:ascii="Arial" w:hAnsi="Arial" w:cs="Arial"/>
          <w:sz w:val="24"/>
          <w:szCs w:val="24"/>
        </w:rPr>
        <w:t>(</w:t>
      </w:r>
      <w:r w:rsidR="007657DE" w:rsidRPr="00531E72">
        <w:rPr>
          <w:rFonts w:ascii="Arial" w:hAnsi="Arial" w:cs="Arial"/>
          <w:sz w:val="24"/>
          <w:szCs w:val="24"/>
        </w:rPr>
        <w:t>2019)</w:t>
      </w:r>
      <w:r w:rsidR="007657DE">
        <w:rPr>
          <w:rFonts w:ascii="Arial" w:hAnsi="Arial" w:cs="Arial"/>
          <w:sz w:val="24"/>
          <w:szCs w:val="24"/>
        </w:rPr>
        <w:t xml:space="preserve"> ‘</w:t>
      </w:r>
      <w:r w:rsidRPr="00531E72">
        <w:rPr>
          <w:rFonts w:ascii="Arial" w:hAnsi="Arial" w:cs="Arial"/>
          <w:sz w:val="24"/>
          <w:szCs w:val="24"/>
        </w:rPr>
        <w:t>Social media use and adolescent mental health: Findings from the UK Millennium Cohort Study’,</w:t>
      </w:r>
      <w:r>
        <w:rPr>
          <w:rFonts w:ascii="Arial" w:hAnsi="Arial" w:cs="Arial"/>
          <w:sz w:val="24"/>
          <w:szCs w:val="24"/>
        </w:rPr>
        <w:t xml:space="preserve"> </w:t>
      </w:r>
      <w:r w:rsidRPr="00531E72">
        <w:rPr>
          <w:rFonts w:ascii="Arial" w:hAnsi="Arial" w:cs="Arial"/>
          <w:i/>
          <w:iCs/>
          <w:sz w:val="24"/>
          <w:szCs w:val="24"/>
        </w:rPr>
        <w:t>The Lancet</w:t>
      </w:r>
      <w:r>
        <w:rPr>
          <w:rFonts w:ascii="Arial" w:hAnsi="Arial" w:cs="Arial"/>
          <w:sz w:val="24"/>
          <w:szCs w:val="24"/>
        </w:rPr>
        <w:t xml:space="preserve">. </w:t>
      </w:r>
      <w:r w:rsidRPr="00531E72">
        <w:rPr>
          <w:rFonts w:ascii="Arial" w:hAnsi="Arial" w:cs="Arial"/>
          <w:sz w:val="24"/>
          <w:szCs w:val="24"/>
        </w:rPr>
        <w:t xml:space="preserve">6, pp. 59–68. </w:t>
      </w:r>
      <w:r>
        <w:rPr>
          <w:rFonts w:ascii="Arial" w:hAnsi="Arial" w:cs="Arial"/>
          <w:sz w:val="24"/>
          <w:szCs w:val="24"/>
        </w:rPr>
        <w:t xml:space="preserve">Available at: </w:t>
      </w:r>
      <w:r w:rsidRPr="00D205DE">
        <w:rPr>
          <w:rFonts w:ascii="Arial" w:hAnsi="Arial" w:cs="Arial"/>
          <w:sz w:val="24"/>
          <w:szCs w:val="24"/>
        </w:rPr>
        <w:t>https://doi.org/10.1016/j.eclinm.2018.12.005</w:t>
      </w:r>
      <w:r>
        <w:rPr>
          <w:rFonts w:ascii="Arial" w:hAnsi="Arial" w:cs="Arial"/>
          <w:sz w:val="24"/>
          <w:szCs w:val="24"/>
        </w:rPr>
        <w:t xml:space="preserve"> </w:t>
      </w:r>
      <w:r w:rsidRPr="00531E72">
        <w:rPr>
          <w:rFonts w:ascii="Arial" w:hAnsi="Arial" w:cs="Arial"/>
          <w:sz w:val="24"/>
          <w:szCs w:val="24"/>
        </w:rPr>
        <w:t xml:space="preserve">(Accessed </w:t>
      </w:r>
      <w:r w:rsidR="00473573">
        <w:rPr>
          <w:rFonts w:ascii="Arial" w:hAnsi="Arial" w:cs="Arial"/>
          <w:sz w:val="24"/>
          <w:szCs w:val="24"/>
        </w:rPr>
        <w:t>6</w:t>
      </w:r>
      <w:r w:rsidRPr="00531E72">
        <w:rPr>
          <w:rFonts w:ascii="Arial" w:hAnsi="Arial" w:cs="Arial"/>
          <w:sz w:val="24"/>
          <w:szCs w:val="24"/>
        </w:rPr>
        <w:t xml:space="preserve"> March 2026).</w:t>
      </w:r>
    </w:p>
    <w:p w14:paraId="6610966A" w14:textId="77777777" w:rsidR="00444261" w:rsidRDefault="00444261" w:rsidP="008A49BC">
      <w:pPr>
        <w:spacing w:after="0" w:line="360" w:lineRule="auto"/>
        <w:rPr>
          <w:rFonts w:ascii="Arial" w:hAnsi="Arial" w:cs="Arial"/>
          <w:sz w:val="24"/>
          <w:szCs w:val="24"/>
        </w:rPr>
      </w:pPr>
    </w:p>
    <w:p w14:paraId="53EFBDAC" w14:textId="16E8AF03" w:rsidR="00444261" w:rsidRDefault="00444261" w:rsidP="008A49BC">
      <w:pPr>
        <w:spacing w:after="0" w:line="360" w:lineRule="auto"/>
        <w:rPr>
          <w:rFonts w:ascii="Arial" w:hAnsi="Arial" w:cs="Arial"/>
          <w:sz w:val="24"/>
          <w:szCs w:val="24"/>
        </w:rPr>
      </w:pPr>
      <w:r w:rsidRPr="00444261">
        <w:rPr>
          <w:rFonts w:ascii="Arial" w:hAnsi="Arial" w:cs="Arial"/>
          <w:sz w:val="24"/>
          <w:szCs w:val="24"/>
        </w:rPr>
        <w:t>Kostyrka</w:t>
      </w:r>
      <w:r w:rsidRPr="00444261">
        <w:rPr>
          <w:rFonts w:ascii="Cambria Math" w:hAnsi="Cambria Math" w:cs="Cambria Math"/>
          <w:sz w:val="24"/>
          <w:szCs w:val="24"/>
        </w:rPr>
        <w:t>‐</w:t>
      </w:r>
      <w:r w:rsidRPr="00444261">
        <w:rPr>
          <w:rFonts w:ascii="Arial" w:hAnsi="Arial" w:cs="Arial"/>
          <w:sz w:val="24"/>
          <w:szCs w:val="24"/>
        </w:rPr>
        <w:t>Allchorne, K., Stoilova, M., Bourgaize, J., Rahali, M., Livingstone, S. and Sonuga</w:t>
      </w:r>
      <w:r w:rsidRPr="00444261">
        <w:rPr>
          <w:rFonts w:ascii="Cambria Math" w:hAnsi="Cambria Math" w:cs="Cambria Math"/>
          <w:sz w:val="24"/>
          <w:szCs w:val="24"/>
        </w:rPr>
        <w:t>‐</w:t>
      </w:r>
      <w:r w:rsidRPr="00444261">
        <w:rPr>
          <w:rFonts w:ascii="Arial" w:hAnsi="Arial" w:cs="Arial"/>
          <w:sz w:val="24"/>
          <w:szCs w:val="24"/>
        </w:rPr>
        <w:t>Barke, E. (2022)</w:t>
      </w:r>
      <w:r>
        <w:rPr>
          <w:rFonts w:ascii="Arial" w:hAnsi="Arial" w:cs="Arial"/>
          <w:sz w:val="24"/>
          <w:szCs w:val="24"/>
        </w:rPr>
        <w:t xml:space="preserve"> ‘</w:t>
      </w:r>
      <w:r w:rsidRPr="00444261">
        <w:rPr>
          <w:rFonts w:ascii="Arial" w:hAnsi="Arial" w:cs="Arial"/>
          <w:sz w:val="24"/>
          <w:szCs w:val="24"/>
        </w:rPr>
        <w:t>Digital experiences and their impact on the lives of adolescents with pre</w:t>
      </w:r>
      <w:r w:rsidRPr="00444261">
        <w:rPr>
          <w:rFonts w:ascii="Cambria Math" w:hAnsi="Cambria Math" w:cs="Cambria Math"/>
          <w:sz w:val="24"/>
          <w:szCs w:val="24"/>
        </w:rPr>
        <w:t>‐</w:t>
      </w:r>
      <w:r w:rsidRPr="00444261">
        <w:rPr>
          <w:rFonts w:ascii="Arial" w:hAnsi="Arial" w:cs="Arial"/>
          <w:sz w:val="24"/>
          <w:szCs w:val="24"/>
        </w:rPr>
        <w:t>existing anxiety, depression, eating and nonsuicidal self</w:t>
      </w:r>
      <w:r w:rsidRPr="00444261">
        <w:rPr>
          <w:rFonts w:ascii="Cambria Math" w:hAnsi="Cambria Math" w:cs="Cambria Math"/>
          <w:sz w:val="24"/>
          <w:szCs w:val="24"/>
        </w:rPr>
        <w:t>‐</w:t>
      </w:r>
      <w:r w:rsidRPr="00444261">
        <w:rPr>
          <w:rFonts w:ascii="Arial" w:hAnsi="Arial" w:cs="Arial"/>
          <w:sz w:val="24"/>
          <w:szCs w:val="24"/>
        </w:rPr>
        <w:t>injury conditions – a systematic review</w:t>
      </w:r>
      <w:r>
        <w:rPr>
          <w:rFonts w:ascii="Arial" w:hAnsi="Arial" w:cs="Arial"/>
          <w:sz w:val="24"/>
          <w:szCs w:val="24"/>
        </w:rPr>
        <w:t>’,</w:t>
      </w:r>
      <w:r w:rsidRPr="00444261">
        <w:rPr>
          <w:rFonts w:ascii="Arial" w:hAnsi="Arial" w:cs="Arial"/>
          <w:sz w:val="24"/>
          <w:szCs w:val="24"/>
        </w:rPr>
        <w:t xml:space="preserve"> </w:t>
      </w:r>
      <w:r w:rsidRPr="00444261">
        <w:rPr>
          <w:rFonts w:ascii="Arial" w:hAnsi="Arial" w:cs="Arial"/>
          <w:i/>
          <w:iCs/>
          <w:sz w:val="24"/>
          <w:szCs w:val="24"/>
        </w:rPr>
        <w:t>Child and Adolescent Mental Health</w:t>
      </w:r>
      <w:r w:rsidRPr="00444261">
        <w:rPr>
          <w:rFonts w:ascii="Arial" w:hAnsi="Arial" w:cs="Arial"/>
          <w:sz w:val="24"/>
          <w:szCs w:val="24"/>
        </w:rPr>
        <w:t xml:space="preserve">, 28(1), pp.22–32. </w:t>
      </w:r>
      <w:r>
        <w:rPr>
          <w:rFonts w:ascii="Arial" w:hAnsi="Arial" w:cs="Arial"/>
          <w:sz w:val="24"/>
          <w:szCs w:val="24"/>
        </w:rPr>
        <w:t xml:space="preserve">Available at: </w:t>
      </w:r>
      <w:r w:rsidRPr="005F38EE">
        <w:rPr>
          <w:rFonts w:ascii="Arial" w:hAnsi="Arial" w:cs="Arial"/>
          <w:sz w:val="24"/>
          <w:szCs w:val="24"/>
        </w:rPr>
        <w:t>https://doi.org/10.1111/camh.12619</w:t>
      </w:r>
      <w:r>
        <w:rPr>
          <w:rFonts w:ascii="Arial" w:hAnsi="Arial" w:cs="Arial"/>
          <w:sz w:val="24"/>
          <w:szCs w:val="24"/>
        </w:rPr>
        <w:t xml:space="preserve"> (Accessed 3 March 2026).</w:t>
      </w:r>
    </w:p>
    <w:p w14:paraId="3BE238A2" w14:textId="77777777" w:rsidR="00A74FA7" w:rsidRDefault="00A74FA7" w:rsidP="008A49BC">
      <w:pPr>
        <w:spacing w:after="0" w:line="360" w:lineRule="auto"/>
        <w:rPr>
          <w:rFonts w:ascii="Arial" w:hAnsi="Arial" w:cs="Arial"/>
          <w:sz w:val="24"/>
          <w:szCs w:val="24"/>
        </w:rPr>
      </w:pPr>
    </w:p>
    <w:p w14:paraId="4CFD946A" w14:textId="06802BB7" w:rsidR="00A74FA7" w:rsidRDefault="00A74FA7" w:rsidP="008A49BC">
      <w:pPr>
        <w:spacing w:after="0" w:line="360" w:lineRule="auto"/>
        <w:rPr>
          <w:rFonts w:ascii="Arial" w:hAnsi="Arial" w:cs="Arial"/>
          <w:sz w:val="24"/>
          <w:szCs w:val="24"/>
        </w:rPr>
      </w:pPr>
      <w:r w:rsidRPr="007657DE">
        <w:rPr>
          <w:rFonts w:ascii="Arial" w:hAnsi="Arial" w:cs="Arial"/>
          <w:sz w:val="24"/>
          <w:szCs w:val="24"/>
        </w:rPr>
        <w:t xml:space="preserve">Livingstone, </w:t>
      </w:r>
      <w:r w:rsidRPr="00A74FA7">
        <w:rPr>
          <w:rFonts w:ascii="Arial" w:hAnsi="Arial" w:cs="Arial"/>
          <w:sz w:val="24"/>
          <w:szCs w:val="24"/>
        </w:rPr>
        <w:t xml:space="preserve">S. and Blum-Ross, A. (2020) Parenting for a Digital Future: </w:t>
      </w:r>
      <w:r w:rsidRPr="00A74FA7">
        <w:rPr>
          <w:rFonts w:ascii="Arial" w:hAnsi="Arial" w:cs="Arial"/>
          <w:i/>
          <w:iCs/>
          <w:sz w:val="24"/>
          <w:szCs w:val="24"/>
        </w:rPr>
        <w:t>How Hopes and Fears about Technology Shape Children’s Lives</w:t>
      </w:r>
      <w:r w:rsidRPr="00A74FA7">
        <w:rPr>
          <w:rFonts w:ascii="Arial" w:hAnsi="Arial" w:cs="Arial"/>
          <w:sz w:val="24"/>
          <w:szCs w:val="24"/>
        </w:rPr>
        <w:t>. 1st edn. Oxford: Oxford University Press.</w:t>
      </w:r>
    </w:p>
    <w:p w14:paraId="5913D856" w14:textId="77777777" w:rsidR="00A74FA7" w:rsidRDefault="00A74FA7" w:rsidP="008A49BC">
      <w:pPr>
        <w:spacing w:after="0" w:line="360" w:lineRule="auto"/>
        <w:rPr>
          <w:rFonts w:ascii="Arial" w:hAnsi="Arial" w:cs="Arial"/>
          <w:sz w:val="24"/>
          <w:szCs w:val="24"/>
        </w:rPr>
      </w:pPr>
    </w:p>
    <w:p w14:paraId="200162CF" w14:textId="0524B38E" w:rsidR="00A74FA7" w:rsidRDefault="00A74FA7" w:rsidP="008A49BC">
      <w:pPr>
        <w:spacing w:after="0" w:line="360" w:lineRule="auto"/>
        <w:rPr>
          <w:rFonts w:ascii="Arial" w:hAnsi="Arial" w:cs="Arial"/>
          <w:sz w:val="24"/>
          <w:szCs w:val="24"/>
        </w:rPr>
      </w:pPr>
      <w:r w:rsidRPr="007657DE">
        <w:rPr>
          <w:rFonts w:ascii="Arial" w:hAnsi="Arial" w:cs="Arial"/>
          <w:sz w:val="24"/>
          <w:szCs w:val="24"/>
        </w:rPr>
        <w:t xml:space="preserve">Livingstone, </w:t>
      </w:r>
      <w:r w:rsidRPr="00A74FA7">
        <w:rPr>
          <w:rFonts w:ascii="Arial" w:hAnsi="Arial" w:cs="Arial"/>
          <w:sz w:val="24"/>
          <w:szCs w:val="24"/>
        </w:rPr>
        <w:t xml:space="preserve">S., Jessen, R.S., Stoilova, M., Stänicke, L.I., Graham, R., Staksrud, E. and Jensen, T.K. (2026) ‘Can platform literacy protect vulnerable young people against the risky affordances of social media platforms?’, </w:t>
      </w:r>
      <w:r w:rsidRPr="00A74FA7">
        <w:rPr>
          <w:rFonts w:ascii="Arial" w:hAnsi="Arial" w:cs="Arial"/>
          <w:i/>
          <w:iCs/>
          <w:sz w:val="24"/>
          <w:szCs w:val="24"/>
        </w:rPr>
        <w:t>Information, Communication and Society</w:t>
      </w:r>
      <w:r w:rsidRPr="00A74FA7">
        <w:rPr>
          <w:rFonts w:ascii="Arial" w:hAnsi="Arial" w:cs="Arial"/>
          <w:sz w:val="24"/>
          <w:szCs w:val="24"/>
        </w:rPr>
        <w:t>, 29(2), pp. 455–472. https://doi.org/10.1080/1369118X.2025.2518254</w:t>
      </w:r>
      <w:r>
        <w:rPr>
          <w:rFonts w:ascii="Arial" w:hAnsi="Arial" w:cs="Arial"/>
          <w:sz w:val="24"/>
          <w:szCs w:val="24"/>
        </w:rPr>
        <w:t xml:space="preserve"> </w:t>
      </w:r>
      <w:r w:rsidRPr="00A74FA7">
        <w:rPr>
          <w:rFonts w:ascii="Arial" w:hAnsi="Arial" w:cs="Arial"/>
          <w:sz w:val="24"/>
          <w:szCs w:val="24"/>
        </w:rPr>
        <w:t xml:space="preserve">(Accessed </w:t>
      </w:r>
      <w:r w:rsidR="00473573">
        <w:rPr>
          <w:rFonts w:ascii="Arial" w:hAnsi="Arial" w:cs="Arial"/>
          <w:sz w:val="24"/>
          <w:szCs w:val="24"/>
        </w:rPr>
        <w:t>5</w:t>
      </w:r>
      <w:r w:rsidRPr="00A74FA7">
        <w:rPr>
          <w:rFonts w:ascii="Arial" w:hAnsi="Arial" w:cs="Arial"/>
          <w:sz w:val="24"/>
          <w:szCs w:val="24"/>
        </w:rPr>
        <w:t xml:space="preserve"> March 2026).</w:t>
      </w:r>
    </w:p>
    <w:p w14:paraId="30E799F8" w14:textId="77777777" w:rsidR="00E344EE" w:rsidRDefault="00E344EE" w:rsidP="008A49BC">
      <w:pPr>
        <w:spacing w:after="0" w:line="360" w:lineRule="auto"/>
        <w:rPr>
          <w:rFonts w:ascii="Arial" w:hAnsi="Arial" w:cs="Arial"/>
          <w:sz w:val="24"/>
          <w:szCs w:val="24"/>
        </w:rPr>
      </w:pPr>
    </w:p>
    <w:p w14:paraId="4CC359C0" w14:textId="080A3DFF" w:rsidR="00E344EE" w:rsidRDefault="00E344EE" w:rsidP="008A49BC">
      <w:pPr>
        <w:spacing w:after="0" w:line="360" w:lineRule="auto"/>
        <w:rPr>
          <w:rFonts w:ascii="Arial" w:hAnsi="Arial" w:cs="Arial"/>
          <w:sz w:val="24"/>
          <w:szCs w:val="24"/>
        </w:rPr>
      </w:pPr>
      <w:r w:rsidRPr="007657DE">
        <w:rPr>
          <w:rFonts w:ascii="Arial" w:hAnsi="Arial" w:cs="Arial"/>
          <w:sz w:val="24"/>
          <w:szCs w:val="24"/>
        </w:rPr>
        <w:t xml:space="preserve">Matthews, </w:t>
      </w:r>
      <w:r w:rsidRPr="00E344EE">
        <w:rPr>
          <w:rFonts w:ascii="Arial" w:hAnsi="Arial" w:cs="Arial"/>
          <w:sz w:val="24"/>
          <w:szCs w:val="24"/>
        </w:rPr>
        <w:t>T., Arseneault, L., Bryan, B.T., Fisher, H.L., Gray, R., Henchy, J., Moffitt, T.E. and Odgers, C.L. (</w:t>
      </w:r>
      <w:r w:rsidR="007657DE" w:rsidRPr="00E344EE">
        <w:rPr>
          <w:rFonts w:ascii="Arial" w:hAnsi="Arial" w:cs="Arial"/>
          <w:sz w:val="24"/>
          <w:szCs w:val="24"/>
        </w:rPr>
        <w:t>2025)</w:t>
      </w:r>
      <w:r w:rsidR="007657DE">
        <w:rPr>
          <w:rFonts w:ascii="Arial" w:hAnsi="Arial" w:cs="Arial"/>
          <w:sz w:val="24"/>
          <w:szCs w:val="24"/>
        </w:rPr>
        <w:t xml:space="preserve"> ‘</w:t>
      </w:r>
      <w:r w:rsidRPr="00E344EE">
        <w:rPr>
          <w:rFonts w:ascii="Arial" w:hAnsi="Arial" w:cs="Arial"/>
          <w:sz w:val="24"/>
          <w:szCs w:val="24"/>
        </w:rPr>
        <w:t>Social media use, online experiences, and loneliness among young adults: A cohort study</w:t>
      </w:r>
      <w:r>
        <w:rPr>
          <w:rFonts w:ascii="Arial" w:hAnsi="Arial" w:cs="Arial"/>
          <w:sz w:val="24"/>
          <w:szCs w:val="24"/>
        </w:rPr>
        <w:t xml:space="preserve">’, </w:t>
      </w:r>
      <w:r w:rsidRPr="00E344EE">
        <w:rPr>
          <w:rFonts w:ascii="Arial" w:hAnsi="Arial" w:cs="Arial"/>
          <w:i/>
          <w:iCs/>
          <w:sz w:val="24"/>
          <w:szCs w:val="24"/>
        </w:rPr>
        <w:t>Annals of the New York Academy of Sciences</w:t>
      </w:r>
      <w:r w:rsidRPr="00E344EE">
        <w:rPr>
          <w:rFonts w:ascii="Arial" w:hAnsi="Arial" w:cs="Arial"/>
          <w:sz w:val="24"/>
          <w:szCs w:val="24"/>
        </w:rPr>
        <w:t xml:space="preserve">. </w:t>
      </w:r>
      <w:r>
        <w:rPr>
          <w:rFonts w:ascii="Arial" w:hAnsi="Arial" w:cs="Arial"/>
          <w:sz w:val="24"/>
          <w:szCs w:val="24"/>
        </w:rPr>
        <w:t xml:space="preserve">Available at: </w:t>
      </w:r>
      <w:r w:rsidRPr="00E27A5F">
        <w:rPr>
          <w:rFonts w:ascii="Arial" w:hAnsi="Arial" w:cs="Arial"/>
          <w:sz w:val="24"/>
          <w:szCs w:val="24"/>
        </w:rPr>
        <w:t>https://doi.org/10.1111/nyas.15370</w:t>
      </w:r>
      <w:r>
        <w:rPr>
          <w:rFonts w:ascii="Arial" w:hAnsi="Arial" w:cs="Arial"/>
          <w:sz w:val="24"/>
          <w:szCs w:val="24"/>
        </w:rPr>
        <w:t xml:space="preserve"> (Accessed 2 March 2026)/</w:t>
      </w:r>
    </w:p>
    <w:p w14:paraId="560B96A5" w14:textId="77777777" w:rsidR="008C754D" w:rsidRDefault="008C754D" w:rsidP="008A49BC">
      <w:pPr>
        <w:spacing w:after="0" w:line="360" w:lineRule="auto"/>
        <w:rPr>
          <w:rFonts w:ascii="Arial" w:hAnsi="Arial" w:cs="Arial"/>
          <w:sz w:val="24"/>
          <w:szCs w:val="24"/>
        </w:rPr>
      </w:pPr>
    </w:p>
    <w:p w14:paraId="13854B4E" w14:textId="19D66F16" w:rsidR="008C754D" w:rsidRDefault="0096748C" w:rsidP="008A49BC">
      <w:pPr>
        <w:spacing w:after="0" w:line="360" w:lineRule="auto"/>
        <w:rPr>
          <w:rFonts w:ascii="Arial" w:hAnsi="Arial" w:cs="Arial"/>
          <w:sz w:val="24"/>
          <w:szCs w:val="24"/>
        </w:rPr>
      </w:pPr>
      <w:r w:rsidRPr="007657DE">
        <w:rPr>
          <w:rFonts w:ascii="Arial" w:hAnsi="Arial" w:cs="Arial"/>
          <w:sz w:val="24"/>
          <w:szCs w:val="24"/>
        </w:rPr>
        <w:t>Murcia</w:t>
      </w:r>
      <w:r w:rsidRPr="0096748C">
        <w:rPr>
          <w:rFonts w:ascii="Arial" w:hAnsi="Arial" w:cs="Arial"/>
          <w:sz w:val="24"/>
          <w:szCs w:val="24"/>
        </w:rPr>
        <w:t xml:space="preserve">, K., Cross, E., Seitz, J. and Lowe, G. (2024) ‘Children’s agency within digital play and learning: Exploring the impact of shared play experiences on parent–child negotiations’, </w:t>
      </w:r>
      <w:r w:rsidRPr="0096748C">
        <w:rPr>
          <w:rFonts w:ascii="Arial" w:hAnsi="Arial" w:cs="Arial"/>
          <w:i/>
          <w:iCs/>
          <w:sz w:val="24"/>
          <w:szCs w:val="24"/>
        </w:rPr>
        <w:t>Children and Society</w:t>
      </w:r>
      <w:r w:rsidRPr="0096748C">
        <w:rPr>
          <w:rFonts w:ascii="Arial" w:hAnsi="Arial" w:cs="Arial"/>
          <w:sz w:val="24"/>
          <w:szCs w:val="24"/>
        </w:rPr>
        <w:t xml:space="preserve">. Available at: </w:t>
      </w:r>
      <w:r w:rsidR="00CB2666" w:rsidRPr="00CB2666">
        <w:rPr>
          <w:rFonts w:ascii="Arial" w:hAnsi="Arial" w:cs="Arial"/>
          <w:sz w:val="24"/>
          <w:szCs w:val="24"/>
        </w:rPr>
        <w:t>https://doi.org/10.1111/chso.12905</w:t>
      </w:r>
      <w:r w:rsidR="00CB2666">
        <w:rPr>
          <w:rFonts w:ascii="Arial" w:hAnsi="Arial" w:cs="Arial"/>
          <w:sz w:val="24"/>
          <w:szCs w:val="24"/>
        </w:rPr>
        <w:t xml:space="preserve"> </w:t>
      </w:r>
      <w:r w:rsidRPr="0096748C">
        <w:rPr>
          <w:rFonts w:ascii="Arial" w:hAnsi="Arial" w:cs="Arial"/>
          <w:sz w:val="24"/>
          <w:szCs w:val="24"/>
        </w:rPr>
        <w:t>(Accessed 27 February 2026).</w:t>
      </w:r>
    </w:p>
    <w:p w14:paraId="28971B97" w14:textId="77777777" w:rsidR="007077D4" w:rsidRDefault="007077D4" w:rsidP="008A49BC">
      <w:pPr>
        <w:spacing w:after="0" w:line="360" w:lineRule="auto"/>
        <w:rPr>
          <w:rFonts w:ascii="Arial" w:hAnsi="Arial" w:cs="Arial"/>
          <w:sz w:val="24"/>
          <w:szCs w:val="24"/>
        </w:rPr>
      </w:pPr>
    </w:p>
    <w:p w14:paraId="4C80B16F" w14:textId="713A2A74" w:rsidR="007077D4" w:rsidRDefault="007077D4" w:rsidP="008A49BC">
      <w:pPr>
        <w:spacing w:after="0" w:line="360" w:lineRule="auto"/>
        <w:rPr>
          <w:rFonts w:ascii="Arial" w:hAnsi="Arial" w:cs="Arial"/>
          <w:sz w:val="24"/>
          <w:szCs w:val="24"/>
        </w:rPr>
      </w:pPr>
      <w:r w:rsidRPr="007657DE">
        <w:rPr>
          <w:rFonts w:ascii="Arial" w:hAnsi="Arial" w:cs="Arial"/>
          <w:sz w:val="24"/>
          <w:szCs w:val="24"/>
        </w:rPr>
        <w:lastRenderedPageBreak/>
        <w:t>Ofcom</w:t>
      </w:r>
      <w:r w:rsidRPr="007077D4">
        <w:rPr>
          <w:rFonts w:ascii="Arial" w:hAnsi="Arial" w:cs="Arial"/>
          <w:sz w:val="24"/>
          <w:szCs w:val="24"/>
        </w:rPr>
        <w:t xml:space="preserve"> (2023) Children and parents: media use</w:t>
      </w:r>
      <w:r>
        <w:rPr>
          <w:rFonts w:ascii="Arial" w:hAnsi="Arial" w:cs="Arial"/>
          <w:sz w:val="24"/>
          <w:szCs w:val="24"/>
        </w:rPr>
        <w:t>,</w:t>
      </w:r>
      <w:r w:rsidRPr="007077D4">
        <w:rPr>
          <w:rFonts w:ascii="Arial" w:hAnsi="Arial" w:cs="Arial"/>
          <w:sz w:val="24"/>
          <w:szCs w:val="24"/>
        </w:rPr>
        <w:t xml:space="preserve"> and attitudes report 2023. </w:t>
      </w:r>
      <w:r w:rsidRPr="007077D4">
        <w:rPr>
          <w:rFonts w:ascii="Arial" w:hAnsi="Arial" w:cs="Arial"/>
          <w:i/>
          <w:iCs/>
          <w:sz w:val="24"/>
          <w:szCs w:val="24"/>
        </w:rPr>
        <w:t>Ofcom</w:t>
      </w:r>
      <w:r>
        <w:rPr>
          <w:rFonts w:ascii="Arial" w:hAnsi="Arial" w:cs="Arial"/>
          <w:sz w:val="24"/>
          <w:szCs w:val="24"/>
        </w:rPr>
        <w:t xml:space="preserve">. </w:t>
      </w:r>
      <w:r w:rsidRPr="007077D4">
        <w:rPr>
          <w:rFonts w:ascii="Arial" w:hAnsi="Arial" w:cs="Arial"/>
          <w:sz w:val="24"/>
          <w:szCs w:val="24"/>
        </w:rPr>
        <w:t xml:space="preserve">Available at: </w:t>
      </w:r>
      <w:r w:rsidR="008F3B9F" w:rsidRPr="008F3B9F">
        <w:rPr>
          <w:rFonts w:ascii="Arial" w:hAnsi="Arial" w:cs="Arial"/>
          <w:sz w:val="24"/>
          <w:szCs w:val="24"/>
        </w:rPr>
        <w:t>https://www.ofcom.org.uk/siteassets/resources/documents/research-and-data/media-literacy-research/children/childrens-media-use-and-attitudes-2023/childrens-media-use-and-attitudes-report-2023.pdf</w:t>
      </w:r>
      <w:r w:rsidR="008F3B9F">
        <w:rPr>
          <w:rFonts w:ascii="Arial" w:hAnsi="Arial" w:cs="Arial"/>
          <w:sz w:val="24"/>
          <w:szCs w:val="24"/>
        </w:rPr>
        <w:t xml:space="preserve"> </w:t>
      </w:r>
      <w:r w:rsidRPr="007077D4">
        <w:rPr>
          <w:rFonts w:ascii="Arial" w:hAnsi="Arial" w:cs="Arial"/>
          <w:sz w:val="24"/>
          <w:szCs w:val="24"/>
        </w:rPr>
        <w:t>(Accessed 9 March 2026).</w:t>
      </w:r>
    </w:p>
    <w:p w14:paraId="3F3B2B8E" w14:textId="77777777" w:rsidR="0055553D" w:rsidRDefault="0055553D" w:rsidP="008A49BC">
      <w:pPr>
        <w:spacing w:after="0" w:line="360" w:lineRule="auto"/>
        <w:rPr>
          <w:rFonts w:ascii="Arial" w:hAnsi="Arial" w:cs="Arial"/>
          <w:sz w:val="24"/>
          <w:szCs w:val="24"/>
        </w:rPr>
      </w:pPr>
    </w:p>
    <w:p w14:paraId="729110C4" w14:textId="3216A0AC" w:rsidR="0055553D" w:rsidRDefault="001B76E9" w:rsidP="008A49BC">
      <w:pPr>
        <w:spacing w:after="0" w:line="360" w:lineRule="auto"/>
        <w:rPr>
          <w:rFonts w:ascii="Arial" w:hAnsi="Arial" w:cs="Arial"/>
          <w:sz w:val="24"/>
          <w:szCs w:val="24"/>
        </w:rPr>
      </w:pPr>
      <w:r w:rsidRPr="007657DE">
        <w:rPr>
          <w:rFonts w:ascii="Arial" w:hAnsi="Arial" w:cs="Arial"/>
          <w:sz w:val="24"/>
          <w:szCs w:val="24"/>
        </w:rPr>
        <w:t xml:space="preserve">Parliamentary </w:t>
      </w:r>
      <w:r w:rsidRPr="001B76E9">
        <w:rPr>
          <w:rFonts w:ascii="Arial" w:hAnsi="Arial" w:cs="Arial"/>
          <w:sz w:val="24"/>
          <w:szCs w:val="24"/>
        </w:rPr>
        <w:t>Office of Science and Technology</w:t>
      </w:r>
      <w:r w:rsidR="008F3B9F">
        <w:rPr>
          <w:rFonts w:ascii="Arial" w:hAnsi="Arial" w:cs="Arial"/>
          <w:sz w:val="24"/>
          <w:szCs w:val="24"/>
        </w:rPr>
        <w:t xml:space="preserve"> </w:t>
      </w:r>
      <w:r w:rsidRPr="001B76E9">
        <w:rPr>
          <w:rFonts w:ascii="Arial" w:hAnsi="Arial" w:cs="Arial"/>
          <w:sz w:val="24"/>
          <w:szCs w:val="24"/>
        </w:rPr>
        <w:t xml:space="preserve">(2024)‘Artificial intelligence: education and impacts on children and young people’, </w:t>
      </w:r>
      <w:r>
        <w:rPr>
          <w:rFonts w:ascii="Arial" w:hAnsi="Arial" w:cs="Arial"/>
          <w:i/>
          <w:iCs/>
          <w:sz w:val="24"/>
          <w:szCs w:val="24"/>
        </w:rPr>
        <w:t>UK Parliament-POST</w:t>
      </w:r>
      <w:r w:rsidRPr="001B76E9">
        <w:rPr>
          <w:rFonts w:ascii="Arial" w:hAnsi="Arial" w:cs="Arial"/>
          <w:sz w:val="24"/>
          <w:szCs w:val="24"/>
        </w:rPr>
        <w:t xml:space="preserve">. </w:t>
      </w:r>
      <w:r w:rsidRPr="00D80692">
        <w:rPr>
          <w:rFonts w:ascii="Arial" w:hAnsi="Arial" w:cs="Arial"/>
          <w:sz w:val="24"/>
          <w:szCs w:val="24"/>
        </w:rPr>
        <w:t>https://doi.org/10.58248/HS52</w:t>
      </w:r>
      <w:r>
        <w:rPr>
          <w:rFonts w:ascii="Arial" w:hAnsi="Arial" w:cs="Arial"/>
          <w:sz w:val="24"/>
          <w:szCs w:val="24"/>
        </w:rPr>
        <w:t xml:space="preserve"> </w:t>
      </w:r>
      <w:r w:rsidRPr="001B76E9">
        <w:rPr>
          <w:rFonts w:ascii="Arial" w:hAnsi="Arial" w:cs="Arial"/>
          <w:sz w:val="24"/>
          <w:szCs w:val="24"/>
        </w:rPr>
        <w:t xml:space="preserve">(Accessed </w:t>
      </w:r>
      <w:r w:rsidR="00473573">
        <w:rPr>
          <w:rFonts w:ascii="Arial" w:hAnsi="Arial" w:cs="Arial"/>
          <w:sz w:val="24"/>
          <w:szCs w:val="24"/>
        </w:rPr>
        <w:t>4</w:t>
      </w:r>
      <w:r w:rsidRPr="001B76E9">
        <w:rPr>
          <w:rFonts w:ascii="Arial" w:hAnsi="Arial" w:cs="Arial"/>
          <w:sz w:val="24"/>
          <w:szCs w:val="24"/>
        </w:rPr>
        <w:t xml:space="preserve"> March 2026).</w:t>
      </w:r>
    </w:p>
    <w:p w14:paraId="067A7DEF" w14:textId="77777777" w:rsidR="00586BD8" w:rsidRDefault="00586BD8" w:rsidP="008A49BC">
      <w:pPr>
        <w:spacing w:after="0" w:line="360" w:lineRule="auto"/>
        <w:rPr>
          <w:rFonts w:ascii="Arial" w:hAnsi="Arial" w:cs="Arial"/>
          <w:sz w:val="24"/>
          <w:szCs w:val="24"/>
        </w:rPr>
      </w:pPr>
    </w:p>
    <w:p w14:paraId="49F3016B" w14:textId="1BE78046" w:rsidR="00586BD8" w:rsidRDefault="00586BD8" w:rsidP="008A49BC">
      <w:pPr>
        <w:spacing w:after="0" w:line="360" w:lineRule="auto"/>
        <w:rPr>
          <w:rFonts w:ascii="Arial" w:hAnsi="Arial" w:cs="Arial"/>
          <w:sz w:val="24"/>
          <w:szCs w:val="24"/>
        </w:rPr>
      </w:pPr>
      <w:r w:rsidRPr="007657DE">
        <w:rPr>
          <w:rFonts w:ascii="Arial" w:hAnsi="Arial" w:cs="Arial"/>
          <w:sz w:val="24"/>
          <w:szCs w:val="24"/>
        </w:rPr>
        <w:t xml:space="preserve">Peck, </w:t>
      </w:r>
      <w:r w:rsidRPr="00586BD8">
        <w:rPr>
          <w:rFonts w:ascii="Arial" w:hAnsi="Arial" w:cs="Arial"/>
          <w:sz w:val="24"/>
          <w:szCs w:val="24"/>
        </w:rPr>
        <w:t xml:space="preserve">L., Tzani, M., Lester, K.J., Williams, A.J. and Page, A.S. (2024) ‘Cyberbullying in the UK: The Effect of Global Crises on the Victimisation Rates’, </w:t>
      </w:r>
      <w:r w:rsidRPr="00586BD8">
        <w:rPr>
          <w:rFonts w:ascii="Arial" w:hAnsi="Arial" w:cs="Arial"/>
          <w:i/>
          <w:iCs/>
          <w:sz w:val="24"/>
          <w:szCs w:val="24"/>
        </w:rPr>
        <w:t>Journal of School Violence</w:t>
      </w:r>
      <w:r w:rsidRPr="00586BD8">
        <w:rPr>
          <w:rFonts w:ascii="Arial" w:hAnsi="Arial" w:cs="Arial"/>
          <w:sz w:val="24"/>
          <w:szCs w:val="24"/>
        </w:rPr>
        <w:t>, 23(1), pp.111–123. https://doi.org/10.1080/15388220.2023.2278473</w:t>
      </w:r>
      <w:r>
        <w:rPr>
          <w:rFonts w:ascii="Arial" w:hAnsi="Arial" w:cs="Arial"/>
          <w:sz w:val="24"/>
          <w:szCs w:val="24"/>
        </w:rPr>
        <w:t xml:space="preserve"> </w:t>
      </w:r>
      <w:r w:rsidRPr="00586BD8">
        <w:rPr>
          <w:rFonts w:ascii="Arial" w:hAnsi="Arial" w:cs="Arial"/>
          <w:sz w:val="24"/>
          <w:szCs w:val="24"/>
        </w:rPr>
        <w:t xml:space="preserve">(Accessed </w:t>
      </w:r>
      <w:r w:rsidR="00473573">
        <w:rPr>
          <w:rFonts w:ascii="Arial" w:hAnsi="Arial" w:cs="Arial"/>
          <w:sz w:val="24"/>
          <w:szCs w:val="24"/>
        </w:rPr>
        <w:t>5</w:t>
      </w:r>
      <w:r w:rsidRPr="00586BD8">
        <w:rPr>
          <w:rFonts w:ascii="Arial" w:hAnsi="Arial" w:cs="Arial"/>
          <w:sz w:val="24"/>
          <w:szCs w:val="24"/>
        </w:rPr>
        <w:t xml:space="preserve"> March 2026).</w:t>
      </w:r>
    </w:p>
    <w:p w14:paraId="06E5F586" w14:textId="77777777" w:rsidR="000F119E" w:rsidRDefault="000F119E" w:rsidP="008A49BC">
      <w:pPr>
        <w:spacing w:after="0" w:line="360" w:lineRule="auto"/>
        <w:rPr>
          <w:rFonts w:ascii="Arial" w:hAnsi="Arial" w:cs="Arial"/>
          <w:sz w:val="24"/>
          <w:szCs w:val="24"/>
        </w:rPr>
      </w:pPr>
    </w:p>
    <w:p w14:paraId="50D49848" w14:textId="311F0B58" w:rsidR="000F119E" w:rsidRDefault="005B1594" w:rsidP="008A49BC">
      <w:pPr>
        <w:spacing w:after="0" w:line="360" w:lineRule="auto"/>
        <w:rPr>
          <w:rFonts w:ascii="Arial" w:hAnsi="Arial" w:cs="Arial"/>
          <w:sz w:val="24"/>
          <w:szCs w:val="24"/>
        </w:rPr>
      </w:pPr>
      <w:r w:rsidRPr="007657DE">
        <w:rPr>
          <w:rFonts w:ascii="Arial" w:hAnsi="Arial" w:cs="Arial"/>
          <w:sz w:val="24"/>
          <w:szCs w:val="24"/>
        </w:rPr>
        <w:t>Plackett</w:t>
      </w:r>
      <w:r w:rsidRPr="005B1594">
        <w:rPr>
          <w:rFonts w:ascii="Arial" w:hAnsi="Arial" w:cs="Arial"/>
          <w:sz w:val="24"/>
          <w:szCs w:val="24"/>
        </w:rPr>
        <w:t xml:space="preserve">, R., Sheringham, J. and Dykxhoorn, J. (2023) ‘The longitudinal impact of social media use on UK adolescents’ mental health: longitudinal observational study’, </w:t>
      </w:r>
      <w:r w:rsidRPr="005B1594">
        <w:rPr>
          <w:rFonts w:ascii="Arial" w:hAnsi="Arial" w:cs="Arial"/>
          <w:i/>
          <w:iCs/>
          <w:sz w:val="24"/>
          <w:szCs w:val="24"/>
        </w:rPr>
        <w:t>Journal of Medical Internet Research</w:t>
      </w:r>
      <w:r w:rsidRPr="005B1594">
        <w:rPr>
          <w:rFonts w:ascii="Arial" w:hAnsi="Arial" w:cs="Arial"/>
          <w:sz w:val="24"/>
          <w:szCs w:val="24"/>
        </w:rPr>
        <w:t xml:space="preserve">, 25, </w:t>
      </w:r>
      <w:r>
        <w:rPr>
          <w:rFonts w:ascii="Arial" w:hAnsi="Arial" w:cs="Arial"/>
          <w:sz w:val="24"/>
          <w:szCs w:val="24"/>
        </w:rPr>
        <w:t xml:space="preserve">pp. </w:t>
      </w:r>
      <w:r w:rsidRPr="005B1594">
        <w:rPr>
          <w:rFonts w:ascii="Arial" w:hAnsi="Arial" w:cs="Arial"/>
          <w:sz w:val="24"/>
          <w:szCs w:val="24"/>
        </w:rPr>
        <w:t xml:space="preserve">43213. </w:t>
      </w:r>
      <w:r>
        <w:rPr>
          <w:rFonts w:ascii="Arial" w:hAnsi="Arial" w:cs="Arial"/>
          <w:sz w:val="24"/>
          <w:szCs w:val="24"/>
        </w:rPr>
        <w:t xml:space="preserve">Available at: </w:t>
      </w:r>
      <w:r w:rsidRPr="00E27A5F">
        <w:rPr>
          <w:rFonts w:ascii="Arial" w:hAnsi="Arial" w:cs="Arial"/>
          <w:sz w:val="24"/>
          <w:szCs w:val="24"/>
        </w:rPr>
        <w:t>https://doi.org/10.2196/43213</w:t>
      </w:r>
      <w:r>
        <w:rPr>
          <w:rFonts w:ascii="Arial" w:hAnsi="Arial" w:cs="Arial"/>
          <w:sz w:val="24"/>
          <w:szCs w:val="24"/>
        </w:rPr>
        <w:t xml:space="preserve"> </w:t>
      </w:r>
      <w:r w:rsidRPr="005B1594">
        <w:rPr>
          <w:rFonts w:ascii="Arial" w:hAnsi="Arial" w:cs="Arial"/>
          <w:sz w:val="24"/>
          <w:szCs w:val="24"/>
        </w:rPr>
        <w:t>(Accessed 9 March 2026)</w:t>
      </w:r>
      <w:r>
        <w:rPr>
          <w:rFonts w:ascii="Arial" w:hAnsi="Arial" w:cs="Arial"/>
          <w:sz w:val="24"/>
          <w:szCs w:val="24"/>
        </w:rPr>
        <w:t>.</w:t>
      </w:r>
    </w:p>
    <w:p w14:paraId="7A732120" w14:textId="77777777" w:rsidR="009526B9" w:rsidRDefault="009526B9" w:rsidP="008A49BC">
      <w:pPr>
        <w:spacing w:after="0" w:line="360" w:lineRule="auto"/>
        <w:rPr>
          <w:rFonts w:ascii="Arial" w:hAnsi="Arial" w:cs="Arial"/>
          <w:sz w:val="24"/>
          <w:szCs w:val="24"/>
        </w:rPr>
      </w:pPr>
    </w:p>
    <w:p w14:paraId="54AD1F9C" w14:textId="0092D49A" w:rsidR="009526B9" w:rsidRDefault="009526B9" w:rsidP="008A49BC">
      <w:pPr>
        <w:spacing w:after="0" w:line="360" w:lineRule="auto"/>
        <w:rPr>
          <w:rFonts w:ascii="Arial" w:hAnsi="Arial" w:cs="Arial"/>
          <w:sz w:val="24"/>
          <w:szCs w:val="24"/>
        </w:rPr>
      </w:pPr>
      <w:r w:rsidRPr="009526B9">
        <w:rPr>
          <w:rFonts w:ascii="Arial" w:hAnsi="Arial" w:cs="Arial"/>
          <w:sz w:val="24"/>
          <w:szCs w:val="24"/>
        </w:rPr>
        <w:t>Roberts, L.M., Wood, S., Corliss, C. and Anthony, R. (2023)</w:t>
      </w:r>
      <w:r>
        <w:rPr>
          <w:rFonts w:ascii="Arial" w:hAnsi="Arial" w:cs="Arial"/>
          <w:sz w:val="24"/>
          <w:szCs w:val="24"/>
        </w:rPr>
        <w:t xml:space="preserve"> ‘</w:t>
      </w:r>
      <w:r w:rsidRPr="009526B9">
        <w:rPr>
          <w:rFonts w:ascii="Arial" w:hAnsi="Arial" w:cs="Arial"/>
          <w:sz w:val="24"/>
          <w:szCs w:val="24"/>
        </w:rPr>
        <w:t>Exploring online experiences, cyberbullying and wellbeing for young people looked after in Wales: An analysis of the school health research network 2017/18 survey</w:t>
      </w:r>
      <w:r>
        <w:rPr>
          <w:rFonts w:ascii="Arial" w:hAnsi="Arial" w:cs="Arial"/>
          <w:sz w:val="24"/>
          <w:szCs w:val="24"/>
        </w:rPr>
        <w:t xml:space="preserve">’, </w:t>
      </w:r>
      <w:r w:rsidRPr="009526B9">
        <w:rPr>
          <w:rFonts w:ascii="Arial" w:hAnsi="Arial" w:cs="Arial"/>
          <w:i/>
          <w:iCs/>
          <w:sz w:val="24"/>
          <w:szCs w:val="24"/>
        </w:rPr>
        <w:t>Developmental Child Welfare</w:t>
      </w:r>
      <w:r w:rsidRPr="009526B9">
        <w:rPr>
          <w:rFonts w:ascii="Arial" w:hAnsi="Arial" w:cs="Arial"/>
          <w:sz w:val="24"/>
          <w:szCs w:val="24"/>
        </w:rPr>
        <w:t xml:space="preserve">, 5(4), pp.204–222. </w:t>
      </w:r>
      <w:r>
        <w:rPr>
          <w:rFonts w:ascii="Arial" w:hAnsi="Arial" w:cs="Arial"/>
          <w:sz w:val="24"/>
          <w:szCs w:val="24"/>
        </w:rPr>
        <w:t xml:space="preserve">Available at: </w:t>
      </w:r>
      <w:r w:rsidRPr="00E27A5F">
        <w:rPr>
          <w:rFonts w:ascii="Arial" w:hAnsi="Arial" w:cs="Arial"/>
          <w:sz w:val="24"/>
          <w:szCs w:val="24"/>
        </w:rPr>
        <w:t>https://doi.org/10.1177/25161032231204967</w:t>
      </w:r>
      <w:r>
        <w:rPr>
          <w:rFonts w:ascii="Arial" w:hAnsi="Arial" w:cs="Arial"/>
          <w:sz w:val="24"/>
          <w:szCs w:val="24"/>
        </w:rPr>
        <w:t xml:space="preserve"> (Accessed 8 March 2026).</w:t>
      </w:r>
    </w:p>
    <w:p w14:paraId="0D8B7820" w14:textId="77777777" w:rsidR="00AC7178" w:rsidRDefault="00AC7178" w:rsidP="008A49BC">
      <w:pPr>
        <w:spacing w:after="0" w:line="360" w:lineRule="auto"/>
        <w:rPr>
          <w:rFonts w:ascii="Arial" w:hAnsi="Arial" w:cs="Arial"/>
          <w:sz w:val="24"/>
          <w:szCs w:val="24"/>
        </w:rPr>
      </w:pPr>
    </w:p>
    <w:p w14:paraId="44646C53" w14:textId="3A0497A8" w:rsidR="00D205DE" w:rsidRDefault="00AC7178" w:rsidP="008A49BC">
      <w:pPr>
        <w:spacing w:after="0" w:line="360" w:lineRule="auto"/>
        <w:rPr>
          <w:rFonts w:ascii="Arial" w:hAnsi="Arial" w:cs="Arial"/>
          <w:sz w:val="24"/>
          <w:szCs w:val="24"/>
        </w:rPr>
      </w:pPr>
      <w:r w:rsidRPr="007657DE">
        <w:rPr>
          <w:rFonts w:ascii="Arial" w:hAnsi="Arial" w:cs="Arial"/>
          <w:sz w:val="24"/>
          <w:szCs w:val="24"/>
        </w:rPr>
        <w:t>United</w:t>
      </w:r>
      <w:r w:rsidRPr="00AC7178">
        <w:rPr>
          <w:rFonts w:ascii="Arial" w:hAnsi="Arial" w:cs="Arial"/>
          <w:sz w:val="24"/>
          <w:szCs w:val="24"/>
        </w:rPr>
        <w:t xml:space="preserve"> Kingdom </w:t>
      </w:r>
      <w:r>
        <w:rPr>
          <w:rFonts w:ascii="Arial" w:hAnsi="Arial" w:cs="Arial"/>
          <w:sz w:val="24"/>
          <w:szCs w:val="24"/>
        </w:rPr>
        <w:t>G</w:t>
      </w:r>
      <w:r w:rsidRPr="00AC7178">
        <w:rPr>
          <w:rFonts w:ascii="Arial" w:hAnsi="Arial" w:cs="Arial"/>
          <w:sz w:val="24"/>
          <w:szCs w:val="24"/>
        </w:rPr>
        <w:t xml:space="preserve">overnment (2014) Social Services and Well-being (Wales) Act 2014 (anaw 2014 c.4). </w:t>
      </w:r>
      <w:r w:rsidRPr="00AC7178">
        <w:rPr>
          <w:rFonts w:ascii="Arial" w:hAnsi="Arial" w:cs="Arial"/>
          <w:i/>
          <w:iCs/>
          <w:sz w:val="24"/>
          <w:szCs w:val="24"/>
        </w:rPr>
        <w:t>GOV UK</w:t>
      </w:r>
      <w:r w:rsidRPr="00AC7178">
        <w:rPr>
          <w:rFonts w:ascii="Arial" w:hAnsi="Arial" w:cs="Arial"/>
          <w:sz w:val="24"/>
          <w:szCs w:val="24"/>
        </w:rPr>
        <w:t xml:space="preserve">. Available at: </w:t>
      </w:r>
      <w:r w:rsidR="003918F1" w:rsidRPr="003918F1">
        <w:rPr>
          <w:rFonts w:ascii="Arial" w:hAnsi="Arial" w:cs="Arial"/>
          <w:sz w:val="24"/>
          <w:szCs w:val="24"/>
        </w:rPr>
        <w:t>https://www.legislation.gov.uk/id/anaw/2014/4</w:t>
      </w:r>
      <w:r w:rsidR="003918F1">
        <w:rPr>
          <w:rFonts w:ascii="Arial" w:hAnsi="Arial" w:cs="Arial"/>
          <w:sz w:val="24"/>
          <w:szCs w:val="24"/>
        </w:rPr>
        <w:t xml:space="preserve"> </w:t>
      </w:r>
      <w:r w:rsidRPr="00AC7178">
        <w:rPr>
          <w:rFonts w:ascii="Arial" w:hAnsi="Arial" w:cs="Arial"/>
          <w:sz w:val="24"/>
          <w:szCs w:val="24"/>
        </w:rPr>
        <w:t xml:space="preserve">(Accessed </w:t>
      </w:r>
      <w:r w:rsidR="00473573">
        <w:rPr>
          <w:rFonts w:ascii="Arial" w:hAnsi="Arial" w:cs="Arial"/>
          <w:sz w:val="24"/>
          <w:szCs w:val="24"/>
        </w:rPr>
        <w:t>6</w:t>
      </w:r>
      <w:r w:rsidRPr="00AC7178">
        <w:rPr>
          <w:rFonts w:ascii="Arial" w:hAnsi="Arial" w:cs="Arial"/>
          <w:sz w:val="24"/>
          <w:szCs w:val="24"/>
        </w:rPr>
        <w:t xml:space="preserve"> March 2026).</w:t>
      </w:r>
    </w:p>
    <w:p w14:paraId="53C6BF4B" w14:textId="77777777" w:rsidR="003918F1" w:rsidRDefault="003918F1" w:rsidP="008A49BC">
      <w:pPr>
        <w:spacing w:after="0" w:line="360" w:lineRule="auto"/>
        <w:rPr>
          <w:rFonts w:ascii="Arial" w:hAnsi="Arial" w:cs="Arial"/>
          <w:sz w:val="24"/>
          <w:szCs w:val="24"/>
        </w:rPr>
      </w:pPr>
    </w:p>
    <w:p w14:paraId="0ACD7E35" w14:textId="446A5321" w:rsidR="003918F1" w:rsidRDefault="003918F1" w:rsidP="008A49BC">
      <w:pPr>
        <w:spacing w:after="0" w:line="360" w:lineRule="auto"/>
        <w:rPr>
          <w:rFonts w:ascii="Arial" w:hAnsi="Arial" w:cs="Arial"/>
          <w:sz w:val="24"/>
          <w:szCs w:val="24"/>
        </w:rPr>
      </w:pPr>
      <w:r w:rsidRPr="007657DE">
        <w:rPr>
          <w:rFonts w:ascii="Arial" w:hAnsi="Arial" w:cs="Arial"/>
          <w:sz w:val="24"/>
          <w:szCs w:val="24"/>
        </w:rPr>
        <w:lastRenderedPageBreak/>
        <w:t xml:space="preserve">United </w:t>
      </w:r>
      <w:r w:rsidRPr="00AC7178">
        <w:rPr>
          <w:rFonts w:ascii="Arial" w:hAnsi="Arial" w:cs="Arial"/>
          <w:sz w:val="24"/>
          <w:szCs w:val="24"/>
        </w:rPr>
        <w:t xml:space="preserve">Kingdom </w:t>
      </w:r>
      <w:r>
        <w:rPr>
          <w:rFonts w:ascii="Arial" w:hAnsi="Arial" w:cs="Arial"/>
          <w:sz w:val="24"/>
          <w:szCs w:val="24"/>
        </w:rPr>
        <w:t>G</w:t>
      </w:r>
      <w:r w:rsidRPr="00AC7178">
        <w:rPr>
          <w:rFonts w:ascii="Arial" w:hAnsi="Arial" w:cs="Arial"/>
          <w:sz w:val="24"/>
          <w:szCs w:val="24"/>
        </w:rPr>
        <w:t xml:space="preserve">overnment </w:t>
      </w:r>
      <w:r w:rsidRPr="003918F1">
        <w:rPr>
          <w:rFonts w:ascii="Arial" w:hAnsi="Arial" w:cs="Arial"/>
          <w:sz w:val="24"/>
          <w:szCs w:val="24"/>
        </w:rPr>
        <w:t>(2015)</w:t>
      </w:r>
      <w:r>
        <w:rPr>
          <w:rFonts w:ascii="Arial" w:hAnsi="Arial" w:cs="Arial"/>
          <w:sz w:val="24"/>
          <w:szCs w:val="24"/>
        </w:rPr>
        <w:t xml:space="preserve"> Well-being of Future Generations (Wales) Act 2015 (anaw 2015 c.2).</w:t>
      </w:r>
      <w:r w:rsidR="00D13129">
        <w:rPr>
          <w:rFonts w:ascii="Arial" w:hAnsi="Arial" w:cs="Arial"/>
          <w:sz w:val="24"/>
          <w:szCs w:val="24"/>
        </w:rPr>
        <w:t xml:space="preserve"> </w:t>
      </w:r>
      <w:r w:rsidRPr="00AC7178">
        <w:rPr>
          <w:rFonts w:ascii="Arial" w:hAnsi="Arial" w:cs="Arial"/>
          <w:i/>
          <w:iCs/>
          <w:sz w:val="24"/>
          <w:szCs w:val="24"/>
        </w:rPr>
        <w:t>GOV UK</w:t>
      </w:r>
      <w:r>
        <w:rPr>
          <w:rFonts w:ascii="Arial" w:hAnsi="Arial" w:cs="Arial"/>
          <w:i/>
          <w:iCs/>
          <w:sz w:val="24"/>
          <w:szCs w:val="24"/>
        </w:rPr>
        <w:t>.</w:t>
      </w:r>
      <w:r w:rsidR="00D13129">
        <w:rPr>
          <w:rFonts w:ascii="Arial" w:hAnsi="Arial" w:cs="Arial"/>
          <w:i/>
          <w:iCs/>
          <w:sz w:val="24"/>
          <w:szCs w:val="24"/>
        </w:rPr>
        <w:t xml:space="preserve"> </w:t>
      </w:r>
      <w:r w:rsidRPr="003918F1">
        <w:rPr>
          <w:rFonts w:ascii="Arial" w:hAnsi="Arial" w:cs="Arial"/>
          <w:sz w:val="24"/>
          <w:szCs w:val="24"/>
        </w:rPr>
        <w:t>Available at:</w:t>
      </w:r>
      <w:r>
        <w:rPr>
          <w:rFonts w:ascii="Arial" w:hAnsi="Arial" w:cs="Arial"/>
          <w:sz w:val="24"/>
          <w:szCs w:val="24"/>
        </w:rPr>
        <w:t xml:space="preserve"> </w:t>
      </w:r>
      <w:r w:rsidRPr="00D13129">
        <w:rPr>
          <w:rFonts w:ascii="Arial" w:hAnsi="Arial" w:cs="Arial"/>
          <w:sz w:val="24"/>
          <w:szCs w:val="24"/>
        </w:rPr>
        <w:t>https://www.legislation.gov.uk/anaw/2015/2/contents</w:t>
      </w:r>
      <w:r>
        <w:rPr>
          <w:rFonts w:ascii="Arial" w:hAnsi="Arial" w:cs="Arial"/>
          <w:sz w:val="24"/>
          <w:szCs w:val="24"/>
        </w:rPr>
        <w:t xml:space="preserve"> </w:t>
      </w:r>
      <w:r w:rsidRPr="003918F1">
        <w:rPr>
          <w:rFonts w:ascii="Arial" w:hAnsi="Arial" w:cs="Arial"/>
          <w:sz w:val="24"/>
          <w:szCs w:val="24"/>
        </w:rPr>
        <w:t>(Accessed 9 March 2026).</w:t>
      </w:r>
    </w:p>
    <w:p w14:paraId="5FF91E07" w14:textId="77777777" w:rsidR="00D13129" w:rsidRDefault="00D13129" w:rsidP="008A49BC">
      <w:pPr>
        <w:spacing w:after="0" w:line="360" w:lineRule="auto"/>
        <w:rPr>
          <w:rFonts w:ascii="Arial" w:hAnsi="Arial" w:cs="Arial"/>
          <w:sz w:val="24"/>
          <w:szCs w:val="24"/>
        </w:rPr>
      </w:pPr>
    </w:p>
    <w:p w14:paraId="29076662" w14:textId="344618B9" w:rsidR="00D13129" w:rsidRDefault="00D13129" w:rsidP="008A49BC">
      <w:pPr>
        <w:spacing w:after="0" w:line="360" w:lineRule="auto"/>
        <w:rPr>
          <w:rFonts w:ascii="Arial" w:hAnsi="Arial" w:cs="Arial"/>
          <w:sz w:val="24"/>
          <w:szCs w:val="24"/>
        </w:rPr>
      </w:pPr>
      <w:r w:rsidRPr="007657DE">
        <w:rPr>
          <w:rFonts w:ascii="Arial" w:hAnsi="Arial" w:cs="Arial"/>
          <w:sz w:val="24"/>
          <w:szCs w:val="24"/>
        </w:rPr>
        <w:t>United</w:t>
      </w:r>
      <w:r w:rsidRPr="00AC7178">
        <w:rPr>
          <w:rFonts w:ascii="Arial" w:hAnsi="Arial" w:cs="Arial"/>
          <w:sz w:val="24"/>
          <w:szCs w:val="24"/>
        </w:rPr>
        <w:t xml:space="preserve"> Kingdom </w:t>
      </w:r>
      <w:r>
        <w:rPr>
          <w:rFonts w:ascii="Arial" w:hAnsi="Arial" w:cs="Arial"/>
          <w:sz w:val="24"/>
          <w:szCs w:val="24"/>
        </w:rPr>
        <w:t>G</w:t>
      </w:r>
      <w:r w:rsidRPr="00AC7178">
        <w:rPr>
          <w:rFonts w:ascii="Arial" w:hAnsi="Arial" w:cs="Arial"/>
          <w:sz w:val="24"/>
          <w:szCs w:val="24"/>
        </w:rPr>
        <w:t xml:space="preserve">overnment </w:t>
      </w:r>
      <w:r w:rsidRPr="00D13129">
        <w:rPr>
          <w:rFonts w:ascii="Arial" w:hAnsi="Arial" w:cs="Arial"/>
          <w:sz w:val="24"/>
          <w:szCs w:val="24"/>
        </w:rPr>
        <w:t>(2023) Online Safety Act 2023 (ukpga 2023 c.50).</w:t>
      </w:r>
      <w:r>
        <w:rPr>
          <w:rFonts w:ascii="Arial" w:hAnsi="Arial" w:cs="Arial"/>
          <w:sz w:val="24"/>
          <w:szCs w:val="24"/>
        </w:rPr>
        <w:t xml:space="preserve"> </w:t>
      </w:r>
      <w:r w:rsidRPr="00AC7178">
        <w:rPr>
          <w:rFonts w:ascii="Arial" w:hAnsi="Arial" w:cs="Arial"/>
          <w:i/>
          <w:iCs/>
          <w:sz w:val="24"/>
          <w:szCs w:val="24"/>
        </w:rPr>
        <w:t>GOV UK</w:t>
      </w:r>
      <w:r>
        <w:rPr>
          <w:rFonts w:ascii="Arial" w:hAnsi="Arial" w:cs="Arial"/>
          <w:i/>
          <w:iCs/>
          <w:sz w:val="24"/>
          <w:szCs w:val="24"/>
        </w:rPr>
        <w:t xml:space="preserve">. </w:t>
      </w:r>
      <w:r w:rsidRPr="00D13129">
        <w:rPr>
          <w:rFonts w:ascii="Arial" w:hAnsi="Arial" w:cs="Arial"/>
          <w:sz w:val="24"/>
          <w:szCs w:val="24"/>
        </w:rPr>
        <w:t xml:space="preserve">Available at: </w:t>
      </w:r>
      <w:r w:rsidRPr="006B4E3F">
        <w:rPr>
          <w:rFonts w:ascii="Arial" w:hAnsi="Arial" w:cs="Arial"/>
          <w:sz w:val="24"/>
          <w:szCs w:val="24"/>
        </w:rPr>
        <w:t>https://www.legislation.gov.uk/ukpga/2023/50/contents</w:t>
      </w:r>
      <w:r>
        <w:rPr>
          <w:rFonts w:ascii="Arial" w:hAnsi="Arial" w:cs="Arial"/>
          <w:sz w:val="24"/>
          <w:szCs w:val="24"/>
        </w:rPr>
        <w:t xml:space="preserve"> </w:t>
      </w:r>
      <w:r w:rsidRPr="00D13129">
        <w:rPr>
          <w:rFonts w:ascii="Arial" w:hAnsi="Arial" w:cs="Arial"/>
          <w:sz w:val="24"/>
          <w:szCs w:val="24"/>
        </w:rPr>
        <w:t xml:space="preserve">(Accessed </w:t>
      </w:r>
      <w:r w:rsidR="00473573">
        <w:rPr>
          <w:rFonts w:ascii="Arial" w:hAnsi="Arial" w:cs="Arial"/>
          <w:sz w:val="24"/>
          <w:szCs w:val="24"/>
        </w:rPr>
        <w:t>4</w:t>
      </w:r>
      <w:r w:rsidRPr="00D13129">
        <w:rPr>
          <w:rFonts w:ascii="Arial" w:hAnsi="Arial" w:cs="Arial"/>
          <w:sz w:val="24"/>
          <w:szCs w:val="24"/>
        </w:rPr>
        <w:t xml:space="preserve"> March 2026).</w:t>
      </w:r>
    </w:p>
    <w:p w14:paraId="1CA9528A" w14:textId="77777777" w:rsidR="00B82B82" w:rsidRDefault="00B82B82" w:rsidP="008A49BC">
      <w:pPr>
        <w:spacing w:after="0" w:line="360" w:lineRule="auto"/>
        <w:rPr>
          <w:rFonts w:ascii="Arial" w:hAnsi="Arial" w:cs="Arial"/>
          <w:sz w:val="24"/>
          <w:szCs w:val="24"/>
        </w:rPr>
      </w:pPr>
    </w:p>
    <w:p w14:paraId="1944FD23" w14:textId="300BAC4B" w:rsidR="00B82B82" w:rsidRPr="00B82B82" w:rsidRDefault="00B82B82" w:rsidP="00B82B82">
      <w:pPr>
        <w:spacing w:after="0" w:line="360" w:lineRule="auto"/>
        <w:rPr>
          <w:rFonts w:ascii="Arial" w:hAnsi="Arial" w:cs="Arial"/>
          <w:sz w:val="24"/>
          <w:szCs w:val="24"/>
        </w:rPr>
      </w:pPr>
      <w:r w:rsidRPr="007657DE">
        <w:rPr>
          <w:rFonts w:ascii="Arial" w:hAnsi="Arial" w:cs="Arial"/>
          <w:sz w:val="24"/>
          <w:szCs w:val="24"/>
        </w:rPr>
        <w:t xml:space="preserve">Welsh Government </w:t>
      </w:r>
      <w:r w:rsidRPr="00B82B82">
        <w:rPr>
          <w:rFonts w:ascii="Arial" w:hAnsi="Arial" w:cs="Arial"/>
          <w:sz w:val="24"/>
          <w:szCs w:val="24"/>
        </w:rPr>
        <w:t xml:space="preserve">(2016) Digital Competence Framework guidance. Cardiff: </w:t>
      </w:r>
      <w:r w:rsidRPr="00B82B82">
        <w:rPr>
          <w:rFonts w:ascii="Arial" w:hAnsi="Arial" w:cs="Arial"/>
          <w:i/>
          <w:iCs/>
          <w:sz w:val="24"/>
          <w:szCs w:val="24"/>
        </w:rPr>
        <w:t>Welsh Government</w:t>
      </w:r>
      <w:r w:rsidRPr="00B82B82">
        <w:rPr>
          <w:rFonts w:ascii="Arial" w:hAnsi="Arial" w:cs="Arial"/>
          <w:sz w:val="24"/>
          <w:szCs w:val="24"/>
        </w:rPr>
        <w:t>. Available at: https://dera.ioe.ac.uk/id/eprint/27143/2/160831-dcf-guidance-en_Redacted.pdf</w:t>
      </w:r>
      <w:r>
        <w:rPr>
          <w:rFonts w:ascii="Arial" w:hAnsi="Arial" w:cs="Arial"/>
          <w:sz w:val="24"/>
          <w:szCs w:val="24"/>
        </w:rPr>
        <w:t xml:space="preserve"> </w:t>
      </w:r>
      <w:r w:rsidRPr="00B82B82">
        <w:rPr>
          <w:rFonts w:ascii="Arial" w:hAnsi="Arial" w:cs="Arial"/>
          <w:sz w:val="24"/>
          <w:szCs w:val="24"/>
        </w:rPr>
        <w:t xml:space="preserve">(Accessed </w:t>
      </w:r>
      <w:r w:rsidR="00473573">
        <w:rPr>
          <w:rFonts w:ascii="Arial" w:hAnsi="Arial" w:cs="Arial"/>
          <w:sz w:val="24"/>
          <w:szCs w:val="24"/>
        </w:rPr>
        <w:t>5</w:t>
      </w:r>
      <w:r w:rsidRPr="00B82B82">
        <w:rPr>
          <w:rFonts w:ascii="Arial" w:hAnsi="Arial" w:cs="Arial"/>
          <w:sz w:val="24"/>
          <w:szCs w:val="24"/>
        </w:rPr>
        <w:t xml:space="preserve"> March 2026).</w:t>
      </w:r>
    </w:p>
    <w:p w14:paraId="7C906418" w14:textId="77777777" w:rsidR="00AC7178" w:rsidRDefault="00AC7178" w:rsidP="008A49BC">
      <w:pPr>
        <w:spacing w:after="0" w:line="360" w:lineRule="auto"/>
        <w:rPr>
          <w:rFonts w:ascii="Arial" w:hAnsi="Arial" w:cs="Arial"/>
          <w:sz w:val="24"/>
          <w:szCs w:val="24"/>
        </w:rPr>
      </w:pPr>
    </w:p>
    <w:p w14:paraId="1F824ACD" w14:textId="2F72294C" w:rsidR="00D205DE" w:rsidRDefault="00A32C25" w:rsidP="008A49BC">
      <w:pPr>
        <w:spacing w:after="0" w:line="360" w:lineRule="auto"/>
        <w:rPr>
          <w:rFonts w:ascii="Arial" w:hAnsi="Arial" w:cs="Arial"/>
          <w:sz w:val="24"/>
          <w:szCs w:val="24"/>
        </w:rPr>
      </w:pPr>
      <w:r w:rsidRPr="007657DE">
        <w:rPr>
          <w:rFonts w:ascii="Arial" w:hAnsi="Arial" w:cs="Arial"/>
          <w:sz w:val="24"/>
          <w:szCs w:val="24"/>
        </w:rPr>
        <w:t>Wales</w:t>
      </w:r>
      <w:r w:rsidR="00E32C75" w:rsidRPr="007657DE">
        <w:rPr>
          <w:rFonts w:ascii="Arial" w:hAnsi="Arial" w:cs="Arial"/>
          <w:sz w:val="24"/>
          <w:szCs w:val="24"/>
        </w:rPr>
        <w:t xml:space="preserve"> Government</w:t>
      </w:r>
      <w:r w:rsidRPr="007657DE">
        <w:rPr>
          <w:rFonts w:ascii="Arial" w:hAnsi="Arial" w:cs="Arial"/>
          <w:sz w:val="24"/>
          <w:szCs w:val="24"/>
        </w:rPr>
        <w:t xml:space="preserve"> (2024)</w:t>
      </w:r>
      <w:r w:rsidRPr="007657DE">
        <w:rPr>
          <w:rFonts w:ascii="Arial" w:hAnsi="Arial" w:cs="Arial"/>
          <w:sz w:val="24"/>
          <w:szCs w:val="24"/>
        </w:rPr>
        <w:t xml:space="preserve"> </w:t>
      </w:r>
      <w:r w:rsidRPr="00A32C25">
        <w:rPr>
          <w:rFonts w:ascii="Arial" w:hAnsi="Arial" w:cs="Arial"/>
          <w:sz w:val="24"/>
          <w:szCs w:val="24"/>
        </w:rPr>
        <w:t>Rights of Children and Young Persons (Wales) Measure 2011</w:t>
      </w:r>
      <w:r w:rsidR="00E32C75">
        <w:rPr>
          <w:rFonts w:ascii="Arial" w:hAnsi="Arial" w:cs="Arial"/>
          <w:sz w:val="24"/>
          <w:szCs w:val="24"/>
        </w:rPr>
        <w:t xml:space="preserve">. </w:t>
      </w:r>
      <w:r w:rsidR="00E32C75" w:rsidRPr="00E32C75">
        <w:rPr>
          <w:rFonts w:ascii="Arial" w:hAnsi="Arial" w:cs="Arial"/>
          <w:i/>
          <w:iCs/>
          <w:sz w:val="24"/>
          <w:szCs w:val="24"/>
        </w:rPr>
        <w:t xml:space="preserve">Law </w:t>
      </w:r>
      <w:r w:rsidR="00E32C75" w:rsidRPr="00E32C75">
        <w:rPr>
          <w:rFonts w:ascii="Arial" w:hAnsi="Arial" w:cs="Arial"/>
          <w:i/>
          <w:iCs/>
          <w:sz w:val="24"/>
          <w:szCs w:val="24"/>
        </w:rPr>
        <w:t xml:space="preserve">of </w:t>
      </w:r>
      <w:r w:rsidR="00E32C75" w:rsidRPr="00E32C75">
        <w:rPr>
          <w:rFonts w:ascii="Arial" w:hAnsi="Arial" w:cs="Arial"/>
          <w:i/>
          <w:iCs/>
          <w:sz w:val="24"/>
          <w:szCs w:val="24"/>
        </w:rPr>
        <w:t>Wales</w:t>
      </w:r>
      <w:r w:rsidRPr="00A32C25">
        <w:rPr>
          <w:rFonts w:ascii="Arial" w:hAnsi="Arial" w:cs="Arial"/>
          <w:sz w:val="24"/>
          <w:szCs w:val="24"/>
        </w:rPr>
        <w:t xml:space="preserve">. Available at: </w:t>
      </w:r>
      <w:r w:rsidRPr="00FB65F7">
        <w:rPr>
          <w:rFonts w:ascii="Arial" w:hAnsi="Arial" w:cs="Arial"/>
          <w:sz w:val="24"/>
          <w:szCs w:val="24"/>
        </w:rPr>
        <w:t>https://law.gov.wales/rights-children-and-young-persons-wales-measure-2011</w:t>
      </w:r>
      <w:r>
        <w:rPr>
          <w:rFonts w:ascii="Arial" w:hAnsi="Arial" w:cs="Arial"/>
          <w:sz w:val="24"/>
          <w:szCs w:val="24"/>
        </w:rPr>
        <w:t xml:space="preserve"> </w:t>
      </w:r>
      <w:r w:rsidRPr="00A32C25">
        <w:rPr>
          <w:rFonts w:ascii="Arial" w:hAnsi="Arial" w:cs="Arial"/>
          <w:sz w:val="24"/>
          <w:szCs w:val="24"/>
        </w:rPr>
        <w:t xml:space="preserve">(Accessed </w:t>
      </w:r>
      <w:r w:rsidR="00473573">
        <w:rPr>
          <w:rFonts w:ascii="Arial" w:hAnsi="Arial" w:cs="Arial"/>
          <w:sz w:val="24"/>
          <w:szCs w:val="24"/>
        </w:rPr>
        <w:t>4</w:t>
      </w:r>
      <w:r w:rsidRPr="00A32C25">
        <w:rPr>
          <w:rFonts w:ascii="Arial" w:hAnsi="Arial" w:cs="Arial"/>
          <w:sz w:val="24"/>
          <w:szCs w:val="24"/>
        </w:rPr>
        <w:t xml:space="preserve"> March 2026).</w:t>
      </w:r>
    </w:p>
    <w:p w14:paraId="4D4FE076" w14:textId="77777777" w:rsidR="00076193" w:rsidRDefault="00076193" w:rsidP="008A49BC">
      <w:pPr>
        <w:spacing w:after="0" w:line="360" w:lineRule="auto"/>
        <w:rPr>
          <w:rFonts w:ascii="Arial" w:hAnsi="Arial" w:cs="Arial"/>
          <w:sz w:val="24"/>
          <w:szCs w:val="24"/>
        </w:rPr>
      </w:pPr>
    </w:p>
    <w:p w14:paraId="73D03CB6" w14:textId="6B28CAAF" w:rsidR="00B34674" w:rsidRDefault="00076193" w:rsidP="008A49BC">
      <w:pPr>
        <w:spacing w:after="0" w:line="360" w:lineRule="auto"/>
        <w:rPr>
          <w:rFonts w:ascii="Arial" w:hAnsi="Arial" w:cs="Arial"/>
          <w:sz w:val="24"/>
          <w:szCs w:val="24"/>
        </w:rPr>
      </w:pPr>
      <w:r w:rsidRPr="007657DE">
        <w:rPr>
          <w:rFonts w:ascii="Arial" w:hAnsi="Arial" w:cs="Arial"/>
          <w:sz w:val="24"/>
          <w:szCs w:val="24"/>
        </w:rPr>
        <w:t xml:space="preserve">Williams, </w:t>
      </w:r>
      <w:r w:rsidRPr="00076193">
        <w:rPr>
          <w:rFonts w:ascii="Arial" w:hAnsi="Arial" w:cs="Arial"/>
          <w:sz w:val="24"/>
          <w:szCs w:val="24"/>
        </w:rPr>
        <w:t xml:space="preserve">R., Ali, S., Devasia, N., DiPaola, D., Hong, J., Kaputsos, S.P., Jordan, B. and Breazeal, C. (2022) </w:t>
      </w:r>
      <w:r>
        <w:rPr>
          <w:rFonts w:ascii="Arial" w:hAnsi="Arial" w:cs="Arial"/>
          <w:sz w:val="24"/>
          <w:szCs w:val="24"/>
        </w:rPr>
        <w:t>‘</w:t>
      </w:r>
      <w:r w:rsidRPr="00076193">
        <w:rPr>
          <w:rFonts w:ascii="Arial" w:hAnsi="Arial" w:cs="Arial"/>
          <w:sz w:val="24"/>
          <w:szCs w:val="24"/>
        </w:rPr>
        <w:t>AI + Ethics Curricula for Middle School Youth: Lessons Learned from Three Project-Based Curricula</w:t>
      </w:r>
      <w:r>
        <w:rPr>
          <w:rFonts w:ascii="Arial" w:hAnsi="Arial" w:cs="Arial"/>
          <w:sz w:val="24"/>
          <w:szCs w:val="24"/>
        </w:rPr>
        <w:t>’,</w:t>
      </w:r>
      <w:r w:rsidRPr="00076193">
        <w:rPr>
          <w:rFonts w:ascii="Arial" w:hAnsi="Arial" w:cs="Arial"/>
          <w:sz w:val="24"/>
          <w:szCs w:val="24"/>
        </w:rPr>
        <w:t xml:space="preserve"> </w:t>
      </w:r>
      <w:r w:rsidRPr="00076193">
        <w:rPr>
          <w:rFonts w:ascii="Arial" w:hAnsi="Arial" w:cs="Arial"/>
          <w:i/>
          <w:iCs/>
          <w:sz w:val="24"/>
          <w:szCs w:val="24"/>
        </w:rPr>
        <w:t>International Journal of Artificial Intelligence in Education</w:t>
      </w:r>
      <w:r w:rsidRPr="00076193">
        <w:rPr>
          <w:rFonts w:ascii="Arial" w:hAnsi="Arial" w:cs="Arial"/>
          <w:sz w:val="24"/>
          <w:szCs w:val="24"/>
        </w:rPr>
        <w:t>, 33</w:t>
      </w:r>
      <w:r w:rsidR="00CF6B10">
        <w:rPr>
          <w:rFonts w:ascii="Arial" w:hAnsi="Arial" w:cs="Arial"/>
          <w:sz w:val="24"/>
          <w:szCs w:val="24"/>
        </w:rPr>
        <w:t>, pp.</w:t>
      </w:r>
      <w:r w:rsidR="00CF6B10" w:rsidRPr="00CF6B10">
        <w:rPr>
          <w:rFonts w:ascii="Arial" w:hAnsi="Arial" w:cs="Arial"/>
          <w:sz w:val="24"/>
          <w:szCs w:val="24"/>
        </w:rPr>
        <w:t>325–383</w:t>
      </w:r>
      <w:r w:rsidRPr="00076193">
        <w:rPr>
          <w:rFonts w:ascii="Arial" w:hAnsi="Arial" w:cs="Arial"/>
          <w:sz w:val="24"/>
          <w:szCs w:val="24"/>
        </w:rPr>
        <w:t xml:space="preserve">. </w:t>
      </w:r>
      <w:r w:rsidR="00CF6B10">
        <w:rPr>
          <w:rFonts w:ascii="Arial" w:hAnsi="Arial" w:cs="Arial"/>
          <w:sz w:val="24"/>
          <w:szCs w:val="24"/>
        </w:rPr>
        <w:t xml:space="preserve">Available at: </w:t>
      </w:r>
      <w:r w:rsidR="00CF6B10" w:rsidRPr="007657DE">
        <w:rPr>
          <w:rFonts w:ascii="Arial" w:hAnsi="Arial" w:cs="Arial"/>
          <w:sz w:val="24"/>
          <w:szCs w:val="24"/>
        </w:rPr>
        <w:t>https://doi.org/10.1007/s40593-022-00298-y</w:t>
      </w:r>
      <w:r w:rsidR="00CF6B10">
        <w:rPr>
          <w:rFonts w:ascii="Arial" w:hAnsi="Arial" w:cs="Arial"/>
          <w:sz w:val="24"/>
          <w:szCs w:val="24"/>
        </w:rPr>
        <w:t xml:space="preserve"> (Accessed 6 March 2026).</w:t>
      </w:r>
    </w:p>
    <w:p w14:paraId="5B6400AF" w14:textId="77777777" w:rsidR="00076193" w:rsidRDefault="00076193" w:rsidP="008A49BC">
      <w:pPr>
        <w:spacing w:after="0" w:line="360" w:lineRule="auto"/>
        <w:rPr>
          <w:rFonts w:ascii="Arial" w:hAnsi="Arial" w:cs="Arial"/>
          <w:sz w:val="24"/>
          <w:szCs w:val="24"/>
        </w:rPr>
      </w:pPr>
    </w:p>
    <w:p w14:paraId="2923B543" w14:textId="2815D32A" w:rsidR="00CB679C" w:rsidRDefault="00CB679C" w:rsidP="008A49BC">
      <w:pPr>
        <w:spacing w:after="0" w:line="360" w:lineRule="auto"/>
        <w:rPr>
          <w:rFonts w:ascii="Arial" w:hAnsi="Arial" w:cs="Arial"/>
          <w:sz w:val="24"/>
          <w:szCs w:val="24"/>
        </w:rPr>
      </w:pPr>
      <w:r w:rsidRPr="007657DE">
        <w:rPr>
          <w:rFonts w:ascii="Arial" w:hAnsi="Arial" w:cs="Arial"/>
          <w:sz w:val="24"/>
          <w:szCs w:val="24"/>
        </w:rPr>
        <w:t>Winter</w:t>
      </w:r>
      <w:r w:rsidRPr="00CB679C">
        <w:rPr>
          <w:rFonts w:ascii="Arial" w:hAnsi="Arial" w:cs="Arial"/>
          <w:sz w:val="24"/>
          <w:szCs w:val="24"/>
        </w:rPr>
        <w:t xml:space="preserve">, K., Flewitt, R., El Gemayel, M., Bunting, M., Arnott, L., Connolly, P., Dalziell, L., Gillen, J., Goodall, J., Liu, C., McLaughlin, E., Savadova, N. and Timmins, E. (2025) ‘The rights of very young children in the digital environment: A UK survey study’, </w:t>
      </w:r>
      <w:r w:rsidRPr="00CB679C">
        <w:rPr>
          <w:rFonts w:ascii="Arial" w:hAnsi="Arial" w:cs="Arial"/>
          <w:i/>
          <w:iCs/>
          <w:sz w:val="24"/>
          <w:szCs w:val="24"/>
        </w:rPr>
        <w:t>Children and Society</w:t>
      </w:r>
      <w:r w:rsidRPr="00CB679C">
        <w:rPr>
          <w:rFonts w:ascii="Arial" w:hAnsi="Arial" w:cs="Arial"/>
          <w:sz w:val="24"/>
          <w:szCs w:val="24"/>
        </w:rPr>
        <w:t>, 39(5), pp. 995–1011.</w:t>
      </w:r>
      <w:r>
        <w:rPr>
          <w:rFonts w:ascii="Arial" w:hAnsi="Arial" w:cs="Arial"/>
          <w:sz w:val="24"/>
          <w:szCs w:val="24"/>
        </w:rPr>
        <w:t xml:space="preserve"> Available at:</w:t>
      </w:r>
      <w:r w:rsidRPr="00CB679C">
        <w:rPr>
          <w:rFonts w:ascii="Arial" w:hAnsi="Arial" w:cs="Arial"/>
          <w:sz w:val="24"/>
          <w:szCs w:val="24"/>
        </w:rPr>
        <w:t xml:space="preserve"> </w:t>
      </w:r>
      <w:r w:rsidR="005939EC" w:rsidRPr="005939EC">
        <w:rPr>
          <w:rFonts w:ascii="Arial" w:hAnsi="Arial" w:cs="Arial"/>
          <w:sz w:val="24"/>
          <w:szCs w:val="24"/>
        </w:rPr>
        <w:t>https://doi.org/10.1111/chso.12968</w:t>
      </w:r>
      <w:r w:rsidR="005939EC">
        <w:rPr>
          <w:rFonts w:ascii="Arial" w:hAnsi="Arial" w:cs="Arial"/>
          <w:sz w:val="24"/>
          <w:szCs w:val="24"/>
        </w:rPr>
        <w:t xml:space="preserve"> </w:t>
      </w:r>
      <w:r w:rsidRPr="00CB679C">
        <w:rPr>
          <w:rFonts w:ascii="Arial" w:hAnsi="Arial" w:cs="Arial"/>
          <w:sz w:val="24"/>
          <w:szCs w:val="24"/>
        </w:rPr>
        <w:t xml:space="preserve">(Accessed </w:t>
      </w:r>
      <w:r w:rsidR="00473573">
        <w:rPr>
          <w:rFonts w:ascii="Arial" w:hAnsi="Arial" w:cs="Arial"/>
          <w:sz w:val="24"/>
          <w:szCs w:val="24"/>
        </w:rPr>
        <w:t>6</w:t>
      </w:r>
      <w:r w:rsidRPr="00CB679C">
        <w:rPr>
          <w:rFonts w:ascii="Arial" w:hAnsi="Arial" w:cs="Arial"/>
          <w:sz w:val="24"/>
          <w:szCs w:val="24"/>
        </w:rPr>
        <w:t xml:space="preserve"> March 2026).</w:t>
      </w:r>
    </w:p>
    <w:p w14:paraId="4BFCC690" w14:textId="77777777" w:rsidR="00A65D02" w:rsidRDefault="00A65D02" w:rsidP="008A49BC">
      <w:pPr>
        <w:spacing w:after="0" w:line="360" w:lineRule="auto"/>
        <w:rPr>
          <w:rFonts w:ascii="Arial" w:hAnsi="Arial" w:cs="Arial"/>
          <w:sz w:val="24"/>
          <w:szCs w:val="24"/>
        </w:rPr>
      </w:pPr>
    </w:p>
    <w:p w14:paraId="107198AF" w14:textId="77777777" w:rsidR="00AC7178" w:rsidRDefault="00AC7178" w:rsidP="008A49BC">
      <w:pPr>
        <w:spacing w:after="0" w:line="360" w:lineRule="auto"/>
        <w:rPr>
          <w:rFonts w:ascii="Arial" w:hAnsi="Arial" w:cs="Arial"/>
          <w:sz w:val="24"/>
          <w:szCs w:val="24"/>
        </w:rPr>
      </w:pPr>
    </w:p>
    <w:p w14:paraId="703EB912" w14:textId="77777777" w:rsidR="00AC7178" w:rsidRDefault="00AC7178" w:rsidP="008A49BC">
      <w:pPr>
        <w:spacing w:after="0" w:line="360" w:lineRule="auto"/>
        <w:rPr>
          <w:rFonts w:ascii="Arial" w:hAnsi="Arial" w:cs="Arial"/>
          <w:sz w:val="24"/>
          <w:szCs w:val="24"/>
        </w:rPr>
      </w:pPr>
    </w:p>
    <w:p w14:paraId="70B8E3C6" w14:textId="77777777" w:rsidR="00A94584" w:rsidRDefault="00A94584" w:rsidP="008A49BC">
      <w:pPr>
        <w:spacing w:after="0" w:line="360" w:lineRule="auto"/>
        <w:rPr>
          <w:rFonts w:ascii="Arial" w:hAnsi="Arial" w:cs="Arial"/>
          <w:sz w:val="24"/>
          <w:szCs w:val="24"/>
        </w:rPr>
      </w:pPr>
    </w:p>
    <w:p w14:paraId="2CD3016A" w14:textId="77777777" w:rsidR="00A94584" w:rsidRDefault="00A94584" w:rsidP="008A49BC">
      <w:pPr>
        <w:spacing w:after="0" w:line="360" w:lineRule="auto"/>
        <w:rPr>
          <w:rFonts w:ascii="Arial" w:hAnsi="Arial" w:cs="Arial"/>
          <w:sz w:val="24"/>
          <w:szCs w:val="24"/>
        </w:rPr>
      </w:pPr>
    </w:p>
    <w:p w14:paraId="399A2ECD" w14:textId="77777777" w:rsidR="0058335A" w:rsidRDefault="0058335A" w:rsidP="008A49BC">
      <w:pPr>
        <w:spacing w:after="0" w:line="360" w:lineRule="auto"/>
        <w:rPr>
          <w:rFonts w:ascii="Arial" w:hAnsi="Arial" w:cs="Arial"/>
          <w:sz w:val="24"/>
          <w:szCs w:val="24"/>
        </w:rPr>
      </w:pPr>
    </w:p>
    <w:p w14:paraId="4FFC297C" w14:textId="77777777" w:rsidR="0058335A" w:rsidRPr="0098237F" w:rsidRDefault="0058335A" w:rsidP="008A49BC">
      <w:pPr>
        <w:spacing w:after="0" w:line="360" w:lineRule="auto"/>
        <w:rPr>
          <w:rFonts w:ascii="Arial" w:hAnsi="Arial" w:cs="Arial"/>
          <w:sz w:val="24"/>
          <w:szCs w:val="24"/>
        </w:rPr>
      </w:pPr>
    </w:p>
    <w:sectPr w:rsidR="0058335A" w:rsidRPr="0098237F"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732235452">
    <w:abstractNumId w:val="8"/>
  </w:num>
  <w:num w:numId="2" w16cid:durableId="367411855">
    <w:abstractNumId w:val="6"/>
  </w:num>
  <w:num w:numId="3" w16cid:durableId="1967465085">
    <w:abstractNumId w:val="5"/>
  </w:num>
  <w:num w:numId="4" w16cid:durableId="89543574">
    <w:abstractNumId w:val="4"/>
  </w:num>
  <w:num w:numId="5" w16cid:durableId="759058584">
    <w:abstractNumId w:val="7"/>
  </w:num>
  <w:num w:numId="6" w16cid:durableId="595212410">
    <w:abstractNumId w:val="3"/>
  </w:num>
  <w:num w:numId="7" w16cid:durableId="1026296587">
    <w:abstractNumId w:val="2"/>
  </w:num>
  <w:num w:numId="8" w16cid:durableId="449975872">
    <w:abstractNumId w:val="1"/>
  </w:num>
  <w:num w:numId="9" w16cid:durableId="1083913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711CD"/>
    <w:rsid w:val="00073D31"/>
    <w:rsid w:val="00076193"/>
    <w:rsid w:val="000804F5"/>
    <w:rsid w:val="000950C8"/>
    <w:rsid w:val="000A3FC8"/>
    <w:rsid w:val="000E1173"/>
    <w:rsid w:val="000E6094"/>
    <w:rsid w:val="000E66C0"/>
    <w:rsid w:val="000E7D1F"/>
    <w:rsid w:val="000F119E"/>
    <w:rsid w:val="0010142C"/>
    <w:rsid w:val="0015074B"/>
    <w:rsid w:val="00177EE6"/>
    <w:rsid w:val="00181B4F"/>
    <w:rsid w:val="00182BF3"/>
    <w:rsid w:val="001A29C1"/>
    <w:rsid w:val="001B76E9"/>
    <w:rsid w:val="00231FDD"/>
    <w:rsid w:val="002577ED"/>
    <w:rsid w:val="0027261B"/>
    <w:rsid w:val="002949BE"/>
    <w:rsid w:val="0029639D"/>
    <w:rsid w:val="00323E25"/>
    <w:rsid w:val="00326F90"/>
    <w:rsid w:val="003320E0"/>
    <w:rsid w:val="00346D49"/>
    <w:rsid w:val="00384165"/>
    <w:rsid w:val="003918F1"/>
    <w:rsid w:val="003A46A5"/>
    <w:rsid w:val="003C201A"/>
    <w:rsid w:val="003E7723"/>
    <w:rsid w:val="00444261"/>
    <w:rsid w:val="00453954"/>
    <w:rsid w:val="004554A5"/>
    <w:rsid w:val="00473573"/>
    <w:rsid w:val="00531E72"/>
    <w:rsid w:val="00535B97"/>
    <w:rsid w:val="00543B0A"/>
    <w:rsid w:val="0054445A"/>
    <w:rsid w:val="0055553D"/>
    <w:rsid w:val="00571C07"/>
    <w:rsid w:val="0058335A"/>
    <w:rsid w:val="00586BD8"/>
    <w:rsid w:val="005939EC"/>
    <w:rsid w:val="005B1594"/>
    <w:rsid w:val="005C286F"/>
    <w:rsid w:val="005F38EE"/>
    <w:rsid w:val="005F5EFA"/>
    <w:rsid w:val="00600E6E"/>
    <w:rsid w:val="00623075"/>
    <w:rsid w:val="00631D7B"/>
    <w:rsid w:val="00655E1D"/>
    <w:rsid w:val="006904B6"/>
    <w:rsid w:val="0069370E"/>
    <w:rsid w:val="006B4E3F"/>
    <w:rsid w:val="006E7965"/>
    <w:rsid w:val="006F6B51"/>
    <w:rsid w:val="007077D4"/>
    <w:rsid w:val="007226B6"/>
    <w:rsid w:val="007418A6"/>
    <w:rsid w:val="00744A26"/>
    <w:rsid w:val="007657DE"/>
    <w:rsid w:val="00781705"/>
    <w:rsid w:val="00787446"/>
    <w:rsid w:val="007D3BF2"/>
    <w:rsid w:val="007E38D1"/>
    <w:rsid w:val="00820DF1"/>
    <w:rsid w:val="008A49BC"/>
    <w:rsid w:val="008B0059"/>
    <w:rsid w:val="008B3F9C"/>
    <w:rsid w:val="008C754D"/>
    <w:rsid w:val="008F3B9F"/>
    <w:rsid w:val="00916082"/>
    <w:rsid w:val="00924A66"/>
    <w:rsid w:val="00951055"/>
    <w:rsid w:val="009526B9"/>
    <w:rsid w:val="00963C54"/>
    <w:rsid w:val="0096748C"/>
    <w:rsid w:val="0098237F"/>
    <w:rsid w:val="009D414C"/>
    <w:rsid w:val="009E13F2"/>
    <w:rsid w:val="00A2420B"/>
    <w:rsid w:val="00A32392"/>
    <w:rsid w:val="00A32C25"/>
    <w:rsid w:val="00A453E0"/>
    <w:rsid w:val="00A63D53"/>
    <w:rsid w:val="00A65D02"/>
    <w:rsid w:val="00A74FA7"/>
    <w:rsid w:val="00A9287B"/>
    <w:rsid w:val="00A94584"/>
    <w:rsid w:val="00AA1D8D"/>
    <w:rsid w:val="00AB31F9"/>
    <w:rsid w:val="00AC33C5"/>
    <w:rsid w:val="00AC430A"/>
    <w:rsid w:val="00AC7178"/>
    <w:rsid w:val="00B06375"/>
    <w:rsid w:val="00B2170B"/>
    <w:rsid w:val="00B34674"/>
    <w:rsid w:val="00B474E9"/>
    <w:rsid w:val="00B47730"/>
    <w:rsid w:val="00B779DD"/>
    <w:rsid w:val="00B82B82"/>
    <w:rsid w:val="00BA44EF"/>
    <w:rsid w:val="00BB5624"/>
    <w:rsid w:val="00BC7770"/>
    <w:rsid w:val="00BE028C"/>
    <w:rsid w:val="00BF00E9"/>
    <w:rsid w:val="00C05BD4"/>
    <w:rsid w:val="00C13E83"/>
    <w:rsid w:val="00C352DB"/>
    <w:rsid w:val="00C468A0"/>
    <w:rsid w:val="00C52DDD"/>
    <w:rsid w:val="00C65CE3"/>
    <w:rsid w:val="00C71D70"/>
    <w:rsid w:val="00C96312"/>
    <w:rsid w:val="00CA2E30"/>
    <w:rsid w:val="00CA6F54"/>
    <w:rsid w:val="00CB0664"/>
    <w:rsid w:val="00CB2666"/>
    <w:rsid w:val="00CB4C60"/>
    <w:rsid w:val="00CB679C"/>
    <w:rsid w:val="00CE10BE"/>
    <w:rsid w:val="00CE2A84"/>
    <w:rsid w:val="00CF6B10"/>
    <w:rsid w:val="00D10513"/>
    <w:rsid w:val="00D13129"/>
    <w:rsid w:val="00D205DE"/>
    <w:rsid w:val="00D31A7C"/>
    <w:rsid w:val="00D80692"/>
    <w:rsid w:val="00D957FA"/>
    <w:rsid w:val="00DA70E4"/>
    <w:rsid w:val="00DE3AD0"/>
    <w:rsid w:val="00DE535D"/>
    <w:rsid w:val="00E069CA"/>
    <w:rsid w:val="00E2019F"/>
    <w:rsid w:val="00E27A5F"/>
    <w:rsid w:val="00E302ED"/>
    <w:rsid w:val="00E32C75"/>
    <w:rsid w:val="00E34334"/>
    <w:rsid w:val="00E344EE"/>
    <w:rsid w:val="00E446D3"/>
    <w:rsid w:val="00E44956"/>
    <w:rsid w:val="00E9600E"/>
    <w:rsid w:val="00EA3C1E"/>
    <w:rsid w:val="00EB0DFA"/>
    <w:rsid w:val="00EB5E43"/>
    <w:rsid w:val="00F1469D"/>
    <w:rsid w:val="00F2137B"/>
    <w:rsid w:val="00F45AF9"/>
    <w:rsid w:val="00F52040"/>
    <w:rsid w:val="00F70E79"/>
    <w:rsid w:val="00F8374F"/>
    <w:rsid w:val="00F92EF9"/>
    <w:rsid w:val="00F939B0"/>
    <w:rsid w:val="00FB65F7"/>
    <w:rsid w:val="00FC693F"/>
    <w:rsid w:val="00FD208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18124F6"/>
  <w14:defaultImageDpi w14:val="300"/>
  <w15:docId w15:val="{63B28BD0-EBBE-4A68-B1DD-A0DF07B30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eastAsia="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55E1D"/>
    <w:rPr>
      <w:color w:val="0000FF" w:themeColor="hyperlink"/>
      <w:u w:val="single"/>
    </w:rPr>
  </w:style>
  <w:style w:type="character" w:styleId="UnresolvedMention">
    <w:name w:val="Unresolved Mention"/>
    <w:basedOn w:val="DefaultParagraphFont"/>
    <w:uiPriority w:val="99"/>
    <w:semiHidden/>
    <w:unhideWhenUsed/>
    <w:rsid w:val="00655E1D"/>
    <w:rPr>
      <w:color w:val="605E5C"/>
      <w:shd w:val="clear" w:color="auto" w:fill="E1DFDD"/>
    </w:rPr>
  </w:style>
  <w:style w:type="paragraph" w:customStyle="1" w:styleId="paragraph">
    <w:name w:val="paragraph"/>
    <w:basedOn w:val="Normal"/>
    <w:rsid w:val="00C468A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468A0"/>
  </w:style>
  <w:style w:type="character" w:customStyle="1" w:styleId="eop">
    <w:name w:val="eop"/>
    <w:basedOn w:val="DefaultParagraphFont"/>
    <w:rsid w:val="00C468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544</TotalTime>
  <Pages>13</Pages>
  <Words>3370</Words>
  <Characters>19215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22540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Nicoleta Dinu (2207412)</cp:lastModifiedBy>
  <cp:revision>141</cp:revision>
  <dcterms:created xsi:type="dcterms:W3CDTF">2026-03-09T11:11:00Z</dcterms:created>
  <dcterms:modified xsi:type="dcterms:W3CDTF">2026-03-11T11:05:00Z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29e3da05-cbb0-4d35-8352-6a76e0c92438</vt:lpwstr>
  </property>
</Properties>
</file>