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1C10C" w14:textId="6AFFFE12" w:rsidR="009323F9" w:rsidRPr="00470BEF" w:rsidRDefault="009323F9" w:rsidP="00470BEF">
      <w:pPr>
        <w:spacing w:before="240" w:line="360" w:lineRule="auto"/>
        <w:jc w:val="center"/>
        <w:rPr>
          <w:rStyle w:val="normaltextrun"/>
          <w:rFonts w:cs="Times New Roman"/>
          <w:szCs w:val="24"/>
          <w:lang w:val="en-US"/>
        </w:rPr>
      </w:pPr>
      <w:r w:rsidRPr="009323F9">
        <w:rPr>
          <w:rFonts w:cs="Times New Roman"/>
          <w:noProof/>
          <w:szCs w:val="24"/>
          <w:lang w:val="en-US"/>
        </w:rPr>
        <w:drawing>
          <wp:inline distT="0" distB="0" distL="0" distR="0" wp14:anchorId="6006926D" wp14:editId="166EE8C5">
            <wp:extent cx="3188490" cy="13411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90465" cy="1341951"/>
                    </a:xfrm>
                    <a:prstGeom prst="rect">
                      <a:avLst/>
                    </a:prstGeom>
                  </pic:spPr>
                </pic:pic>
              </a:graphicData>
            </a:graphic>
          </wp:inline>
        </w:drawing>
      </w:r>
    </w:p>
    <w:p w14:paraId="519EFD86" w14:textId="05E6DC65" w:rsidR="009323F9" w:rsidRPr="00470BEF" w:rsidRDefault="009323F9" w:rsidP="00470BEF">
      <w:pPr>
        <w:spacing w:before="240" w:line="360" w:lineRule="auto"/>
        <w:jc w:val="center"/>
        <w:rPr>
          <w:rStyle w:val="eop"/>
          <w:rFonts w:cs="Times New Roman"/>
          <w:b/>
          <w:color w:val="000000"/>
          <w:sz w:val="44"/>
          <w:szCs w:val="44"/>
          <w:shd w:val="clear" w:color="auto" w:fill="FFFFFF"/>
        </w:rPr>
      </w:pPr>
      <w:r w:rsidRPr="00470BEF">
        <w:rPr>
          <w:rStyle w:val="normaltextrun"/>
          <w:rFonts w:cs="Times New Roman"/>
          <w:b/>
          <w:bCs/>
          <w:color w:val="000000"/>
          <w:sz w:val="44"/>
          <w:szCs w:val="44"/>
          <w:shd w:val="clear" w:color="auto" w:fill="FFFFFF"/>
        </w:rPr>
        <w:t>BA Business Management</w:t>
      </w:r>
    </w:p>
    <w:p w14:paraId="20F6348F" w14:textId="64477B5E" w:rsidR="009323F9" w:rsidRPr="00470BEF" w:rsidRDefault="009323F9" w:rsidP="00470BEF">
      <w:pPr>
        <w:spacing w:before="240" w:line="360" w:lineRule="auto"/>
        <w:jc w:val="center"/>
        <w:rPr>
          <w:rFonts w:cs="Times New Roman"/>
          <w:b/>
          <w:color w:val="000000"/>
          <w:sz w:val="44"/>
          <w:szCs w:val="44"/>
          <w:shd w:val="clear" w:color="auto" w:fill="FFFFFF"/>
        </w:rPr>
      </w:pPr>
      <w:r w:rsidRPr="00470BEF">
        <w:rPr>
          <w:rStyle w:val="normaltextrun"/>
          <w:rFonts w:cs="Times New Roman"/>
          <w:b/>
          <w:bCs/>
          <w:color w:val="000000"/>
          <w:sz w:val="44"/>
          <w:szCs w:val="44"/>
          <w:shd w:val="clear" w:color="auto" w:fill="FFFFFF"/>
        </w:rPr>
        <w:t>LCBB5003</w:t>
      </w:r>
      <w:r w:rsidR="00470BEF" w:rsidRPr="00470BEF">
        <w:rPr>
          <w:rStyle w:val="eop"/>
          <w:rFonts w:cs="Times New Roman"/>
          <w:b/>
          <w:color w:val="000000"/>
          <w:sz w:val="44"/>
          <w:szCs w:val="44"/>
          <w:shd w:val="clear" w:color="auto" w:fill="FFFFFF"/>
        </w:rPr>
        <w:t xml:space="preserve"> </w:t>
      </w:r>
      <w:r w:rsidRPr="00470BEF">
        <w:rPr>
          <w:rStyle w:val="eop"/>
          <w:rFonts w:cs="Times New Roman"/>
          <w:b/>
          <w:color w:val="000000"/>
          <w:sz w:val="44"/>
          <w:szCs w:val="44"/>
          <w:shd w:val="clear" w:color="auto" w:fill="FFFFFF"/>
        </w:rPr>
        <w:t>Management</w:t>
      </w:r>
      <w:r w:rsidRPr="00470BEF">
        <w:rPr>
          <w:rStyle w:val="normaltextrun"/>
          <w:rFonts w:cs="Times New Roman"/>
          <w:b/>
          <w:bCs/>
          <w:color w:val="000000"/>
          <w:sz w:val="44"/>
          <w:szCs w:val="44"/>
          <w:shd w:val="clear" w:color="auto" w:fill="FFFFFF"/>
        </w:rPr>
        <w:t xml:space="preserve"> economics</w:t>
      </w:r>
    </w:p>
    <w:p w14:paraId="5D6B99FA" w14:textId="77777777" w:rsidR="00470BEF" w:rsidRDefault="00470BEF" w:rsidP="00470BEF">
      <w:pPr>
        <w:spacing w:line="360" w:lineRule="auto"/>
        <w:jc w:val="center"/>
        <w:rPr>
          <w:rFonts w:cs="Times New Roman"/>
          <w:sz w:val="36"/>
          <w:szCs w:val="36"/>
          <w:lang w:val="en-US"/>
        </w:rPr>
      </w:pPr>
    </w:p>
    <w:p w14:paraId="2E8C8B47" w14:textId="5F7317F9" w:rsidR="007C5201" w:rsidRDefault="00685602" w:rsidP="00470BEF">
      <w:pPr>
        <w:spacing w:line="360" w:lineRule="auto"/>
        <w:jc w:val="center"/>
        <w:rPr>
          <w:rFonts w:cs="Times New Roman"/>
          <w:sz w:val="36"/>
          <w:szCs w:val="36"/>
          <w:lang w:val="en-US"/>
        </w:rPr>
      </w:pPr>
      <w:r w:rsidRPr="00685602">
        <w:rPr>
          <w:rFonts w:cs="Times New Roman"/>
          <w:sz w:val="36"/>
          <w:szCs w:val="36"/>
          <w:lang w:val="en-US"/>
        </w:rPr>
        <w:t>Component 2: Essay</w:t>
      </w:r>
    </w:p>
    <w:p w14:paraId="1F985879" w14:textId="77777777" w:rsidR="00470BEF" w:rsidRDefault="00470BEF" w:rsidP="00470BEF">
      <w:pPr>
        <w:spacing w:line="360" w:lineRule="auto"/>
        <w:jc w:val="center"/>
        <w:rPr>
          <w:rFonts w:cs="Times New Roman"/>
          <w:sz w:val="28"/>
          <w:szCs w:val="28"/>
          <w:lang w:val="en-US"/>
        </w:rPr>
      </w:pPr>
    </w:p>
    <w:p w14:paraId="51604985" w14:textId="77D7745F" w:rsidR="008D1AFA" w:rsidRPr="008D1AFA" w:rsidRDefault="008D1AFA" w:rsidP="00470BEF">
      <w:pPr>
        <w:spacing w:line="360" w:lineRule="auto"/>
        <w:jc w:val="center"/>
        <w:rPr>
          <w:rFonts w:cs="Times New Roman"/>
          <w:i/>
          <w:iCs/>
          <w:sz w:val="28"/>
          <w:szCs w:val="28"/>
          <w:lang w:val="en-US"/>
        </w:rPr>
      </w:pPr>
      <w:r w:rsidRPr="008D1AFA">
        <w:rPr>
          <w:rFonts w:cs="Times New Roman"/>
          <w:sz w:val="28"/>
          <w:szCs w:val="28"/>
          <w:lang w:val="en-US"/>
        </w:rPr>
        <w:t xml:space="preserve">Topic: </w:t>
      </w:r>
      <w:r w:rsidRPr="008D1AFA">
        <w:rPr>
          <w:rFonts w:cs="Times New Roman"/>
          <w:i/>
          <w:iCs/>
          <w:sz w:val="28"/>
          <w:szCs w:val="28"/>
          <w:lang w:val="en-US"/>
        </w:rPr>
        <w:t xml:space="preserve">What are the wider effects of the falling British pound value on the UK economy in terms of trade, inflation, growth and employment for UK </w:t>
      </w:r>
      <w:proofErr w:type="spellStart"/>
      <w:r w:rsidRPr="008D1AFA">
        <w:rPr>
          <w:rFonts w:cs="Times New Roman"/>
          <w:i/>
          <w:iCs/>
          <w:sz w:val="28"/>
          <w:szCs w:val="28"/>
          <w:lang w:val="en-US"/>
        </w:rPr>
        <w:t>organisations</w:t>
      </w:r>
      <w:proofErr w:type="spellEnd"/>
      <w:r w:rsidRPr="008D1AFA">
        <w:rPr>
          <w:rFonts w:cs="Times New Roman"/>
          <w:i/>
          <w:iCs/>
          <w:sz w:val="28"/>
          <w:szCs w:val="28"/>
          <w:lang w:val="en-US"/>
        </w:rPr>
        <w:t>?</w:t>
      </w:r>
    </w:p>
    <w:p w14:paraId="06AEB31A" w14:textId="77777777" w:rsidR="00F62CA2" w:rsidRDefault="00F62CA2" w:rsidP="00470BEF">
      <w:pPr>
        <w:jc w:val="center"/>
        <w:rPr>
          <w:rFonts w:cs="Times New Roman"/>
          <w:szCs w:val="24"/>
          <w:lang w:val="en-US"/>
        </w:rPr>
      </w:pPr>
      <w:r>
        <w:rPr>
          <w:rFonts w:cs="Times New Roman"/>
          <w:szCs w:val="24"/>
          <w:lang w:val="en-US"/>
        </w:rPr>
        <w:br w:type="page"/>
      </w:r>
    </w:p>
    <w:sdt>
      <w:sdtPr>
        <w:rPr>
          <w:rFonts w:ascii="Times New Roman" w:eastAsiaTheme="minorHAnsi" w:hAnsi="Times New Roman" w:cstheme="minorBidi"/>
          <w:color w:val="auto"/>
          <w:sz w:val="24"/>
          <w:szCs w:val="22"/>
          <w:lang w:val="en-GB"/>
        </w:rPr>
        <w:id w:val="43416791"/>
        <w:docPartObj>
          <w:docPartGallery w:val="Table of Contents"/>
          <w:docPartUnique/>
        </w:docPartObj>
      </w:sdtPr>
      <w:sdtEndPr>
        <w:rPr>
          <w:b/>
          <w:bCs/>
          <w:noProof/>
        </w:rPr>
      </w:sdtEndPr>
      <w:sdtContent>
        <w:p w14:paraId="07FD668F" w14:textId="76C8875B" w:rsidR="00F62CA2" w:rsidRDefault="009279D2" w:rsidP="009279D2">
          <w:pPr>
            <w:pStyle w:val="TOCHeading"/>
          </w:pPr>
          <w:r>
            <w:t>Table of content</w:t>
          </w:r>
        </w:p>
        <w:p w14:paraId="29E8663F" w14:textId="16B9A427" w:rsidR="009279D2" w:rsidRDefault="00F62CA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9625944" w:history="1">
            <w:r w:rsidR="009279D2" w:rsidRPr="00F70ACA">
              <w:rPr>
                <w:rStyle w:val="Hyperlink"/>
                <w:noProof/>
              </w:rPr>
              <w:t>Introduction</w:t>
            </w:r>
            <w:r w:rsidR="009279D2">
              <w:rPr>
                <w:noProof/>
                <w:webHidden/>
              </w:rPr>
              <w:tab/>
            </w:r>
            <w:r w:rsidR="009279D2">
              <w:rPr>
                <w:noProof/>
                <w:webHidden/>
              </w:rPr>
              <w:fldChar w:fldCharType="begin"/>
            </w:r>
            <w:r w:rsidR="009279D2">
              <w:rPr>
                <w:noProof/>
                <w:webHidden/>
              </w:rPr>
              <w:instrText xml:space="preserve"> PAGEREF _Toc99625944 \h </w:instrText>
            </w:r>
            <w:r w:rsidR="009279D2">
              <w:rPr>
                <w:noProof/>
                <w:webHidden/>
              </w:rPr>
            </w:r>
            <w:r w:rsidR="009279D2">
              <w:rPr>
                <w:noProof/>
                <w:webHidden/>
              </w:rPr>
              <w:fldChar w:fldCharType="separate"/>
            </w:r>
            <w:r w:rsidR="009279D2">
              <w:rPr>
                <w:noProof/>
                <w:webHidden/>
              </w:rPr>
              <w:t>3</w:t>
            </w:r>
            <w:r w:rsidR="009279D2">
              <w:rPr>
                <w:noProof/>
                <w:webHidden/>
              </w:rPr>
              <w:fldChar w:fldCharType="end"/>
            </w:r>
          </w:hyperlink>
        </w:p>
        <w:p w14:paraId="53A73F40" w14:textId="3056B533" w:rsidR="009279D2" w:rsidRDefault="009279D2">
          <w:pPr>
            <w:pStyle w:val="TOC1"/>
            <w:tabs>
              <w:tab w:val="right" w:leader="dot" w:pos="9016"/>
            </w:tabs>
            <w:rPr>
              <w:rFonts w:asciiTheme="minorHAnsi" w:eastAsiaTheme="minorEastAsia" w:hAnsiTheme="minorHAnsi"/>
              <w:noProof/>
              <w:sz w:val="22"/>
              <w:lang w:eastAsia="en-GB"/>
            </w:rPr>
          </w:pPr>
          <w:hyperlink w:anchor="_Toc99625945" w:history="1">
            <w:r w:rsidRPr="00F70ACA">
              <w:rPr>
                <w:rStyle w:val="Hyperlink"/>
                <w:noProof/>
              </w:rPr>
              <w:t>Impact of British pound depreciation</w:t>
            </w:r>
            <w:r>
              <w:rPr>
                <w:noProof/>
                <w:webHidden/>
              </w:rPr>
              <w:tab/>
            </w:r>
            <w:r>
              <w:rPr>
                <w:noProof/>
                <w:webHidden/>
              </w:rPr>
              <w:fldChar w:fldCharType="begin"/>
            </w:r>
            <w:r>
              <w:rPr>
                <w:noProof/>
                <w:webHidden/>
              </w:rPr>
              <w:instrText xml:space="preserve"> PAGEREF _Toc99625945 \h </w:instrText>
            </w:r>
            <w:r>
              <w:rPr>
                <w:noProof/>
                <w:webHidden/>
              </w:rPr>
            </w:r>
            <w:r>
              <w:rPr>
                <w:noProof/>
                <w:webHidden/>
              </w:rPr>
              <w:fldChar w:fldCharType="separate"/>
            </w:r>
            <w:r>
              <w:rPr>
                <w:noProof/>
                <w:webHidden/>
              </w:rPr>
              <w:t>3</w:t>
            </w:r>
            <w:r>
              <w:rPr>
                <w:noProof/>
                <w:webHidden/>
              </w:rPr>
              <w:fldChar w:fldCharType="end"/>
            </w:r>
          </w:hyperlink>
        </w:p>
        <w:p w14:paraId="52325536" w14:textId="4378A6A3" w:rsidR="009279D2" w:rsidRDefault="009279D2">
          <w:pPr>
            <w:pStyle w:val="TOC1"/>
            <w:tabs>
              <w:tab w:val="right" w:leader="dot" w:pos="9016"/>
            </w:tabs>
            <w:rPr>
              <w:rFonts w:asciiTheme="minorHAnsi" w:eastAsiaTheme="minorEastAsia" w:hAnsiTheme="minorHAnsi"/>
              <w:noProof/>
              <w:sz w:val="22"/>
              <w:lang w:eastAsia="en-GB"/>
            </w:rPr>
          </w:pPr>
          <w:hyperlink w:anchor="_Toc99625946" w:history="1">
            <w:r w:rsidRPr="00F70ACA">
              <w:rPr>
                <w:rStyle w:val="Hyperlink"/>
                <w:noProof/>
              </w:rPr>
              <w:t>Negative Impact of pound deprecation</w:t>
            </w:r>
            <w:r>
              <w:rPr>
                <w:noProof/>
                <w:webHidden/>
              </w:rPr>
              <w:tab/>
            </w:r>
            <w:r>
              <w:rPr>
                <w:noProof/>
                <w:webHidden/>
              </w:rPr>
              <w:fldChar w:fldCharType="begin"/>
            </w:r>
            <w:r>
              <w:rPr>
                <w:noProof/>
                <w:webHidden/>
              </w:rPr>
              <w:instrText xml:space="preserve"> PAGEREF _Toc99625946 \h </w:instrText>
            </w:r>
            <w:r>
              <w:rPr>
                <w:noProof/>
                <w:webHidden/>
              </w:rPr>
            </w:r>
            <w:r>
              <w:rPr>
                <w:noProof/>
                <w:webHidden/>
              </w:rPr>
              <w:fldChar w:fldCharType="separate"/>
            </w:r>
            <w:r>
              <w:rPr>
                <w:noProof/>
                <w:webHidden/>
              </w:rPr>
              <w:t>4</w:t>
            </w:r>
            <w:r>
              <w:rPr>
                <w:noProof/>
                <w:webHidden/>
              </w:rPr>
              <w:fldChar w:fldCharType="end"/>
            </w:r>
          </w:hyperlink>
        </w:p>
        <w:p w14:paraId="6FFBE616" w14:textId="5F5527F9" w:rsidR="009279D2" w:rsidRDefault="009279D2">
          <w:pPr>
            <w:pStyle w:val="TOC1"/>
            <w:tabs>
              <w:tab w:val="right" w:leader="dot" w:pos="9016"/>
            </w:tabs>
            <w:rPr>
              <w:rFonts w:asciiTheme="minorHAnsi" w:eastAsiaTheme="minorEastAsia" w:hAnsiTheme="minorHAnsi"/>
              <w:noProof/>
              <w:sz w:val="22"/>
              <w:lang w:eastAsia="en-GB"/>
            </w:rPr>
          </w:pPr>
          <w:hyperlink w:anchor="_Toc99625947" w:history="1">
            <w:r w:rsidRPr="00F70ACA">
              <w:rPr>
                <w:rStyle w:val="Hyperlink"/>
                <w:noProof/>
              </w:rPr>
              <w:t>Impact of inflation</w:t>
            </w:r>
            <w:r>
              <w:rPr>
                <w:noProof/>
                <w:webHidden/>
              </w:rPr>
              <w:tab/>
            </w:r>
            <w:r>
              <w:rPr>
                <w:noProof/>
                <w:webHidden/>
              </w:rPr>
              <w:fldChar w:fldCharType="begin"/>
            </w:r>
            <w:r>
              <w:rPr>
                <w:noProof/>
                <w:webHidden/>
              </w:rPr>
              <w:instrText xml:space="preserve"> PAGEREF _Toc99625947 \h </w:instrText>
            </w:r>
            <w:r>
              <w:rPr>
                <w:noProof/>
                <w:webHidden/>
              </w:rPr>
            </w:r>
            <w:r>
              <w:rPr>
                <w:noProof/>
                <w:webHidden/>
              </w:rPr>
              <w:fldChar w:fldCharType="separate"/>
            </w:r>
            <w:r>
              <w:rPr>
                <w:noProof/>
                <w:webHidden/>
              </w:rPr>
              <w:t>5</w:t>
            </w:r>
            <w:r>
              <w:rPr>
                <w:noProof/>
                <w:webHidden/>
              </w:rPr>
              <w:fldChar w:fldCharType="end"/>
            </w:r>
          </w:hyperlink>
        </w:p>
        <w:p w14:paraId="2DB6C24B" w14:textId="2E83C7CB" w:rsidR="009279D2" w:rsidRDefault="009279D2">
          <w:pPr>
            <w:pStyle w:val="TOC2"/>
            <w:tabs>
              <w:tab w:val="right" w:leader="dot" w:pos="9016"/>
            </w:tabs>
            <w:rPr>
              <w:rFonts w:asciiTheme="minorHAnsi" w:eastAsiaTheme="minorEastAsia" w:hAnsiTheme="minorHAnsi"/>
              <w:noProof/>
              <w:sz w:val="22"/>
              <w:lang w:eastAsia="en-GB"/>
            </w:rPr>
          </w:pPr>
          <w:hyperlink w:anchor="_Toc99625948" w:history="1">
            <w:r w:rsidRPr="00F70ACA">
              <w:rPr>
                <w:rStyle w:val="Hyperlink"/>
                <w:noProof/>
                <w:lang w:val="en-US"/>
              </w:rPr>
              <w:t>Impact of Inflation in Demand Curve</w:t>
            </w:r>
            <w:r>
              <w:rPr>
                <w:noProof/>
                <w:webHidden/>
              </w:rPr>
              <w:tab/>
            </w:r>
            <w:r>
              <w:rPr>
                <w:noProof/>
                <w:webHidden/>
              </w:rPr>
              <w:fldChar w:fldCharType="begin"/>
            </w:r>
            <w:r>
              <w:rPr>
                <w:noProof/>
                <w:webHidden/>
              </w:rPr>
              <w:instrText xml:space="preserve"> PAGEREF _Toc99625948 \h </w:instrText>
            </w:r>
            <w:r>
              <w:rPr>
                <w:noProof/>
                <w:webHidden/>
              </w:rPr>
            </w:r>
            <w:r>
              <w:rPr>
                <w:noProof/>
                <w:webHidden/>
              </w:rPr>
              <w:fldChar w:fldCharType="separate"/>
            </w:r>
            <w:r>
              <w:rPr>
                <w:noProof/>
                <w:webHidden/>
              </w:rPr>
              <w:t>6</w:t>
            </w:r>
            <w:r>
              <w:rPr>
                <w:noProof/>
                <w:webHidden/>
              </w:rPr>
              <w:fldChar w:fldCharType="end"/>
            </w:r>
          </w:hyperlink>
        </w:p>
        <w:p w14:paraId="57488B17" w14:textId="21BF2BD2" w:rsidR="009279D2" w:rsidRDefault="009279D2">
          <w:pPr>
            <w:pStyle w:val="TOC2"/>
            <w:tabs>
              <w:tab w:val="right" w:leader="dot" w:pos="9016"/>
            </w:tabs>
            <w:rPr>
              <w:rFonts w:asciiTheme="minorHAnsi" w:eastAsiaTheme="minorEastAsia" w:hAnsiTheme="minorHAnsi"/>
              <w:noProof/>
              <w:sz w:val="22"/>
              <w:lang w:eastAsia="en-GB"/>
            </w:rPr>
          </w:pPr>
          <w:hyperlink w:anchor="_Toc99625949" w:history="1">
            <w:r w:rsidRPr="00F70ACA">
              <w:rPr>
                <w:rStyle w:val="Hyperlink"/>
                <w:noProof/>
                <w:lang w:val="en-US"/>
              </w:rPr>
              <w:t>Impact of Inflation in Cost of Living</w:t>
            </w:r>
            <w:r>
              <w:rPr>
                <w:noProof/>
                <w:webHidden/>
              </w:rPr>
              <w:tab/>
            </w:r>
            <w:r>
              <w:rPr>
                <w:noProof/>
                <w:webHidden/>
              </w:rPr>
              <w:fldChar w:fldCharType="begin"/>
            </w:r>
            <w:r>
              <w:rPr>
                <w:noProof/>
                <w:webHidden/>
              </w:rPr>
              <w:instrText xml:space="preserve"> PAGEREF _Toc99625949 \h </w:instrText>
            </w:r>
            <w:r>
              <w:rPr>
                <w:noProof/>
                <w:webHidden/>
              </w:rPr>
            </w:r>
            <w:r>
              <w:rPr>
                <w:noProof/>
                <w:webHidden/>
              </w:rPr>
              <w:fldChar w:fldCharType="separate"/>
            </w:r>
            <w:r>
              <w:rPr>
                <w:noProof/>
                <w:webHidden/>
              </w:rPr>
              <w:t>6</w:t>
            </w:r>
            <w:r>
              <w:rPr>
                <w:noProof/>
                <w:webHidden/>
              </w:rPr>
              <w:fldChar w:fldCharType="end"/>
            </w:r>
          </w:hyperlink>
        </w:p>
        <w:p w14:paraId="150CD503" w14:textId="7E6BFEBC" w:rsidR="009279D2" w:rsidRDefault="009279D2">
          <w:pPr>
            <w:pStyle w:val="TOC1"/>
            <w:tabs>
              <w:tab w:val="right" w:leader="dot" w:pos="9016"/>
            </w:tabs>
            <w:rPr>
              <w:rFonts w:asciiTheme="minorHAnsi" w:eastAsiaTheme="minorEastAsia" w:hAnsiTheme="minorHAnsi"/>
              <w:noProof/>
              <w:sz w:val="22"/>
              <w:lang w:eastAsia="en-GB"/>
            </w:rPr>
          </w:pPr>
          <w:hyperlink w:anchor="_Toc99625950" w:history="1">
            <w:r w:rsidRPr="00F70ACA">
              <w:rPr>
                <w:rStyle w:val="Hyperlink"/>
                <w:noProof/>
              </w:rPr>
              <w:t>Economic Growth</w:t>
            </w:r>
            <w:r>
              <w:rPr>
                <w:noProof/>
                <w:webHidden/>
              </w:rPr>
              <w:tab/>
            </w:r>
            <w:r>
              <w:rPr>
                <w:noProof/>
                <w:webHidden/>
              </w:rPr>
              <w:fldChar w:fldCharType="begin"/>
            </w:r>
            <w:r>
              <w:rPr>
                <w:noProof/>
                <w:webHidden/>
              </w:rPr>
              <w:instrText xml:space="preserve"> PAGEREF _Toc99625950 \h </w:instrText>
            </w:r>
            <w:r>
              <w:rPr>
                <w:noProof/>
                <w:webHidden/>
              </w:rPr>
            </w:r>
            <w:r>
              <w:rPr>
                <w:noProof/>
                <w:webHidden/>
              </w:rPr>
              <w:fldChar w:fldCharType="separate"/>
            </w:r>
            <w:r>
              <w:rPr>
                <w:noProof/>
                <w:webHidden/>
              </w:rPr>
              <w:t>8</w:t>
            </w:r>
            <w:r>
              <w:rPr>
                <w:noProof/>
                <w:webHidden/>
              </w:rPr>
              <w:fldChar w:fldCharType="end"/>
            </w:r>
          </w:hyperlink>
        </w:p>
        <w:p w14:paraId="28549DE5" w14:textId="61CCBD9F" w:rsidR="009279D2" w:rsidRDefault="009279D2">
          <w:pPr>
            <w:pStyle w:val="TOC2"/>
            <w:tabs>
              <w:tab w:val="right" w:leader="dot" w:pos="9016"/>
            </w:tabs>
            <w:rPr>
              <w:rFonts w:asciiTheme="minorHAnsi" w:eastAsiaTheme="minorEastAsia" w:hAnsiTheme="minorHAnsi"/>
              <w:noProof/>
              <w:sz w:val="22"/>
              <w:lang w:eastAsia="en-GB"/>
            </w:rPr>
          </w:pPr>
          <w:hyperlink w:anchor="_Toc99625951" w:history="1">
            <w:r w:rsidRPr="00F70ACA">
              <w:rPr>
                <w:rStyle w:val="Hyperlink"/>
                <w:noProof/>
                <w:lang w:val="en-US"/>
              </w:rPr>
              <w:t>GDP and Economic Growth</w:t>
            </w:r>
            <w:r>
              <w:rPr>
                <w:noProof/>
                <w:webHidden/>
              </w:rPr>
              <w:tab/>
            </w:r>
            <w:r>
              <w:rPr>
                <w:noProof/>
                <w:webHidden/>
              </w:rPr>
              <w:fldChar w:fldCharType="begin"/>
            </w:r>
            <w:r>
              <w:rPr>
                <w:noProof/>
                <w:webHidden/>
              </w:rPr>
              <w:instrText xml:space="preserve"> PAGEREF _Toc99625951 \h </w:instrText>
            </w:r>
            <w:r>
              <w:rPr>
                <w:noProof/>
                <w:webHidden/>
              </w:rPr>
            </w:r>
            <w:r>
              <w:rPr>
                <w:noProof/>
                <w:webHidden/>
              </w:rPr>
              <w:fldChar w:fldCharType="separate"/>
            </w:r>
            <w:r>
              <w:rPr>
                <w:noProof/>
                <w:webHidden/>
              </w:rPr>
              <w:t>8</w:t>
            </w:r>
            <w:r>
              <w:rPr>
                <w:noProof/>
                <w:webHidden/>
              </w:rPr>
              <w:fldChar w:fldCharType="end"/>
            </w:r>
          </w:hyperlink>
        </w:p>
        <w:p w14:paraId="513A30CF" w14:textId="1993228A" w:rsidR="009279D2" w:rsidRDefault="009279D2">
          <w:pPr>
            <w:pStyle w:val="TOC1"/>
            <w:tabs>
              <w:tab w:val="right" w:leader="dot" w:pos="9016"/>
            </w:tabs>
            <w:rPr>
              <w:rFonts w:asciiTheme="minorHAnsi" w:eastAsiaTheme="minorEastAsia" w:hAnsiTheme="minorHAnsi"/>
              <w:noProof/>
              <w:sz w:val="22"/>
              <w:lang w:eastAsia="en-GB"/>
            </w:rPr>
          </w:pPr>
          <w:hyperlink w:anchor="_Toc99625952" w:history="1">
            <w:r w:rsidRPr="00F70ACA">
              <w:rPr>
                <w:rStyle w:val="Hyperlink"/>
                <w:noProof/>
              </w:rPr>
              <w:t>Monetary policies to tackle the Pound depletion</w:t>
            </w:r>
            <w:r>
              <w:rPr>
                <w:noProof/>
                <w:webHidden/>
              </w:rPr>
              <w:tab/>
            </w:r>
            <w:r>
              <w:rPr>
                <w:noProof/>
                <w:webHidden/>
              </w:rPr>
              <w:fldChar w:fldCharType="begin"/>
            </w:r>
            <w:r>
              <w:rPr>
                <w:noProof/>
                <w:webHidden/>
              </w:rPr>
              <w:instrText xml:space="preserve"> PAGEREF _Toc99625952 \h </w:instrText>
            </w:r>
            <w:r>
              <w:rPr>
                <w:noProof/>
                <w:webHidden/>
              </w:rPr>
            </w:r>
            <w:r>
              <w:rPr>
                <w:noProof/>
                <w:webHidden/>
              </w:rPr>
              <w:fldChar w:fldCharType="separate"/>
            </w:r>
            <w:r>
              <w:rPr>
                <w:noProof/>
                <w:webHidden/>
              </w:rPr>
              <w:t>9</w:t>
            </w:r>
            <w:r>
              <w:rPr>
                <w:noProof/>
                <w:webHidden/>
              </w:rPr>
              <w:fldChar w:fldCharType="end"/>
            </w:r>
          </w:hyperlink>
        </w:p>
        <w:p w14:paraId="406F4E24" w14:textId="244C0CF9" w:rsidR="009279D2" w:rsidRDefault="009279D2">
          <w:pPr>
            <w:pStyle w:val="TOC1"/>
            <w:tabs>
              <w:tab w:val="right" w:leader="dot" w:pos="9016"/>
            </w:tabs>
            <w:rPr>
              <w:rFonts w:asciiTheme="minorHAnsi" w:eastAsiaTheme="minorEastAsia" w:hAnsiTheme="minorHAnsi"/>
              <w:noProof/>
              <w:sz w:val="22"/>
              <w:lang w:eastAsia="en-GB"/>
            </w:rPr>
          </w:pPr>
          <w:hyperlink w:anchor="_Toc99625953" w:history="1">
            <w:r w:rsidRPr="00F70ACA">
              <w:rPr>
                <w:rStyle w:val="Hyperlink"/>
                <w:noProof/>
              </w:rPr>
              <w:t>Conclusion</w:t>
            </w:r>
            <w:r>
              <w:rPr>
                <w:noProof/>
                <w:webHidden/>
              </w:rPr>
              <w:tab/>
            </w:r>
            <w:r>
              <w:rPr>
                <w:noProof/>
                <w:webHidden/>
              </w:rPr>
              <w:fldChar w:fldCharType="begin"/>
            </w:r>
            <w:r>
              <w:rPr>
                <w:noProof/>
                <w:webHidden/>
              </w:rPr>
              <w:instrText xml:space="preserve"> PAGEREF _Toc99625953 \h </w:instrText>
            </w:r>
            <w:r>
              <w:rPr>
                <w:noProof/>
                <w:webHidden/>
              </w:rPr>
            </w:r>
            <w:r>
              <w:rPr>
                <w:noProof/>
                <w:webHidden/>
              </w:rPr>
              <w:fldChar w:fldCharType="separate"/>
            </w:r>
            <w:r>
              <w:rPr>
                <w:noProof/>
                <w:webHidden/>
              </w:rPr>
              <w:t>10</w:t>
            </w:r>
            <w:r>
              <w:rPr>
                <w:noProof/>
                <w:webHidden/>
              </w:rPr>
              <w:fldChar w:fldCharType="end"/>
            </w:r>
          </w:hyperlink>
        </w:p>
        <w:p w14:paraId="091585DC" w14:textId="59080422" w:rsidR="009279D2" w:rsidRDefault="009279D2">
          <w:pPr>
            <w:pStyle w:val="TOC1"/>
            <w:tabs>
              <w:tab w:val="right" w:leader="dot" w:pos="9016"/>
            </w:tabs>
            <w:rPr>
              <w:rFonts w:asciiTheme="minorHAnsi" w:eastAsiaTheme="minorEastAsia" w:hAnsiTheme="minorHAnsi"/>
              <w:noProof/>
              <w:sz w:val="22"/>
              <w:lang w:eastAsia="en-GB"/>
            </w:rPr>
          </w:pPr>
          <w:hyperlink w:anchor="_Toc99625954" w:history="1">
            <w:r w:rsidRPr="00F70ACA">
              <w:rPr>
                <w:rStyle w:val="Hyperlink"/>
                <w:noProof/>
              </w:rPr>
              <w:t>References</w:t>
            </w:r>
            <w:r>
              <w:rPr>
                <w:noProof/>
                <w:webHidden/>
              </w:rPr>
              <w:tab/>
            </w:r>
            <w:r>
              <w:rPr>
                <w:noProof/>
                <w:webHidden/>
              </w:rPr>
              <w:fldChar w:fldCharType="begin"/>
            </w:r>
            <w:r>
              <w:rPr>
                <w:noProof/>
                <w:webHidden/>
              </w:rPr>
              <w:instrText xml:space="preserve"> PAGEREF _Toc99625954 \h </w:instrText>
            </w:r>
            <w:r>
              <w:rPr>
                <w:noProof/>
                <w:webHidden/>
              </w:rPr>
            </w:r>
            <w:r>
              <w:rPr>
                <w:noProof/>
                <w:webHidden/>
              </w:rPr>
              <w:fldChar w:fldCharType="separate"/>
            </w:r>
            <w:r>
              <w:rPr>
                <w:noProof/>
                <w:webHidden/>
              </w:rPr>
              <w:t>11</w:t>
            </w:r>
            <w:r>
              <w:rPr>
                <w:noProof/>
                <w:webHidden/>
              </w:rPr>
              <w:fldChar w:fldCharType="end"/>
            </w:r>
          </w:hyperlink>
        </w:p>
        <w:p w14:paraId="1F5423E3" w14:textId="19BD070A" w:rsidR="00F62CA2" w:rsidRDefault="00F62CA2">
          <w:r>
            <w:rPr>
              <w:b/>
              <w:bCs/>
              <w:noProof/>
            </w:rPr>
            <w:fldChar w:fldCharType="end"/>
          </w:r>
        </w:p>
      </w:sdtContent>
    </w:sdt>
    <w:p w14:paraId="22385650" w14:textId="704AF53A" w:rsidR="00685602" w:rsidRDefault="00685602">
      <w:pPr>
        <w:rPr>
          <w:rFonts w:cs="Times New Roman"/>
          <w:szCs w:val="24"/>
          <w:lang w:val="en-US"/>
        </w:rPr>
      </w:pPr>
      <w:r>
        <w:rPr>
          <w:rFonts w:cs="Times New Roman"/>
          <w:szCs w:val="24"/>
          <w:lang w:val="en-US"/>
        </w:rPr>
        <w:br w:type="page"/>
      </w:r>
    </w:p>
    <w:p w14:paraId="24776DB2" w14:textId="05FDA87F" w:rsidR="00FA4BD2" w:rsidRDefault="00FA4BD2" w:rsidP="009279D2">
      <w:pPr>
        <w:pStyle w:val="Heading1"/>
      </w:pPr>
      <w:bookmarkStart w:id="0" w:name="_Toc99625944"/>
      <w:r w:rsidRPr="009279D2">
        <w:lastRenderedPageBreak/>
        <w:t>Introduction</w:t>
      </w:r>
      <w:bookmarkEnd w:id="0"/>
    </w:p>
    <w:p w14:paraId="38800FA9" w14:textId="77777777" w:rsidR="009279D2" w:rsidRPr="009279D2" w:rsidRDefault="009279D2" w:rsidP="009279D2">
      <w:pPr>
        <w:rPr>
          <w:lang w:val="en-US"/>
        </w:rPr>
      </w:pPr>
    </w:p>
    <w:p w14:paraId="4AAED03D" w14:textId="68DD0BBA" w:rsidR="00F13497" w:rsidRPr="00B318A0" w:rsidRDefault="00F13497" w:rsidP="00B318A0">
      <w:pPr>
        <w:spacing w:before="240" w:line="360" w:lineRule="auto"/>
        <w:jc w:val="both"/>
        <w:rPr>
          <w:rFonts w:cs="Times New Roman"/>
          <w:szCs w:val="24"/>
          <w:lang w:val="en-US"/>
        </w:rPr>
      </w:pPr>
      <w:r w:rsidRPr="00B318A0">
        <w:rPr>
          <w:rFonts w:cs="Times New Roman"/>
          <w:szCs w:val="24"/>
          <w:lang w:val="en-US"/>
        </w:rPr>
        <w:t xml:space="preserve">The British Pound is in a declining stage over the last few years. the reason behind the fall of the pound value is Brexit. This has become one of the most influential factors in decreasing the value of </w:t>
      </w:r>
      <w:r w:rsidR="00E54E44" w:rsidRPr="00B318A0">
        <w:rPr>
          <w:rFonts w:cs="Times New Roman"/>
          <w:szCs w:val="24"/>
          <w:lang w:val="en-US"/>
        </w:rPr>
        <w:t xml:space="preserve">the </w:t>
      </w:r>
      <w:r w:rsidRPr="00B318A0">
        <w:rPr>
          <w:rFonts w:cs="Times New Roman"/>
          <w:szCs w:val="24"/>
          <w:lang w:val="en-US"/>
        </w:rPr>
        <w:t>pound over time. in 2016 the pound value has f</w:t>
      </w:r>
      <w:r w:rsidR="00E54E44" w:rsidRPr="00B318A0">
        <w:rPr>
          <w:rFonts w:cs="Times New Roman"/>
          <w:szCs w:val="24"/>
          <w:lang w:val="en-US"/>
        </w:rPr>
        <w:t>allen</w:t>
      </w:r>
      <w:r w:rsidRPr="00B318A0">
        <w:rPr>
          <w:rFonts w:cs="Times New Roman"/>
          <w:szCs w:val="24"/>
          <w:lang w:val="en-US"/>
        </w:rPr>
        <w:t xml:space="preserve"> by 10% which was influenced by the US referendum of the UK’s Brexit issue</w:t>
      </w:r>
      <w:r w:rsidR="00BF469B" w:rsidRPr="00B318A0">
        <w:rPr>
          <w:rFonts w:cs="Times New Roman"/>
          <w:szCs w:val="24"/>
          <w:lang w:val="en-US"/>
        </w:rPr>
        <w:t xml:space="preserve"> (Scafidi, 2018)</w:t>
      </w:r>
      <w:r w:rsidRPr="00B318A0">
        <w:rPr>
          <w:rFonts w:cs="Times New Roman"/>
          <w:szCs w:val="24"/>
          <w:lang w:val="en-US"/>
        </w:rPr>
        <w:t>. The external factors are the major</w:t>
      </w:r>
      <w:r w:rsidR="002E57A4" w:rsidRPr="00B318A0">
        <w:rPr>
          <w:rFonts w:cs="Times New Roman"/>
          <w:szCs w:val="24"/>
          <w:lang w:val="en-US"/>
        </w:rPr>
        <w:t xml:space="preserve"> agents of change in the business. The current price of </w:t>
      </w:r>
      <w:r w:rsidR="00E54E44" w:rsidRPr="00B318A0">
        <w:rPr>
          <w:rFonts w:cs="Times New Roman"/>
          <w:szCs w:val="24"/>
          <w:lang w:val="en-US"/>
        </w:rPr>
        <w:t xml:space="preserve">the </w:t>
      </w:r>
      <w:r w:rsidR="002E57A4" w:rsidRPr="00B318A0">
        <w:rPr>
          <w:rFonts w:cs="Times New Roman"/>
          <w:szCs w:val="24"/>
          <w:lang w:val="en-US"/>
        </w:rPr>
        <w:t xml:space="preserve">Pound against </w:t>
      </w:r>
      <w:r w:rsidR="00E54E44" w:rsidRPr="00B318A0">
        <w:rPr>
          <w:rFonts w:cs="Times New Roman"/>
          <w:szCs w:val="24"/>
          <w:lang w:val="en-US"/>
        </w:rPr>
        <w:t xml:space="preserve">the </w:t>
      </w:r>
      <w:r w:rsidR="002E57A4" w:rsidRPr="00B318A0">
        <w:rPr>
          <w:rFonts w:cs="Times New Roman"/>
          <w:szCs w:val="24"/>
          <w:lang w:val="en-US"/>
        </w:rPr>
        <w:t>Euro is £0.84 per Euro which depleted f</w:t>
      </w:r>
      <w:r w:rsidR="00E54E44" w:rsidRPr="00B318A0">
        <w:rPr>
          <w:rFonts w:cs="Times New Roman"/>
          <w:szCs w:val="24"/>
          <w:lang w:val="en-US"/>
        </w:rPr>
        <w:t>ro</w:t>
      </w:r>
      <w:r w:rsidR="002E57A4" w:rsidRPr="00B318A0">
        <w:rPr>
          <w:rFonts w:cs="Times New Roman"/>
          <w:szCs w:val="24"/>
          <w:lang w:val="en-US"/>
        </w:rPr>
        <w:t>m £0.89 per Euro</w:t>
      </w:r>
      <w:r w:rsidR="00BF469B" w:rsidRPr="00B318A0">
        <w:rPr>
          <w:rFonts w:cs="Times New Roman"/>
          <w:szCs w:val="24"/>
          <w:lang w:val="en-US"/>
        </w:rPr>
        <w:t xml:space="preserve"> (Korus, 2021)</w:t>
      </w:r>
      <w:r w:rsidR="002E57A4" w:rsidRPr="00B318A0">
        <w:rPr>
          <w:rFonts w:cs="Times New Roman"/>
          <w:szCs w:val="24"/>
          <w:lang w:val="en-US"/>
        </w:rPr>
        <w:t xml:space="preserve">. The decreasing price of the British pound is alarming for the businesses as well as the overall economy of the country. </w:t>
      </w:r>
      <w:r w:rsidR="004C4020" w:rsidRPr="00B318A0">
        <w:rPr>
          <w:rFonts w:cs="Times New Roman"/>
          <w:szCs w:val="24"/>
          <w:lang w:val="en-US"/>
        </w:rPr>
        <w:t>International trade, inflation</w:t>
      </w:r>
      <w:r w:rsidR="00FA4BD2">
        <w:rPr>
          <w:rFonts w:cs="Times New Roman"/>
          <w:szCs w:val="24"/>
          <w:lang w:val="en-US"/>
        </w:rPr>
        <w:t>,</w:t>
      </w:r>
      <w:r w:rsidR="004C4020" w:rsidRPr="00B318A0">
        <w:rPr>
          <w:rFonts w:cs="Times New Roman"/>
          <w:szCs w:val="24"/>
          <w:lang w:val="en-US"/>
        </w:rPr>
        <w:t xml:space="preserve"> and growth of the overall country will be discussed in this essay. </w:t>
      </w:r>
    </w:p>
    <w:p w14:paraId="0317DBC8" w14:textId="25565023" w:rsidR="00FA4BD2" w:rsidRDefault="00FA4BD2" w:rsidP="009279D2">
      <w:pPr>
        <w:pStyle w:val="Heading1"/>
      </w:pPr>
      <w:bookmarkStart w:id="1" w:name="_Toc99625945"/>
      <w:r>
        <w:t>Impact of British pound depreciation</w:t>
      </w:r>
      <w:bookmarkEnd w:id="1"/>
    </w:p>
    <w:p w14:paraId="14D2702C" w14:textId="42B0E3F3" w:rsidR="00B67F93" w:rsidRPr="00B318A0" w:rsidRDefault="009115C8" w:rsidP="00B318A0">
      <w:pPr>
        <w:spacing w:before="240" w:line="360" w:lineRule="auto"/>
        <w:jc w:val="both"/>
        <w:rPr>
          <w:rFonts w:cs="Times New Roman"/>
          <w:szCs w:val="24"/>
          <w:lang w:val="en-US"/>
        </w:rPr>
      </w:pPr>
      <w:r w:rsidRPr="00B318A0">
        <w:rPr>
          <w:rFonts w:cs="Times New Roman"/>
          <w:szCs w:val="24"/>
          <w:lang w:val="en-US"/>
        </w:rPr>
        <w:t>The British pound is the fourth most traded currency in the world which accounts for almost 12.8% of the daily turnover of the world</w:t>
      </w:r>
      <w:r w:rsidR="00BF469B" w:rsidRPr="00B318A0">
        <w:rPr>
          <w:rFonts w:cs="Times New Roman"/>
          <w:szCs w:val="24"/>
          <w:lang w:val="en-US"/>
        </w:rPr>
        <w:t xml:space="preserve"> (Korus, 2021)</w:t>
      </w:r>
      <w:r w:rsidRPr="00B318A0">
        <w:rPr>
          <w:rFonts w:cs="Times New Roman"/>
          <w:szCs w:val="24"/>
          <w:lang w:val="en-US"/>
        </w:rPr>
        <w:t>. The economy of the UK is the fifth</w:t>
      </w:r>
      <w:r w:rsidR="00132DF5" w:rsidRPr="00B318A0">
        <w:rPr>
          <w:rFonts w:cs="Times New Roman"/>
          <w:szCs w:val="24"/>
          <w:lang w:val="en-US"/>
        </w:rPr>
        <w:t>-</w:t>
      </w:r>
      <w:r w:rsidRPr="00B318A0">
        <w:rPr>
          <w:rFonts w:cs="Times New Roman"/>
          <w:szCs w:val="24"/>
          <w:lang w:val="en-US"/>
        </w:rPr>
        <w:t xml:space="preserve">largest economy in the world only after the economies of the US, China, Japan and Germany. The depletion in the British pounds </w:t>
      </w:r>
      <w:r w:rsidR="00132DF5" w:rsidRPr="00B318A0">
        <w:rPr>
          <w:rFonts w:cs="Times New Roman"/>
          <w:szCs w:val="24"/>
          <w:lang w:val="en-US"/>
        </w:rPr>
        <w:t>is</w:t>
      </w:r>
      <w:r w:rsidRPr="00B318A0">
        <w:rPr>
          <w:rFonts w:cs="Times New Roman"/>
          <w:szCs w:val="24"/>
          <w:lang w:val="en-US"/>
        </w:rPr>
        <w:t xml:space="preserve"> crucial as it impacts world trade immensely. Trade is </w:t>
      </w:r>
      <w:r w:rsidR="00132DF5" w:rsidRPr="00B318A0">
        <w:rPr>
          <w:rFonts w:cs="Times New Roman"/>
          <w:szCs w:val="24"/>
          <w:lang w:val="en-US"/>
        </w:rPr>
        <w:t xml:space="preserve">an </w:t>
      </w:r>
      <w:r w:rsidRPr="00B318A0">
        <w:rPr>
          <w:rFonts w:cs="Times New Roman"/>
          <w:szCs w:val="24"/>
          <w:lang w:val="en-US"/>
        </w:rPr>
        <w:t>important aspect of the economy</w:t>
      </w:r>
      <w:r w:rsidR="00BF469B" w:rsidRPr="00B318A0">
        <w:rPr>
          <w:rFonts w:cs="Times New Roman"/>
          <w:szCs w:val="24"/>
          <w:lang w:val="en-US"/>
        </w:rPr>
        <w:t xml:space="preserve"> (</w:t>
      </w:r>
      <w:proofErr w:type="spellStart"/>
      <w:r w:rsidR="00BF469B" w:rsidRPr="00B318A0">
        <w:rPr>
          <w:rFonts w:cs="Times New Roman"/>
          <w:szCs w:val="24"/>
          <w:lang w:val="en-US"/>
        </w:rPr>
        <w:t>Gourichas</w:t>
      </w:r>
      <w:proofErr w:type="spellEnd"/>
      <w:r w:rsidR="00BF469B" w:rsidRPr="00B318A0">
        <w:rPr>
          <w:rFonts w:cs="Times New Roman"/>
          <w:szCs w:val="24"/>
          <w:lang w:val="en-US"/>
        </w:rPr>
        <w:t>, 2020)</w:t>
      </w:r>
      <w:r w:rsidRPr="00B318A0">
        <w:rPr>
          <w:rFonts w:cs="Times New Roman"/>
          <w:szCs w:val="24"/>
          <w:lang w:val="en-US"/>
        </w:rPr>
        <w:t xml:space="preserve">. The impact of currency depletion in trade </w:t>
      </w:r>
      <w:r w:rsidR="00132DF5" w:rsidRPr="00B318A0">
        <w:rPr>
          <w:rFonts w:cs="Times New Roman"/>
          <w:szCs w:val="24"/>
          <w:lang w:val="en-US"/>
        </w:rPr>
        <w:t>is</w:t>
      </w:r>
      <w:r w:rsidRPr="00B318A0">
        <w:rPr>
          <w:rFonts w:cs="Times New Roman"/>
          <w:szCs w:val="24"/>
          <w:lang w:val="en-US"/>
        </w:rPr>
        <w:t xml:space="preserve"> both negative and positive. International and domestic types of trade are impacted after the currency depletion. The British pound depletion has made the current market more </w:t>
      </w:r>
      <w:r w:rsidR="00885AFE" w:rsidRPr="00B318A0">
        <w:rPr>
          <w:rFonts w:cs="Times New Roman"/>
          <w:szCs w:val="24"/>
          <w:lang w:val="en-US"/>
        </w:rPr>
        <w:t xml:space="preserve">volatile to change. The situation of the UK trade </w:t>
      </w:r>
      <w:r w:rsidR="00132DF5" w:rsidRPr="00B318A0">
        <w:rPr>
          <w:rFonts w:cs="Times New Roman"/>
          <w:szCs w:val="24"/>
          <w:lang w:val="en-US"/>
        </w:rPr>
        <w:t xml:space="preserve">is </w:t>
      </w:r>
      <w:r w:rsidR="00885AFE" w:rsidRPr="00B318A0">
        <w:rPr>
          <w:rFonts w:cs="Times New Roman"/>
          <w:szCs w:val="24"/>
          <w:lang w:val="en-US"/>
        </w:rPr>
        <w:t xml:space="preserve">depicted in </w:t>
      </w:r>
      <w:r w:rsidR="00132DF5" w:rsidRPr="00B318A0">
        <w:rPr>
          <w:rFonts w:cs="Times New Roman"/>
          <w:szCs w:val="24"/>
          <w:lang w:val="en-US"/>
        </w:rPr>
        <w:t xml:space="preserve">the </w:t>
      </w:r>
      <w:r w:rsidR="00885AFE" w:rsidRPr="00B318A0">
        <w:rPr>
          <w:rFonts w:cs="Times New Roman"/>
          <w:szCs w:val="24"/>
          <w:lang w:val="en-US"/>
        </w:rPr>
        <w:t xml:space="preserve">eh diagram below. </w:t>
      </w:r>
    </w:p>
    <w:p w14:paraId="1403370F" w14:textId="1725C921" w:rsidR="00D42AF1" w:rsidRPr="00B318A0" w:rsidRDefault="00D42AF1" w:rsidP="00B318A0">
      <w:pPr>
        <w:spacing w:before="240" w:line="360" w:lineRule="auto"/>
        <w:jc w:val="both"/>
        <w:rPr>
          <w:rFonts w:cs="Times New Roman"/>
          <w:szCs w:val="24"/>
          <w:lang w:val="en-US"/>
        </w:rPr>
      </w:pPr>
      <w:r w:rsidRPr="00B318A0">
        <w:rPr>
          <w:rFonts w:cs="Times New Roman"/>
          <w:noProof/>
          <w:szCs w:val="24"/>
          <w:lang w:val="en-US"/>
        </w:rPr>
        <w:drawing>
          <wp:inline distT="0" distB="0" distL="0" distR="0" wp14:anchorId="4DA40958" wp14:editId="36C38129">
            <wp:extent cx="5486400" cy="245364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FA1C763" w14:textId="273C7770" w:rsidR="00BF469B" w:rsidRPr="00B318A0" w:rsidRDefault="00B318A0" w:rsidP="00B318A0">
      <w:pPr>
        <w:pStyle w:val="Caption"/>
        <w:jc w:val="center"/>
        <w:rPr>
          <w:rFonts w:cs="Times New Roman"/>
          <w:color w:val="auto"/>
          <w:sz w:val="24"/>
          <w:szCs w:val="24"/>
          <w:lang w:val="en-US"/>
        </w:rPr>
      </w:pPr>
      <w:r w:rsidRPr="00B318A0">
        <w:rPr>
          <w:color w:val="auto"/>
          <w:sz w:val="24"/>
          <w:szCs w:val="24"/>
        </w:rPr>
        <w:t xml:space="preserve">Figure </w:t>
      </w:r>
      <w:r w:rsidRPr="00B318A0">
        <w:rPr>
          <w:color w:val="auto"/>
          <w:sz w:val="24"/>
          <w:szCs w:val="24"/>
        </w:rPr>
        <w:fldChar w:fldCharType="begin"/>
      </w:r>
      <w:r w:rsidRPr="00B318A0">
        <w:rPr>
          <w:color w:val="auto"/>
          <w:sz w:val="24"/>
          <w:szCs w:val="24"/>
        </w:rPr>
        <w:instrText xml:space="preserve"> SEQ Figure \* ARABIC </w:instrText>
      </w:r>
      <w:r w:rsidRPr="00B318A0">
        <w:rPr>
          <w:color w:val="auto"/>
          <w:sz w:val="24"/>
          <w:szCs w:val="24"/>
        </w:rPr>
        <w:fldChar w:fldCharType="separate"/>
      </w:r>
      <w:r w:rsidRPr="00B318A0">
        <w:rPr>
          <w:noProof/>
          <w:color w:val="auto"/>
          <w:sz w:val="24"/>
          <w:szCs w:val="24"/>
        </w:rPr>
        <w:t>1</w:t>
      </w:r>
      <w:r w:rsidRPr="00B318A0">
        <w:rPr>
          <w:color w:val="auto"/>
          <w:sz w:val="24"/>
          <w:szCs w:val="24"/>
        </w:rPr>
        <w:fldChar w:fldCharType="end"/>
      </w:r>
      <w:r w:rsidR="008D1AFA">
        <w:rPr>
          <w:color w:val="auto"/>
          <w:sz w:val="24"/>
          <w:szCs w:val="24"/>
        </w:rPr>
        <w:t xml:space="preserve">: </w:t>
      </w:r>
      <w:r w:rsidR="00BF469B" w:rsidRPr="00B318A0">
        <w:rPr>
          <w:rFonts w:cs="Times New Roman"/>
          <w:color w:val="auto"/>
          <w:sz w:val="24"/>
          <w:szCs w:val="24"/>
          <w:lang w:val="en-US"/>
        </w:rPr>
        <w:t>The impact of Pound depreciation in trade (Self-made)</w:t>
      </w:r>
    </w:p>
    <w:p w14:paraId="01285A8F" w14:textId="0B88B62C" w:rsidR="00D42AF1" w:rsidRPr="00B318A0" w:rsidRDefault="00D42AF1" w:rsidP="00B318A0">
      <w:pPr>
        <w:spacing w:before="240" w:line="360" w:lineRule="auto"/>
        <w:jc w:val="both"/>
        <w:rPr>
          <w:rFonts w:cs="Times New Roman"/>
          <w:szCs w:val="24"/>
          <w:lang w:val="en-US"/>
        </w:rPr>
      </w:pPr>
      <w:r w:rsidRPr="00B318A0">
        <w:rPr>
          <w:rFonts w:cs="Times New Roman"/>
          <w:szCs w:val="24"/>
          <w:lang w:val="en-US"/>
        </w:rPr>
        <w:lastRenderedPageBreak/>
        <w:t>The benefactors of the depreciation in trade are the ones who get the benefit from the British Pound depreciation. Firstly, the exporters are able to export more goods as the lower exchange rates are enticing the international buyers to buy more f</w:t>
      </w:r>
      <w:r w:rsidR="00132DF5" w:rsidRPr="00B318A0">
        <w:rPr>
          <w:rFonts w:cs="Times New Roman"/>
          <w:szCs w:val="24"/>
          <w:lang w:val="en-US"/>
        </w:rPr>
        <w:t>ro</w:t>
      </w:r>
      <w:r w:rsidRPr="00B318A0">
        <w:rPr>
          <w:rFonts w:cs="Times New Roman"/>
          <w:szCs w:val="24"/>
          <w:lang w:val="en-US"/>
        </w:rPr>
        <w:t>m the UK which has seen an increase in the exports</w:t>
      </w:r>
      <w:r w:rsidR="009A4B13" w:rsidRPr="00B318A0">
        <w:rPr>
          <w:rFonts w:cs="Times New Roman"/>
          <w:szCs w:val="24"/>
          <w:lang w:val="en-US"/>
        </w:rPr>
        <w:t xml:space="preserve"> of various products.</w:t>
      </w:r>
      <w:r w:rsidR="00510318" w:rsidRPr="00B318A0">
        <w:rPr>
          <w:rFonts w:cs="Times New Roman"/>
          <w:szCs w:val="24"/>
          <w:lang w:val="en-US"/>
        </w:rPr>
        <w:t xml:space="preserve"> The major exports of</w:t>
      </w:r>
      <w:r w:rsidR="009A4B13" w:rsidRPr="00B318A0">
        <w:rPr>
          <w:rFonts w:cs="Times New Roman"/>
          <w:szCs w:val="24"/>
          <w:lang w:val="en-US"/>
        </w:rPr>
        <w:t xml:space="preserve"> </w:t>
      </w:r>
      <w:r w:rsidR="00510318" w:rsidRPr="00B318A0">
        <w:rPr>
          <w:rFonts w:cs="Times New Roman"/>
          <w:szCs w:val="24"/>
          <w:lang w:val="en-US"/>
        </w:rPr>
        <w:t>the UK are cars and gas turbines. The requirement for both the products is very high in the international market and the decrease of the Pound value facilitates rapid trade of such products</w:t>
      </w:r>
      <w:r w:rsidR="00BF469B" w:rsidRPr="00B318A0">
        <w:rPr>
          <w:rFonts w:cs="Times New Roman"/>
          <w:szCs w:val="24"/>
          <w:lang w:val="en-US"/>
        </w:rPr>
        <w:t xml:space="preserve"> (Grossman, 2019)</w:t>
      </w:r>
      <w:r w:rsidR="00510318" w:rsidRPr="00B318A0">
        <w:rPr>
          <w:rFonts w:cs="Times New Roman"/>
          <w:szCs w:val="24"/>
          <w:lang w:val="en-US"/>
        </w:rPr>
        <w:t xml:space="preserve">. </w:t>
      </w:r>
      <w:r w:rsidR="009A4B13" w:rsidRPr="00B318A0">
        <w:rPr>
          <w:rFonts w:cs="Times New Roman"/>
          <w:szCs w:val="24"/>
          <w:lang w:val="en-US"/>
        </w:rPr>
        <w:t xml:space="preserve">Secondly, the tourism sector is increasing after the depreciation of the Pound value. </w:t>
      </w:r>
      <w:r w:rsidR="00132DF5" w:rsidRPr="00B318A0">
        <w:rPr>
          <w:rFonts w:cs="Times New Roman"/>
          <w:szCs w:val="24"/>
          <w:lang w:val="en-US"/>
        </w:rPr>
        <w:t>The m</w:t>
      </w:r>
      <w:r w:rsidR="009A4B13" w:rsidRPr="00B318A0">
        <w:rPr>
          <w:rFonts w:cs="Times New Roman"/>
          <w:szCs w:val="24"/>
          <w:lang w:val="en-US"/>
        </w:rPr>
        <w:t xml:space="preserve">ajority of the tourists are from the EU in the UK. As the pound rates decreased the European tourists are more eager now to visit the UK as it is cheaper for them in comparison to the previous years. The tourism sector is one of the biggest benefactors in the depreciation as the post-pandemic tourism of the UK has been very high. Thirdly, the workers are also getting jobs in the aforementioned sectors. The </w:t>
      </w:r>
      <w:r w:rsidR="00514914" w:rsidRPr="00B318A0">
        <w:rPr>
          <w:rFonts w:cs="Times New Roman"/>
          <w:szCs w:val="24"/>
          <w:lang w:val="en-US"/>
        </w:rPr>
        <w:t>workers are getting more jobs as the production is increasing as the export requirements are rising in the UK. The UK exports increased by 31.5% in the second quarter of 2021</w:t>
      </w:r>
      <w:r w:rsidR="00BF469B" w:rsidRPr="00B318A0">
        <w:rPr>
          <w:rFonts w:cs="Times New Roman"/>
          <w:szCs w:val="24"/>
          <w:lang w:val="en-US"/>
        </w:rPr>
        <w:t xml:space="preserve"> (</w:t>
      </w:r>
      <w:proofErr w:type="spellStart"/>
      <w:r w:rsidR="00BF469B" w:rsidRPr="00B318A0">
        <w:rPr>
          <w:rFonts w:cs="Times New Roman"/>
          <w:szCs w:val="24"/>
          <w:lang w:val="en-US"/>
        </w:rPr>
        <w:t>Gobbi</w:t>
      </w:r>
      <w:proofErr w:type="spellEnd"/>
      <w:r w:rsidR="00BF469B" w:rsidRPr="00B318A0">
        <w:rPr>
          <w:rFonts w:cs="Times New Roman"/>
          <w:szCs w:val="24"/>
          <w:lang w:val="en-US"/>
        </w:rPr>
        <w:t>, 2022)</w:t>
      </w:r>
      <w:r w:rsidR="00514914" w:rsidRPr="00B318A0">
        <w:rPr>
          <w:rFonts w:cs="Times New Roman"/>
          <w:szCs w:val="24"/>
          <w:lang w:val="en-US"/>
        </w:rPr>
        <w:t>. The increase in exports requires more manpower to satisfy the needs of the exporters. Thus, new employment opportunities for factory workers are increas</w:t>
      </w:r>
      <w:r w:rsidR="0083094B" w:rsidRPr="00B318A0">
        <w:rPr>
          <w:rFonts w:cs="Times New Roman"/>
          <w:szCs w:val="24"/>
          <w:lang w:val="en-US"/>
        </w:rPr>
        <w:t xml:space="preserve">ed to suffice the need for production in the long run. These sectors were boosted due to the depreciation of the UK Pound. The positives </w:t>
      </w:r>
      <w:r w:rsidR="001076E0" w:rsidRPr="00B318A0">
        <w:rPr>
          <w:rFonts w:cs="Times New Roman"/>
          <w:szCs w:val="24"/>
          <w:lang w:val="en-US"/>
        </w:rPr>
        <w:t>do</w:t>
      </w:r>
      <w:r w:rsidR="0083094B" w:rsidRPr="00B318A0">
        <w:rPr>
          <w:rFonts w:cs="Times New Roman"/>
          <w:szCs w:val="24"/>
          <w:lang w:val="en-US"/>
        </w:rPr>
        <w:t xml:space="preserve"> not mean that the overall result of </w:t>
      </w:r>
      <w:r w:rsidR="001076E0" w:rsidRPr="00B318A0">
        <w:rPr>
          <w:rFonts w:cs="Times New Roman"/>
          <w:szCs w:val="24"/>
          <w:lang w:val="en-US"/>
        </w:rPr>
        <w:t xml:space="preserve">depreciation is good. The positives are overshadowed by the negatives of the overall trade. </w:t>
      </w:r>
    </w:p>
    <w:p w14:paraId="45D88285" w14:textId="63C2E12F" w:rsidR="00FA4BD2" w:rsidRDefault="00FA4BD2" w:rsidP="009279D2">
      <w:pPr>
        <w:pStyle w:val="Heading1"/>
      </w:pPr>
      <w:bookmarkStart w:id="2" w:name="_Toc99625946"/>
      <w:r>
        <w:t>Negative Impact of pound deprecation</w:t>
      </w:r>
      <w:bookmarkEnd w:id="2"/>
      <w:r>
        <w:t xml:space="preserve"> </w:t>
      </w:r>
    </w:p>
    <w:p w14:paraId="06453503" w14:textId="5975FAD9" w:rsidR="00B67F93" w:rsidRPr="00B318A0" w:rsidRDefault="001076E0" w:rsidP="00B318A0">
      <w:pPr>
        <w:spacing w:before="240" w:line="360" w:lineRule="auto"/>
        <w:jc w:val="both"/>
        <w:rPr>
          <w:rFonts w:cs="Times New Roman"/>
          <w:szCs w:val="24"/>
          <w:lang w:val="en-US"/>
        </w:rPr>
      </w:pPr>
      <w:r w:rsidRPr="00B318A0">
        <w:rPr>
          <w:rFonts w:cs="Times New Roman"/>
          <w:szCs w:val="24"/>
          <w:lang w:val="en-US"/>
        </w:rPr>
        <w:t xml:space="preserve">The negatives of Pound depreciation in trade for </w:t>
      </w:r>
      <w:r w:rsidR="00132DF5" w:rsidRPr="00B318A0">
        <w:rPr>
          <w:rFonts w:cs="Times New Roman"/>
          <w:szCs w:val="24"/>
          <w:lang w:val="en-US"/>
        </w:rPr>
        <w:t xml:space="preserve">the </w:t>
      </w:r>
      <w:r w:rsidRPr="00B318A0">
        <w:rPr>
          <w:rFonts w:cs="Times New Roman"/>
          <w:szCs w:val="24"/>
          <w:lang w:val="en-US"/>
        </w:rPr>
        <w:t>UK are firstly the high price of the products that impact the customers. As the value of the currency depletes the prices of the products increase as a result. But the income of the consumers does not increase and as a result</w:t>
      </w:r>
      <w:r w:rsidR="00132DF5" w:rsidRPr="00B318A0">
        <w:rPr>
          <w:rFonts w:cs="Times New Roman"/>
          <w:szCs w:val="24"/>
          <w:lang w:val="en-US"/>
        </w:rPr>
        <w:t>,</w:t>
      </w:r>
      <w:r w:rsidRPr="00B318A0">
        <w:rPr>
          <w:rFonts w:cs="Times New Roman"/>
          <w:szCs w:val="24"/>
          <w:lang w:val="en-US"/>
        </w:rPr>
        <w:t xml:space="preserve"> </w:t>
      </w:r>
      <w:r w:rsidR="00104541" w:rsidRPr="00B318A0">
        <w:rPr>
          <w:rFonts w:cs="Times New Roman"/>
          <w:szCs w:val="24"/>
          <w:lang w:val="en-US"/>
        </w:rPr>
        <w:t>the buying capacity of the consumers decreases. The demand for elastic products though remains the same, the demand for inelastic luxury products goes low and as a result</w:t>
      </w:r>
      <w:r w:rsidR="00132DF5" w:rsidRPr="00B318A0">
        <w:rPr>
          <w:rFonts w:cs="Times New Roman"/>
          <w:szCs w:val="24"/>
          <w:lang w:val="en-US"/>
        </w:rPr>
        <w:t>,</w:t>
      </w:r>
      <w:r w:rsidR="00104541" w:rsidRPr="00B318A0">
        <w:rPr>
          <w:rFonts w:cs="Times New Roman"/>
          <w:szCs w:val="24"/>
          <w:lang w:val="en-US"/>
        </w:rPr>
        <w:t xml:space="preserve"> the luxury product producers suffer a loss. According to </w:t>
      </w:r>
      <w:r w:rsidR="00132DF5" w:rsidRPr="00B318A0">
        <w:rPr>
          <w:rFonts w:cs="Times New Roman"/>
          <w:szCs w:val="24"/>
          <w:lang w:val="en-US"/>
        </w:rPr>
        <w:t xml:space="preserve">the </w:t>
      </w:r>
      <w:r w:rsidR="00104541" w:rsidRPr="00B318A0">
        <w:rPr>
          <w:rFonts w:cs="Times New Roman"/>
          <w:szCs w:val="24"/>
          <w:lang w:val="en-US"/>
        </w:rPr>
        <w:t>consumer prices index</w:t>
      </w:r>
      <w:r w:rsidR="00132DF5" w:rsidRPr="00B318A0">
        <w:rPr>
          <w:rFonts w:cs="Times New Roman"/>
          <w:szCs w:val="24"/>
          <w:lang w:val="en-US"/>
        </w:rPr>
        <w:t>,</w:t>
      </w:r>
      <w:r w:rsidR="00104541" w:rsidRPr="00B318A0">
        <w:rPr>
          <w:rFonts w:cs="Times New Roman"/>
          <w:szCs w:val="24"/>
          <w:lang w:val="en-US"/>
        </w:rPr>
        <w:t xml:space="preserve"> the UK inflation is </w:t>
      </w:r>
      <w:r w:rsidR="00813687" w:rsidRPr="00B318A0">
        <w:rPr>
          <w:rFonts w:cs="Times New Roman"/>
          <w:szCs w:val="24"/>
          <w:lang w:val="en-US"/>
        </w:rPr>
        <w:t>5.4</w:t>
      </w:r>
      <w:r w:rsidR="00104541" w:rsidRPr="00B318A0">
        <w:rPr>
          <w:rFonts w:cs="Times New Roman"/>
          <w:szCs w:val="24"/>
          <w:lang w:val="en-US"/>
        </w:rPr>
        <w:t>% which is higher than ever</w:t>
      </w:r>
      <w:r w:rsidR="00BF469B" w:rsidRPr="00B318A0">
        <w:rPr>
          <w:rFonts w:cs="Times New Roman"/>
          <w:szCs w:val="24"/>
          <w:lang w:val="en-US"/>
        </w:rPr>
        <w:t xml:space="preserve"> (</w:t>
      </w:r>
      <w:proofErr w:type="spellStart"/>
      <w:r w:rsidR="00BF469B" w:rsidRPr="00B318A0">
        <w:rPr>
          <w:rFonts w:cs="Times New Roman"/>
          <w:szCs w:val="24"/>
          <w:lang w:val="en-US"/>
        </w:rPr>
        <w:t>Stavarek</w:t>
      </w:r>
      <w:proofErr w:type="spellEnd"/>
      <w:r w:rsidR="00BF469B" w:rsidRPr="00B318A0">
        <w:rPr>
          <w:rFonts w:cs="Times New Roman"/>
          <w:szCs w:val="24"/>
          <w:lang w:val="en-US"/>
        </w:rPr>
        <w:t>, 2021)</w:t>
      </w:r>
      <w:r w:rsidR="00104541" w:rsidRPr="00B318A0">
        <w:rPr>
          <w:rFonts w:cs="Times New Roman"/>
          <w:szCs w:val="24"/>
          <w:lang w:val="en-US"/>
        </w:rPr>
        <w:t>. The high inflation is rapidly depleting the value of the British Pound and the consumers are curtailing their consumption the elasticity of the demand for luxury goods like high</w:t>
      </w:r>
      <w:r w:rsidR="00132DF5" w:rsidRPr="00B318A0">
        <w:rPr>
          <w:rFonts w:cs="Times New Roman"/>
          <w:szCs w:val="24"/>
          <w:lang w:val="en-US"/>
        </w:rPr>
        <w:t>-</w:t>
      </w:r>
      <w:r w:rsidR="00104541" w:rsidRPr="00B318A0">
        <w:rPr>
          <w:rFonts w:cs="Times New Roman"/>
          <w:szCs w:val="24"/>
          <w:lang w:val="en-US"/>
        </w:rPr>
        <w:t xml:space="preserve">end automobiles and expensive watches are rapidly degrading. Secondly, importers are facing the worst impact of the degradation of the UK Pound depletion. The </w:t>
      </w:r>
      <w:r w:rsidR="00CF12A9" w:rsidRPr="00B318A0">
        <w:rPr>
          <w:rFonts w:cs="Times New Roman"/>
          <w:szCs w:val="24"/>
          <w:lang w:val="en-US"/>
        </w:rPr>
        <w:t xml:space="preserve">importers import their products from various countries to meet the demand of the UK market. UK’s most imported product is gold followed by cars and crude petroleum. But as the price of the Pound has depleted the exchange rate has gone up which means that the import </w:t>
      </w:r>
      <w:r w:rsidR="00CF12A9" w:rsidRPr="00B318A0">
        <w:rPr>
          <w:rFonts w:cs="Times New Roman"/>
          <w:szCs w:val="24"/>
          <w:lang w:val="en-US"/>
        </w:rPr>
        <w:lastRenderedPageBreak/>
        <w:t>cost also went up. When the golds and cars enter the UK market, they then are sold at a higher price which impacts the price of the domestic market as well. Finally, the manufacture</w:t>
      </w:r>
      <w:r w:rsidR="00132DF5" w:rsidRPr="00B318A0">
        <w:rPr>
          <w:rFonts w:cs="Times New Roman"/>
          <w:szCs w:val="24"/>
          <w:lang w:val="en-US"/>
        </w:rPr>
        <w:t>r</w:t>
      </w:r>
      <w:r w:rsidR="00CF12A9" w:rsidRPr="00B318A0">
        <w:rPr>
          <w:rFonts w:cs="Times New Roman"/>
          <w:szCs w:val="24"/>
          <w:lang w:val="en-US"/>
        </w:rPr>
        <w:t xml:space="preserve">s are the most vulnerable group that </w:t>
      </w:r>
      <w:r w:rsidR="00132DF5" w:rsidRPr="00B318A0">
        <w:rPr>
          <w:rFonts w:cs="Times New Roman"/>
          <w:szCs w:val="24"/>
          <w:lang w:val="en-US"/>
        </w:rPr>
        <w:t>is</w:t>
      </w:r>
      <w:r w:rsidR="00CF12A9" w:rsidRPr="00B318A0">
        <w:rPr>
          <w:rFonts w:cs="Times New Roman"/>
          <w:szCs w:val="24"/>
          <w:lang w:val="en-US"/>
        </w:rPr>
        <w:t xml:space="preserve"> impacted by </w:t>
      </w:r>
      <w:r w:rsidR="00132DF5" w:rsidRPr="00B318A0">
        <w:rPr>
          <w:rFonts w:cs="Times New Roman"/>
          <w:szCs w:val="24"/>
          <w:lang w:val="en-US"/>
        </w:rPr>
        <w:t xml:space="preserve">the </w:t>
      </w:r>
      <w:r w:rsidR="00CF12A9" w:rsidRPr="00B318A0">
        <w:rPr>
          <w:rFonts w:cs="Times New Roman"/>
          <w:szCs w:val="24"/>
          <w:lang w:val="en-US"/>
        </w:rPr>
        <w:t>depletion of the current business. The big manufacture</w:t>
      </w:r>
      <w:r w:rsidR="00132DF5" w:rsidRPr="00B318A0">
        <w:rPr>
          <w:rFonts w:cs="Times New Roman"/>
          <w:szCs w:val="24"/>
          <w:lang w:val="en-US"/>
        </w:rPr>
        <w:t>r</w:t>
      </w:r>
      <w:r w:rsidR="00CF12A9" w:rsidRPr="00B318A0">
        <w:rPr>
          <w:rFonts w:cs="Times New Roman"/>
          <w:szCs w:val="24"/>
          <w:lang w:val="en-US"/>
        </w:rPr>
        <w:t xml:space="preserve">s often import raw materials from various foreign countries. UK imports raw materials like copper, raw cotton, lead and zinc from </w:t>
      </w:r>
      <w:r w:rsidR="00132DF5" w:rsidRPr="00B318A0">
        <w:rPr>
          <w:rFonts w:cs="Times New Roman"/>
          <w:szCs w:val="24"/>
          <w:lang w:val="en-US"/>
        </w:rPr>
        <w:t xml:space="preserve">the </w:t>
      </w:r>
      <w:r w:rsidR="00CF12A9" w:rsidRPr="00B318A0">
        <w:rPr>
          <w:rFonts w:cs="Times New Roman"/>
          <w:szCs w:val="24"/>
          <w:lang w:val="en-US"/>
        </w:rPr>
        <w:t xml:space="preserve">mostly Netherlands, Norway, </w:t>
      </w:r>
      <w:r w:rsidR="00132DF5" w:rsidRPr="00B318A0">
        <w:rPr>
          <w:rFonts w:cs="Times New Roman"/>
          <w:szCs w:val="24"/>
          <w:lang w:val="en-US"/>
        </w:rPr>
        <w:t xml:space="preserve">the </w:t>
      </w:r>
      <w:r w:rsidR="00CF12A9" w:rsidRPr="00B318A0">
        <w:rPr>
          <w:rFonts w:cs="Times New Roman"/>
          <w:szCs w:val="24"/>
          <w:lang w:val="en-US"/>
        </w:rPr>
        <w:t>United States and Ireland</w:t>
      </w:r>
      <w:r w:rsidR="00BF469B" w:rsidRPr="00B318A0">
        <w:rPr>
          <w:rFonts w:cs="Times New Roman"/>
          <w:szCs w:val="24"/>
          <w:lang w:val="en-US"/>
        </w:rPr>
        <w:t xml:space="preserve"> (</w:t>
      </w:r>
      <w:proofErr w:type="spellStart"/>
      <w:r w:rsidR="00BF469B" w:rsidRPr="00B318A0">
        <w:rPr>
          <w:rFonts w:cs="Times New Roman"/>
          <w:szCs w:val="24"/>
          <w:lang w:val="en-US"/>
        </w:rPr>
        <w:t>Riese</w:t>
      </w:r>
      <w:proofErr w:type="spellEnd"/>
      <w:r w:rsidR="00BF469B" w:rsidRPr="00B318A0">
        <w:rPr>
          <w:rFonts w:cs="Times New Roman"/>
          <w:szCs w:val="24"/>
          <w:lang w:val="en-US"/>
        </w:rPr>
        <w:t>, 2021)</w:t>
      </w:r>
      <w:r w:rsidR="00CF12A9" w:rsidRPr="00B318A0">
        <w:rPr>
          <w:rFonts w:cs="Times New Roman"/>
          <w:szCs w:val="24"/>
          <w:lang w:val="en-US"/>
        </w:rPr>
        <w:t xml:space="preserve">. The depletion of the Pound suggests the increase </w:t>
      </w:r>
      <w:r w:rsidR="00132DF5" w:rsidRPr="00B318A0">
        <w:rPr>
          <w:rFonts w:cs="Times New Roman"/>
          <w:szCs w:val="24"/>
          <w:lang w:val="en-US"/>
        </w:rPr>
        <w:t>in</w:t>
      </w:r>
      <w:r w:rsidR="00CF12A9" w:rsidRPr="00B318A0">
        <w:rPr>
          <w:rFonts w:cs="Times New Roman"/>
          <w:szCs w:val="24"/>
          <w:lang w:val="en-US"/>
        </w:rPr>
        <w:t xml:space="preserve"> the cost of raw materials. The raw material cost increase results in an overall increase </w:t>
      </w:r>
      <w:r w:rsidR="00132DF5" w:rsidRPr="00B318A0">
        <w:rPr>
          <w:rFonts w:cs="Times New Roman"/>
          <w:szCs w:val="24"/>
          <w:lang w:val="en-US"/>
        </w:rPr>
        <w:t>in</w:t>
      </w:r>
      <w:r w:rsidR="00CF12A9" w:rsidRPr="00B318A0">
        <w:rPr>
          <w:rFonts w:cs="Times New Roman"/>
          <w:szCs w:val="24"/>
          <w:lang w:val="en-US"/>
        </w:rPr>
        <w:t xml:space="preserve"> the prices of the </w:t>
      </w:r>
      <w:r w:rsidR="00EC14CE" w:rsidRPr="00B318A0">
        <w:rPr>
          <w:rFonts w:cs="Times New Roman"/>
          <w:szCs w:val="24"/>
          <w:lang w:val="en-US"/>
        </w:rPr>
        <w:t xml:space="preserve">finished good. To adhere </w:t>
      </w:r>
      <w:r w:rsidR="00132DF5" w:rsidRPr="00B318A0">
        <w:rPr>
          <w:rFonts w:cs="Times New Roman"/>
          <w:szCs w:val="24"/>
          <w:lang w:val="en-US"/>
        </w:rPr>
        <w:t xml:space="preserve">to </w:t>
      </w:r>
      <w:r w:rsidR="00EC14CE" w:rsidRPr="00B318A0">
        <w:rPr>
          <w:rFonts w:cs="Times New Roman"/>
          <w:szCs w:val="24"/>
          <w:lang w:val="en-US"/>
        </w:rPr>
        <w:t xml:space="preserve">the price increase of the raw materials the businesses often increase the prices of the finished products which creates inflation. The increased price is a barrier in terms of trade as the products will not sell in the volumes </w:t>
      </w:r>
      <w:r w:rsidR="00132DF5" w:rsidRPr="00B318A0">
        <w:rPr>
          <w:rFonts w:cs="Times New Roman"/>
          <w:szCs w:val="24"/>
          <w:lang w:val="en-US"/>
        </w:rPr>
        <w:t>they</w:t>
      </w:r>
      <w:r w:rsidR="00EC14CE" w:rsidRPr="00B318A0">
        <w:rPr>
          <w:rFonts w:cs="Times New Roman"/>
          <w:szCs w:val="24"/>
          <w:lang w:val="en-US"/>
        </w:rPr>
        <w:t xml:space="preserve"> used to sell previously. The trade </w:t>
      </w:r>
      <w:r w:rsidR="0078148E" w:rsidRPr="00B318A0">
        <w:rPr>
          <w:rFonts w:cs="Times New Roman"/>
          <w:szCs w:val="24"/>
          <w:lang w:val="en-US"/>
        </w:rPr>
        <w:t>barriers</w:t>
      </w:r>
      <w:r w:rsidR="00EC14CE" w:rsidRPr="00B318A0">
        <w:rPr>
          <w:rFonts w:cs="Times New Roman"/>
          <w:szCs w:val="24"/>
          <w:lang w:val="en-US"/>
        </w:rPr>
        <w:t xml:space="preserve"> then </w:t>
      </w:r>
      <w:r w:rsidR="00510318" w:rsidRPr="00B318A0">
        <w:rPr>
          <w:rFonts w:cs="Times New Roman"/>
          <w:szCs w:val="24"/>
          <w:lang w:val="en-US"/>
        </w:rPr>
        <w:t>appear</w:t>
      </w:r>
      <w:r w:rsidR="00EC14CE" w:rsidRPr="00B318A0">
        <w:rPr>
          <w:rFonts w:cs="Times New Roman"/>
          <w:szCs w:val="24"/>
          <w:lang w:val="en-US"/>
        </w:rPr>
        <w:t xml:space="preserve"> in the market which results in a lower GDP for the country. </w:t>
      </w:r>
    </w:p>
    <w:p w14:paraId="4645B2FF" w14:textId="0F60890E" w:rsidR="00FA4BD2" w:rsidRDefault="00FA4BD2" w:rsidP="009279D2">
      <w:pPr>
        <w:pStyle w:val="Heading1"/>
      </w:pPr>
      <w:bookmarkStart w:id="3" w:name="_Toc99625947"/>
      <w:r>
        <w:t>Impact of inflation</w:t>
      </w:r>
      <w:bookmarkEnd w:id="3"/>
      <w:r>
        <w:t xml:space="preserve"> </w:t>
      </w:r>
    </w:p>
    <w:p w14:paraId="0B8A9C22" w14:textId="5A99B9DA" w:rsidR="0057632F" w:rsidRDefault="004C72E3" w:rsidP="00B318A0">
      <w:pPr>
        <w:spacing w:before="240" w:line="360" w:lineRule="auto"/>
        <w:jc w:val="both"/>
        <w:rPr>
          <w:rFonts w:cs="Times New Roman"/>
          <w:szCs w:val="24"/>
          <w:lang w:val="en-US"/>
        </w:rPr>
      </w:pPr>
      <w:r>
        <w:rPr>
          <w:rFonts w:cs="Times New Roman"/>
          <w:noProof/>
          <w:szCs w:val="24"/>
          <w:lang w:val="en-US"/>
        </w:rPr>
        <w:drawing>
          <wp:anchor distT="0" distB="0" distL="114300" distR="114300" simplePos="0" relativeHeight="251658240" behindDoc="0" locked="0" layoutInCell="1" allowOverlap="1" wp14:anchorId="3BAF4AF9" wp14:editId="567BD95A">
            <wp:simplePos x="0" y="0"/>
            <wp:positionH relativeFrom="margin">
              <wp:align>left</wp:align>
            </wp:positionH>
            <wp:positionV relativeFrom="paragraph">
              <wp:posOffset>2706370</wp:posOffset>
            </wp:positionV>
            <wp:extent cx="6327140" cy="21717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27140" cy="2171700"/>
                    </a:xfrm>
                    <a:prstGeom prst="rect">
                      <a:avLst/>
                    </a:prstGeom>
                    <a:noFill/>
                  </pic:spPr>
                </pic:pic>
              </a:graphicData>
            </a:graphic>
            <wp14:sizeRelV relativeFrom="margin">
              <wp14:pctHeight>0</wp14:pctHeight>
            </wp14:sizeRelV>
          </wp:anchor>
        </w:drawing>
      </w:r>
      <w:r w:rsidR="00510318" w:rsidRPr="00B318A0">
        <w:rPr>
          <w:rFonts w:cs="Times New Roman"/>
          <w:szCs w:val="24"/>
          <w:lang w:val="en-US"/>
        </w:rPr>
        <w:t xml:space="preserve">Inflation is referred to the decline of </w:t>
      </w:r>
      <w:r w:rsidR="00DF6DB9" w:rsidRPr="00B318A0">
        <w:rPr>
          <w:rFonts w:cs="Times New Roman"/>
          <w:szCs w:val="24"/>
          <w:lang w:val="en-US"/>
        </w:rPr>
        <w:t>the purchasing power of any given currency. Inflation occurs when the average price level of a basket of some goods and services increase</w:t>
      </w:r>
      <w:r w:rsidR="00132DF5" w:rsidRPr="00B318A0">
        <w:rPr>
          <w:rFonts w:cs="Times New Roman"/>
          <w:szCs w:val="24"/>
          <w:lang w:val="en-US"/>
        </w:rPr>
        <w:t>s</w:t>
      </w:r>
      <w:r w:rsidR="00DF6DB9" w:rsidRPr="00B318A0">
        <w:rPr>
          <w:rFonts w:cs="Times New Roman"/>
          <w:szCs w:val="24"/>
          <w:lang w:val="en-US"/>
        </w:rPr>
        <w:t>. The percentage of the price increase of the basket is referred to as the percentage of inflation of an economy</w:t>
      </w:r>
      <w:r w:rsidR="00BF469B" w:rsidRPr="00B318A0">
        <w:rPr>
          <w:rFonts w:cs="Times New Roman"/>
          <w:szCs w:val="24"/>
          <w:lang w:val="en-US"/>
        </w:rPr>
        <w:t xml:space="preserve"> (</w:t>
      </w:r>
      <w:proofErr w:type="spellStart"/>
      <w:r w:rsidR="00BF469B" w:rsidRPr="00B318A0">
        <w:rPr>
          <w:rFonts w:cs="Times New Roman"/>
          <w:szCs w:val="24"/>
          <w:lang w:val="en-US"/>
        </w:rPr>
        <w:t>Economidou</w:t>
      </w:r>
      <w:proofErr w:type="spellEnd"/>
      <w:r w:rsidR="00BF469B" w:rsidRPr="00B318A0">
        <w:rPr>
          <w:rFonts w:cs="Times New Roman"/>
          <w:szCs w:val="24"/>
          <w:lang w:val="en-US"/>
        </w:rPr>
        <w:t>, 2012)</w:t>
      </w:r>
      <w:r w:rsidR="00DF6DB9" w:rsidRPr="00B318A0">
        <w:rPr>
          <w:rFonts w:cs="Times New Roman"/>
          <w:szCs w:val="24"/>
          <w:lang w:val="en-US"/>
        </w:rPr>
        <w:t xml:space="preserve">. Inflation can cause various causes and inflation </w:t>
      </w:r>
      <w:r w:rsidR="00132DF5" w:rsidRPr="00B318A0">
        <w:rPr>
          <w:rFonts w:cs="Times New Roman"/>
          <w:szCs w:val="24"/>
          <w:lang w:val="en-US"/>
        </w:rPr>
        <w:t>to</w:t>
      </w:r>
      <w:r w:rsidR="00DF6DB9" w:rsidRPr="00B318A0">
        <w:rPr>
          <w:rFonts w:cs="Times New Roman"/>
          <w:szCs w:val="24"/>
          <w:lang w:val="en-US"/>
        </w:rPr>
        <w:t xml:space="preserve"> a certain extent is important for the economic growth of a country. One of the major agents of inflation is the depletion of the currency. The depletion of </w:t>
      </w:r>
      <w:r w:rsidR="00132DF5" w:rsidRPr="00B318A0">
        <w:rPr>
          <w:rFonts w:cs="Times New Roman"/>
          <w:szCs w:val="24"/>
          <w:lang w:val="en-US"/>
        </w:rPr>
        <w:t xml:space="preserve">the </w:t>
      </w:r>
      <w:r w:rsidR="00DF6DB9" w:rsidRPr="00B318A0">
        <w:rPr>
          <w:rFonts w:cs="Times New Roman"/>
          <w:szCs w:val="24"/>
          <w:lang w:val="en-US"/>
        </w:rPr>
        <w:t xml:space="preserve">currency means the loss of buying power of the currency and this results in inflation. The UK Pound </w:t>
      </w:r>
      <w:r w:rsidR="00516EB7" w:rsidRPr="00B318A0">
        <w:rPr>
          <w:rFonts w:cs="Times New Roman"/>
          <w:szCs w:val="24"/>
          <w:lang w:val="en-US"/>
        </w:rPr>
        <w:t xml:space="preserve">depletion suggests that the overall buying power of the currency has decreased and thus the inflation rate has gone up to </w:t>
      </w:r>
      <w:r w:rsidR="00813687" w:rsidRPr="00B318A0">
        <w:rPr>
          <w:rFonts w:cs="Times New Roman"/>
          <w:szCs w:val="24"/>
          <w:lang w:val="en-US"/>
        </w:rPr>
        <w:t>5.4</w:t>
      </w:r>
      <w:r w:rsidR="00516EB7" w:rsidRPr="00B318A0">
        <w:rPr>
          <w:rFonts w:cs="Times New Roman"/>
          <w:szCs w:val="24"/>
          <w:lang w:val="en-US"/>
        </w:rPr>
        <w:t>% which is the highest since 2013</w:t>
      </w:r>
      <w:r w:rsidR="00BF469B" w:rsidRPr="00B318A0">
        <w:rPr>
          <w:rFonts w:cs="Times New Roman"/>
          <w:szCs w:val="24"/>
          <w:lang w:val="en-US"/>
        </w:rPr>
        <w:t xml:space="preserve"> (Balakrishnan, 2021)</w:t>
      </w:r>
      <w:r w:rsidR="00516EB7" w:rsidRPr="00B318A0">
        <w:rPr>
          <w:rFonts w:cs="Times New Roman"/>
          <w:szCs w:val="24"/>
          <w:lang w:val="en-US"/>
        </w:rPr>
        <w:t xml:space="preserve">. </w:t>
      </w:r>
      <w:r w:rsidR="00132DF5" w:rsidRPr="00B318A0">
        <w:rPr>
          <w:rFonts w:cs="Times New Roman"/>
          <w:szCs w:val="24"/>
          <w:lang w:val="en-US"/>
        </w:rPr>
        <w:t xml:space="preserve">The UK currency depletion is a result of this inflation. The price hike due to the depletion is fueling inflation in the country.  </w:t>
      </w:r>
    </w:p>
    <w:p w14:paraId="67039595" w14:textId="78BCD5AA" w:rsidR="0057632F" w:rsidRPr="004C72E3" w:rsidRDefault="00E06296" w:rsidP="004C72E3">
      <w:pPr>
        <w:spacing w:before="240" w:line="360" w:lineRule="auto"/>
        <w:jc w:val="center"/>
        <w:rPr>
          <w:rFonts w:cs="Times New Roman"/>
          <w:i/>
          <w:iCs/>
          <w:sz w:val="20"/>
          <w:szCs w:val="20"/>
          <w:lang w:val="en-US"/>
        </w:rPr>
      </w:pPr>
      <w:r w:rsidRPr="004C72E3">
        <w:rPr>
          <w:rFonts w:cs="Times New Roman"/>
          <w:i/>
          <w:iCs/>
          <w:sz w:val="20"/>
          <w:szCs w:val="20"/>
          <w:lang w:val="en-US"/>
        </w:rPr>
        <w:t>Figure 2.UK Inflation</w:t>
      </w:r>
      <w:r w:rsidR="00F07A82" w:rsidRPr="004C72E3">
        <w:rPr>
          <w:rFonts w:cs="Times New Roman"/>
          <w:i/>
          <w:iCs/>
          <w:sz w:val="20"/>
          <w:szCs w:val="20"/>
          <w:lang w:val="en-US"/>
        </w:rPr>
        <w:t xml:space="preserve">. </w:t>
      </w:r>
      <w:r w:rsidR="004C72E3" w:rsidRPr="004C72E3">
        <w:rPr>
          <w:rFonts w:cs="Times New Roman"/>
          <w:i/>
          <w:iCs/>
          <w:sz w:val="20"/>
          <w:szCs w:val="20"/>
          <w:lang w:val="en-US"/>
        </w:rPr>
        <w:t>Source: Office</w:t>
      </w:r>
      <w:r w:rsidR="00F07A82" w:rsidRPr="004C72E3">
        <w:rPr>
          <w:rFonts w:cs="Times New Roman"/>
          <w:i/>
          <w:iCs/>
          <w:sz w:val="20"/>
          <w:szCs w:val="20"/>
          <w:lang w:val="en-US"/>
        </w:rPr>
        <w:t xml:space="preserve"> for National Statistics</w:t>
      </w:r>
    </w:p>
    <w:p w14:paraId="32913479" w14:textId="1F909782" w:rsidR="00FA4BD2" w:rsidRPr="00B318A0" w:rsidRDefault="00FA4BD2" w:rsidP="00FA4BD2">
      <w:pPr>
        <w:pStyle w:val="Heading2"/>
        <w:rPr>
          <w:lang w:val="en-US"/>
        </w:rPr>
      </w:pPr>
      <w:bookmarkStart w:id="4" w:name="_Toc99625948"/>
      <w:r>
        <w:rPr>
          <w:lang w:val="en-US"/>
        </w:rPr>
        <w:lastRenderedPageBreak/>
        <w:t>Impact of Inflation in Demand Curve</w:t>
      </w:r>
      <w:bookmarkEnd w:id="4"/>
      <w:r>
        <w:rPr>
          <w:lang w:val="en-US"/>
        </w:rPr>
        <w:t xml:space="preserve"> </w:t>
      </w:r>
    </w:p>
    <w:p w14:paraId="4AE7CBF5" w14:textId="368FA3AC" w:rsidR="00BE4A9C" w:rsidRPr="00B318A0" w:rsidRDefault="00470BEF" w:rsidP="00470BEF">
      <w:pPr>
        <w:spacing w:before="240" w:line="360" w:lineRule="auto"/>
        <w:jc w:val="center"/>
        <w:rPr>
          <w:rFonts w:cs="Times New Roman"/>
          <w:szCs w:val="24"/>
          <w:lang w:val="en-US"/>
        </w:rPr>
      </w:pPr>
      <w:r>
        <w:rPr>
          <w:rFonts w:cs="Times New Roman"/>
          <w:noProof/>
          <w:szCs w:val="24"/>
          <w:lang w:val="en-US"/>
        </w:rPr>
        <w:drawing>
          <wp:inline distT="0" distB="0" distL="0" distR="0" wp14:anchorId="36A7F86E" wp14:editId="02FF8029">
            <wp:extent cx="2780030" cy="2773680"/>
            <wp:effectExtent l="0" t="0" r="127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80030" cy="2773680"/>
                    </a:xfrm>
                    <a:prstGeom prst="rect">
                      <a:avLst/>
                    </a:prstGeom>
                    <a:noFill/>
                  </pic:spPr>
                </pic:pic>
              </a:graphicData>
            </a:graphic>
          </wp:inline>
        </w:drawing>
      </w:r>
    </w:p>
    <w:p w14:paraId="503588B0" w14:textId="29C941C7" w:rsidR="00BE4A9C" w:rsidRPr="00B318A0" w:rsidRDefault="00BE4A9C" w:rsidP="00B318A0">
      <w:pPr>
        <w:spacing w:before="240" w:line="360" w:lineRule="auto"/>
        <w:jc w:val="both"/>
        <w:rPr>
          <w:rFonts w:cs="Times New Roman"/>
          <w:szCs w:val="24"/>
          <w:lang w:val="en-US"/>
        </w:rPr>
      </w:pPr>
      <w:r w:rsidRPr="00B318A0">
        <w:rPr>
          <w:rFonts w:cs="Times New Roman"/>
          <w:szCs w:val="24"/>
          <w:lang w:val="en-US"/>
        </w:rPr>
        <w:t>In the demand</w:t>
      </w:r>
      <w:r w:rsidR="009429AB" w:rsidRPr="00B318A0">
        <w:rPr>
          <w:rFonts w:cs="Times New Roman"/>
          <w:szCs w:val="24"/>
          <w:lang w:val="en-US"/>
        </w:rPr>
        <w:t>-</w:t>
      </w:r>
      <w:r w:rsidRPr="00B318A0">
        <w:rPr>
          <w:rFonts w:cs="Times New Roman"/>
          <w:szCs w:val="24"/>
          <w:lang w:val="en-US"/>
        </w:rPr>
        <w:t>supply curve, we can see that the price of the product has increased from P</w:t>
      </w:r>
      <w:r w:rsidRPr="00B318A0">
        <w:rPr>
          <w:rFonts w:cs="Times New Roman"/>
          <w:szCs w:val="24"/>
          <w:vertAlign w:val="subscript"/>
          <w:lang w:val="en-US"/>
        </w:rPr>
        <w:t xml:space="preserve">0 </w:t>
      </w:r>
      <w:r w:rsidRPr="00B318A0">
        <w:rPr>
          <w:rFonts w:cs="Times New Roman"/>
          <w:szCs w:val="24"/>
        </w:rPr>
        <w:t>to P</w:t>
      </w:r>
      <w:r w:rsidRPr="00B318A0">
        <w:rPr>
          <w:rFonts w:cs="Times New Roman"/>
          <w:szCs w:val="24"/>
          <w:vertAlign w:val="subscript"/>
        </w:rPr>
        <w:t>1</w:t>
      </w:r>
      <w:r w:rsidRPr="00B318A0">
        <w:rPr>
          <w:rFonts w:cs="Times New Roman"/>
          <w:szCs w:val="24"/>
          <w:lang w:val="en-US"/>
        </w:rPr>
        <w:t>. Due to inflation supply curve</w:t>
      </w:r>
      <w:r w:rsidR="009429AB" w:rsidRPr="00B318A0">
        <w:rPr>
          <w:rFonts w:cs="Times New Roman"/>
          <w:szCs w:val="24"/>
          <w:lang w:val="en-US"/>
        </w:rPr>
        <w:t>s</w:t>
      </w:r>
      <w:r w:rsidRPr="00B318A0">
        <w:rPr>
          <w:rFonts w:cs="Times New Roman"/>
          <w:szCs w:val="24"/>
          <w:lang w:val="en-US"/>
        </w:rPr>
        <w:t xml:space="preserve"> have shifted their positions. Firstly, the demand curve is still as the demand for the products </w:t>
      </w:r>
      <w:r w:rsidR="009429AB" w:rsidRPr="00B318A0">
        <w:rPr>
          <w:rFonts w:cs="Times New Roman"/>
          <w:szCs w:val="24"/>
          <w:lang w:val="en-US"/>
        </w:rPr>
        <w:t>is</w:t>
      </w:r>
      <w:r w:rsidRPr="00B318A0">
        <w:rPr>
          <w:rFonts w:cs="Times New Roman"/>
          <w:szCs w:val="24"/>
          <w:lang w:val="en-US"/>
        </w:rPr>
        <w:t xml:space="preserve"> elastic. Inflation does not directly impact the demand for inelastic goods like prescription drugs, food items and clothing. The demand thus remains the same. But due to inflation</w:t>
      </w:r>
      <w:r w:rsidR="009429AB" w:rsidRPr="00B318A0">
        <w:rPr>
          <w:rFonts w:cs="Times New Roman"/>
          <w:szCs w:val="24"/>
          <w:lang w:val="en-US"/>
        </w:rPr>
        <w:t>,</w:t>
      </w:r>
      <w:r w:rsidRPr="00B318A0">
        <w:rPr>
          <w:rFonts w:cs="Times New Roman"/>
          <w:szCs w:val="24"/>
          <w:lang w:val="en-US"/>
        </w:rPr>
        <w:t xml:space="preserve"> </w:t>
      </w:r>
      <w:r w:rsidR="00813687" w:rsidRPr="00B318A0">
        <w:rPr>
          <w:rFonts w:cs="Times New Roman"/>
          <w:szCs w:val="24"/>
          <w:lang w:val="en-US"/>
        </w:rPr>
        <w:t xml:space="preserve">the supply curve has shifted to the left. the reason behind the shift is the increase </w:t>
      </w:r>
      <w:r w:rsidR="009429AB" w:rsidRPr="00B318A0">
        <w:rPr>
          <w:rFonts w:cs="Times New Roman"/>
          <w:szCs w:val="24"/>
          <w:lang w:val="en-US"/>
        </w:rPr>
        <w:t>in</w:t>
      </w:r>
      <w:r w:rsidR="00813687" w:rsidRPr="00B318A0">
        <w:rPr>
          <w:rFonts w:cs="Times New Roman"/>
          <w:szCs w:val="24"/>
          <w:lang w:val="en-US"/>
        </w:rPr>
        <w:t xml:space="preserve"> the price of raw materials. The raw materials are expensive and this makes the production cost of the goods higher and as a result</w:t>
      </w:r>
      <w:r w:rsidR="009429AB" w:rsidRPr="00B318A0">
        <w:rPr>
          <w:rFonts w:cs="Times New Roman"/>
          <w:szCs w:val="24"/>
          <w:lang w:val="en-US"/>
        </w:rPr>
        <w:t>,</w:t>
      </w:r>
      <w:r w:rsidR="00813687" w:rsidRPr="00B318A0">
        <w:rPr>
          <w:rFonts w:cs="Times New Roman"/>
          <w:szCs w:val="24"/>
          <w:lang w:val="en-US"/>
        </w:rPr>
        <w:t xml:space="preserve"> the overall cost of the product goes up. As the cost is high, the production of the suppliers goes down and as a result</w:t>
      </w:r>
      <w:r w:rsidR="009429AB" w:rsidRPr="00B318A0">
        <w:rPr>
          <w:rFonts w:cs="Times New Roman"/>
          <w:szCs w:val="24"/>
          <w:lang w:val="en-US"/>
        </w:rPr>
        <w:t>,</w:t>
      </w:r>
      <w:r w:rsidR="00813687" w:rsidRPr="00B318A0">
        <w:rPr>
          <w:rFonts w:cs="Times New Roman"/>
          <w:szCs w:val="24"/>
          <w:lang w:val="en-US"/>
        </w:rPr>
        <w:t xml:space="preserve"> the supply curve shifts rightwards and increases the price of the product</w:t>
      </w:r>
      <w:r w:rsidR="00BF469B" w:rsidRPr="00B318A0">
        <w:rPr>
          <w:rFonts w:cs="Times New Roman"/>
          <w:szCs w:val="24"/>
          <w:lang w:val="en-US"/>
        </w:rPr>
        <w:t xml:space="preserve"> (Forbes, 2021)</w:t>
      </w:r>
      <w:r w:rsidR="00813687" w:rsidRPr="00B318A0">
        <w:rPr>
          <w:rFonts w:cs="Times New Roman"/>
          <w:szCs w:val="24"/>
          <w:lang w:val="en-US"/>
        </w:rPr>
        <w:t xml:space="preserve">. </w:t>
      </w:r>
    </w:p>
    <w:p w14:paraId="09111EFC" w14:textId="70ADC3F7" w:rsidR="00FA4BD2" w:rsidRDefault="00FA4BD2" w:rsidP="00FA4BD2">
      <w:pPr>
        <w:pStyle w:val="Heading2"/>
        <w:rPr>
          <w:lang w:val="en-US"/>
        </w:rPr>
      </w:pPr>
      <w:bookmarkStart w:id="5" w:name="_Toc99625949"/>
      <w:r>
        <w:rPr>
          <w:lang w:val="en-US"/>
        </w:rPr>
        <w:t>Impact of Inflation in Cost of Living</w:t>
      </w:r>
      <w:bookmarkEnd w:id="5"/>
    </w:p>
    <w:p w14:paraId="2DC1CA57" w14:textId="0E76D08A" w:rsidR="00FD6C17" w:rsidRDefault="00813687" w:rsidP="00B318A0">
      <w:pPr>
        <w:spacing w:before="240" w:line="360" w:lineRule="auto"/>
        <w:jc w:val="both"/>
        <w:rPr>
          <w:rFonts w:cs="Times New Roman"/>
          <w:szCs w:val="24"/>
          <w:lang w:val="en-US"/>
        </w:rPr>
      </w:pPr>
      <w:r w:rsidRPr="00B318A0">
        <w:rPr>
          <w:rFonts w:cs="Times New Roman"/>
          <w:szCs w:val="24"/>
          <w:lang w:val="en-US"/>
        </w:rPr>
        <w:t>Due to inflation</w:t>
      </w:r>
      <w:r w:rsidR="009429AB" w:rsidRPr="00B318A0">
        <w:rPr>
          <w:rFonts w:cs="Times New Roman"/>
          <w:szCs w:val="24"/>
          <w:lang w:val="en-US"/>
        </w:rPr>
        <w:t>,</w:t>
      </w:r>
      <w:r w:rsidRPr="00B318A0">
        <w:rPr>
          <w:rFonts w:cs="Times New Roman"/>
          <w:szCs w:val="24"/>
          <w:lang w:val="en-US"/>
        </w:rPr>
        <w:t xml:space="preserve"> the cost of living is now higher than ever. The pandemic has stagnated the improvements done and along with the depletion of the Pound has contributed to the inflation. Firstly, global energy prices are rising every day. The UK government is not able to buy the energies with the same amount and the current UK Pound rate suggests that they have to pay more for the same energy that they previously bought. Energy is essential for </w:t>
      </w:r>
      <w:r w:rsidR="009429AB" w:rsidRPr="00B318A0">
        <w:rPr>
          <w:rFonts w:cs="Times New Roman"/>
          <w:szCs w:val="24"/>
          <w:lang w:val="en-US"/>
        </w:rPr>
        <w:t xml:space="preserve">the </w:t>
      </w:r>
      <w:r w:rsidRPr="00B318A0">
        <w:rPr>
          <w:rFonts w:cs="Times New Roman"/>
          <w:szCs w:val="24"/>
          <w:lang w:val="en-US"/>
        </w:rPr>
        <w:t>production and keeping the country running. The high prices are being paid by the individuals and the producers. The production facilities are paying more for the energy that they are consuming</w:t>
      </w:r>
      <w:r w:rsidR="00BF469B" w:rsidRPr="00B318A0">
        <w:rPr>
          <w:rFonts w:cs="Times New Roman"/>
          <w:szCs w:val="24"/>
          <w:lang w:val="en-US"/>
        </w:rPr>
        <w:t xml:space="preserve"> (Forbes, 2021)</w:t>
      </w:r>
      <w:r w:rsidRPr="00B318A0">
        <w:rPr>
          <w:rFonts w:cs="Times New Roman"/>
          <w:szCs w:val="24"/>
          <w:lang w:val="en-US"/>
        </w:rPr>
        <w:t>. The bills are increasing the price of product</w:t>
      </w:r>
      <w:r w:rsidR="009429AB" w:rsidRPr="00B318A0">
        <w:rPr>
          <w:rFonts w:cs="Times New Roman"/>
          <w:szCs w:val="24"/>
          <w:lang w:val="en-US"/>
        </w:rPr>
        <w:t>s</w:t>
      </w:r>
      <w:r w:rsidRPr="00B318A0">
        <w:rPr>
          <w:rFonts w:cs="Times New Roman"/>
          <w:szCs w:val="24"/>
          <w:lang w:val="en-US"/>
        </w:rPr>
        <w:t xml:space="preserve"> that they are collecting by increasing the price of their products or service. This reduces the value of the Pound in the domestic market and increases inflation in the country ultimately reduc</w:t>
      </w:r>
      <w:r w:rsidR="009429AB" w:rsidRPr="00B318A0">
        <w:rPr>
          <w:rFonts w:cs="Times New Roman"/>
          <w:szCs w:val="24"/>
          <w:lang w:val="en-US"/>
        </w:rPr>
        <w:t>ing</w:t>
      </w:r>
      <w:r w:rsidRPr="00B318A0">
        <w:rPr>
          <w:rFonts w:cs="Times New Roman"/>
          <w:szCs w:val="24"/>
          <w:lang w:val="en-US"/>
        </w:rPr>
        <w:t xml:space="preserve"> the value of the </w:t>
      </w:r>
      <w:r w:rsidRPr="00B318A0">
        <w:rPr>
          <w:rFonts w:cs="Times New Roman"/>
          <w:szCs w:val="24"/>
          <w:lang w:val="en-US"/>
        </w:rPr>
        <w:lastRenderedPageBreak/>
        <w:t xml:space="preserve">British Pound in the forex market. Secondly, the high energy cost has also </w:t>
      </w:r>
      <w:r w:rsidR="009429AB" w:rsidRPr="00B318A0">
        <w:rPr>
          <w:rFonts w:cs="Times New Roman"/>
          <w:szCs w:val="24"/>
          <w:lang w:val="en-US"/>
        </w:rPr>
        <w:t>increased</w:t>
      </w:r>
      <w:r w:rsidRPr="00B318A0">
        <w:rPr>
          <w:rFonts w:cs="Times New Roman"/>
          <w:szCs w:val="24"/>
          <w:lang w:val="en-US"/>
        </w:rPr>
        <w:t xml:space="preserve"> the cost of shipping. The shipping of raw materials from various locations of the world is now high as the depleted Pound rate means a higher cost for shipping. The shipping cost also adds up with the production cost </w:t>
      </w:r>
      <w:proofErr w:type="spellStart"/>
      <w:r w:rsidR="00FA4BD2">
        <w:rPr>
          <w:rFonts w:cs="Times New Roman"/>
          <w:szCs w:val="24"/>
          <w:lang w:val="en-US"/>
        </w:rPr>
        <w:t>which</w:t>
      </w:r>
      <w:r w:rsidRPr="00B318A0">
        <w:rPr>
          <w:rFonts w:cs="Times New Roman"/>
          <w:szCs w:val="24"/>
          <w:lang w:val="en-US"/>
        </w:rPr>
        <w:t>thus</w:t>
      </w:r>
      <w:proofErr w:type="spellEnd"/>
      <w:r w:rsidRPr="00B318A0">
        <w:rPr>
          <w:rFonts w:cs="Times New Roman"/>
          <w:szCs w:val="24"/>
          <w:lang w:val="en-US"/>
        </w:rPr>
        <w:t xml:space="preserve"> the product price increases that increase inflation. Finally, due to Brexit, the staff are short in the current market. The staff shortage increases inefficiency in the business and can reduce the productivity of the producers. Moreover, the employees are currently demanding more from the businesses which ha</w:t>
      </w:r>
      <w:r w:rsidR="009429AB" w:rsidRPr="00B318A0">
        <w:rPr>
          <w:rFonts w:cs="Times New Roman"/>
          <w:szCs w:val="24"/>
          <w:lang w:val="en-US"/>
        </w:rPr>
        <w:t>ve</w:t>
      </w:r>
      <w:r w:rsidRPr="00B318A0">
        <w:rPr>
          <w:rFonts w:cs="Times New Roman"/>
          <w:szCs w:val="24"/>
          <w:lang w:val="en-US"/>
        </w:rPr>
        <w:t xml:space="preserve"> seen an increase in the wages of the employees. The high wages also add up with the product price and create inflation in the market. </w:t>
      </w:r>
      <w:r w:rsidR="00B72876" w:rsidRPr="00B318A0">
        <w:rPr>
          <w:rFonts w:cs="Times New Roman"/>
          <w:szCs w:val="24"/>
          <w:lang w:val="en-US"/>
        </w:rPr>
        <w:t>Along with these major issues</w:t>
      </w:r>
      <w:r w:rsidR="009429AB" w:rsidRPr="00B318A0">
        <w:rPr>
          <w:rFonts w:cs="Times New Roman"/>
          <w:szCs w:val="24"/>
          <w:lang w:val="en-US"/>
        </w:rPr>
        <w:t>,</w:t>
      </w:r>
      <w:r w:rsidR="00B72876" w:rsidRPr="00B318A0">
        <w:rPr>
          <w:rFonts w:cs="Times New Roman"/>
          <w:szCs w:val="24"/>
          <w:lang w:val="en-US"/>
        </w:rPr>
        <w:t xml:space="preserve"> </w:t>
      </w:r>
      <w:r w:rsidR="009429AB" w:rsidRPr="00B318A0">
        <w:rPr>
          <w:rFonts w:cs="Times New Roman"/>
          <w:szCs w:val="24"/>
          <w:lang w:val="en-US"/>
        </w:rPr>
        <w:t>some other factors</w:t>
      </w:r>
      <w:r w:rsidR="00B72876" w:rsidRPr="00B318A0">
        <w:rPr>
          <w:rFonts w:cs="Times New Roman"/>
          <w:szCs w:val="24"/>
          <w:lang w:val="en-US"/>
        </w:rPr>
        <w:t xml:space="preserve"> </w:t>
      </w:r>
      <w:r w:rsidR="00BF469B" w:rsidRPr="00B318A0">
        <w:rPr>
          <w:rFonts w:cs="Times New Roman"/>
          <w:szCs w:val="24"/>
          <w:lang w:val="en-US"/>
        </w:rPr>
        <w:t>are</w:t>
      </w:r>
      <w:r w:rsidR="00B72876" w:rsidRPr="00B318A0">
        <w:rPr>
          <w:rFonts w:cs="Times New Roman"/>
          <w:szCs w:val="24"/>
          <w:lang w:val="en-US"/>
        </w:rPr>
        <w:t xml:space="preserve"> caused due to the Pound rate depletion</w:t>
      </w:r>
      <w:r w:rsidR="00BF469B" w:rsidRPr="00B318A0">
        <w:rPr>
          <w:rFonts w:cs="Times New Roman"/>
          <w:szCs w:val="24"/>
          <w:lang w:val="en-US"/>
        </w:rPr>
        <w:t xml:space="preserve"> (</w:t>
      </w:r>
      <w:proofErr w:type="spellStart"/>
      <w:r w:rsidR="00BF469B" w:rsidRPr="00B318A0">
        <w:rPr>
          <w:rFonts w:cs="Times New Roman"/>
          <w:szCs w:val="24"/>
          <w:lang w:val="en-US"/>
        </w:rPr>
        <w:t>Franses</w:t>
      </w:r>
      <w:proofErr w:type="spellEnd"/>
      <w:r w:rsidR="00BF469B" w:rsidRPr="00B318A0">
        <w:rPr>
          <w:rFonts w:cs="Times New Roman"/>
          <w:szCs w:val="24"/>
          <w:lang w:val="en-US"/>
        </w:rPr>
        <w:t>, 2020)</w:t>
      </w:r>
      <w:r w:rsidR="00B72876" w:rsidRPr="00B318A0">
        <w:rPr>
          <w:rFonts w:cs="Times New Roman"/>
          <w:szCs w:val="24"/>
          <w:lang w:val="en-US"/>
        </w:rPr>
        <w:t xml:space="preserve">. The major factor behind the Pound rate depletion and the current inflation rise is caused due to two major events. Firstly, the Covid pandemic has made it hard for businesses to bloom. Many businesses were forced to close their shops during the pandemic and many never reopened. As a result, the economy of the country took a major hit. The dull economy resulted in the Pound rate </w:t>
      </w:r>
      <w:r w:rsidR="009429AB" w:rsidRPr="00B318A0">
        <w:rPr>
          <w:rFonts w:cs="Times New Roman"/>
          <w:szCs w:val="24"/>
          <w:lang w:val="en-US"/>
        </w:rPr>
        <w:t>going</w:t>
      </w:r>
      <w:r w:rsidR="00B72876" w:rsidRPr="00B318A0">
        <w:rPr>
          <w:rFonts w:cs="Times New Roman"/>
          <w:szCs w:val="24"/>
          <w:lang w:val="en-US"/>
        </w:rPr>
        <w:t xml:space="preserve"> down. Moreover, Brexit came along with the pandemic that has increased the prices of various products in the country</w:t>
      </w:r>
      <w:r w:rsidR="00BF469B" w:rsidRPr="00B318A0">
        <w:rPr>
          <w:rFonts w:cs="Times New Roman"/>
          <w:szCs w:val="24"/>
          <w:lang w:val="en-US"/>
        </w:rPr>
        <w:t xml:space="preserve"> (Balakrishnan, 2021)</w:t>
      </w:r>
      <w:r w:rsidR="00B72876" w:rsidRPr="00B318A0">
        <w:rPr>
          <w:rFonts w:cs="Times New Roman"/>
          <w:szCs w:val="24"/>
          <w:lang w:val="en-US"/>
        </w:rPr>
        <w:t xml:space="preserve">. </w:t>
      </w:r>
      <w:r w:rsidR="009429AB" w:rsidRPr="00B318A0">
        <w:rPr>
          <w:rFonts w:cs="Times New Roman"/>
          <w:szCs w:val="24"/>
          <w:lang w:val="en-US"/>
        </w:rPr>
        <w:t>The m</w:t>
      </w:r>
      <w:r w:rsidR="00B72876" w:rsidRPr="00B318A0">
        <w:rPr>
          <w:rFonts w:cs="Times New Roman"/>
          <w:szCs w:val="24"/>
          <w:lang w:val="en-US"/>
        </w:rPr>
        <w:t>ajority of the workers in the UK were from the EU countries and once they were gone the production industry took a major hit as they had to employ worker</w:t>
      </w:r>
      <w:r w:rsidR="009429AB" w:rsidRPr="00B318A0">
        <w:rPr>
          <w:rFonts w:cs="Times New Roman"/>
          <w:szCs w:val="24"/>
          <w:lang w:val="en-US"/>
        </w:rPr>
        <w:t>s</w:t>
      </w:r>
      <w:r w:rsidR="00B72876" w:rsidRPr="00B318A0">
        <w:rPr>
          <w:rFonts w:cs="Times New Roman"/>
          <w:szCs w:val="24"/>
          <w:lang w:val="en-US"/>
        </w:rPr>
        <w:t xml:space="preserve"> at a premium wage </w:t>
      </w:r>
      <w:r w:rsidR="00C9008B">
        <w:rPr>
          <w:rFonts w:cs="Times New Roman"/>
          <w:noProof/>
          <w:szCs w:val="24"/>
          <w:lang w:val="en-US"/>
        </w:rPr>
        <w:drawing>
          <wp:anchor distT="0" distB="0" distL="114300" distR="114300" simplePos="0" relativeHeight="251659264" behindDoc="0" locked="0" layoutInCell="1" allowOverlap="1" wp14:anchorId="4C419C2A" wp14:editId="59B86D00">
            <wp:simplePos x="0" y="0"/>
            <wp:positionH relativeFrom="margin">
              <wp:align>right</wp:align>
            </wp:positionH>
            <wp:positionV relativeFrom="paragraph">
              <wp:posOffset>4883150</wp:posOffset>
            </wp:positionV>
            <wp:extent cx="5657850" cy="33242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57850" cy="3324225"/>
                    </a:xfrm>
                    <a:prstGeom prst="rect">
                      <a:avLst/>
                    </a:prstGeom>
                    <a:noFill/>
                  </pic:spPr>
                </pic:pic>
              </a:graphicData>
            </a:graphic>
            <wp14:sizeRelH relativeFrom="margin">
              <wp14:pctWidth>0</wp14:pctWidth>
            </wp14:sizeRelH>
            <wp14:sizeRelV relativeFrom="margin">
              <wp14:pctHeight>0</wp14:pctHeight>
            </wp14:sizeRelV>
          </wp:anchor>
        </w:drawing>
      </w:r>
      <w:r w:rsidR="00B72876" w:rsidRPr="00B318A0">
        <w:rPr>
          <w:rFonts w:cs="Times New Roman"/>
          <w:szCs w:val="24"/>
          <w:lang w:val="en-US"/>
        </w:rPr>
        <w:t>which is decreasing the price of the Pound due to inflation.</w:t>
      </w:r>
    </w:p>
    <w:p w14:paraId="56E24F3D" w14:textId="614F480A" w:rsidR="008A0896" w:rsidRPr="00C9008B" w:rsidRDefault="008A0896" w:rsidP="00C9008B">
      <w:pPr>
        <w:spacing w:before="240" w:line="360" w:lineRule="auto"/>
        <w:jc w:val="center"/>
        <w:rPr>
          <w:rFonts w:cs="Times New Roman"/>
          <w:szCs w:val="24"/>
          <w:lang w:val="en-US"/>
        </w:rPr>
      </w:pPr>
      <w:r w:rsidRPr="00C9008B">
        <w:rPr>
          <w:rFonts w:cs="Times New Roman"/>
          <w:i/>
          <w:iCs/>
          <w:sz w:val="20"/>
          <w:szCs w:val="20"/>
          <w:lang w:val="en-US"/>
        </w:rPr>
        <w:t>Figure</w:t>
      </w:r>
      <w:r w:rsidR="00326340">
        <w:rPr>
          <w:rFonts w:cs="Times New Roman"/>
          <w:i/>
          <w:iCs/>
          <w:sz w:val="20"/>
          <w:szCs w:val="20"/>
          <w:lang w:val="en-US"/>
        </w:rPr>
        <w:t xml:space="preserve"> </w:t>
      </w:r>
      <w:r w:rsidR="00326340" w:rsidRPr="00C9008B">
        <w:rPr>
          <w:rFonts w:cs="Times New Roman"/>
          <w:i/>
          <w:iCs/>
          <w:sz w:val="20"/>
          <w:szCs w:val="20"/>
          <w:lang w:val="en-US"/>
        </w:rPr>
        <w:t>3. Cost</w:t>
      </w:r>
      <w:r w:rsidR="005E17E4" w:rsidRPr="00C9008B">
        <w:rPr>
          <w:rFonts w:cs="Times New Roman"/>
          <w:i/>
          <w:iCs/>
          <w:sz w:val="20"/>
          <w:szCs w:val="20"/>
          <w:lang w:val="en-US"/>
        </w:rPr>
        <w:t xml:space="preserve"> of </w:t>
      </w:r>
      <w:r w:rsidR="00C9008B" w:rsidRPr="00C9008B">
        <w:rPr>
          <w:rFonts w:cs="Times New Roman"/>
          <w:i/>
          <w:iCs/>
          <w:sz w:val="20"/>
          <w:szCs w:val="20"/>
          <w:lang w:val="en-US"/>
        </w:rPr>
        <w:t>living. Source</w:t>
      </w:r>
      <w:r w:rsidR="00C9008B">
        <w:rPr>
          <w:rFonts w:cs="Times New Roman"/>
          <w:i/>
          <w:iCs/>
          <w:sz w:val="20"/>
          <w:szCs w:val="20"/>
          <w:lang w:val="en-US"/>
        </w:rPr>
        <w:t>: Annual</w:t>
      </w:r>
      <w:r w:rsidR="00FF29CD" w:rsidRPr="00C9008B">
        <w:rPr>
          <w:rFonts w:cs="Times New Roman"/>
          <w:i/>
          <w:iCs/>
          <w:sz w:val="20"/>
          <w:szCs w:val="20"/>
          <w:lang w:val="en-US"/>
        </w:rPr>
        <w:t xml:space="preserve"> Survey of Hours and Earnings </w:t>
      </w:r>
      <w:r w:rsidR="00C9008B" w:rsidRPr="00C9008B">
        <w:rPr>
          <w:rFonts w:cs="Times New Roman"/>
          <w:i/>
          <w:iCs/>
          <w:sz w:val="20"/>
          <w:szCs w:val="20"/>
          <w:lang w:val="en-US"/>
        </w:rPr>
        <w:t>(ASHE)-Office for National Statistics</w:t>
      </w:r>
    </w:p>
    <w:p w14:paraId="28B1E206" w14:textId="56597591" w:rsidR="00FA4BD2" w:rsidRDefault="00FA4BD2" w:rsidP="009279D2">
      <w:pPr>
        <w:pStyle w:val="Heading1"/>
      </w:pPr>
      <w:bookmarkStart w:id="6" w:name="_Toc99625950"/>
      <w:r>
        <w:lastRenderedPageBreak/>
        <w:t>Economic Growth</w:t>
      </w:r>
      <w:bookmarkEnd w:id="6"/>
    </w:p>
    <w:p w14:paraId="7CD076EF" w14:textId="3CF033A7" w:rsidR="007C701C" w:rsidRDefault="009429AB" w:rsidP="00B318A0">
      <w:pPr>
        <w:spacing w:before="240" w:line="360" w:lineRule="auto"/>
        <w:jc w:val="both"/>
        <w:rPr>
          <w:rFonts w:cs="Times New Roman"/>
          <w:szCs w:val="24"/>
          <w:lang w:val="en-US"/>
        </w:rPr>
      </w:pPr>
      <w:r w:rsidRPr="00B318A0">
        <w:rPr>
          <w:rFonts w:cs="Times New Roman"/>
          <w:szCs w:val="24"/>
          <w:lang w:val="en-US"/>
        </w:rPr>
        <w:t xml:space="preserve">Economic growth refers to the increase in the gross domestic product of a country compared to the previous years. If the difference between the GDPs </w:t>
      </w:r>
      <w:r w:rsidR="005900E0" w:rsidRPr="00B318A0">
        <w:rPr>
          <w:rFonts w:cs="Times New Roman"/>
          <w:szCs w:val="24"/>
          <w:lang w:val="en-US"/>
        </w:rPr>
        <w:t>is</w:t>
      </w:r>
      <w:r w:rsidRPr="00B318A0">
        <w:rPr>
          <w:rFonts w:cs="Times New Roman"/>
          <w:szCs w:val="24"/>
          <w:lang w:val="en-US"/>
        </w:rPr>
        <w:t xml:space="preserve"> positive then the economy is growing and if there is no change in the results then the economy is stagnant. Economic growth increases the factors of production for a country. </w:t>
      </w:r>
      <w:r w:rsidR="005900E0" w:rsidRPr="00B318A0">
        <w:rPr>
          <w:rFonts w:cs="Times New Roman"/>
          <w:szCs w:val="24"/>
          <w:lang w:val="en-US"/>
        </w:rPr>
        <w:t>E</w:t>
      </w:r>
      <w:r w:rsidRPr="00B318A0">
        <w:rPr>
          <w:rFonts w:cs="Times New Roman"/>
          <w:szCs w:val="24"/>
          <w:lang w:val="en-US"/>
        </w:rPr>
        <w:t>conomic growth refers to the increase in the income of the population that transpires into a higher standard of living</w:t>
      </w:r>
      <w:r w:rsidR="00BF469B" w:rsidRPr="00B318A0">
        <w:rPr>
          <w:rFonts w:cs="Times New Roman"/>
          <w:szCs w:val="24"/>
          <w:lang w:val="en-US"/>
        </w:rPr>
        <w:t xml:space="preserve"> (</w:t>
      </w:r>
      <w:proofErr w:type="spellStart"/>
      <w:r w:rsidR="00BF469B" w:rsidRPr="00B318A0">
        <w:rPr>
          <w:rFonts w:cs="Times New Roman"/>
          <w:szCs w:val="24"/>
          <w:lang w:val="en-US"/>
        </w:rPr>
        <w:t>Kirikkaleli</w:t>
      </w:r>
      <w:proofErr w:type="spellEnd"/>
      <w:r w:rsidR="00BF469B" w:rsidRPr="00B318A0">
        <w:rPr>
          <w:rFonts w:cs="Times New Roman"/>
          <w:szCs w:val="24"/>
          <w:lang w:val="en-US"/>
        </w:rPr>
        <w:t>, 2021)</w:t>
      </w:r>
      <w:r w:rsidRPr="00B318A0">
        <w:rPr>
          <w:rFonts w:cs="Times New Roman"/>
          <w:szCs w:val="24"/>
          <w:lang w:val="en-US"/>
        </w:rPr>
        <w:t xml:space="preserve">. The impact of the Pound rate depleting is that the economic growth of the country will be stagnated. The physical capital goods will not increase in the country and thus the country will not be able to produce more. The low GDP will mean that the economy is not growing for the UK. </w:t>
      </w:r>
      <w:r w:rsidR="0089765B" w:rsidRPr="0089765B">
        <w:rPr>
          <w:rFonts w:cs="Times New Roman"/>
          <w:szCs w:val="24"/>
          <w:lang w:val="en-US"/>
        </w:rPr>
        <w:drawing>
          <wp:inline distT="0" distB="0" distL="0" distR="0" wp14:anchorId="65FA5D9D" wp14:editId="17B91120">
            <wp:extent cx="5731510" cy="3641725"/>
            <wp:effectExtent l="0" t="0" r="2540" b="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7"/>
                    <a:stretch>
                      <a:fillRect/>
                    </a:stretch>
                  </pic:blipFill>
                  <pic:spPr>
                    <a:xfrm>
                      <a:off x="0" y="0"/>
                      <a:ext cx="5731510" cy="3641725"/>
                    </a:xfrm>
                    <a:prstGeom prst="rect">
                      <a:avLst/>
                    </a:prstGeom>
                  </pic:spPr>
                </pic:pic>
              </a:graphicData>
            </a:graphic>
          </wp:inline>
        </w:drawing>
      </w:r>
    </w:p>
    <w:p w14:paraId="44F39D8C" w14:textId="27E1FB48" w:rsidR="00C621DA" w:rsidRPr="000C2734" w:rsidRDefault="00326340" w:rsidP="000C2734">
      <w:pPr>
        <w:spacing w:before="240" w:line="360" w:lineRule="auto"/>
        <w:jc w:val="center"/>
        <w:rPr>
          <w:rFonts w:cs="Times New Roman"/>
          <w:i/>
          <w:iCs/>
          <w:sz w:val="20"/>
          <w:szCs w:val="20"/>
          <w:lang w:val="en-US"/>
        </w:rPr>
      </w:pPr>
      <w:r>
        <w:rPr>
          <w:rFonts w:cs="Times New Roman"/>
          <w:i/>
          <w:iCs/>
          <w:sz w:val="20"/>
          <w:szCs w:val="20"/>
          <w:lang w:val="en-US"/>
        </w:rPr>
        <w:t>Figure 4.</w:t>
      </w:r>
      <w:r w:rsidRPr="000C2734">
        <w:rPr>
          <w:rFonts w:cs="Times New Roman"/>
          <w:i/>
          <w:iCs/>
          <w:sz w:val="20"/>
          <w:szCs w:val="20"/>
          <w:lang w:val="en-US"/>
        </w:rPr>
        <w:t xml:space="preserve"> Annual</w:t>
      </w:r>
      <w:r w:rsidR="00C621DA" w:rsidRPr="000C2734">
        <w:rPr>
          <w:rFonts w:cs="Times New Roman"/>
          <w:i/>
          <w:iCs/>
          <w:sz w:val="20"/>
          <w:szCs w:val="20"/>
          <w:lang w:val="en-US"/>
        </w:rPr>
        <w:t xml:space="preserve"> growth of gross domestic product in the United Kingdom from 1949 to 2022</w:t>
      </w:r>
      <w:r w:rsidR="0007624F" w:rsidRPr="000C2734">
        <w:rPr>
          <w:rFonts w:cs="Times New Roman"/>
          <w:i/>
          <w:iCs/>
          <w:sz w:val="20"/>
          <w:szCs w:val="20"/>
          <w:lang w:val="en-US"/>
        </w:rPr>
        <w:t>.Statista</w:t>
      </w:r>
    </w:p>
    <w:p w14:paraId="05E70FDB" w14:textId="5B9D3597" w:rsidR="00FA4BD2" w:rsidRDefault="00FA4BD2" w:rsidP="00FA4BD2">
      <w:pPr>
        <w:pStyle w:val="Heading2"/>
        <w:rPr>
          <w:lang w:val="en-US"/>
        </w:rPr>
      </w:pPr>
      <w:bookmarkStart w:id="7" w:name="_Toc99625951"/>
      <w:r>
        <w:rPr>
          <w:lang w:val="en-US"/>
        </w:rPr>
        <w:t>GDP and Economic Growth</w:t>
      </w:r>
      <w:bookmarkEnd w:id="7"/>
    </w:p>
    <w:p w14:paraId="5B4B7326" w14:textId="33919E27" w:rsidR="009429AB" w:rsidRPr="00B318A0" w:rsidRDefault="005900E0" w:rsidP="00B318A0">
      <w:pPr>
        <w:spacing w:before="240" w:line="360" w:lineRule="auto"/>
        <w:jc w:val="both"/>
        <w:rPr>
          <w:rFonts w:cs="Times New Roman"/>
          <w:szCs w:val="24"/>
          <w:lang w:val="en-US"/>
        </w:rPr>
      </w:pPr>
      <w:r w:rsidRPr="00B318A0">
        <w:rPr>
          <w:rFonts w:cs="Times New Roman"/>
          <w:szCs w:val="24"/>
          <w:lang w:val="en-US"/>
        </w:rPr>
        <w:t>E</w:t>
      </w:r>
      <w:r w:rsidR="009429AB" w:rsidRPr="00B318A0">
        <w:rPr>
          <w:rFonts w:cs="Times New Roman"/>
          <w:szCs w:val="24"/>
          <w:lang w:val="en-US"/>
        </w:rPr>
        <w:t>conomic growth is denoted by the GDP formula. This formula refers to the gross national product of the country and measures economic growth. The equation is-</w:t>
      </w:r>
    </w:p>
    <w:p w14:paraId="1C70FCF9" w14:textId="71319634" w:rsidR="009429AB" w:rsidRPr="00B318A0" w:rsidRDefault="009429AB" w:rsidP="00B318A0">
      <w:pPr>
        <w:spacing w:before="240" w:line="360" w:lineRule="auto"/>
        <w:jc w:val="both"/>
        <w:rPr>
          <w:rFonts w:cs="Times New Roman"/>
          <w:szCs w:val="24"/>
          <w:lang w:val="en-US"/>
        </w:rPr>
      </w:pPr>
      <w:r w:rsidRPr="00B318A0">
        <w:rPr>
          <w:rFonts w:cs="Times New Roman"/>
          <w:szCs w:val="24"/>
          <w:lang w:val="en-US"/>
        </w:rPr>
        <w:t>GDP</w:t>
      </w:r>
      <w:r w:rsidR="009D6246">
        <w:rPr>
          <w:rFonts w:cs="Times New Roman"/>
          <w:szCs w:val="24"/>
          <w:lang w:val="en-US"/>
        </w:rPr>
        <w:t xml:space="preserve"> </w:t>
      </w:r>
      <w:r w:rsidRPr="00B318A0">
        <w:rPr>
          <w:rFonts w:cs="Times New Roman"/>
          <w:szCs w:val="24"/>
          <w:lang w:val="en-US"/>
        </w:rPr>
        <w:t>=</w:t>
      </w:r>
      <w:r w:rsidR="009D6246">
        <w:rPr>
          <w:rFonts w:cs="Times New Roman"/>
          <w:szCs w:val="24"/>
          <w:lang w:val="en-US"/>
        </w:rPr>
        <w:t xml:space="preserve"> </w:t>
      </w:r>
      <w:r w:rsidRPr="00B318A0">
        <w:rPr>
          <w:rFonts w:cs="Times New Roman"/>
          <w:szCs w:val="24"/>
          <w:lang w:val="en-US"/>
        </w:rPr>
        <w:t>C+</w:t>
      </w:r>
      <w:r w:rsidR="009D6246">
        <w:rPr>
          <w:rFonts w:cs="Times New Roman"/>
          <w:szCs w:val="24"/>
          <w:lang w:val="en-US"/>
        </w:rPr>
        <w:t xml:space="preserve"> </w:t>
      </w:r>
      <w:r w:rsidRPr="00B318A0">
        <w:rPr>
          <w:rFonts w:cs="Times New Roman"/>
          <w:szCs w:val="24"/>
          <w:lang w:val="en-US"/>
        </w:rPr>
        <w:t>I+</w:t>
      </w:r>
      <w:r w:rsidR="009D6246">
        <w:rPr>
          <w:rFonts w:cs="Times New Roman"/>
          <w:szCs w:val="24"/>
          <w:lang w:val="en-US"/>
        </w:rPr>
        <w:t xml:space="preserve"> </w:t>
      </w:r>
      <w:r w:rsidRPr="00B318A0">
        <w:rPr>
          <w:rFonts w:cs="Times New Roman"/>
          <w:szCs w:val="24"/>
          <w:lang w:val="en-US"/>
        </w:rPr>
        <w:t>G+</w:t>
      </w:r>
      <w:r w:rsidR="009D6246">
        <w:rPr>
          <w:rFonts w:cs="Times New Roman"/>
          <w:szCs w:val="24"/>
          <w:lang w:val="en-US"/>
        </w:rPr>
        <w:t xml:space="preserve"> </w:t>
      </w:r>
      <w:r w:rsidRPr="00B318A0">
        <w:rPr>
          <w:rFonts w:cs="Times New Roman"/>
          <w:szCs w:val="24"/>
          <w:lang w:val="en-US"/>
        </w:rPr>
        <w:t>(X-</w:t>
      </w:r>
      <w:r w:rsidR="009D6246">
        <w:rPr>
          <w:rFonts w:cs="Times New Roman"/>
          <w:szCs w:val="24"/>
          <w:lang w:val="en-US"/>
        </w:rPr>
        <w:t xml:space="preserve"> </w:t>
      </w:r>
      <w:r w:rsidRPr="00B318A0">
        <w:rPr>
          <w:rFonts w:cs="Times New Roman"/>
          <w:szCs w:val="24"/>
          <w:lang w:val="en-US"/>
        </w:rPr>
        <w:t>M)</w:t>
      </w:r>
    </w:p>
    <w:p w14:paraId="08401B27" w14:textId="7875A328" w:rsidR="009429AB" w:rsidRPr="00B318A0" w:rsidRDefault="009429AB" w:rsidP="00B318A0">
      <w:pPr>
        <w:spacing w:before="240" w:line="360" w:lineRule="auto"/>
        <w:jc w:val="both"/>
        <w:rPr>
          <w:rFonts w:cs="Times New Roman"/>
          <w:szCs w:val="24"/>
          <w:lang w:val="en-US"/>
        </w:rPr>
      </w:pPr>
      <w:r w:rsidRPr="00B318A0">
        <w:rPr>
          <w:rFonts w:cs="Times New Roman"/>
          <w:szCs w:val="24"/>
          <w:lang w:val="en-US"/>
        </w:rPr>
        <w:lastRenderedPageBreak/>
        <w:t xml:space="preserve">In this equation C stands for consumer spending, I stands for capital investment by businesses and households, G stands for government spending, X stands for exports and M stands for Imports. If the result of this equation is positive then the country is doing economic growth.  </w:t>
      </w:r>
    </w:p>
    <w:p w14:paraId="1886C4D2" w14:textId="49111ED0" w:rsidR="009429AB" w:rsidRPr="00B318A0" w:rsidRDefault="009429AB" w:rsidP="00B318A0">
      <w:pPr>
        <w:spacing w:before="240" w:line="360" w:lineRule="auto"/>
        <w:jc w:val="both"/>
        <w:rPr>
          <w:rFonts w:cs="Times New Roman"/>
          <w:szCs w:val="24"/>
          <w:lang w:val="en-US"/>
        </w:rPr>
      </w:pPr>
      <w:r w:rsidRPr="00B318A0">
        <w:rPr>
          <w:rFonts w:cs="Times New Roman"/>
          <w:szCs w:val="24"/>
          <w:lang w:val="en-US"/>
        </w:rPr>
        <w:t xml:space="preserve">The current British Pound depletion has caused consumer spending to be limited as the prices of consumer goods have gone up. Secondly, the business and household capital investment </w:t>
      </w:r>
      <w:r w:rsidR="005900E0" w:rsidRPr="00B318A0">
        <w:rPr>
          <w:rFonts w:cs="Times New Roman"/>
          <w:szCs w:val="24"/>
          <w:lang w:val="en-US"/>
        </w:rPr>
        <w:t>are</w:t>
      </w:r>
      <w:r w:rsidRPr="00B318A0">
        <w:rPr>
          <w:rFonts w:cs="Times New Roman"/>
          <w:szCs w:val="24"/>
          <w:lang w:val="en-US"/>
        </w:rPr>
        <w:t xml:space="preserve"> also low as the current depletion of the currency has made the profits from investment minimal for the businesses and individuals. Thirdly, government spending has been high. As the exchange rate is low, the government is forced to spend more to ensure the smooth operation of the country. The government also had to provide subsidies during the lockdown period. Finally, the exports of the country have increased whereas the imports have decreased</w:t>
      </w:r>
      <w:r w:rsidR="00BF469B" w:rsidRPr="00B318A0">
        <w:rPr>
          <w:rFonts w:cs="Times New Roman"/>
          <w:szCs w:val="24"/>
          <w:lang w:val="en-US"/>
        </w:rPr>
        <w:t xml:space="preserve"> (Bukowski, 2020)</w:t>
      </w:r>
      <w:r w:rsidRPr="00B318A0">
        <w:rPr>
          <w:rFonts w:cs="Times New Roman"/>
          <w:szCs w:val="24"/>
          <w:lang w:val="en-US"/>
        </w:rPr>
        <w:t>. As the currency have a lower value than usual, other countries are eager to buy the products f</w:t>
      </w:r>
      <w:r w:rsidR="005900E0" w:rsidRPr="00B318A0">
        <w:rPr>
          <w:rFonts w:cs="Times New Roman"/>
          <w:szCs w:val="24"/>
          <w:lang w:val="en-US"/>
        </w:rPr>
        <w:t>ro</w:t>
      </w:r>
      <w:r w:rsidRPr="00B318A0">
        <w:rPr>
          <w:rFonts w:cs="Times New Roman"/>
          <w:szCs w:val="24"/>
          <w:lang w:val="en-US"/>
        </w:rPr>
        <w:t xml:space="preserve">m </w:t>
      </w:r>
      <w:r w:rsidR="005900E0" w:rsidRPr="00B318A0">
        <w:rPr>
          <w:rFonts w:cs="Times New Roman"/>
          <w:szCs w:val="24"/>
          <w:lang w:val="en-US"/>
        </w:rPr>
        <w:t xml:space="preserve">the </w:t>
      </w:r>
      <w:r w:rsidRPr="00B318A0">
        <w:rPr>
          <w:rFonts w:cs="Times New Roman"/>
          <w:szCs w:val="24"/>
          <w:lang w:val="en-US"/>
        </w:rPr>
        <w:t xml:space="preserve">UK at a fairly lower exchange rate. On the other hand, the imports are low as the businesses are forced to spend more on the imports due to the low value of the </w:t>
      </w:r>
      <w:r w:rsidR="005900E0" w:rsidRPr="00B318A0">
        <w:rPr>
          <w:rFonts w:cs="Times New Roman"/>
          <w:szCs w:val="24"/>
          <w:lang w:val="en-US"/>
        </w:rPr>
        <w:t>p</w:t>
      </w:r>
      <w:r w:rsidRPr="00B318A0">
        <w:rPr>
          <w:rFonts w:cs="Times New Roman"/>
          <w:szCs w:val="24"/>
          <w:lang w:val="en-US"/>
        </w:rPr>
        <w:t xml:space="preserve">ound in the foreign exchange market </w:t>
      </w:r>
      <w:r w:rsidR="005900E0" w:rsidRPr="00B318A0">
        <w:rPr>
          <w:rFonts w:cs="Times New Roman"/>
          <w:szCs w:val="24"/>
          <w:lang w:val="en-US"/>
        </w:rPr>
        <w:t>which</w:t>
      </w:r>
      <w:r w:rsidRPr="00B318A0">
        <w:rPr>
          <w:rFonts w:cs="Times New Roman"/>
          <w:szCs w:val="24"/>
          <w:lang w:val="en-US"/>
        </w:rPr>
        <w:t xml:space="preserve"> has increased the prices of the imported products significantly. Despite these factors</w:t>
      </w:r>
      <w:r w:rsidR="005900E0" w:rsidRPr="00B318A0">
        <w:rPr>
          <w:rFonts w:cs="Times New Roman"/>
          <w:szCs w:val="24"/>
          <w:lang w:val="en-US"/>
        </w:rPr>
        <w:t>,</w:t>
      </w:r>
      <w:r w:rsidRPr="00B318A0">
        <w:rPr>
          <w:rFonts w:cs="Times New Roman"/>
          <w:szCs w:val="24"/>
          <w:lang w:val="en-US"/>
        </w:rPr>
        <w:t xml:space="preserve"> the high government spending in the international market and the high production due to more exports have made the UK GDP grow 7.5% in the year 2021</w:t>
      </w:r>
      <w:r w:rsidR="00BF469B" w:rsidRPr="00B318A0">
        <w:rPr>
          <w:rFonts w:cs="Times New Roman"/>
          <w:szCs w:val="24"/>
          <w:lang w:val="en-US"/>
        </w:rPr>
        <w:t xml:space="preserve"> (</w:t>
      </w:r>
      <w:proofErr w:type="spellStart"/>
      <w:r w:rsidR="00BF469B" w:rsidRPr="00B318A0">
        <w:rPr>
          <w:rFonts w:cs="Times New Roman"/>
          <w:szCs w:val="24"/>
          <w:lang w:val="en-US"/>
        </w:rPr>
        <w:t>Karagainni</w:t>
      </w:r>
      <w:proofErr w:type="spellEnd"/>
      <w:r w:rsidR="00BF469B" w:rsidRPr="00B318A0">
        <w:rPr>
          <w:rFonts w:cs="Times New Roman"/>
          <w:szCs w:val="24"/>
          <w:lang w:val="en-US"/>
        </w:rPr>
        <w:t>, 2021)</w:t>
      </w:r>
      <w:r w:rsidRPr="00B318A0">
        <w:rPr>
          <w:rFonts w:cs="Times New Roman"/>
          <w:szCs w:val="24"/>
          <w:lang w:val="en-US"/>
        </w:rPr>
        <w:t xml:space="preserve">.  </w:t>
      </w:r>
    </w:p>
    <w:p w14:paraId="03B75E1F" w14:textId="36667F68" w:rsidR="00FA4BD2" w:rsidRDefault="00FA4BD2" w:rsidP="009279D2">
      <w:pPr>
        <w:pStyle w:val="Heading1"/>
      </w:pPr>
      <w:bookmarkStart w:id="8" w:name="_Toc99625952"/>
      <w:r>
        <w:t>Monetary policies to tackle the Pound depletion</w:t>
      </w:r>
      <w:bookmarkEnd w:id="8"/>
      <w:r>
        <w:t xml:space="preserve"> </w:t>
      </w:r>
    </w:p>
    <w:p w14:paraId="0CCCED28" w14:textId="0AA86FEC" w:rsidR="008B115C" w:rsidRPr="00B318A0" w:rsidRDefault="008B115C" w:rsidP="00B318A0">
      <w:pPr>
        <w:spacing w:before="240" w:line="360" w:lineRule="auto"/>
        <w:jc w:val="both"/>
        <w:rPr>
          <w:rFonts w:cs="Times New Roman"/>
          <w:szCs w:val="24"/>
          <w:lang w:val="en-US"/>
        </w:rPr>
      </w:pPr>
      <w:r w:rsidRPr="00B318A0">
        <w:rPr>
          <w:rFonts w:cs="Times New Roman"/>
          <w:szCs w:val="24"/>
          <w:lang w:val="en-US"/>
        </w:rPr>
        <w:t>The Bank of England has set their monetary policy to meet a 2% inflation target that will help them keep sustained growth and employment in the future. The new policy has decided to increase the interest rates to increase by 0.15% and to make the overall interest rate 0.25%</w:t>
      </w:r>
      <w:r w:rsidR="00BF469B" w:rsidRPr="00B318A0">
        <w:rPr>
          <w:rFonts w:cs="Times New Roman"/>
          <w:szCs w:val="24"/>
          <w:lang w:val="en-US"/>
        </w:rPr>
        <w:t xml:space="preserve"> (Oxford Analytica, 2021)</w:t>
      </w:r>
      <w:r w:rsidRPr="00B318A0">
        <w:rPr>
          <w:rFonts w:cs="Times New Roman"/>
          <w:szCs w:val="24"/>
          <w:lang w:val="en-US"/>
        </w:rPr>
        <w:t xml:space="preserve">. As per the projections, the energy prices are to stabilize as well as the global demand for UK products will also return to normalcy which will eventually lower the inflation of the country. The unemployment level has reduced to 4.1% against 4.34% </w:t>
      </w:r>
      <w:r w:rsidR="005900E0" w:rsidRPr="00B318A0">
        <w:rPr>
          <w:rFonts w:cs="Times New Roman"/>
          <w:szCs w:val="24"/>
          <w:lang w:val="en-US"/>
        </w:rPr>
        <w:t>i</w:t>
      </w:r>
      <w:r w:rsidRPr="00B318A0">
        <w:rPr>
          <w:rFonts w:cs="Times New Roman"/>
          <w:szCs w:val="24"/>
          <w:lang w:val="en-US"/>
        </w:rPr>
        <w:t>n 2020</w:t>
      </w:r>
      <w:r w:rsidR="00BF469B" w:rsidRPr="00B318A0">
        <w:rPr>
          <w:rFonts w:cs="Times New Roman"/>
          <w:szCs w:val="24"/>
          <w:lang w:val="en-US"/>
        </w:rPr>
        <w:t xml:space="preserve"> (Carney, 2021)</w:t>
      </w:r>
      <w:r w:rsidRPr="00B318A0">
        <w:rPr>
          <w:rFonts w:cs="Times New Roman"/>
          <w:szCs w:val="24"/>
          <w:lang w:val="en-US"/>
        </w:rPr>
        <w:t xml:space="preserve">. The unemployed population are reemployed and they will contribute towards a better GDP for the country and ensure economic growth for </w:t>
      </w:r>
      <w:r w:rsidR="005900E0" w:rsidRPr="00B318A0">
        <w:rPr>
          <w:rFonts w:cs="Times New Roman"/>
          <w:szCs w:val="24"/>
          <w:lang w:val="en-US"/>
        </w:rPr>
        <w:t xml:space="preserve">the </w:t>
      </w:r>
      <w:r w:rsidRPr="00B318A0">
        <w:rPr>
          <w:rFonts w:cs="Times New Roman"/>
          <w:szCs w:val="24"/>
          <w:lang w:val="en-US"/>
        </w:rPr>
        <w:t xml:space="preserve">UK. The current depletion of the UK Pounds is better for the country as the country had faced similar kind of situation </w:t>
      </w:r>
      <w:r w:rsidR="00BF469B" w:rsidRPr="00B318A0">
        <w:rPr>
          <w:rFonts w:cs="Times New Roman"/>
          <w:szCs w:val="24"/>
          <w:lang w:val="en-US"/>
        </w:rPr>
        <w:t>in</w:t>
      </w:r>
      <w:r w:rsidRPr="00B318A0">
        <w:rPr>
          <w:rFonts w:cs="Times New Roman"/>
          <w:szCs w:val="24"/>
          <w:lang w:val="en-US"/>
        </w:rPr>
        <w:t xml:space="preserve"> 1992</w:t>
      </w:r>
      <w:r w:rsidR="00BF469B" w:rsidRPr="00B318A0">
        <w:rPr>
          <w:rFonts w:cs="Times New Roman"/>
          <w:szCs w:val="24"/>
          <w:lang w:val="en-US"/>
        </w:rPr>
        <w:t xml:space="preserve"> (Oxford Analytica, 2021)</w:t>
      </w:r>
      <w:r w:rsidRPr="00B318A0">
        <w:rPr>
          <w:rFonts w:cs="Times New Roman"/>
          <w:szCs w:val="24"/>
          <w:lang w:val="en-US"/>
        </w:rPr>
        <w:t>. The country then pulled back their economy by focusing the economy on the low inflation economic growth. The current monetary policy focuses on the inflation rate and plans to reduce the inflation to 2%</w:t>
      </w:r>
      <w:r w:rsidR="00BF469B" w:rsidRPr="00B318A0">
        <w:rPr>
          <w:rFonts w:cs="Times New Roman"/>
          <w:szCs w:val="24"/>
          <w:lang w:val="en-US"/>
        </w:rPr>
        <w:t xml:space="preserve"> (Carney, 2021)</w:t>
      </w:r>
      <w:r w:rsidRPr="00B318A0">
        <w:rPr>
          <w:rFonts w:cs="Times New Roman"/>
          <w:szCs w:val="24"/>
          <w:lang w:val="en-US"/>
        </w:rPr>
        <w:t xml:space="preserve">. </w:t>
      </w:r>
    </w:p>
    <w:p w14:paraId="46EC0677" w14:textId="730664FD" w:rsidR="008B115C" w:rsidRPr="00B318A0" w:rsidRDefault="005900E0" w:rsidP="00B318A0">
      <w:pPr>
        <w:spacing w:before="240" w:line="360" w:lineRule="auto"/>
        <w:jc w:val="both"/>
        <w:rPr>
          <w:rFonts w:cs="Times New Roman"/>
          <w:szCs w:val="24"/>
          <w:lang w:val="en-US"/>
        </w:rPr>
      </w:pPr>
      <w:r w:rsidRPr="00B318A0">
        <w:rPr>
          <w:rFonts w:cs="Times New Roman"/>
          <w:szCs w:val="24"/>
          <w:lang w:val="en-US"/>
        </w:rPr>
        <w:lastRenderedPageBreak/>
        <w:t>U</w:t>
      </w:r>
      <w:r w:rsidR="008B115C" w:rsidRPr="00B318A0">
        <w:rPr>
          <w:rFonts w:cs="Times New Roman"/>
          <w:szCs w:val="24"/>
          <w:lang w:val="en-US"/>
        </w:rPr>
        <w:t xml:space="preserve">nemployment is another reason </w:t>
      </w:r>
      <w:r w:rsidRPr="00B318A0">
        <w:rPr>
          <w:rFonts w:cs="Times New Roman"/>
          <w:szCs w:val="24"/>
          <w:lang w:val="en-US"/>
        </w:rPr>
        <w:t>for</w:t>
      </w:r>
      <w:r w:rsidR="008B115C" w:rsidRPr="00B318A0">
        <w:rPr>
          <w:rFonts w:cs="Times New Roman"/>
          <w:szCs w:val="24"/>
          <w:lang w:val="en-US"/>
        </w:rPr>
        <w:t xml:space="preserve"> the Pound rate being depleted. Unemployment causes the production of the country to go down. Unemployment disrupts the stability of the economy and thus the econom</w:t>
      </w:r>
      <w:r w:rsidRPr="00B318A0">
        <w:rPr>
          <w:rFonts w:cs="Times New Roman"/>
          <w:szCs w:val="24"/>
          <w:lang w:val="en-US"/>
        </w:rPr>
        <w:t>ic</w:t>
      </w:r>
      <w:r w:rsidR="008B115C" w:rsidRPr="00B318A0">
        <w:rPr>
          <w:rFonts w:cs="Times New Roman"/>
          <w:szCs w:val="24"/>
          <w:lang w:val="en-US"/>
        </w:rPr>
        <w:t xml:space="preserve"> forces to change and the fluctuation of the interest rates and inflation results in a depletion of the currency. The unemployment rate has directly impacted the Pound rate of the country. In 2019 the unemployment rate rose to 4.4% and the GBP/EUR rate dropped to 1.3944</w:t>
      </w:r>
      <w:r w:rsidR="00BF469B" w:rsidRPr="00B318A0">
        <w:rPr>
          <w:rFonts w:cs="Times New Roman"/>
          <w:szCs w:val="24"/>
          <w:lang w:val="en-US"/>
        </w:rPr>
        <w:t xml:space="preserve"> (</w:t>
      </w:r>
      <w:proofErr w:type="spellStart"/>
      <w:r w:rsidR="00BF469B" w:rsidRPr="00B318A0">
        <w:rPr>
          <w:rFonts w:cs="Times New Roman"/>
          <w:szCs w:val="24"/>
          <w:lang w:val="en-US"/>
        </w:rPr>
        <w:t>Simonescu</w:t>
      </w:r>
      <w:proofErr w:type="spellEnd"/>
      <w:r w:rsidR="00BF469B" w:rsidRPr="00B318A0">
        <w:rPr>
          <w:rFonts w:cs="Times New Roman"/>
          <w:szCs w:val="24"/>
          <w:lang w:val="en-US"/>
        </w:rPr>
        <w:t>, 2020)</w:t>
      </w:r>
      <w:r w:rsidR="008B115C" w:rsidRPr="00B318A0">
        <w:rPr>
          <w:rFonts w:cs="Times New Roman"/>
          <w:szCs w:val="24"/>
          <w:lang w:val="en-US"/>
        </w:rPr>
        <w:t>. Unemployment refers to the inefficiency of the country to deploy all the resources available to them. The higher the unemployment rate the lower the Pound will go down. The recent monetary policy has a goal of reducing the unemployment rate to 4% to ensure a stable economy for the country</w:t>
      </w:r>
      <w:r w:rsidR="00BF469B" w:rsidRPr="00B318A0">
        <w:rPr>
          <w:rFonts w:cs="Times New Roman"/>
          <w:szCs w:val="24"/>
          <w:lang w:val="en-US"/>
        </w:rPr>
        <w:t xml:space="preserve"> (</w:t>
      </w:r>
      <w:proofErr w:type="spellStart"/>
      <w:r w:rsidR="00BF469B" w:rsidRPr="00B318A0">
        <w:rPr>
          <w:rFonts w:cs="Times New Roman"/>
          <w:szCs w:val="24"/>
          <w:lang w:val="en-US"/>
        </w:rPr>
        <w:t>Riese</w:t>
      </w:r>
      <w:proofErr w:type="spellEnd"/>
      <w:r w:rsidR="00BF469B" w:rsidRPr="00B318A0">
        <w:rPr>
          <w:rFonts w:cs="Times New Roman"/>
          <w:szCs w:val="24"/>
          <w:lang w:val="en-US"/>
        </w:rPr>
        <w:t>, 2021)</w:t>
      </w:r>
      <w:r w:rsidR="008B115C" w:rsidRPr="00B318A0">
        <w:rPr>
          <w:rFonts w:cs="Times New Roman"/>
          <w:szCs w:val="24"/>
          <w:lang w:val="en-US"/>
        </w:rPr>
        <w:t xml:space="preserve">. </w:t>
      </w:r>
    </w:p>
    <w:p w14:paraId="391DBE78" w14:textId="4DD51C9C" w:rsidR="00FA4BD2" w:rsidRDefault="00FA4BD2" w:rsidP="009279D2">
      <w:pPr>
        <w:pStyle w:val="Heading1"/>
      </w:pPr>
      <w:bookmarkStart w:id="9" w:name="_Toc99625953"/>
      <w:r>
        <w:t>Conclusion</w:t>
      </w:r>
      <w:bookmarkEnd w:id="9"/>
      <w:r>
        <w:t xml:space="preserve"> </w:t>
      </w:r>
    </w:p>
    <w:p w14:paraId="18E00D24" w14:textId="602F3EE5" w:rsidR="00513888" w:rsidRPr="00B318A0" w:rsidRDefault="00513888" w:rsidP="00B318A0">
      <w:pPr>
        <w:spacing w:before="240" w:line="360" w:lineRule="auto"/>
        <w:jc w:val="both"/>
        <w:rPr>
          <w:rFonts w:cs="Times New Roman"/>
          <w:szCs w:val="24"/>
          <w:lang w:val="en-US"/>
        </w:rPr>
      </w:pPr>
      <w:r w:rsidRPr="00B318A0">
        <w:rPr>
          <w:rFonts w:cs="Times New Roman"/>
          <w:szCs w:val="24"/>
          <w:lang w:val="en-US"/>
        </w:rPr>
        <w:t>The depleting Pound rate of the UK has made it tough for both international and domestic businesses. The reducing rate of the British Pound has made it harder for the importers of the country to import the desired amount. However, the exporters are enjoying the low rates as they are exporting more as the buyers are eager to buy at a lower Pound rate. The trade is facing a deficit in the domestic market but ha</w:t>
      </w:r>
      <w:r w:rsidR="005900E0" w:rsidRPr="00B318A0">
        <w:rPr>
          <w:rFonts w:cs="Times New Roman"/>
          <w:szCs w:val="24"/>
          <w:lang w:val="en-US"/>
        </w:rPr>
        <w:t>s</w:t>
      </w:r>
      <w:r w:rsidRPr="00B318A0">
        <w:rPr>
          <w:rFonts w:cs="Times New Roman"/>
          <w:szCs w:val="24"/>
          <w:lang w:val="en-US"/>
        </w:rPr>
        <w:t xml:space="preserve"> a trade surplus in the foreign market. Due to this trade deficit and the volatile energy market the inflation of the country is also high</w:t>
      </w:r>
      <w:r w:rsidR="00BF469B" w:rsidRPr="00B318A0">
        <w:rPr>
          <w:rFonts w:cs="Times New Roman"/>
          <w:szCs w:val="24"/>
          <w:lang w:val="en-US"/>
        </w:rPr>
        <w:t xml:space="preserve"> (</w:t>
      </w:r>
      <w:proofErr w:type="spellStart"/>
      <w:r w:rsidR="00BF469B" w:rsidRPr="00B318A0">
        <w:rPr>
          <w:rFonts w:cs="Times New Roman"/>
          <w:szCs w:val="24"/>
          <w:lang w:val="en-US"/>
        </w:rPr>
        <w:t>Gobbi</w:t>
      </w:r>
      <w:proofErr w:type="spellEnd"/>
      <w:r w:rsidR="00BF469B" w:rsidRPr="00B318A0">
        <w:rPr>
          <w:rFonts w:cs="Times New Roman"/>
          <w:szCs w:val="24"/>
          <w:lang w:val="en-US"/>
        </w:rPr>
        <w:t>, 2022)</w:t>
      </w:r>
      <w:r w:rsidRPr="00B318A0">
        <w:rPr>
          <w:rFonts w:cs="Times New Roman"/>
          <w:szCs w:val="24"/>
          <w:lang w:val="en-US"/>
        </w:rPr>
        <w:t xml:space="preserve">. The inflation is causing the standard of living of the UK more expensive. </w:t>
      </w:r>
      <w:r w:rsidR="005900E0" w:rsidRPr="00B318A0">
        <w:rPr>
          <w:rFonts w:cs="Times New Roman"/>
          <w:szCs w:val="24"/>
          <w:lang w:val="en-US"/>
        </w:rPr>
        <w:t xml:space="preserve">The </w:t>
      </w:r>
      <w:r w:rsidRPr="00B318A0">
        <w:rPr>
          <w:rFonts w:cs="Times New Roman"/>
          <w:szCs w:val="24"/>
          <w:lang w:val="en-US"/>
        </w:rPr>
        <w:t xml:space="preserve">UK is economically growing as the government spending and exports of the country increased despite the low individual investment and low imports. The unemployment rate is high but if the unemployment rate is possible to be taken under control then the rate of the Pounds can go up </w:t>
      </w:r>
      <w:r w:rsidR="005900E0" w:rsidRPr="00B318A0">
        <w:rPr>
          <w:rFonts w:cs="Times New Roman"/>
          <w:szCs w:val="24"/>
          <w:lang w:val="en-US"/>
        </w:rPr>
        <w:t>again</w:t>
      </w:r>
      <w:r w:rsidRPr="00B318A0">
        <w:rPr>
          <w:rFonts w:cs="Times New Roman"/>
          <w:szCs w:val="24"/>
          <w:lang w:val="en-US"/>
        </w:rPr>
        <w:t xml:space="preserve">. </w:t>
      </w:r>
    </w:p>
    <w:p w14:paraId="0F8CBEE5" w14:textId="4EBC7583" w:rsidR="00B318A0" w:rsidRPr="000370EC" w:rsidRDefault="00B318A0" w:rsidP="009279D2">
      <w:pPr>
        <w:pStyle w:val="Heading1"/>
        <w:rPr>
          <w:rFonts w:cs="Times New Roman"/>
          <w:szCs w:val="24"/>
        </w:rPr>
      </w:pPr>
      <w:r>
        <w:rPr>
          <w:rFonts w:cs="Times New Roman"/>
          <w:szCs w:val="24"/>
        </w:rPr>
        <w:br w:type="page"/>
      </w:r>
      <w:bookmarkStart w:id="10" w:name="_Toc99625954"/>
      <w:r w:rsidRPr="00B318A0">
        <w:lastRenderedPageBreak/>
        <w:t>References</w:t>
      </w:r>
      <w:bookmarkEnd w:id="10"/>
    </w:p>
    <w:p w14:paraId="06DD5148" w14:textId="77777777" w:rsidR="00470BEF" w:rsidRPr="00B318A0" w:rsidRDefault="00470BEF" w:rsidP="001D2CE2">
      <w:pPr>
        <w:pStyle w:val="NormalWeb"/>
        <w:spacing w:before="240" w:beforeAutospacing="0" w:after="160" w:afterAutospacing="0" w:line="360" w:lineRule="auto"/>
        <w:jc w:val="both"/>
      </w:pPr>
      <w:r w:rsidRPr="00B318A0">
        <w:rPr>
          <w:color w:val="222222"/>
          <w:shd w:val="clear" w:color="auto" w:fill="FFFFFF"/>
        </w:rPr>
        <w:t>Balakrishnan, R. and Lopez-</w:t>
      </w:r>
      <w:proofErr w:type="spellStart"/>
      <w:r w:rsidRPr="00B318A0">
        <w:rPr>
          <w:color w:val="222222"/>
          <w:shd w:val="clear" w:color="auto" w:fill="FFFFFF"/>
        </w:rPr>
        <w:t>Salido</w:t>
      </w:r>
      <w:proofErr w:type="spellEnd"/>
      <w:r w:rsidRPr="00B318A0">
        <w:rPr>
          <w:color w:val="222222"/>
          <w:shd w:val="clear" w:color="auto" w:fill="FFFFFF"/>
        </w:rPr>
        <w:t>, D., 2021. Understanding UK inflation: the role of openness.</w:t>
      </w:r>
    </w:p>
    <w:p w14:paraId="7383E310" w14:textId="77777777" w:rsidR="00470BEF" w:rsidRPr="00B318A0" w:rsidRDefault="00470BEF" w:rsidP="001D2CE2">
      <w:pPr>
        <w:pStyle w:val="NormalWeb"/>
        <w:spacing w:before="240" w:beforeAutospacing="0" w:after="160" w:afterAutospacing="0" w:line="360" w:lineRule="auto"/>
        <w:jc w:val="both"/>
      </w:pPr>
      <w:r w:rsidRPr="00B318A0">
        <w:rPr>
          <w:color w:val="222222"/>
          <w:shd w:val="clear" w:color="auto" w:fill="FFFFFF"/>
        </w:rPr>
        <w:t xml:space="preserve">Bukowski, S.I. and Gowers, R., 2020. An Estimate of the Impacts of the Bank of England's Quantitative Easing </w:t>
      </w:r>
      <w:proofErr w:type="spellStart"/>
      <w:r w:rsidRPr="00B318A0">
        <w:rPr>
          <w:color w:val="222222"/>
          <w:shd w:val="clear" w:color="auto" w:fill="FFFFFF"/>
        </w:rPr>
        <w:t>Programme</w:t>
      </w:r>
      <w:proofErr w:type="spellEnd"/>
      <w:r w:rsidRPr="00B318A0">
        <w:rPr>
          <w:color w:val="222222"/>
          <w:shd w:val="clear" w:color="auto" w:fill="FFFFFF"/>
        </w:rPr>
        <w:t xml:space="preserve"> on UK Economic Growth. </w:t>
      </w:r>
      <w:r w:rsidRPr="00B318A0">
        <w:rPr>
          <w:i/>
          <w:iCs/>
          <w:color w:val="222222"/>
          <w:shd w:val="clear" w:color="auto" w:fill="FFFFFF"/>
        </w:rPr>
        <w:t>Central European Review of Economics &amp; Finance</w:t>
      </w:r>
      <w:r w:rsidRPr="00B318A0">
        <w:rPr>
          <w:color w:val="222222"/>
          <w:shd w:val="clear" w:color="auto" w:fill="FFFFFF"/>
        </w:rPr>
        <w:t xml:space="preserve">, </w:t>
      </w:r>
      <w:r w:rsidRPr="00B318A0">
        <w:rPr>
          <w:i/>
          <w:iCs/>
          <w:color w:val="222222"/>
          <w:shd w:val="clear" w:color="auto" w:fill="FFFFFF"/>
        </w:rPr>
        <w:t>25</w:t>
      </w:r>
      <w:r w:rsidRPr="00B318A0">
        <w:rPr>
          <w:color w:val="222222"/>
          <w:shd w:val="clear" w:color="auto" w:fill="FFFFFF"/>
        </w:rPr>
        <w:t>(3), pp.51-65.</w:t>
      </w:r>
    </w:p>
    <w:p w14:paraId="25AAC796" w14:textId="77777777" w:rsidR="00470BEF" w:rsidRPr="00B318A0" w:rsidRDefault="00470BEF" w:rsidP="001D2CE2">
      <w:pPr>
        <w:pStyle w:val="NormalWeb"/>
        <w:spacing w:before="240" w:beforeAutospacing="0" w:after="160" w:afterAutospacing="0" w:line="360" w:lineRule="auto"/>
        <w:jc w:val="both"/>
      </w:pPr>
      <w:r w:rsidRPr="00B318A0">
        <w:rPr>
          <w:color w:val="222222"/>
          <w:shd w:val="clear" w:color="auto" w:fill="FFFFFF"/>
        </w:rPr>
        <w:t xml:space="preserve">Carney, M., 2019, August. The growing challenges for monetary policy in the current international monetary and financial system. In </w:t>
      </w:r>
      <w:r w:rsidRPr="00B318A0">
        <w:rPr>
          <w:i/>
          <w:iCs/>
          <w:color w:val="222222"/>
          <w:shd w:val="clear" w:color="auto" w:fill="FFFFFF"/>
        </w:rPr>
        <w:t>Remarks at the Jackson Hole Symposium</w:t>
      </w:r>
      <w:r w:rsidRPr="00B318A0">
        <w:rPr>
          <w:color w:val="222222"/>
          <w:shd w:val="clear" w:color="auto" w:fill="FFFFFF"/>
        </w:rPr>
        <w:t xml:space="preserve"> (Vol. 23).</w:t>
      </w:r>
    </w:p>
    <w:p w14:paraId="23B79930" w14:textId="77777777" w:rsidR="00470BEF" w:rsidRPr="00B318A0" w:rsidRDefault="00470BEF" w:rsidP="001D2CE2">
      <w:pPr>
        <w:pStyle w:val="NormalWeb"/>
        <w:spacing w:before="240" w:beforeAutospacing="0" w:after="160" w:afterAutospacing="0" w:line="360" w:lineRule="auto"/>
        <w:jc w:val="both"/>
      </w:pPr>
      <w:proofErr w:type="spellStart"/>
      <w:r w:rsidRPr="00B318A0">
        <w:rPr>
          <w:color w:val="222222"/>
          <w:shd w:val="clear" w:color="auto" w:fill="FFFFFF"/>
        </w:rPr>
        <w:t>Economidou</w:t>
      </w:r>
      <w:proofErr w:type="spellEnd"/>
      <w:r w:rsidRPr="00B318A0">
        <w:rPr>
          <w:color w:val="222222"/>
          <w:shd w:val="clear" w:color="auto" w:fill="FFFFFF"/>
        </w:rPr>
        <w:t>, C., Bahmani-</w:t>
      </w:r>
      <w:proofErr w:type="spellStart"/>
      <w:r w:rsidRPr="00B318A0">
        <w:rPr>
          <w:color w:val="222222"/>
          <w:shd w:val="clear" w:color="auto" w:fill="FFFFFF"/>
        </w:rPr>
        <w:t>Oskooee</w:t>
      </w:r>
      <w:proofErr w:type="spellEnd"/>
      <w:r w:rsidRPr="00B318A0">
        <w:rPr>
          <w:color w:val="222222"/>
          <w:shd w:val="clear" w:color="auto" w:fill="FFFFFF"/>
        </w:rPr>
        <w:t xml:space="preserve">, M. and </w:t>
      </w:r>
      <w:proofErr w:type="spellStart"/>
      <w:r w:rsidRPr="00B318A0">
        <w:rPr>
          <w:color w:val="222222"/>
          <w:shd w:val="clear" w:color="auto" w:fill="FFFFFF"/>
        </w:rPr>
        <w:t>Gobinda</w:t>
      </w:r>
      <w:proofErr w:type="spellEnd"/>
      <w:r w:rsidRPr="00B318A0">
        <w:rPr>
          <w:color w:val="222222"/>
          <w:shd w:val="clear" w:color="auto" w:fill="FFFFFF"/>
        </w:rPr>
        <w:t xml:space="preserve">-Goswami, G., 2005. How Sensitive are Britain's </w:t>
      </w:r>
      <w:proofErr w:type="spellStart"/>
      <w:r w:rsidRPr="00B318A0">
        <w:rPr>
          <w:color w:val="222222"/>
          <w:shd w:val="clear" w:color="auto" w:fill="FFFFFF"/>
        </w:rPr>
        <w:t>Inpayments</w:t>
      </w:r>
      <w:proofErr w:type="spellEnd"/>
      <w:r w:rsidRPr="00B318A0">
        <w:rPr>
          <w:color w:val="222222"/>
          <w:shd w:val="clear" w:color="auto" w:fill="FFFFFF"/>
        </w:rPr>
        <w:t xml:space="preserve"> and Outpayments to the Value of the British Pound. </w:t>
      </w:r>
      <w:r w:rsidRPr="00B318A0">
        <w:rPr>
          <w:i/>
          <w:iCs/>
          <w:color w:val="222222"/>
          <w:shd w:val="clear" w:color="auto" w:fill="FFFFFF"/>
        </w:rPr>
        <w:t>Journal of Economic Studies</w:t>
      </w:r>
      <w:r w:rsidRPr="00B318A0">
        <w:rPr>
          <w:color w:val="222222"/>
          <w:shd w:val="clear" w:color="auto" w:fill="FFFFFF"/>
        </w:rPr>
        <w:t xml:space="preserve">, </w:t>
      </w:r>
      <w:r w:rsidRPr="00B318A0">
        <w:rPr>
          <w:i/>
          <w:iCs/>
          <w:color w:val="222222"/>
          <w:shd w:val="clear" w:color="auto" w:fill="FFFFFF"/>
        </w:rPr>
        <w:t>32</w:t>
      </w:r>
      <w:r w:rsidRPr="00B318A0">
        <w:rPr>
          <w:color w:val="222222"/>
          <w:shd w:val="clear" w:color="auto" w:fill="FFFFFF"/>
        </w:rPr>
        <w:t>(6), pp.40-55.</w:t>
      </w:r>
    </w:p>
    <w:p w14:paraId="557C9C28" w14:textId="77777777" w:rsidR="00470BEF" w:rsidRPr="00B318A0" w:rsidRDefault="00470BEF" w:rsidP="001D2CE2">
      <w:pPr>
        <w:pStyle w:val="NormalWeb"/>
        <w:spacing w:before="240" w:beforeAutospacing="0" w:after="160" w:afterAutospacing="0" w:line="360" w:lineRule="auto"/>
        <w:jc w:val="both"/>
      </w:pPr>
      <w:r w:rsidRPr="00B318A0">
        <w:rPr>
          <w:color w:val="222222"/>
          <w:shd w:val="clear" w:color="auto" w:fill="FFFFFF"/>
        </w:rPr>
        <w:t xml:space="preserve">Forbes, K., Kirkham, L. and Theodoridis, K., 2021. A Trendy Approach to UK Inflation Dynamics 1. </w:t>
      </w:r>
      <w:r w:rsidRPr="00B318A0">
        <w:rPr>
          <w:i/>
          <w:iCs/>
          <w:color w:val="222222"/>
          <w:shd w:val="clear" w:color="auto" w:fill="FFFFFF"/>
        </w:rPr>
        <w:t>The Manchester School</w:t>
      </w:r>
      <w:r w:rsidRPr="00B318A0">
        <w:rPr>
          <w:color w:val="222222"/>
          <w:shd w:val="clear" w:color="auto" w:fill="FFFFFF"/>
        </w:rPr>
        <w:t xml:space="preserve">, </w:t>
      </w:r>
      <w:r w:rsidRPr="00B318A0">
        <w:rPr>
          <w:i/>
          <w:iCs/>
          <w:color w:val="222222"/>
          <w:shd w:val="clear" w:color="auto" w:fill="FFFFFF"/>
        </w:rPr>
        <w:t>89</w:t>
      </w:r>
      <w:r w:rsidRPr="00B318A0">
        <w:rPr>
          <w:color w:val="222222"/>
          <w:shd w:val="clear" w:color="auto" w:fill="FFFFFF"/>
        </w:rPr>
        <w:t>, pp.23-75.</w:t>
      </w:r>
    </w:p>
    <w:p w14:paraId="287F7C94" w14:textId="77777777" w:rsidR="00470BEF" w:rsidRPr="00B318A0" w:rsidRDefault="00470BEF" w:rsidP="001D2CE2">
      <w:pPr>
        <w:pStyle w:val="NormalWeb"/>
        <w:spacing w:before="240" w:beforeAutospacing="0" w:after="160" w:afterAutospacing="0" w:line="360" w:lineRule="auto"/>
        <w:jc w:val="both"/>
      </w:pPr>
      <w:proofErr w:type="spellStart"/>
      <w:r w:rsidRPr="00B318A0">
        <w:rPr>
          <w:color w:val="222222"/>
          <w:shd w:val="clear" w:color="auto" w:fill="FFFFFF"/>
        </w:rPr>
        <w:t>Franses</w:t>
      </w:r>
      <w:proofErr w:type="spellEnd"/>
      <w:r w:rsidRPr="00B318A0">
        <w:rPr>
          <w:color w:val="222222"/>
          <w:shd w:val="clear" w:color="auto" w:fill="FFFFFF"/>
        </w:rPr>
        <w:t xml:space="preserve">, P.H. and </w:t>
      </w:r>
      <w:proofErr w:type="spellStart"/>
      <w:r w:rsidRPr="00B318A0">
        <w:rPr>
          <w:color w:val="222222"/>
          <w:shd w:val="clear" w:color="auto" w:fill="FFFFFF"/>
        </w:rPr>
        <w:t>Ooms</w:t>
      </w:r>
      <w:proofErr w:type="spellEnd"/>
      <w:r w:rsidRPr="00B318A0">
        <w:rPr>
          <w:color w:val="222222"/>
          <w:shd w:val="clear" w:color="auto" w:fill="FFFFFF"/>
        </w:rPr>
        <w:t xml:space="preserve">, M., 2020. A periodic long-memory model for quarterly UK inflation. </w:t>
      </w:r>
      <w:r w:rsidRPr="00B318A0">
        <w:rPr>
          <w:i/>
          <w:iCs/>
          <w:color w:val="222222"/>
          <w:shd w:val="clear" w:color="auto" w:fill="FFFFFF"/>
        </w:rPr>
        <w:t>International Journal of forecasting</w:t>
      </w:r>
      <w:r w:rsidRPr="00B318A0">
        <w:rPr>
          <w:color w:val="222222"/>
          <w:shd w:val="clear" w:color="auto" w:fill="FFFFFF"/>
        </w:rPr>
        <w:t xml:space="preserve">, </w:t>
      </w:r>
      <w:r w:rsidRPr="00B318A0">
        <w:rPr>
          <w:i/>
          <w:iCs/>
          <w:color w:val="222222"/>
          <w:shd w:val="clear" w:color="auto" w:fill="FFFFFF"/>
        </w:rPr>
        <w:t>13</w:t>
      </w:r>
      <w:r w:rsidRPr="00B318A0">
        <w:rPr>
          <w:color w:val="222222"/>
          <w:shd w:val="clear" w:color="auto" w:fill="FFFFFF"/>
        </w:rPr>
        <w:t>(1), pp.117-126.</w:t>
      </w:r>
    </w:p>
    <w:p w14:paraId="3DDB0FA2" w14:textId="77777777" w:rsidR="00470BEF" w:rsidRPr="00B318A0" w:rsidRDefault="00470BEF" w:rsidP="001D2CE2">
      <w:pPr>
        <w:pStyle w:val="NormalWeb"/>
        <w:spacing w:before="240" w:beforeAutospacing="0" w:after="160" w:afterAutospacing="0" w:line="360" w:lineRule="auto"/>
        <w:jc w:val="both"/>
      </w:pPr>
      <w:proofErr w:type="spellStart"/>
      <w:r w:rsidRPr="00B318A0">
        <w:rPr>
          <w:color w:val="222222"/>
          <w:shd w:val="clear" w:color="auto" w:fill="FFFFFF"/>
        </w:rPr>
        <w:t>Gobbi</w:t>
      </w:r>
      <w:proofErr w:type="spellEnd"/>
      <w:r w:rsidRPr="00B318A0">
        <w:rPr>
          <w:color w:val="222222"/>
          <w:shd w:val="clear" w:color="auto" w:fill="FFFFFF"/>
        </w:rPr>
        <w:t xml:space="preserve">, L. and Lucarelli, S., 2022. Pound Sterling depreciation and the UK's trade balance versus the USA's: Industry-level estimates. </w:t>
      </w:r>
      <w:r w:rsidRPr="00B318A0">
        <w:rPr>
          <w:i/>
          <w:iCs/>
          <w:color w:val="222222"/>
          <w:shd w:val="clear" w:color="auto" w:fill="FFFFFF"/>
        </w:rPr>
        <w:t>Structural Change and Economic Dynamics</w:t>
      </w:r>
      <w:r w:rsidRPr="00B318A0">
        <w:rPr>
          <w:color w:val="222222"/>
          <w:shd w:val="clear" w:color="auto" w:fill="FFFFFF"/>
        </w:rPr>
        <w:t xml:space="preserve">, </w:t>
      </w:r>
      <w:r w:rsidRPr="00B318A0">
        <w:rPr>
          <w:i/>
          <w:iCs/>
          <w:color w:val="222222"/>
          <w:shd w:val="clear" w:color="auto" w:fill="FFFFFF"/>
        </w:rPr>
        <w:t>60</w:t>
      </w:r>
      <w:r w:rsidRPr="00B318A0">
        <w:rPr>
          <w:color w:val="222222"/>
          <w:shd w:val="clear" w:color="auto" w:fill="FFFFFF"/>
        </w:rPr>
        <w:t>, pp.206-220.</w:t>
      </w:r>
    </w:p>
    <w:p w14:paraId="17F399D6" w14:textId="77777777" w:rsidR="00470BEF" w:rsidRPr="00B318A0" w:rsidRDefault="00470BEF" w:rsidP="001D2CE2">
      <w:pPr>
        <w:pStyle w:val="NormalWeb"/>
        <w:spacing w:before="240" w:beforeAutospacing="0" w:after="160" w:afterAutospacing="0" w:line="360" w:lineRule="auto"/>
        <w:jc w:val="both"/>
      </w:pPr>
      <w:proofErr w:type="spellStart"/>
      <w:r w:rsidRPr="00B318A0">
        <w:rPr>
          <w:color w:val="222222"/>
          <w:shd w:val="clear" w:color="auto" w:fill="FFFFFF"/>
        </w:rPr>
        <w:t>Gourinchas</w:t>
      </w:r>
      <w:proofErr w:type="spellEnd"/>
      <w:r w:rsidRPr="00B318A0">
        <w:rPr>
          <w:color w:val="222222"/>
          <w:shd w:val="clear" w:color="auto" w:fill="FFFFFF"/>
        </w:rPr>
        <w:t xml:space="preserve">, P.O. and Hale, G., 2020. Brexit: whither the pound. </w:t>
      </w:r>
      <w:r w:rsidRPr="00B318A0">
        <w:rPr>
          <w:i/>
          <w:iCs/>
          <w:color w:val="222222"/>
          <w:shd w:val="clear" w:color="auto" w:fill="FFFFFF"/>
        </w:rPr>
        <w:t>FRBSF Economic Letter</w:t>
      </w:r>
      <w:r w:rsidRPr="00B318A0">
        <w:rPr>
          <w:color w:val="222222"/>
          <w:shd w:val="clear" w:color="auto" w:fill="FFFFFF"/>
        </w:rPr>
        <w:t xml:space="preserve">, </w:t>
      </w:r>
      <w:r w:rsidRPr="00B318A0">
        <w:rPr>
          <w:i/>
          <w:iCs/>
          <w:color w:val="222222"/>
          <w:shd w:val="clear" w:color="auto" w:fill="FFFFFF"/>
        </w:rPr>
        <w:t>11</w:t>
      </w:r>
      <w:r w:rsidRPr="00B318A0">
        <w:rPr>
          <w:color w:val="222222"/>
          <w:shd w:val="clear" w:color="auto" w:fill="FFFFFF"/>
        </w:rPr>
        <w:t>.</w:t>
      </w:r>
    </w:p>
    <w:p w14:paraId="7761745D" w14:textId="77777777" w:rsidR="00470BEF" w:rsidRPr="00B318A0" w:rsidRDefault="00470BEF" w:rsidP="001D2CE2">
      <w:pPr>
        <w:pStyle w:val="NormalWeb"/>
        <w:spacing w:before="240" w:beforeAutospacing="0" w:after="160" w:afterAutospacing="0" w:line="360" w:lineRule="auto"/>
        <w:jc w:val="both"/>
      </w:pPr>
      <w:r w:rsidRPr="00B318A0">
        <w:rPr>
          <w:color w:val="222222"/>
          <w:shd w:val="clear" w:color="auto" w:fill="FFFFFF"/>
        </w:rPr>
        <w:t xml:space="preserve">Grossmann, A., Lee, A.A. and Simpson, M.W., 2019. Forward premium anomaly of the British pound and the euro. </w:t>
      </w:r>
      <w:r w:rsidRPr="00B318A0">
        <w:rPr>
          <w:i/>
          <w:iCs/>
          <w:color w:val="222222"/>
          <w:shd w:val="clear" w:color="auto" w:fill="FFFFFF"/>
        </w:rPr>
        <w:t>International Review of Financial Analysis</w:t>
      </w:r>
      <w:r w:rsidRPr="00B318A0">
        <w:rPr>
          <w:color w:val="222222"/>
          <w:shd w:val="clear" w:color="auto" w:fill="FFFFFF"/>
        </w:rPr>
        <w:t xml:space="preserve">, </w:t>
      </w:r>
      <w:r w:rsidRPr="00B318A0">
        <w:rPr>
          <w:i/>
          <w:iCs/>
          <w:color w:val="222222"/>
          <w:shd w:val="clear" w:color="auto" w:fill="FFFFFF"/>
        </w:rPr>
        <w:t>34</w:t>
      </w:r>
      <w:r w:rsidRPr="00B318A0">
        <w:rPr>
          <w:color w:val="222222"/>
          <w:shd w:val="clear" w:color="auto" w:fill="FFFFFF"/>
        </w:rPr>
        <w:t>, pp.140-156.</w:t>
      </w:r>
    </w:p>
    <w:p w14:paraId="70BA1AE1" w14:textId="77777777" w:rsidR="00470BEF" w:rsidRPr="00B318A0" w:rsidRDefault="00470BEF" w:rsidP="001D2CE2">
      <w:pPr>
        <w:pStyle w:val="NormalWeb"/>
        <w:spacing w:before="240" w:beforeAutospacing="0" w:after="160" w:afterAutospacing="0" w:line="360" w:lineRule="auto"/>
        <w:jc w:val="both"/>
      </w:pPr>
      <w:proofErr w:type="spellStart"/>
      <w:r w:rsidRPr="00B318A0">
        <w:rPr>
          <w:color w:val="222222"/>
          <w:shd w:val="clear" w:color="auto" w:fill="FFFFFF"/>
        </w:rPr>
        <w:t>Karagianni</w:t>
      </w:r>
      <w:proofErr w:type="spellEnd"/>
      <w:r w:rsidRPr="00B318A0">
        <w:rPr>
          <w:color w:val="222222"/>
          <w:shd w:val="clear" w:color="auto" w:fill="FFFFFF"/>
        </w:rPr>
        <w:t xml:space="preserve">, S., </w:t>
      </w:r>
      <w:proofErr w:type="spellStart"/>
      <w:r w:rsidRPr="00B318A0">
        <w:rPr>
          <w:color w:val="222222"/>
          <w:shd w:val="clear" w:color="auto" w:fill="FFFFFF"/>
        </w:rPr>
        <w:t>Pempetzoglou</w:t>
      </w:r>
      <w:proofErr w:type="spellEnd"/>
      <w:r w:rsidRPr="00B318A0">
        <w:rPr>
          <w:color w:val="222222"/>
          <w:shd w:val="clear" w:color="auto" w:fill="FFFFFF"/>
        </w:rPr>
        <w:t xml:space="preserve">, M. and </w:t>
      </w:r>
      <w:proofErr w:type="spellStart"/>
      <w:r w:rsidRPr="00B318A0">
        <w:rPr>
          <w:color w:val="222222"/>
          <w:shd w:val="clear" w:color="auto" w:fill="FFFFFF"/>
        </w:rPr>
        <w:t>Saraidaris</w:t>
      </w:r>
      <w:proofErr w:type="spellEnd"/>
      <w:r w:rsidRPr="00B318A0">
        <w:rPr>
          <w:color w:val="222222"/>
          <w:shd w:val="clear" w:color="auto" w:fill="FFFFFF"/>
        </w:rPr>
        <w:t xml:space="preserve">, A., 2019. Government expenditures and economic growth: a nonlinear causality investigation for the UK. </w:t>
      </w:r>
      <w:r w:rsidRPr="00B318A0">
        <w:rPr>
          <w:i/>
          <w:iCs/>
          <w:color w:val="222222"/>
          <w:shd w:val="clear" w:color="auto" w:fill="FFFFFF"/>
        </w:rPr>
        <w:t>European Journal of Marketing and Economics</w:t>
      </w:r>
      <w:r w:rsidRPr="00B318A0">
        <w:rPr>
          <w:color w:val="222222"/>
          <w:shd w:val="clear" w:color="auto" w:fill="FFFFFF"/>
        </w:rPr>
        <w:t xml:space="preserve">, </w:t>
      </w:r>
      <w:r w:rsidRPr="00B318A0">
        <w:rPr>
          <w:i/>
          <w:iCs/>
          <w:color w:val="222222"/>
          <w:shd w:val="clear" w:color="auto" w:fill="FFFFFF"/>
        </w:rPr>
        <w:t>2</w:t>
      </w:r>
      <w:r w:rsidRPr="00B318A0">
        <w:rPr>
          <w:color w:val="222222"/>
          <w:shd w:val="clear" w:color="auto" w:fill="FFFFFF"/>
        </w:rPr>
        <w:t>(2), pp.52-58.</w:t>
      </w:r>
    </w:p>
    <w:p w14:paraId="2EA616C3" w14:textId="77777777" w:rsidR="00470BEF" w:rsidRPr="00B318A0" w:rsidRDefault="00470BEF" w:rsidP="001D2CE2">
      <w:pPr>
        <w:pStyle w:val="NormalWeb"/>
        <w:spacing w:before="240" w:beforeAutospacing="0" w:after="160" w:afterAutospacing="0" w:line="360" w:lineRule="auto"/>
        <w:jc w:val="both"/>
      </w:pPr>
      <w:proofErr w:type="spellStart"/>
      <w:r w:rsidRPr="00B318A0">
        <w:rPr>
          <w:color w:val="222222"/>
          <w:shd w:val="clear" w:color="auto" w:fill="FFFFFF"/>
        </w:rPr>
        <w:lastRenderedPageBreak/>
        <w:t>Kirikkaleli</w:t>
      </w:r>
      <w:proofErr w:type="spellEnd"/>
      <w:r w:rsidRPr="00B318A0">
        <w:rPr>
          <w:color w:val="222222"/>
          <w:shd w:val="clear" w:color="auto" w:fill="FFFFFF"/>
        </w:rPr>
        <w:t xml:space="preserve">, D., Adedoyin, F.F. and </w:t>
      </w:r>
      <w:proofErr w:type="spellStart"/>
      <w:r w:rsidRPr="00B318A0">
        <w:rPr>
          <w:color w:val="222222"/>
          <w:shd w:val="clear" w:color="auto" w:fill="FFFFFF"/>
        </w:rPr>
        <w:t>Bekun</w:t>
      </w:r>
      <w:proofErr w:type="spellEnd"/>
      <w:r w:rsidRPr="00B318A0">
        <w:rPr>
          <w:color w:val="222222"/>
          <w:shd w:val="clear" w:color="auto" w:fill="FFFFFF"/>
        </w:rPr>
        <w:t xml:space="preserve">, F.V., 2021. Nuclear energy consumption and economic growth in the UK: evidence from wavelet coherence approach. </w:t>
      </w:r>
      <w:r w:rsidRPr="00B318A0">
        <w:rPr>
          <w:i/>
          <w:iCs/>
          <w:color w:val="222222"/>
          <w:shd w:val="clear" w:color="auto" w:fill="FFFFFF"/>
        </w:rPr>
        <w:t>Journal of Public Affairs</w:t>
      </w:r>
      <w:r w:rsidRPr="00B318A0">
        <w:rPr>
          <w:color w:val="222222"/>
          <w:shd w:val="clear" w:color="auto" w:fill="FFFFFF"/>
        </w:rPr>
        <w:t xml:space="preserve">, </w:t>
      </w:r>
      <w:r w:rsidRPr="00B318A0">
        <w:rPr>
          <w:i/>
          <w:iCs/>
          <w:color w:val="222222"/>
          <w:shd w:val="clear" w:color="auto" w:fill="FFFFFF"/>
        </w:rPr>
        <w:t>21</w:t>
      </w:r>
      <w:r w:rsidRPr="00B318A0">
        <w:rPr>
          <w:color w:val="222222"/>
          <w:shd w:val="clear" w:color="auto" w:fill="FFFFFF"/>
        </w:rPr>
        <w:t>(1), p.e2130.</w:t>
      </w:r>
    </w:p>
    <w:p w14:paraId="34C3F568" w14:textId="77777777" w:rsidR="00470BEF" w:rsidRPr="00B318A0" w:rsidRDefault="00470BEF" w:rsidP="001D2CE2">
      <w:pPr>
        <w:pStyle w:val="NormalWeb"/>
        <w:spacing w:before="240" w:beforeAutospacing="0" w:after="240" w:afterAutospacing="0" w:line="360" w:lineRule="auto"/>
        <w:jc w:val="both"/>
      </w:pPr>
      <w:r w:rsidRPr="00B318A0">
        <w:rPr>
          <w:color w:val="222222"/>
          <w:shd w:val="clear" w:color="auto" w:fill="FFFFFF"/>
        </w:rPr>
        <w:t xml:space="preserve">Korus, A. and </w:t>
      </w:r>
      <w:proofErr w:type="spellStart"/>
      <w:r w:rsidRPr="00B318A0">
        <w:rPr>
          <w:color w:val="222222"/>
          <w:shd w:val="clear" w:color="auto" w:fill="FFFFFF"/>
        </w:rPr>
        <w:t>Celebi</w:t>
      </w:r>
      <w:proofErr w:type="spellEnd"/>
      <w:r w:rsidRPr="00B318A0">
        <w:rPr>
          <w:color w:val="222222"/>
          <w:shd w:val="clear" w:color="auto" w:fill="FFFFFF"/>
        </w:rPr>
        <w:t xml:space="preserve">, K., 2021. The impact of Brexit news on British pound exchange rates. </w:t>
      </w:r>
      <w:r w:rsidRPr="00B318A0">
        <w:rPr>
          <w:i/>
          <w:iCs/>
          <w:color w:val="222222"/>
          <w:shd w:val="clear" w:color="auto" w:fill="FFFFFF"/>
        </w:rPr>
        <w:t>International Economics and Economic Policy</w:t>
      </w:r>
      <w:r w:rsidRPr="00B318A0">
        <w:rPr>
          <w:color w:val="222222"/>
          <w:shd w:val="clear" w:color="auto" w:fill="FFFFFF"/>
        </w:rPr>
        <w:t xml:space="preserve">, </w:t>
      </w:r>
      <w:r w:rsidRPr="00B318A0">
        <w:rPr>
          <w:i/>
          <w:iCs/>
          <w:color w:val="222222"/>
          <w:shd w:val="clear" w:color="auto" w:fill="FFFFFF"/>
        </w:rPr>
        <w:t>16</w:t>
      </w:r>
      <w:r w:rsidRPr="00B318A0">
        <w:rPr>
          <w:color w:val="222222"/>
          <w:shd w:val="clear" w:color="auto" w:fill="FFFFFF"/>
        </w:rPr>
        <w:t>(1), pp.161-192.</w:t>
      </w:r>
    </w:p>
    <w:p w14:paraId="5CAA63F5" w14:textId="77777777" w:rsidR="00470BEF" w:rsidRPr="00B318A0" w:rsidRDefault="00470BEF" w:rsidP="001D2CE2">
      <w:pPr>
        <w:pStyle w:val="NormalWeb"/>
        <w:spacing w:before="240" w:beforeAutospacing="0" w:after="160" w:afterAutospacing="0" w:line="360" w:lineRule="auto"/>
        <w:jc w:val="both"/>
      </w:pPr>
      <w:r w:rsidRPr="00B318A0">
        <w:rPr>
          <w:color w:val="222222"/>
          <w:shd w:val="clear" w:color="auto" w:fill="FFFFFF"/>
        </w:rPr>
        <w:t xml:space="preserve">Oxford Analytica, 2018. UK economic growth beats expectations. </w:t>
      </w:r>
      <w:r w:rsidRPr="00B318A0">
        <w:rPr>
          <w:i/>
          <w:iCs/>
          <w:color w:val="222222"/>
          <w:shd w:val="clear" w:color="auto" w:fill="FFFFFF"/>
        </w:rPr>
        <w:t>Emerald Expert Briefings</w:t>
      </w:r>
      <w:r w:rsidRPr="00B318A0">
        <w:rPr>
          <w:color w:val="222222"/>
          <w:shd w:val="clear" w:color="auto" w:fill="FFFFFF"/>
        </w:rPr>
        <w:t>, (</w:t>
      </w:r>
      <w:proofErr w:type="spellStart"/>
      <w:r w:rsidRPr="00B318A0">
        <w:rPr>
          <w:color w:val="222222"/>
          <w:shd w:val="clear" w:color="auto" w:fill="FFFFFF"/>
        </w:rPr>
        <w:t>oxan</w:t>
      </w:r>
      <w:proofErr w:type="spellEnd"/>
      <w:r w:rsidRPr="00B318A0">
        <w:rPr>
          <w:color w:val="222222"/>
          <w:shd w:val="clear" w:color="auto" w:fill="FFFFFF"/>
        </w:rPr>
        <w:t>-es).</w:t>
      </w:r>
    </w:p>
    <w:p w14:paraId="0FC98B4B" w14:textId="77777777" w:rsidR="00470BEF" w:rsidRPr="00B318A0" w:rsidRDefault="00470BEF" w:rsidP="001D2CE2">
      <w:pPr>
        <w:pStyle w:val="NormalWeb"/>
        <w:spacing w:before="240" w:beforeAutospacing="0" w:after="160" w:afterAutospacing="0" w:line="360" w:lineRule="auto"/>
        <w:jc w:val="both"/>
      </w:pPr>
      <w:proofErr w:type="spellStart"/>
      <w:r w:rsidRPr="00B318A0">
        <w:rPr>
          <w:color w:val="222222"/>
          <w:shd w:val="clear" w:color="auto" w:fill="FFFFFF"/>
        </w:rPr>
        <w:t>Riese</w:t>
      </w:r>
      <w:proofErr w:type="spellEnd"/>
      <w:r w:rsidRPr="00B318A0">
        <w:rPr>
          <w:color w:val="222222"/>
          <w:shd w:val="clear" w:color="auto" w:fill="FFFFFF"/>
        </w:rPr>
        <w:t xml:space="preserve">, H., 2021. The Bipolar International Monetary System and the British Pound. In </w:t>
      </w:r>
      <w:r w:rsidRPr="00B318A0">
        <w:rPr>
          <w:i/>
          <w:iCs/>
          <w:color w:val="222222"/>
          <w:shd w:val="clear" w:color="auto" w:fill="FFFFFF"/>
        </w:rPr>
        <w:t>50 Years of the German Mark</w:t>
      </w:r>
      <w:r w:rsidRPr="00B318A0">
        <w:rPr>
          <w:color w:val="222222"/>
          <w:shd w:val="clear" w:color="auto" w:fill="FFFFFF"/>
        </w:rPr>
        <w:t xml:space="preserve"> (pp. 183-194). Palgrave Macmillan, London.</w:t>
      </w:r>
    </w:p>
    <w:p w14:paraId="41F17531" w14:textId="77777777" w:rsidR="00470BEF" w:rsidRPr="00B318A0" w:rsidRDefault="00470BEF" w:rsidP="001D2CE2">
      <w:pPr>
        <w:pStyle w:val="NormalWeb"/>
        <w:spacing w:before="240" w:beforeAutospacing="0" w:after="240" w:afterAutospacing="0" w:line="360" w:lineRule="auto"/>
        <w:jc w:val="both"/>
      </w:pPr>
      <w:r w:rsidRPr="00B318A0">
        <w:rPr>
          <w:color w:val="222222"/>
          <w:shd w:val="clear" w:color="auto" w:fill="FFFFFF"/>
        </w:rPr>
        <w:t xml:space="preserve">Scafidi, J. and Gilfillan, S., 2018, October. The Feasibility of </w:t>
      </w:r>
      <w:proofErr w:type="spellStart"/>
      <w:r w:rsidRPr="00B318A0">
        <w:rPr>
          <w:color w:val="222222"/>
          <w:shd w:val="clear" w:color="auto" w:fill="FFFFFF"/>
        </w:rPr>
        <w:t>the'All</w:t>
      </w:r>
      <w:proofErr w:type="spellEnd"/>
      <w:r w:rsidRPr="00B318A0">
        <w:rPr>
          <w:color w:val="222222"/>
          <w:shd w:val="clear" w:color="auto" w:fill="FFFFFF"/>
        </w:rPr>
        <w:t>-in-</w:t>
      </w:r>
      <w:proofErr w:type="spellStart"/>
      <w:r w:rsidRPr="00B318A0">
        <w:rPr>
          <w:color w:val="222222"/>
          <w:shd w:val="clear" w:color="auto" w:fill="FFFFFF"/>
        </w:rPr>
        <w:t>One'Concept</w:t>
      </w:r>
      <w:proofErr w:type="spellEnd"/>
      <w:r w:rsidRPr="00B318A0">
        <w:rPr>
          <w:color w:val="222222"/>
          <w:shd w:val="clear" w:color="auto" w:fill="FFFFFF"/>
        </w:rPr>
        <w:t xml:space="preserve"> in the UK North Sea: Offsetting Carbon Capture and Storage Costs with Methane and Geothermal Energy Co-Production in a Depleted Hydrocarbon Field. In </w:t>
      </w:r>
      <w:r w:rsidRPr="00B318A0">
        <w:rPr>
          <w:i/>
          <w:iCs/>
          <w:color w:val="222222"/>
          <w:shd w:val="clear" w:color="auto" w:fill="FFFFFF"/>
        </w:rPr>
        <w:t>14th Greenhouse Gas Control Technologies Conference Melbourne</w:t>
      </w:r>
      <w:r w:rsidRPr="00B318A0">
        <w:rPr>
          <w:color w:val="222222"/>
          <w:shd w:val="clear" w:color="auto" w:fill="FFFFFF"/>
        </w:rPr>
        <w:t xml:space="preserve"> (pp. 21-26).</w:t>
      </w:r>
    </w:p>
    <w:p w14:paraId="6729B470" w14:textId="77777777" w:rsidR="00470BEF" w:rsidRPr="00B318A0" w:rsidRDefault="00470BEF" w:rsidP="001D2CE2">
      <w:pPr>
        <w:pStyle w:val="NormalWeb"/>
        <w:spacing w:before="240" w:beforeAutospacing="0" w:after="160" w:afterAutospacing="0" w:line="360" w:lineRule="auto"/>
        <w:jc w:val="both"/>
      </w:pPr>
      <w:proofErr w:type="spellStart"/>
      <w:r w:rsidRPr="00B318A0">
        <w:rPr>
          <w:color w:val="222222"/>
          <w:shd w:val="clear" w:color="auto" w:fill="FFFFFF"/>
        </w:rPr>
        <w:t>Simionescu</w:t>
      </w:r>
      <w:proofErr w:type="spellEnd"/>
      <w:r w:rsidRPr="00B318A0">
        <w:rPr>
          <w:color w:val="222222"/>
          <w:shd w:val="clear" w:color="auto" w:fill="FFFFFF"/>
        </w:rPr>
        <w:t xml:space="preserve">, M., </w:t>
      </w:r>
      <w:proofErr w:type="spellStart"/>
      <w:r w:rsidRPr="00B318A0">
        <w:rPr>
          <w:color w:val="222222"/>
          <w:shd w:val="clear" w:color="auto" w:fill="FFFFFF"/>
        </w:rPr>
        <w:t>Streimikiene</w:t>
      </w:r>
      <w:proofErr w:type="spellEnd"/>
      <w:r w:rsidRPr="00B318A0">
        <w:rPr>
          <w:color w:val="222222"/>
          <w:shd w:val="clear" w:color="auto" w:fill="FFFFFF"/>
        </w:rPr>
        <w:t xml:space="preserve">, D. and </w:t>
      </w:r>
      <w:proofErr w:type="spellStart"/>
      <w:r w:rsidRPr="00B318A0">
        <w:rPr>
          <w:color w:val="222222"/>
          <w:shd w:val="clear" w:color="auto" w:fill="FFFFFF"/>
        </w:rPr>
        <w:t>Strielkowski</w:t>
      </w:r>
      <w:proofErr w:type="spellEnd"/>
      <w:r w:rsidRPr="00B318A0">
        <w:rPr>
          <w:color w:val="222222"/>
          <w:shd w:val="clear" w:color="auto" w:fill="FFFFFF"/>
        </w:rPr>
        <w:t xml:space="preserve">, W., 2020. What does Google Trends tell us about the impact of Brexit on the unemployment rate in the UK?. </w:t>
      </w:r>
      <w:r w:rsidRPr="00B318A0">
        <w:rPr>
          <w:i/>
          <w:iCs/>
          <w:color w:val="222222"/>
          <w:shd w:val="clear" w:color="auto" w:fill="FFFFFF"/>
        </w:rPr>
        <w:t>Sustainability</w:t>
      </w:r>
      <w:r w:rsidRPr="00B318A0">
        <w:rPr>
          <w:color w:val="222222"/>
          <w:shd w:val="clear" w:color="auto" w:fill="FFFFFF"/>
        </w:rPr>
        <w:t xml:space="preserve">, </w:t>
      </w:r>
      <w:r w:rsidRPr="00B318A0">
        <w:rPr>
          <w:i/>
          <w:iCs/>
          <w:color w:val="222222"/>
          <w:shd w:val="clear" w:color="auto" w:fill="FFFFFF"/>
        </w:rPr>
        <w:t>12</w:t>
      </w:r>
      <w:r w:rsidRPr="00B318A0">
        <w:rPr>
          <w:color w:val="222222"/>
          <w:shd w:val="clear" w:color="auto" w:fill="FFFFFF"/>
        </w:rPr>
        <w:t>(3), p.1011.</w:t>
      </w:r>
    </w:p>
    <w:p w14:paraId="45FC0C25" w14:textId="77777777" w:rsidR="00470BEF" w:rsidRDefault="00470BEF" w:rsidP="001D2CE2">
      <w:pPr>
        <w:pStyle w:val="NormalWeb"/>
        <w:spacing w:before="240" w:beforeAutospacing="0" w:after="160" w:afterAutospacing="0" w:line="360" w:lineRule="auto"/>
        <w:jc w:val="both"/>
        <w:rPr>
          <w:color w:val="222222"/>
          <w:shd w:val="clear" w:color="auto" w:fill="FFFFFF"/>
        </w:rPr>
      </w:pPr>
      <w:proofErr w:type="spellStart"/>
      <w:r w:rsidRPr="00B318A0">
        <w:rPr>
          <w:color w:val="222222"/>
          <w:shd w:val="clear" w:color="auto" w:fill="FFFFFF"/>
        </w:rPr>
        <w:t>Stavárek</w:t>
      </w:r>
      <w:proofErr w:type="spellEnd"/>
      <w:r w:rsidRPr="00B318A0">
        <w:rPr>
          <w:color w:val="222222"/>
          <w:shd w:val="clear" w:color="auto" w:fill="FFFFFF"/>
        </w:rPr>
        <w:t xml:space="preserve">, D., 2021. Exchange rate volatility of US dollar and British pound during different phases of financial crisis. In </w:t>
      </w:r>
      <w:r w:rsidRPr="00B318A0">
        <w:rPr>
          <w:i/>
          <w:iCs/>
          <w:color w:val="222222"/>
          <w:shd w:val="clear" w:color="auto" w:fill="FFFFFF"/>
        </w:rPr>
        <w:t xml:space="preserve">Proceedings of 13th International Conference on Finance and Banking. </w:t>
      </w:r>
      <w:proofErr w:type="spellStart"/>
      <w:r w:rsidRPr="00B318A0">
        <w:rPr>
          <w:i/>
          <w:iCs/>
          <w:color w:val="222222"/>
          <w:shd w:val="clear" w:color="auto" w:fill="FFFFFF"/>
        </w:rPr>
        <w:t>Karviná</w:t>
      </w:r>
      <w:proofErr w:type="spellEnd"/>
      <w:r w:rsidRPr="00B318A0">
        <w:rPr>
          <w:i/>
          <w:iCs/>
          <w:color w:val="222222"/>
          <w:shd w:val="clear" w:color="auto" w:fill="FFFFFF"/>
        </w:rPr>
        <w:t>: Silesian University, School of Business Administration</w:t>
      </w:r>
      <w:r w:rsidRPr="00B318A0">
        <w:rPr>
          <w:color w:val="222222"/>
          <w:shd w:val="clear" w:color="auto" w:fill="FFFFFF"/>
        </w:rPr>
        <w:t xml:space="preserve"> (pp. 379-385).</w:t>
      </w:r>
    </w:p>
    <w:p w14:paraId="2079C299" w14:textId="77777777" w:rsidR="009279D2" w:rsidRPr="009279D2" w:rsidRDefault="009279D2" w:rsidP="009279D2">
      <w:pPr>
        <w:spacing w:before="240" w:line="360" w:lineRule="auto"/>
        <w:jc w:val="both"/>
        <w:rPr>
          <w:rFonts w:cs="Times New Roman"/>
          <w:szCs w:val="24"/>
        </w:rPr>
      </w:pPr>
      <w:r w:rsidRPr="009279D2">
        <w:rPr>
          <w:rFonts w:cs="Times New Roman"/>
          <w:szCs w:val="24"/>
        </w:rPr>
        <w:t>Clark, D. (2018). </w:t>
      </w:r>
      <w:r w:rsidRPr="009279D2">
        <w:rPr>
          <w:rFonts w:cs="Times New Roman"/>
          <w:i/>
          <w:iCs/>
          <w:szCs w:val="24"/>
        </w:rPr>
        <w:t>UK: GDP growth 2000-2018 | Statista</w:t>
      </w:r>
      <w:r w:rsidRPr="009279D2">
        <w:rPr>
          <w:rFonts w:cs="Times New Roman"/>
          <w:szCs w:val="24"/>
        </w:rPr>
        <w:t>. [online] Statista. Available at: https://www.statista.com/statistics/281734/gdp-growth-in-the-united-kingdom-uk/.</w:t>
      </w:r>
    </w:p>
    <w:p w14:paraId="7A2B1AD4" w14:textId="77777777" w:rsidR="009279D2" w:rsidRPr="009279D2" w:rsidRDefault="009279D2" w:rsidP="009279D2">
      <w:pPr>
        <w:spacing w:before="240" w:line="360" w:lineRule="auto"/>
        <w:jc w:val="both"/>
        <w:rPr>
          <w:rFonts w:cs="Times New Roman"/>
          <w:szCs w:val="24"/>
        </w:rPr>
      </w:pPr>
      <w:r w:rsidRPr="009279D2">
        <w:rPr>
          <w:rFonts w:cs="Times New Roman"/>
          <w:szCs w:val="24"/>
        </w:rPr>
        <w:t>‌</w:t>
      </w:r>
    </w:p>
    <w:p w14:paraId="7DCFC0B0" w14:textId="77777777" w:rsidR="00B318A0" w:rsidRPr="00B318A0" w:rsidRDefault="00B318A0" w:rsidP="00B318A0">
      <w:pPr>
        <w:spacing w:before="240" w:line="360" w:lineRule="auto"/>
        <w:jc w:val="both"/>
        <w:rPr>
          <w:rFonts w:cs="Times New Roman"/>
          <w:szCs w:val="24"/>
          <w:lang w:val="en-US"/>
        </w:rPr>
      </w:pPr>
    </w:p>
    <w:p w14:paraId="5980D74B" w14:textId="77777777" w:rsidR="00B318A0" w:rsidRPr="00B318A0" w:rsidRDefault="00B318A0" w:rsidP="00B318A0">
      <w:pPr>
        <w:spacing w:before="240" w:line="360" w:lineRule="auto"/>
        <w:jc w:val="both"/>
        <w:rPr>
          <w:rFonts w:cs="Times New Roman"/>
          <w:szCs w:val="24"/>
          <w:lang w:val="en-US"/>
        </w:rPr>
      </w:pPr>
    </w:p>
    <w:sectPr w:rsidR="00B318A0" w:rsidRPr="00B318A0" w:rsidSect="00160200">
      <w:footerReference w:type="default" r:id="rId18"/>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2ECA9" w14:textId="77777777" w:rsidR="00304DF4" w:rsidRDefault="00304DF4" w:rsidP="00160200">
      <w:pPr>
        <w:spacing w:after="0" w:line="240" w:lineRule="auto"/>
      </w:pPr>
      <w:r>
        <w:separator/>
      </w:r>
    </w:p>
  </w:endnote>
  <w:endnote w:type="continuationSeparator" w:id="0">
    <w:p w14:paraId="5509C116" w14:textId="77777777" w:rsidR="00304DF4" w:rsidRDefault="00304DF4" w:rsidP="00160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34525"/>
      <w:docPartObj>
        <w:docPartGallery w:val="Page Numbers (Bottom of Page)"/>
        <w:docPartUnique/>
      </w:docPartObj>
    </w:sdtPr>
    <w:sdtEndPr>
      <w:rPr>
        <w:noProof/>
      </w:rPr>
    </w:sdtEndPr>
    <w:sdtContent>
      <w:p w14:paraId="7D1EB015" w14:textId="06F2C7C6" w:rsidR="00160200" w:rsidRDefault="00160200">
        <w:pPr>
          <w:pStyle w:val="Footer"/>
          <w:jc w:val="right"/>
        </w:pPr>
        <w:r>
          <w:fldChar w:fldCharType="begin"/>
        </w:r>
        <w:r>
          <w:instrText xml:space="preserve"> PAGE   \* MERGEFORMAT </w:instrText>
        </w:r>
        <w:r>
          <w:fldChar w:fldCharType="separate"/>
        </w:r>
        <w:r w:rsidR="00F62CA2">
          <w:rPr>
            <w:noProof/>
          </w:rPr>
          <w:t>11</w:t>
        </w:r>
        <w:r>
          <w:rPr>
            <w:noProof/>
          </w:rPr>
          <w:fldChar w:fldCharType="end"/>
        </w:r>
      </w:p>
    </w:sdtContent>
  </w:sdt>
  <w:p w14:paraId="4AA5490F" w14:textId="77777777" w:rsidR="00160200" w:rsidRDefault="00160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808B7" w14:textId="77777777" w:rsidR="00304DF4" w:rsidRDefault="00304DF4" w:rsidP="00160200">
      <w:pPr>
        <w:spacing w:after="0" w:line="240" w:lineRule="auto"/>
      </w:pPr>
      <w:r>
        <w:separator/>
      </w:r>
    </w:p>
  </w:footnote>
  <w:footnote w:type="continuationSeparator" w:id="0">
    <w:p w14:paraId="3B7F9440" w14:textId="77777777" w:rsidR="00304DF4" w:rsidRDefault="00304DF4" w:rsidP="001602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46F35"/>
    <w:multiLevelType w:val="hybridMultilevel"/>
    <w:tmpl w:val="2FF665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Q2sDQ2NTQ3sTQyMjRV0lEKTi0uzszPAykwrgUApr+omywAAAA="/>
  </w:docVars>
  <w:rsids>
    <w:rsidRoot w:val="00F13497"/>
    <w:rsid w:val="00006200"/>
    <w:rsid w:val="000370EC"/>
    <w:rsid w:val="00042D9A"/>
    <w:rsid w:val="0005179C"/>
    <w:rsid w:val="0007624F"/>
    <w:rsid w:val="000C2734"/>
    <w:rsid w:val="000C6351"/>
    <w:rsid w:val="00104541"/>
    <w:rsid w:val="001076E0"/>
    <w:rsid w:val="00132DF5"/>
    <w:rsid w:val="00160200"/>
    <w:rsid w:val="001D2CE2"/>
    <w:rsid w:val="00274D97"/>
    <w:rsid w:val="002E57A4"/>
    <w:rsid w:val="00304DF4"/>
    <w:rsid w:val="00326340"/>
    <w:rsid w:val="00385422"/>
    <w:rsid w:val="00470BEF"/>
    <w:rsid w:val="004C4020"/>
    <w:rsid w:val="004C72E3"/>
    <w:rsid w:val="00510318"/>
    <w:rsid w:val="00513888"/>
    <w:rsid w:val="00514914"/>
    <w:rsid w:val="00516EB7"/>
    <w:rsid w:val="0057632F"/>
    <w:rsid w:val="005900E0"/>
    <w:rsid w:val="005D74F4"/>
    <w:rsid w:val="005E17E4"/>
    <w:rsid w:val="00685602"/>
    <w:rsid w:val="00697638"/>
    <w:rsid w:val="006D2AFE"/>
    <w:rsid w:val="0078148E"/>
    <w:rsid w:val="007C5201"/>
    <w:rsid w:val="007C701C"/>
    <w:rsid w:val="007F632A"/>
    <w:rsid w:val="00813687"/>
    <w:rsid w:val="0083094B"/>
    <w:rsid w:val="00885AFE"/>
    <w:rsid w:val="0089765B"/>
    <w:rsid w:val="008A0896"/>
    <w:rsid w:val="008B115C"/>
    <w:rsid w:val="008D1AFA"/>
    <w:rsid w:val="00901A1A"/>
    <w:rsid w:val="009115C8"/>
    <w:rsid w:val="009279D2"/>
    <w:rsid w:val="009323F9"/>
    <w:rsid w:val="009429AB"/>
    <w:rsid w:val="009A4B13"/>
    <w:rsid w:val="009D6246"/>
    <w:rsid w:val="00A4035E"/>
    <w:rsid w:val="00A438F0"/>
    <w:rsid w:val="00AD4020"/>
    <w:rsid w:val="00B318A0"/>
    <w:rsid w:val="00B4489B"/>
    <w:rsid w:val="00B53158"/>
    <w:rsid w:val="00B67F93"/>
    <w:rsid w:val="00B72876"/>
    <w:rsid w:val="00BE4A9C"/>
    <w:rsid w:val="00BF469B"/>
    <w:rsid w:val="00C067D7"/>
    <w:rsid w:val="00C621DA"/>
    <w:rsid w:val="00C9008B"/>
    <w:rsid w:val="00CF12A9"/>
    <w:rsid w:val="00D206C7"/>
    <w:rsid w:val="00D42AF1"/>
    <w:rsid w:val="00DB5FCA"/>
    <w:rsid w:val="00DF6DB9"/>
    <w:rsid w:val="00E06296"/>
    <w:rsid w:val="00E10DE9"/>
    <w:rsid w:val="00E11AFD"/>
    <w:rsid w:val="00E54E44"/>
    <w:rsid w:val="00EC14CE"/>
    <w:rsid w:val="00F07A82"/>
    <w:rsid w:val="00F13497"/>
    <w:rsid w:val="00F614B9"/>
    <w:rsid w:val="00F62CA2"/>
    <w:rsid w:val="00F8421A"/>
    <w:rsid w:val="00FA4BD2"/>
    <w:rsid w:val="00FD3A3F"/>
    <w:rsid w:val="00FD6C17"/>
    <w:rsid w:val="00FF2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48117C69"/>
  <w15:chartTrackingRefBased/>
  <w15:docId w15:val="{9F0EE980-B8C2-44E8-9DE5-2CC9FF192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01C"/>
    <w:rPr>
      <w:rFonts w:ascii="Times New Roman" w:hAnsi="Times New Roman"/>
      <w:sz w:val="24"/>
      <w:lang w:val="en-GB"/>
    </w:rPr>
  </w:style>
  <w:style w:type="paragraph" w:styleId="Heading1">
    <w:name w:val="heading 1"/>
    <w:basedOn w:val="Normal"/>
    <w:next w:val="Normal"/>
    <w:link w:val="Heading1Char"/>
    <w:autoRedefine/>
    <w:uiPriority w:val="9"/>
    <w:qFormat/>
    <w:rsid w:val="009279D2"/>
    <w:pPr>
      <w:keepNext/>
      <w:keepLines/>
      <w:spacing w:before="120" w:after="120" w:line="360" w:lineRule="auto"/>
      <w:jc w:val="center"/>
      <w:outlineLvl w:val="0"/>
    </w:pPr>
    <w:rPr>
      <w:rFonts w:eastAsiaTheme="majorEastAsia" w:cstheme="majorBidi"/>
      <w:b/>
      <w:color w:val="2F5496" w:themeColor="accent1" w:themeShade="BF"/>
      <w:sz w:val="40"/>
      <w:szCs w:val="40"/>
      <w:lang w:val="en-US"/>
    </w:rPr>
  </w:style>
  <w:style w:type="paragraph" w:styleId="Heading2">
    <w:name w:val="heading 2"/>
    <w:basedOn w:val="Normal"/>
    <w:next w:val="Normal"/>
    <w:link w:val="Heading2Char"/>
    <w:uiPriority w:val="9"/>
    <w:unhideWhenUsed/>
    <w:qFormat/>
    <w:rsid w:val="00C067D7"/>
    <w:pPr>
      <w:keepNext/>
      <w:keepLines/>
      <w:spacing w:before="160" w:after="120"/>
      <w:jc w:val="both"/>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042D9A"/>
    <w:pPr>
      <w:keepNext/>
      <w:keepLines/>
      <w:spacing w:before="160" w:after="120"/>
      <w:jc w:val="both"/>
      <w:outlineLvl w:val="2"/>
    </w:pPr>
    <w:rPr>
      <w:rFonts w:eastAsiaTheme="majorEastAsia" w:cstheme="majorBidi"/>
      <w:b/>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9D2"/>
    <w:rPr>
      <w:rFonts w:ascii="Times New Roman" w:eastAsiaTheme="majorEastAsia" w:hAnsi="Times New Roman" w:cstheme="majorBidi"/>
      <w:b/>
      <w:color w:val="2F5496" w:themeColor="accent1" w:themeShade="BF"/>
      <w:sz w:val="40"/>
      <w:szCs w:val="40"/>
    </w:rPr>
  </w:style>
  <w:style w:type="character" w:customStyle="1" w:styleId="Heading3Char">
    <w:name w:val="Heading 3 Char"/>
    <w:basedOn w:val="DefaultParagraphFont"/>
    <w:link w:val="Heading3"/>
    <w:uiPriority w:val="9"/>
    <w:semiHidden/>
    <w:rsid w:val="00042D9A"/>
    <w:rPr>
      <w:rFonts w:ascii="Times New Roman" w:eastAsiaTheme="majorEastAsia" w:hAnsi="Times New Roman" w:cstheme="majorBidi"/>
      <w:b/>
      <w:color w:val="1F3763" w:themeColor="accent1" w:themeShade="7F"/>
      <w:sz w:val="24"/>
      <w:szCs w:val="24"/>
      <w:lang w:val="en-GB"/>
    </w:rPr>
  </w:style>
  <w:style w:type="character" w:customStyle="1" w:styleId="Heading2Char">
    <w:name w:val="Heading 2 Char"/>
    <w:basedOn w:val="DefaultParagraphFont"/>
    <w:link w:val="Heading2"/>
    <w:uiPriority w:val="9"/>
    <w:rsid w:val="00C067D7"/>
    <w:rPr>
      <w:rFonts w:ascii="Times New Roman" w:eastAsiaTheme="majorEastAsia" w:hAnsi="Times New Roman" w:cstheme="majorBidi"/>
      <w:b/>
      <w:color w:val="2F5496" w:themeColor="accent1" w:themeShade="BF"/>
      <w:sz w:val="28"/>
      <w:szCs w:val="26"/>
      <w:lang w:val="en-GB"/>
    </w:rPr>
  </w:style>
  <w:style w:type="paragraph" w:styleId="NormalWeb">
    <w:name w:val="Normal (Web)"/>
    <w:basedOn w:val="Normal"/>
    <w:uiPriority w:val="99"/>
    <w:semiHidden/>
    <w:unhideWhenUsed/>
    <w:rsid w:val="00B318A0"/>
    <w:pPr>
      <w:spacing w:before="100" w:beforeAutospacing="1" w:after="100" w:afterAutospacing="1" w:line="240" w:lineRule="auto"/>
    </w:pPr>
    <w:rPr>
      <w:rFonts w:eastAsia="Times New Roman" w:cs="Times New Roman"/>
      <w:szCs w:val="24"/>
      <w:lang w:val="en-US"/>
    </w:rPr>
  </w:style>
  <w:style w:type="paragraph" w:styleId="Caption">
    <w:name w:val="caption"/>
    <w:basedOn w:val="Normal"/>
    <w:next w:val="Normal"/>
    <w:uiPriority w:val="35"/>
    <w:unhideWhenUsed/>
    <w:qFormat/>
    <w:rsid w:val="00B318A0"/>
    <w:pPr>
      <w:spacing w:after="200" w:line="240" w:lineRule="auto"/>
    </w:pPr>
    <w:rPr>
      <w:i/>
      <w:iCs/>
      <w:color w:val="44546A" w:themeColor="text2"/>
      <w:sz w:val="18"/>
      <w:szCs w:val="18"/>
    </w:rPr>
  </w:style>
  <w:style w:type="character" w:customStyle="1" w:styleId="normaltextrun">
    <w:name w:val="normaltextrun"/>
    <w:basedOn w:val="DefaultParagraphFont"/>
    <w:rsid w:val="009323F9"/>
  </w:style>
  <w:style w:type="character" w:customStyle="1" w:styleId="eop">
    <w:name w:val="eop"/>
    <w:basedOn w:val="DefaultParagraphFont"/>
    <w:rsid w:val="009323F9"/>
  </w:style>
  <w:style w:type="paragraph" w:styleId="Header">
    <w:name w:val="header"/>
    <w:basedOn w:val="Normal"/>
    <w:link w:val="HeaderChar"/>
    <w:uiPriority w:val="99"/>
    <w:unhideWhenUsed/>
    <w:rsid w:val="001602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0200"/>
    <w:rPr>
      <w:rFonts w:ascii="Times New Roman" w:hAnsi="Times New Roman"/>
      <w:sz w:val="24"/>
      <w:lang w:val="en-GB"/>
    </w:rPr>
  </w:style>
  <w:style w:type="paragraph" w:styleId="Footer">
    <w:name w:val="footer"/>
    <w:basedOn w:val="Normal"/>
    <w:link w:val="FooterChar"/>
    <w:uiPriority w:val="99"/>
    <w:unhideWhenUsed/>
    <w:rsid w:val="001602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0200"/>
    <w:rPr>
      <w:rFonts w:ascii="Times New Roman" w:hAnsi="Times New Roman"/>
      <w:sz w:val="24"/>
      <w:lang w:val="en-GB"/>
    </w:rPr>
  </w:style>
  <w:style w:type="paragraph" w:styleId="TOCHeading">
    <w:name w:val="TOC Heading"/>
    <w:basedOn w:val="Heading1"/>
    <w:next w:val="Normal"/>
    <w:uiPriority w:val="39"/>
    <w:unhideWhenUsed/>
    <w:qFormat/>
    <w:rsid w:val="00F62CA2"/>
    <w:pPr>
      <w:spacing w:before="240" w:after="0"/>
      <w:jc w:val="left"/>
      <w:outlineLvl w:val="9"/>
    </w:pPr>
    <w:rPr>
      <w:rFonts w:asciiTheme="majorHAnsi" w:hAnsiTheme="majorHAnsi"/>
      <w:b w:val="0"/>
    </w:rPr>
  </w:style>
  <w:style w:type="paragraph" w:styleId="TOC1">
    <w:name w:val="toc 1"/>
    <w:basedOn w:val="Normal"/>
    <w:next w:val="Normal"/>
    <w:autoRedefine/>
    <w:uiPriority w:val="39"/>
    <w:unhideWhenUsed/>
    <w:rsid w:val="00F62CA2"/>
    <w:pPr>
      <w:spacing w:after="100"/>
    </w:pPr>
  </w:style>
  <w:style w:type="paragraph" w:styleId="TOC2">
    <w:name w:val="toc 2"/>
    <w:basedOn w:val="Normal"/>
    <w:next w:val="Normal"/>
    <w:autoRedefine/>
    <w:uiPriority w:val="39"/>
    <w:unhideWhenUsed/>
    <w:rsid w:val="00F62CA2"/>
    <w:pPr>
      <w:spacing w:after="100"/>
      <w:ind w:left="240"/>
    </w:pPr>
  </w:style>
  <w:style w:type="character" w:styleId="Hyperlink">
    <w:name w:val="Hyperlink"/>
    <w:basedOn w:val="DefaultParagraphFont"/>
    <w:uiPriority w:val="99"/>
    <w:unhideWhenUsed/>
    <w:rsid w:val="00F62C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092047">
      <w:bodyDiv w:val="1"/>
      <w:marLeft w:val="0"/>
      <w:marRight w:val="0"/>
      <w:marTop w:val="0"/>
      <w:marBottom w:val="0"/>
      <w:divBdr>
        <w:top w:val="none" w:sz="0" w:space="0" w:color="auto"/>
        <w:left w:val="none" w:sz="0" w:space="0" w:color="auto"/>
        <w:bottom w:val="none" w:sz="0" w:space="0" w:color="auto"/>
        <w:right w:val="none" w:sz="0" w:space="0" w:color="auto"/>
      </w:divBdr>
    </w:div>
    <w:div w:id="2123114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DB57B8-B6AC-470B-AEE2-ED88F730DF0B}" type="doc">
      <dgm:prSet loTypeId="urn:microsoft.com/office/officeart/2005/8/layout/hierarchy1" loCatId="hierarchy" qsTypeId="urn:microsoft.com/office/officeart/2005/8/quickstyle/simple1" qsCatId="simple" csTypeId="urn:microsoft.com/office/officeart/2005/8/colors/colorful3" csCatId="colorful" phldr="1"/>
      <dgm:spPr/>
      <dgm:t>
        <a:bodyPr/>
        <a:lstStyle/>
        <a:p>
          <a:endParaRPr lang="en-US"/>
        </a:p>
      </dgm:t>
    </dgm:pt>
    <dgm:pt modelId="{0630AFB1-B8A5-4DFF-8631-37F0FF03E0E2}">
      <dgm:prSet phldrT="[Text]" custT="1"/>
      <dgm:spPr/>
      <dgm:t>
        <a:bodyPr/>
        <a:lstStyle/>
        <a:p>
          <a:pPr algn="ctr"/>
          <a:r>
            <a:rPr lang="en-US" sz="900"/>
            <a:t>Impact of Pound depriciation on trade</a:t>
          </a:r>
        </a:p>
      </dgm:t>
    </dgm:pt>
    <dgm:pt modelId="{FCB38BF7-3913-4136-8745-03F0E9A83015}" type="parTrans" cxnId="{C84024EA-2358-443B-A1B3-313E9FF1C07D}">
      <dgm:prSet/>
      <dgm:spPr/>
      <dgm:t>
        <a:bodyPr/>
        <a:lstStyle/>
        <a:p>
          <a:pPr algn="ctr"/>
          <a:endParaRPr lang="en-US"/>
        </a:p>
      </dgm:t>
    </dgm:pt>
    <dgm:pt modelId="{24C969DC-3042-460C-BC97-D3B86CF64903}" type="sibTrans" cxnId="{C84024EA-2358-443B-A1B3-313E9FF1C07D}">
      <dgm:prSet/>
      <dgm:spPr/>
      <dgm:t>
        <a:bodyPr/>
        <a:lstStyle/>
        <a:p>
          <a:pPr algn="ctr"/>
          <a:endParaRPr lang="en-US"/>
        </a:p>
      </dgm:t>
    </dgm:pt>
    <dgm:pt modelId="{D2C688CB-4A97-421D-8E96-925F8FC64BF4}">
      <dgm:prSet phldrT="[Text]" custT="1"/>
      <dgm:spPr/>
      <dgm:t>
        <a:bodyPr/>
        <a:lstStyle/>
        <a:p>
          <a:pPr algn="ctr"/>
          <a:r>
            <a:rPr lang="en-US" sz="900"/>
            <a:t>Benefactors</a:t>
          </a:r>
          <a:endParaRPr lang="en-US" sz="700"/>
        </a:p>
      </dgm:t>
    </dgm:pt>
    <dgm:pt modelId="{7BCF590A-A0D6-4232-AE92-FCE761B42F6A}" type="parTrans" cxnId="{63DE16B2-7C6F-45EF-AB87-760AD7D1FA31}">
      <dgm:prSet/>
      <dgm:spPr/>
      <dgm:t>
        <a:bodyPr/>
        <a:lstStyle/>
        <a:p>
          <a:pPr algn="ctr"/>
          <a:endParaRPr lang="en-US"/>
        </a:p>
      </dgm:t>
    </dgm:pt>
    <dgm:pt modelId="{817DE6FC-D780-4A33-963D-2E92D3F396DB}" type="sibTrans" cxnId="{63DE16B2-7C6F-45EF-AB87-760AD7D1FA31}">
      <dgm:prSet/>
      <dgm:spPr/>
      <dgm:t>
        <a:bodyPr/>
        <a:lstStyle/>
        <a:p>
          <a:pPr algn="ctr"/>
          <a:endParaRPr lang="en-US"/>
        </a:p>
      </dgm:t>
    </dgm:pt>
    <dgm:pt modelId="{08AF21BD-3A68-47F9-B328-5807A0FAFA8D}">
      <dgm:prSet phldrT="[Text]" custT="1"/>
      <dgm:spPr/>
      <dgm:t>
        <a:bodyPr/>
        <a:lstStyle/>
        <a:p>
          <a:pPr algn="ctr"/>
          <a:r>
            <a:rPr lang="en-US" sz="900"/>
            <a:t>Exporters</a:t>
          </a:r>
        </a:p>
      </dgm:t>
    </dgm:pt>
    <dgm:pt modelId="{8CE6CFCB-F81E-4241-8AEC-1621E42FD42A}" type="parTrans" cxnId="{8596B95F-DE08-47F1-A423-F0FE76ED8A81}">
      <dgm:prSet/>
      <dgm:spPr/>
      <dgm:t>
        <a:bodyPr/>
        <a:lstStyle/>
        <a:p>
          <a:pPr algn="ctr"/>
          <a:endParaRPr lang="en-US"/>
        </a:p>
      </dgm:t>
    </dgm:pt>
    <dgm:pt modelId="{C6FBF850-E9A2-4EE2-8171-5B15B8EEBC91}" type="sibTrans" cxnId="{8596B95F-DE08-47F1-A423-F0FE76ED8A81}">
      <dgm:prSet/>
      <dgm:spPr/>
      <dgm:t>
        <a:bodyPr/>
        <a:lstStyle/>
        <a:p>
          <a:pPr algn="ctr"/>
          <a:endParaRPr lang="en-US"/>
        </a:p>
      </dgm:t>
    </dgm:pt>
    <dgm:pt modelId="{682F9FAE-E48A-4D1D-A902-C470BE065CC6}">
      <dgm:prSet phldrT="[Text]" custT="1"/>
      <dgm:spPr/>
      <dgm:t>
        <a:bodyPr/>
        <a:lstStyle/>
        <a:p>
          <a:pPr algn="ctr"/>
          <a:r>
            <a:rPr lang="en-US" sz="900"/>
            <a:t>Toursim</a:t>
          </a:r>
        </a:p>
      </dgm:t>
    </dgm:pt>
    <dgm:pt modelId="{D868A980-52A6-493D-BE32-B58FB98ECF63}" type="parTrans" cxnId="{D04BA78F-3329-44A7-AC1A-324C52217C71}">
      <dgm:prSet/>
      <dgm:spPr/>
      <dgm:t>
        <a:bodyPr/>
        <a:lstStyle/>
        <a:p>
          <a:pPr algn="ctr"/>
          <a:endParaRPr lang="en-US"/>
        </a:p>
      </dgm:t>
    </dgm:pt>
    <dgm:pt modelId="{D7D0ED15-0F64-4FE7-A9DA-72B4D8DF041E}" type="sibTrans" cxnId="{D04BA78F-3329-44A7-AC1A-324C52217C71}">
      <dgm:prSet/>
      <dgm:spPr/>
      <dgm:t>
        <a:bodyPr/>
        <a:lstStyle/>
        <a:p>
          <a:pPr algn="ctr"/>
          <a:endParaRPr lang="en-US"/>
        </a:p>
      </dgm:t>
    </dgm:pt>
    <dgm:pt modelId="{89ABDEA6-229F-47CB-95EB-FB48EF5B7676}">
      <dgm:prSet phldrT="[Text]" custT="1"/>
      <dgm:spPr/>
      <dgm:t>
        <a:bodyPr/>
        <a:lstStyle/>
        <a:p>
          <a:pPr algn="ctr"/>
          <a:r>
            <a:rPr lang="en-US" sz="900"/>
            <a:t>Disfavored</a:t>
          </a:r>
          <a:endParaRPr lang="en-US" sz="700"/>
        </a:p>
      </dgm:t>
    </dgm:pt>
    <dgm:pt modelId="{5E64BDFC-C9CD-4993-AED1-E72FA3A1549F}" type="parTrans" cxnId="{585C5C6B-139D-4F64-8F79-FB1A5EB92F99}">
      <dgm:prSet/>
      <dgm:spPr/>
      <dgm:t>
        <a:bodyPr/>
        <a:lstStyle/>
        <a:p>
          <a:pPr algn="ctr"/>
          <a:endParaRPr lang="en-US"/>
        </a:p>
      </dgm:t>
    </dgm:pt>
    <dgm:pt modelId="{B6FB452D-F8E4-42AF-A0D8-95F22998C66E}" type="sibTrans" cxnId="{585C5C6B-139D-4F64-8F79-FB1A5EB92F99}">
      <dgm:prSet/>
      <dgm:spPr/>
      <dgm:t>
        <a:bodyPr/>
        <a:lstStyle/>
        <a:p>
          <a:pPr algn="ctr"/>
          <a:endParaRPr lang="en-US"/>
        </a:p>
      </dgm:t>
    </dgm:pt>
    <dgm:pt modelId="{93FF985A-BB6D-4C4C-8417-6DE7B220AEAA}">
      <dgm:prSet phldrT="[Text]" custT="1"/>
      <dgm:spPr/>
      <dgm:t>
        <a:bodyPr/>
        <a:lstStyle/>
        <a:p>
          <a:pPr algn="ctr"/>
          <a:r>
            <a:rPr lang="en-US" sz="900"/>
            <a:t>Consumers</a:t>
          </a:r>
        </a:p>
      </dgm:t>
    </dgm:pt>
    <dgm:pt modelId="{A0025FC3-CB8D-4E70-AE32-12209366A4C1}" type="parTrans" cxnId="{2C643576-7D10-4843-8C5C-3F44DAB56EEB}">
      <dgm:prSet/>
      <dgm:spPr/>
      <dgm:t>
        <a:bodyPr/>
        <a:lstStyle/>
        <a:p>
          <a:pPr algn="ctr"/>
          <a:endParaRPr lang="en-US"/>
        </a:p>
      </dgm:t>
    </dgm:pt>
    <dgm:pt modelId="{16D49F9E-FEC0-4F39-AB44-2D942C7FBC1A}" type="sibTrans" cxnId="{2C643576-7D10-4843-8C5C-3F44DAB56EEB}">
      <dgm:prSet/>
      <dgm:spPr/>
      <dgm:t>
        <a:bodyPr/>
        <a:lstStyle/>
        <a:p>
          <a:pPr algn="ctr"/>
          <a:endParaRPr lang="en-US"/>
        </a:p>
      </dgm:t>
    </dgm:pt>
    <dgm:pt modelId="{B982A0A4-5165-42F8-82DA-185FEA278252}">
      <dgm:prSet custT="1"/>
      <dgm:spPr/>
      <dgm:t>
        <a:bodyPr/>
        <a:lstStyle/>
        <a:p>
          <a:pPr algn="ctr"/>
          <a:r>
            <a:rPr lang="en-US" sz="900"/>
            <a:t>Workers</a:t>
          </a:r>
        </a:p>
      </dgm:t>
    </dgm:pt>
    <dgm:pt modelId="{17BA1A05-8F14-46D2-BFFC-71B7CDD177EC}" type="parTrans" cxnId="{0C7B4E6F-0654-4C1F-817B-82B49ADD9D4E}">
      <dgm:prSet/>
      <dgm:spPr/>
      <dgm:t>
        <a:bodyPr/>
        <a:lstStyle/>
        <a:p>
          <a:pPr algn="ctr"/>
          <a:endParaRPr lang="en-US"/>
        </a:p>
      </dgm:t>
    </dgm:pt>
    <dgm:pt modelId="{C6D3CD98-1301-43F5-98B3-86BE8310B233}" type="sibTrans" cxnId="{0C7B4E6F-0654-4C1F-817B-82B49ADD9D4E}">
      <dgm:prSet/>
      <dgm:spPr/>
      <dgm:t>
        <a:bodyPr/>
        <a:lstStyle/>
        <a:p>
          <a:pPr algn="ctr"/>
          <a:endParaRPr lang="en-US"/>
        </a:p>
      </dgm:t>
    </dgm:pt>
    <dgm:pt modelId="{0705CF46-D303-449A-9344-EC4BC6F8E0FC}">
      <dgm:prSet custT="1"/>
      <dgm:spPr/>
      <dgm:t>
        <a:bodyPr/>
        <a:lstStyle/>
        <a:p>
          <a:pPr algn="ctr"/>
          <a:r>
            <a:rPr lang="en-US" sz="900"/>
            <a:t>Importers</a:t>
          </a:r>
        </a:p>
      </dgm:t>
    </dgm:pt>
    <dgm:pt modelId="{EF1112C8-85EF-4EFE-BA0E-C5B0ACB3C577}" type="parTrans" cxnId="{8448F494-4F01-4B21-A5B4-E85422524644}">
      <dgm:prSet/>
      <dgm:spPr/>
      <dgm:t>
        <a:bodyPr/>
        <a:lstStyle/>
        <a:p>
          <a:pPr algn="ctr"/>
          <a:endParaRPr lang="en-US"/>
        </a:p>
      </dgm:t>
    </dgm:pt>
    <dgm:pt modelId="{09BEB760-CCC4-4467-8E96-A274315BB396}" type="sibTrans" cxnId="{8448F494-4F01-4B21-A5B4-E85422524644}">
      <dgm:prSet/>
      <dgm:spPr/>
      <dgm:t>
        <a:bodyPr/>
        <a:lstStyle/>
        <a:p>
          <a:pPr algn="ctr"/>
          <a:endParaRPr lang="en-US"/>
        </a:p>
      </dgm:t>
    </dgm:pt>
    <dgm:pt modelId="{F898A59D-1BD7-46D1-B4B2-0036B4DAE32A}">
      <dgm:prSet custT="1"/>
      <dgm:spPr/>
      <dgm:t>
        <a:bodyPr/>
        <a:lstStyle/>
        <a:p>
          <a:pPr algn="ctr"/>
          <a:r>
            <a:rPr lang="en-US" sz="900"/>
            <a:t>Manufacturers</a:t>
          </a:r>
        </a:p>
      </dgm:t>
    </dgm:pt>
    <dgm:pt modelId="{2450C066-3806-41B7-97A5-327F8F014C00}" type="parTrans" cxnId="{AB972237-E10C-4EF2-B233-A1C96676562E}">
      <dgm:prSet/>
      <dgm:spPr/>
      <dgm:t>
        <a:bodyPr/>
        <a:lstStyle/>
        <a:p>
          <a:pPr algn="ctr"/>
          <a:endParaRPr lang="en-US"/>
        </a:p>
      </dgm:t>
    </dgm:pt>
    <dgm:pt modelId="{4FC7AF44-0179-42E7-88DE-DFDE6987A15B}" type="sibTrans" cxnId="{AB972237-E10C-4EF2-B233-A1C96676562E}">
      <dgm:prSet/>
      <dgm:spPr/>
      <dgm:t>
        <a:bodyPr/>
        <a:lstStyle/>
        <a:p>
          <a:pPr algn="ctr"/>
          <a:endParaRPr lang="en-US"/>
        </a:p>
      </dgm:t>
    </dgm:pt>
    <dgm:pt modelId="{07EFA56C-991D-45D2-BED0-DADE61C4B30F}" type="pres">
      <dgm:prSet presAssocID="{5DDB57B8-B6AC-470B-AEE2-ED88F730DF0B}" presName="hierChild1" presStyleCnt="0">
        <dgm:presLayoutVars>
          <dgm:chPref val="1"/>
          <dgm:dir/>
          <dgm:animOne val="branch"/>
          <dgm:animLvl val="lvl"/>
          <dgm:resizeHandles/>
        </dgm:presLayoutVars>
      </dgm:prSet>
      <dgm:spPr/>
    </dgm:pt>
    <dgm:pt modelId="{A23739F0-1C10-4301-B176-831B1060A98D}" type="pres">
      <dgm:prSet presAssocID="{0630AFB1-B8A5-4DFF-8631-37F0FF03E0E2}" presName="hierRoot1" presStyleCnt="0"/>
      <dgm:spPr/>
    </dgm:pt>
    <dgm:pt modelId="{3A3A71DA-ED54-46CE-A9F3-13764A9A2903}" type="pres">
      <dgm:prSet presAssocID="{0630AFB1-B8A5-4DFF-8631-37F0FF03E0E2}" presName="composite" presStyleCnt="0"/>
      <dgm:spPr/>
    </dgm:pt>
    <dgm:pt modelId="{69E2079E-E287-43FC-AC27-939407718245}" type="pres">
      <dgm:prSet presAssocID="{0630AFB1-B8A5-4DFF-8631-37F0FF03E0E2}" presName="background" presStyleLbl="node0" presStyleIdx="0" presStyleCnt="1"/>
      <dgm:spPr/>
    </dgm:pt>
    <dgm:pt modelId="{120851EF-DC9F-47C8-8761-C9CA2EE41996}" type="pres">
      <dgm:prSet presAssocID="{0630AFB1-B8A5-4DFF-8631-37F0FF03E0E2}" presName="text" presStyleLbl="fgAcc0" presStyleIdx="0" presStyleCnt="1">
        <dgm:presLayoutVars>
          <dgm:chPref val="3"/>
        </dgm:presLayoutVars>
      </dgm:prSet>
      <dgm:spPr/>
    </dgm:pt>
    <dgm:pt modelId="{5EE362AD-58DD-48DA-B6DE-70E5E3EE8FB4}" type="pres">
      <dgm:prSet presAssocID="{0630AFB1-B8A5-4DFF-8631-37F0FF03E0E2}" presName="hierChild2" presStyleCnt="0"/>
      <dgm:spPr/>
    </dgm:pt>
    <dgm:pt modelId="{89BE08A0-D7D4-4ADD-852F-C69E3C9F15EC}" type="pres">
      <dgm:prSet presAssocID="{7BCF590A-A0D6-4232-AE92-FCE761B42F6A}" presName="Name10" presStyleLbl="parChTrans1D2" presStyleIdx="0" presStyleCnt="2"/>
      <dgm:spPr/>
    </dgm:pt>
    <dgm:pt modelId="{2963CB50-610E-4E7C-9AB1-D67305E595A1}" type="pres">
      <dgm:prSet presAssocID="{D2C688CB-4A97-421D-8E96-925F8FC64BF4}" presName="hierRoot2" presStyleCnt="0"/>
      <dgm:spPr/>
    </dgm:pt>
    <dgm:pt modelId="{A5EC2B2F-B145-4713-9D7E-C30AB8FA99C5}" type="pres">
      <dgm:prSet presAssocID="{D2C688CB-4A97-421D-8E96-925F8FC64BF4}" presName="composite2" presStyleCnt="0"/>
      <dgm:spPr/>
    </dgm:pt>
    <dgm:pt modelId="{2F8C50CB-AEB1-4877-8BAF-F01D6AE0D4DB}" type="pres">
      <dgm:prSet presAssocID="{D2C688CB-4A97-421D-8E96-925F8FC64BF4}" presName="background2" presStyleLbl="node2" presStyleIdx="0" presStyleCnt="2"/>
      <dgm:spPr/>
    </dgm:pt>
    <dgm:pt modelId="{D58D3DF3-5B2F-4E8B-A1B3-ED7352855920}" type="pres">
      <dgm:prSet presAssocID="{D2C688CB-4A97-421D-8E96-925F8FC64BF4}" presName="text2" presStyleLbl="fgAcc2" presStyleIdx="0" presStyleCnt="2">
        <dgm:presLayoutVars>
          <dgm:chPref val="3"/>
        </dgm:presLayoutVars>
      </dgm:prSet>
      <dgm:spPr/>
    </dgm:pt>
    <dgm:pt modelId="{427D3644-84DB-4FE1-B382-3A69310B2277}" type="pres">
      <dgm:prSet presAssocID="{D2C688CB-4A97-421D-8E96-925F8FC64BF4}" presName="hierChild3" presStyleCnt="0"/>
      <dgm:spPr/>
    </dgm:pt>
    <dgm:pt modelId="{07D8B320-0987-4020-925A-5AC8F343D898}" type="pres">
      <dgm:prSet presAssocID="{8CE6CFCB-F81E-4241-8AEC-1621E42FD42A}" presName="Name17" presStyleLbl="parChTrans1D3" presStyleIdx="0" presStyleCnt="6"/>
      <dgm:spPr/>
    </dgm:pt>
    <dgm:pt modelId="{230802C8-CAC2-492E-8A34-03E531BBD759}" type="pres">
      <dgm:prSet presAssocID="{08AF21BD-3A68-47F9-B328-5807A0FAFA8D}" presName="hierRoot3" presStyleCnt="0"/>
      <dgm:spPr/>
    </dgm:pt>
    <dgm:pt modelId="{F2D914F8-FF83-44B8-AF38-55E52CE853E2}" type="pres">
      <dgm:prSet presAssocID="{08AF21BD-3A68-47F9-B328-5807A0FAFA8D}" presName="composite3" presStyleCnt="0"/>
      <dgm:spPr/>
    </dgm:pt>
    <dgm:pt modelId="{4F5D6330-FFCA-4DDF-8C88-AC391E3725A5}" type="pres">
      <dgm:prSet presAssocID="{08AF21BD-3A68-47F9-B328-5807A0FAFA8D}" presName="background3" presStyleLbl="node3" presStyleIdx="0" presStyleCnt="6"/>
      <dgm:spPr/>
    </dgm:pt>
    <dgm:pt modelId="{6904CC99-748F-4859-9140-F2F7A138A0F7}" type="pres">
      <dgm:prSet presAssocID="{08AF21BD-3A68-47F9-B328-5807A0FAFA8D}" presName="text3" presStyleLbl="fgAcc3" presStyleIdx="0" presStyleCnt="6">
        <dgm:presLayoutVars>
          <dgm:chPref val="3"/>
        </dgm:presLayoutVars>
      </dgm:prSet>
      <dgm:spPr/>
    </dgm:pt>
    <dgm:pt modelId="{A0FD9CA2-4062-4EDB-B34B-E8462D8114C8}" type="pres">
      <dgm:prSet presAssocID="{08AF21BD-3A68-47F9-B328-5807A0FAFA8D}" presName="hierChild4" presStyleCnt="0"/>
      <dgm:spPr/>
    </dgm:pt>
    <dgm:pt modelId="{9F5E7F4B-C9CE-4EBD-B440-8F3A485B5A95}" type="pres">
      <dgm:prSet presAssocID="{D868A980-52A6-493D-BE32-B58FB98ECF63}" presName="Name17" presStyleLbl="parChTrans1D3" presStyleIdx="1" presStyleCnt="6"/>
      <dgm:spPr/>
    </dgm:pt>
    <dgm:pt modelId="{7EB67133-7A5F-4AA2-B3DB-39DCD81CA8BF}" type="pres">
      <dgm:prSet presAssocID="{682F9FAE-E48A-4D1D-A902-C470BE065CC6}" presName="hierRoot3" presStyleCnt="0"/>
      <dgm:spPr/>
    </dgm:pt>
    <dgm:pt modelId="{6B8E7262-B60A-4EA7-95DD-2D39F6AF7F9B}" type="pres">
      <dgm:prSet presAssocID="{682F9FAE-E48A-4D1D-A902-C470BE065CC6}" presName="composite3" presStyleCnt="0"/>
      <dgm:spPr/>
    </dgm:pt>
    <dgm:pt modelId="{09EC57D2-5D60-4533-9536-7D7340609438}" type="pres">
      <dgm:prSet presAssocID="{682F9FAE-E48A-4D1D-A902-C470BE065CC6}" presName="background3" presStyleLbl="node3" presStyleIdx="1" presStyleCnt="6"/>
      <dgm:spPr/>
    </dgm:pt>
    <dgm:pt modelId="{46E6056D-2DED-4FFE-BF1F-9C45FBF5A2E4}" type="pres">
      <dgm:prSet presAssocID="{682F9FAE-E48A-4D1D-A902-C470BE065CC6}" presName="text3" presStyleLbl="fgAcc3" presStyleIdx="1" presStyleCnt="6">
        <dgm:presLayoutVars>
          <dgm:chPref val="3"/>
        </dgm:presLayoutVars>
      </dgm:prSet>
      <dgm:spPr/>
    </dgm:pt>
    <dgm:pt modelId="{C47AAB9B-5C53-48DA-AB93-10F96DBE383D}" type="pres">
      <dgm:prSet presAssocID="{682F9FAE-E48A-4D1D-A902-C470BE065CC6}" presName="hierChild4" presStyleCnt="0"/>
      <dgm:spPr/>
    </dgm:pt>
    <dgm:pt modelId="{FCD85AC9-3E9B-4344-BF6C-CEF925B49417}" type="pres">
      <dgm:prSet presAssocID="{17BA1A05-8F14-46D2-BFFC-71B7CDD177EC}" presName="Name17" presStyleLbl="parChTrans1D3" presStyleIdx="2" presStyleCnt="6"/>
      <dgm:spPr/>
    </dgm:pt>
    <dgm:pt modelId="{02823702-AB43-4630-B990-C34B97446578}" type="pres">
      <dgm:prSet presAssocID="{B982A0A4-5165-42F8-82DA-185FEA278252}" presName="hierRoot3" presStyleCnt="0"/>
      <dgm:spPr/>
    </dgm:pt>
    <dgm:pt modelId="{78940B83-BFCE-49B3-A412-5F98F56C1612}" type="pres">
      <dgm:prSet presAssocID="{B982A0A4-5165-42F8-82DA-185FEA278252}" presName="composite3" presStyleCnt="0"/>
      <dgm:spPr/>
    </dgm:pt>
    <dgm:pt modelId="{81A4DD5A-18FA-4044-989C-5CF2CE0CA1CF}" type="pres">
      <dgm:prSet presAssocID="{B982A0A4-5165-42F8-82DA-185FEA278252}" presName="background3" presStyleLbl="node3" presStyleIdx="2" presStyleCnt="6"/>
      <dgm:spPr/>
    </dgm:pt>
    <dgm:pt modelId="{C69BE9BF-4D5F-4E5F-A010-9ADCF3A1CC56}" type="pres">
      <dgm:prSet presAssocID="{B982A0A4-5165-42F8-82DA-185FEA278252}" presName="text3" presStyleLbl="fgAcc3" presStyleIdx="2" presStyleCnt="6">
        <dgm:presLayoutVars>
          <dgm:chPref val="3"/>
        </dgm:presLayoutVars>
      </dgm:prSet>
      <dgm:spPr/>
    </dgm:pt>
    <dgm:pt modelId="{177DE0FD-BED0-47BE-8D5D-9DFA4842D3C4}" type="pres">
      <dgm:prSet presAssocID="{B982A0A4-5165-42F8-82DA-185FEA278252}" presName="hierChild4" presStyleCnt="0"/>
      <dgm:spPr/>
    </dgm:pt>
    <dgm:pt modelId="{65E673F3-465D-4520-A4B2-9C8379F233E8}" type="pres">
      <dgm:prSet presAssocID="{5E64BDFC-C9CD-4993-AED1-E72FA3A1549F}" presName="Name10" presStyleLbl="parChTrans1D2" presStyleIdx="1" presStyleCnt="2"/>
      <dgm:spPr/>
    </dgm:pt>
    <dgm:pt modelId="{C79D10FB-2B45-4311-A6CC-AA9793E88646}" type="pres">
      <dgm:prSet presAssocID="{89ABDEA6-229F-47CB-95EB-FB48EF5B7676}" presName="hierRoot2" presStyleCnt="0"/>
      <dgm:spPr/>
    </dgm:pt>
    <dgm:pt modelId="{E494359F-97EF-4DB4-9290-4B539F4A7FDB}" type="pres">
      <dgm:prSet presAssocID="{89ABDEA6-229F-47CB-95EB-FB48EF5B7676}" presName="composite2" presStyleCnt="0"/>
      <dgm:spPr/>
    </dgm:pt>
    <dgm:pt modelId="{A07ED710-7280-4EC8-8B97-8717F6375D96}" type="pres">
      <dgm:prSet presAssocID="{89ABDEA6-229F-47CB-95EB-FB48EF5B7676}" presName="background2" presStyleLbl="node2" presStyleIdx="1" presStyleCnt="2"/>
      <dgm:spPr/>
    </dgm:pt>
    <dgm:pt modelId="{D086957F-FE15-4FAB-873D-4C44793EDC65}" type="pres">
      <dgm:prSet presAssocID="{89ABDEA6-229F-47CB-95EB-FB48EF5B7676}" presName="text2" presStyleLbl="fgAcc2" presStyleIdx="1" presStyleCnt="2">
        <dgm:presLayoutVars>
          <dgm:chPref val="3"/>
        </dgm:presLayoutVars>
      </dgm:prSet>
      <dgm:spPr/>
    </dgm:pt>
    <dgm:pt modelId="{A9BFD631-C856-4AC7-9A25-B7BCABA601B9}" type="pres">
      <dgm:prSet presAssocID="{89ABDEA6-229F-47CB-95EB-FB48EF5B7676}" presName="hierChild3" presStyleCnt="0"/>
      <dgm:spPr/>
    </dgm:pt>
    <dgm:pt modelId="{1EDAE1F4-D152-4EDE-8A25-FD7BA154E274}" type="pres">
      <dgm:prSet presAssocID="{A0025FC3-CB8D-4E70-AE32-12209366A4C1}" presName="Name17" presStyleLbl="parChTrans1D3" presStyleIdx="3" presStyleCnt="6"/>
      <dgm:spPr/>
    </dgm:pt>
    <dgm:pt modelId="{7B046998-5DB2-457C-BEE4-3213CDF40C7B}" type="pres">
      <dgm:prSet presAssocID="{93FF985A-BB6D-4C4C-8417-6DE7B220AEAA}" presName="hierRoot3" presStyleCnt="0"/>
      <dgm:spPr/>
    </dgm:pt>
    <dgm:pt modelId="{5DEC0FB3-534C-489C-BF8E-78F9D5EA6E0F}" type="pres">
      <dgm:prSet presAssocID="{93FF985A-BB6D-4C4C-8417-6DE7B220AEAA}" presName="composite3" presStyleCnt="0"/>
      <dgm:spPr/>
    </dgm:pt>
    <dgm:pt modelId="{9D6EC7F7-7705-43DA-83BF-3CFED9B7E7CC}" type="pres">
      <dgm:prSet presAssocID="{93FF985A-BB6D-4C4C-8417-6DE7B220AEAA}" presName="background3" presStyleLbl="node3" presStyleIdx="3" presStyleCnt="6"/>
      <dgm:spPr/>
    </dgm:pt>
    <dgm:pt modelId="{1E50AE7B-FA5E-4212-9DD5-C8E23FF85B33}" type="pres">
      <dgm:prSet presAssocID="{93FF985A-BB6D-4C4C-8417-6DE7B220AEAA}" presName="text3" presStyleLbl="fgAcc3" presStyleIdx="3" presStyleCnt="6">
        <dgm:presLayoutVars>
          <dgm:chPref val="3"/>
        </dgm:presLayoutVars>
      </dgm:prSet>
      <dgm:spPr/>
    </dgm:pt>
    <dgm:pt modelId="{3BB03512-5E85-4D54-9620-D6008AEF67EC}" type="pres">
      <dgm:prSet presAssocID="{93FF985A-BB6D-4C4C-8417-6DE7B220AEAA}" presName="hierChild4" presStyleCnt="0"/>
      <dgm:spPr/>
    </dgm:pt>
    <dgm:pt modelId="{3E073385-6AB2-449C-871B-CC6114632731}" type="pres">
      <dgm:prSet presAssocID="{EF1112C8-85EF-4EFE-BA0E-C5B0ACB3C577}" presName="Name17" presStyleLbl="parChTrans1D3" presStyleIdx="4" presStyleCnt="6"/>
      <dgm:spPr/>
    </dgm:pt>
    <dgm:pt modelId="{E331196C-83FC-4E08-A381-C0F3D98B09D8}" type="pres">
      <dgm:prSet presAssocID="{0705CF46-D303-449A-9344-EC4BC6F8E0FC}" presName="hierRoot3" presStyleCnt="0"/>
      <dgm:spPr/>
    </dgm:pt>
    <dgm:pt modelId="{798462B4-1AE4-433D-83E6-9E9C3A8A57A9}" type="pres">
      <dgm:prSet presAssocID="{0705CF46-D303-449A-9344-EC4BC6F8E0FC}" presName="composite3" presStyleCnt="0"/>
      <dgm:spPr/>
    </dgm:pt>
    <dgm:pt modelId="{CF137D6A-4939-42BE-AE52-A42D73AB992B}" type="pres">
      <dgm:prSet presAssocID="{0705CF46-D303-449A-9344-EC4BC6F8E0FC}" presName="background3" presStyleLbl="node3" presStyleIdx="4" presStyleCnt="6"/>
      <dgm:spPr/>
    </dgm:pt>
    <dgm:pt modelId="{0E05BB2B-B73B-440F-AFF8-E9AA74EEB397}" type="pres">
      <dgm:prSet presAssocID="{0705CF46-D303-449A-9344-EC4BC6F8E0FC}" presName="text3" presStyleLbl="fgAcc3" presStyleIdx="4" presStyleCnt="6">
        <dgm:presLayoutVars>
          <dgm:chPref val="3"/>
        </dgm:presLayoutVars>
      </dgm:prSet>
      <dgm:spPr/>
    </dgm:pt>
    <dgm:pt modelId="{CC8BCF83-84ED-49AF-AEB3-CF2A338F2D4E}" type="pres">
      <dgm:prSet presAssocID="{0705CF46-D303-449A-9344-EC4BC6F8E0FC}" presName="hierChild4" presStyleCnt="0"/>
      <dgm:spPr/>
    </dgm:pt>
    <dgm:pt modelId="{A9FB2708-2EFF-454C-B0F2-451384149447}" type="pres">
      <dgm:prSet presAssocID="{2450C066-3806-41B7-97A5-327F8F014C00}" presName="Name17" presStyleLbl="parChTrans1D3" presStyleIdx="5" presStyleCnt="6"/>
      <dgm:spPr/>
    </dgm:pt>
    <dgm:pt modelId="{8BAED360-55CB-48F7-87B2-2D75A276696E}" type="pres">
      <dgm:prSet presAssocID="{F898A59D-1BD7-46D1-B4B2-0036B4DAE32A}" presName="hierRoot3" presStyleCnt="0"/>
      <dgm:spPr/>
    </dgm:pt>
    <dgm:pt modelId="{9B55274F-2123-48D9-BA38-B0E12B0E379A}" type="pres">
      <dgm:prSet presAssocID="{F898A59D-1BD7-46D1-B4B2-0036B4DAE32A}" presName="composite3" presStyleCnt="0"/>
      <dgm:spPr/>
    </dgm:pt>
    <dgm:pt modelId="{A0EF1B60-2B69-460B-9136-97371479025A}" type="pres">
      <dgm:prSet presAssocID="{F898A59D-1BD7-46D1-B4B2-0036B4DAE32A}" presName="background3" presStyleLbl="node3" presStyleIdx="5" presStyleCnt="6"/>
      <dgm:spPr/>
    </dgm:pt>
    <dgm:pt modelId="{DED3D22C-723A-4D35-B4C9-5A358C4F710B}" type="pres">
      <dgm:prSet presAssocID="{F898A59D-1BD7-46D1-B4B2-0036B4DAE32A}" presName="text3" presStyleLbl="fgAcc3" presStyleIdx="5" presStyleCnt="6">
        <dgm:presLayoutVars>
          <dgm:chPref val="3"/>
        </dgm:presLayoutVars>
      </dgm:prSet>
      <dgm:spPr/>
    </dgm:pt>
    <dgm:pt modelId="{20B74756-8800-4D8D-AB92-B9127D8C18B5}" type="pres">
      <dgm:prSet presAssocID="{F898A59D-1BD7-46D1-B4B2-0036B4DAE32A}" presName="hierChild4" presStyleCnt="0"/>
      <dgm:spPr/>
    </dgm:pt>
  </dgm:ptLst>
  <dgm:cxnLst>
    <dgm:cxn modelId="{EBD53909-CF96-4E47-93A5-875FAE915E80}" type="presOf" srcId="{B982A0A4-5165-42F8-82DA-185FEA278252}" destId="{C69BE9BF-4D5F-4E5F-A010-9ADCF3A1CC56}" srcOrd="0" destOrd="0" presId="urn:microsoft.com/office/officeart/2005/8/layout/hierarchy1"/>
    <dgm:cxn modelId="{B96FBB0C-C37D-419A-B04C-96353FEFC2F8}" type="presOf" srcId="{682F9FAE-E48A-4D1D-A902-C470BE065CC6}" destId="{46E6056D-2DED-4FFE-BF1F-9C45FBF5A2E4}" srcOrd="0" destOrd="0" presId="urn:microsoft.com/office/officeart/2005/8/layout/hierarchy1"/>
    <dgm:cxn modelId="{EF3E191B-48F5-4EBD-B7B0-84E4B3185A88}" type="presOf" srcId="{5DDB57B8-B6AC-470B-AEE2-ED88F730DF0B}" destId="{07EFA56C-991D-45D2-BED0-DADE61C4B30F}" srcOrd="0" destOrd="0" presId="urn:microsoft.com/office/officeart/2005/8/layout/hierarchy1"/>
    <dgm:cxn modelId="{AB972237-E10C-4EF2-B233-A1C96676562E}" srcId="{89ABDEA6-229F-47CB-95EB-FB48EF5B7676}" destId="{F898A59D-1BD7-46D1-B4B2-0036B4DAE32A}" srcOrd="2" destOrd="0" parTransId="{2450C066-3806-41B7-97A5-327F8F014C00}" sibTransId="{4FC7AF44-0179-42E7-88DE-DFDE6987A15B}"/>
    <dgm:cxn modelId="{4A1CDC3A-1A00-479A-96A1-AE4A51701B77}" type="presOf" srcId="{93FF985A-BB6D-4C4C-8417-6DE7B220AEAA}" destId="{1E50AE7B-FA5E-4212-9DD5-C8E23FF85B33}" srcOrd="0" destOrd="0" presId="urn:microsoft.com/office/officeart/2005/8/layout/hierarchy1"/>
    <dgm:cxn modelId="{50F96D3C-C5F7-40CE-BBC7-9D764D39D260}" type="presOf" srcId="{89ABDEA6-229F-47CB-95EB-FB48EF5B7676}" destId="{D086957F-FE15-4FAB-873D-4C44793EDC65}" srcOrd="0" destOrd="0" presId="urn:microsoft.com/office/officeart/2005/8/layout/hierarchy1"/>
    <dgm:cxn modelId="{8596B95F-DE08-47F1-A423-F0FE76ED8A81}" srcId="{D2C688CB-4A97-421D-8E96-925F8FC64BF4}" destId="{08AF21BD-3A68-47F9-B328-5807A0FAFA8D}" srcOrd="0" destOrd="0" parTransId="{8CE6CFCB-F81E-4241-8AEC-1621E42FD42A}" sibTransId="{C6FBF850-E9A2-4EE2-8171-5B15B8EEBC91}"/>
    <dgm:cxn modelId="{97C24961-3C76-48DD-9233-0F95FA5E3D7B}" type="presOf" srcId="{EF1112C8-85EF-4EFE-BA0E-C5B0ACB3C577}" destId="{3E073385-6AB2-449C-871B-CC6114632731}" srcOrd="0" destOrd="0" presId="urn:microsoft.com/office/officeart/2005/8/layout/hierarchy1"/>
    <dgm:cxn modelId="{8345F042-D9AF-4ABF-8459-4AAC3BA8C4C8}" type="presOf" srcId="{0630AFB1-B8A5-4DFF-8631-37F0FF03E0E2}" destId="{120851EF-DC9F-47C8-8761-C9CA2EE41996}" srcOrd="0" destOrd="0" presId="urn:microsoft.com/office/officeart/2005/8/layout/hierarchy1"/>
    <dgm:cxn modelId="{02FDF848-1F12-4A7D-BF23-6B2926ECEDC0}" type="presOf" srcId="{2450C066-3806-41B7-97A5-327F8F014C00}" destId="{A9FB2708-2EFF-454C-B0F2-451384149447}" srcOrd="0" destOrd="0" presId="urn:microsoft.com/office/officeart/2005/8/layout/hierarchy1"/>
    <dgm:cxn modelId="{585C5C6B-139D-4F64-8F79-FB1A5EB92F99}" srcId="{0630AFB1-B8A5-4DFF-8631-37F0FF03E0E2}" destId="{89ABDEA6-229F-47CB-95EB-FB48EF5B7676}" srcOrd="1" destOrd="0" parTransId="{5E64BDFC-C9CD-4993-AED1-E72FA3A1549F}" sibTransId="{B6FB452D-F8E4-42AF-A0D8-95F22998C66E}"/>
    <dgm:cxn modelId="{0C7B4E6F-0654-4C1F-817B-82B49ADD9D4E}" srcId="{D2C688CB-4A97-421D-8E96-925F8FC64BF4}" destId="{B982A0A4-5165-42F8-82DA-185FEA278252}" srcOrd="2" destOrd="0" parTransId="{17BA1A05-8F14-46D2-BFFC-71B7CDD177EC}" sibTransId="{C6D3CD98-1301-43F5-98B3-86BE8310B233}"/>
    <dgm:cxn modelId="{2C643576-7D10-4843-8C5C-3F44DAB56EEB}" srcId="{89ABDEA6-229F-47CB-95EB-FB48EF5B7676}" destId="{93FF985A-BB6D-4C4C-8417-6DE7B220AEAA}" srcOrd="0" destOrd="0" parTransId="{A0025FC3-CB8D-4E70-AE32-12209366A4C1}" sibTransId="{16D49F9E-FEC0-4F39-AB44-2D942C7FBC1A}"/>
    <dgm:cxn modelId="{8AA2A276-6449-4035-BBDC-0A33496FA6EB}" type="presOf" srcId="{8CE6CFCB-F81E-4241-8AEC-1621E42FD42A}" destId="{07D8B320-0987-4020-925A-5AC8F343D898}" srcOrd="0" destOrd="0" presId="urn:microsoft.com/office/officeart/2005/8/layout/hierarchy1"/>
    <dgm:cxn modelId="{D8168D78-1E88-420A-A440-8F0C206F9657}" type="presOf" srcId="{F898A59D-1BD7-46D1-B4B2-0036B4DAE32A}" destId="{DED3D22C-723A-4D35-B4C9-5A358C4F710B}" srcOrd="0" destOrd="0" presId="urn:microsoft.com/office/officeart/2005/8/layout/hierarchy1"/>
    <dgm:cxn modelId="{B0A92E7A-86D9-4035-A08D-FD012D6680B9}" type="presOf" srcId="{D868A980-52A6-493D-BE32-B58FB98ECF63}" destId="{9F5E7F4B-C9CE-4EBD-B440-8F3A485B5A95}" srcOrd="0" destOrd="0" presId="urn:microsoft.com/office/officeart/2005/8/layout/hierarchy1"/>
    <dgm:cxn modelId="{D04BA78F-3329-44A7-AC1A-324C52217C71}" srcId="{D2C688CB-4A97-421D-8E96-925F8FC64BF4}" destId="{682F9FAE-E48A-4D1D-A902-C470BE065CC6}" srcOrd="1" destOrd="0" parTransId="{D868A980-52A6-493D-BE32-B58FB98ECF63}" sibTransId="{D7D0ED15-0F64-4FE7-A9DA-72B4D8DF041E}"/>
    <dgm:cxn modelId="{8448F494-4F01-4B21-A5B4-E85422524644}" srcId="{89ABDEA6-229F-47CB-95EB-FB48EF5B7676}" destId="{0705CF46-D303-449A-9344-EC4BC6F8E0FC}" srcOrd="1" destOrd="0" parTransId="{EF1112C8-85EF-4EFE-BA0E-C5B0ACB3C577}" sibTransId="{09BEB760-CCC4-4467-8E96-A274315BB396}"/>
    <dgm:cxn modelId="{BFDD2DA3-23E0-4F78-B5FB-9B01340BDC35}" type="presOf" srcId="{0705CF46-D303-449A-9344-EC4BC6F8E0FC}" destId="{0E05BB2B-B73B-440F-AFF8-E9AA74EEB397}" srcOrd="0" destOrd="0" presId="urn:microsoft.com/office/officeart/2005/8/layout/hierarchy1"/>
    <dgm:cxn modelId="{63DE16B2-7C6F-45EF-AB87-760AD7D1FA31}" srcId="{0630AFB1-B8A5-4DFF-8631-37F0FF03E0E2}" destId="{D2C688CB-4A97-421D-8E96-925F8FC64BF4}" srcOrd="0" destOrd="0" parTransId="{7BCF590A-A0D6-4232-AE92-FCE761B42F6A}" sibTransId="{817DE6FC-D780-4A33-963D-2E92D3F396DB}"/>
    <dgm:cxn modelId="{8737A9BB-28CE-433B-82FD-C0395327E21C}" type="presOf" srcId="{5E64BDFC-C9CD-4993-AED1-E72FA3A1549F}" destId="{65E673F3-465D-4520-A4B2-9C8379F233E8}" srcOrd="0" destOrd="0" presId="urn:microsoft.com/office/officeart/2005/8/layout/hierarchy1"/>
    <dgm:cxn modelId="{5316B0C6-A6E9-499C-9687-7F3468634937}" type="presOf" srcId="{A0025FC3-CB8D-4E70-AE32-12209366A4C1}" destId="{1EDAE1F4-D152-4EDE-8A25-FD7BA154E274}" srcOrd="0" destOrd="0" presId="urn:microsoft.com/office/officeart/2005/8/layout/hierarchy1"/>
    <dgm:cxn modelId="{2AB7C5CD-E8F0-4B6C-89F1-94A3F9F951FC}" type="presOf" srcId="{7BCF590A-A0D6-4232-AE92-FCE761B42F6A}" destId="{89BE08A0-D7D4-4ADD-852F-C69E3C9F15EC}" srcOrd="0" destOrd="0" presId="urn:microsoft.com/office/officeart/2005/8/layout/hierarchy1"/>
    <dgm:cxn modelId="{24FCAADE-9E26-4765-B161-91EA18BDA15B}" type="presOf" srcId="{17BA1A05-8F14-46D2-BFFC-71B7CDD177EC}" destId="{FCD85AC9-3E9B-4344-BF6C-CEF925B49417}" srcOrd="0" destOrd="0" presId="urn:microsoft.com/office/officeart/2005/8/layout/hierarchy1"/>
    <dgm:cxn modelId="{27D95AE7-21ED-497A-A318-E26994879EC2}" type="presOf" srcId="{08AF21BD-3A68-47F9-B328-5807A0FAFA8D}" destId="{6904CC99-748F-4859-9140-F2F7A138A0F7}" srcOrd="0" destOrd="0" presId="urn:microsoft.com/office/officeart/2005/8/layout/hierarchy1"/>
    <dgm:cxn modelId="{C84024EA-2358-443B-A1B3-313E9FF1C07D}" srcId="{5DDB57B8-B6AC-470B-AEE2-ED88F730DF0B}" destId="{0630AFB1-B8A5-4DFF-8631-37F0FF03E0E2}" srcOrd="0" destOrd="0" parTransId="{FCB38BF7-3913-4136-8745-03F0E9A83015}" sibTransId="{24C969DC-3042-460C-BC97-D3B86CF64903}"/>
    <dgm:cxn modelId="{C326CEEA-B748-4193-85EC-08291D500B8B}" type="presOf" srcId="{D2C688CB-4A97-421D-8E96-925F8FC64BF4}" destId="{D58D3DF3-5B2F-4E8B-A1B3-ED7352855920}" srcOrd="0" destOrd="0" presId="urn:microsoft.com/office/officeart/2005/8/layout/hierarchy1"/>
    <dgm:cxn modelId="{3290B737-A95C-4C2F-9740-E542052490FC}" type="presParOf" srcId="{07EFA56C-991D-45D2-BED0-DADE61C4B30F}" destId="{A23739F0-1C10-4301-B176-831B1060A98D}" srcOrd="0" destOrd="0" presId="urn:microsoft.com/office/officeart/2005/8/layout/hierarchy1"/>
    <dgm:cxn modelId="{DBADF3F4-4CD3-4852-8A74-12FF4AA0B80A}" type="presParOf" srcId="{A23739F0-1C10-4301-B176-831B1060A98D}" destId="{3A3A71DA-ED54-46CE-A9F3-13764A9A2903}" srcOrd="0" destOrd="0" presId="urn:microsoft.com/office/officeart/2005/8/layout/hierarchy1"/>
    <dgm:cxn modelId="{EEC3F3F7-A5AF-4539-8F01-76B41CFE1F4C}" type="presParOf" srcId="{3A3A71DA-ED54-46CE-A9F3-13764A9A2903}" destId="{69E2079E-E287-43FC-AC27-939407718245}" srcOrd="0" destOrd="0" presId="urn:microsoft.com/office/officeart/2005/8/layout/hierarchy1"/>
    <dgm:cxn modelId="{531EF1F4-7FE7-4A85-A3AC-B89802DCE4DA}" type="presParOf" srcId="{3A3A71DA-ED54-46CE-A9F3-13764A9A2903}" destId="{120851EF-DC9F-47C8-8761-C9CA2EE41996}" srcOrd="1" destOrd="0" presId="urn:microsoft.com/office/officeart/2005/8/layout/hierarchy1"/>
    <dgm:cxn modelId="{B6B59683-E016-400E-B07A-545AD0021AA4}" type="presParOf" srcId="{A23739F0-1C10-4301-B176-831B1060A98D}" destId="{5EE362AD-58DD-48DA-B6DE-70E5E3EE8FB4}" srcOrd="1" destOrd="0" presId="urn:microsoft.com/office/officeart/2005/8/layout/hierarchy1"/>
    <dgm:cxn modelId="{86C28188-3C5A-4B9B-9C36-8D614EEF57A2}" type="presParOf" srcId="{5EE362AD-58DD-48DA-B6DE-70E5E3EE8FB4}" destId="{89BE08A0-D7D4-4ADD-852F-C69E3C9F15EC}" srcOrd="0" destOrd="0" presId="urn:microsoft.com/office/officeart/2005/8/layout/hierarchy1"/>
    <dgm:cxn modelId="{1F11D2D2-6B8E-4E93-B943-BC26E2A35540}" type="presParOf" srcId="{5EE362AD-58DD-48DA-B6DE-70E5E3EE8FB4}" destId="{2963CB50-610E-4E7C-9AB1-D67305E595A1}" srcOrd="1" destOrd="0" presId="urn:microsoft.com/office/officeart/2005/8/layout/hierarchy1"/>
    <dgm:cxn modelId="{CF113CB1-8D46-4BA0-A083-2AD67E0B8435}" type="presParOf" srcId="{2963CB50-610E-4E7C-9AB1-D67305E595A1}" destId="{A5EC2B2F-B145-4713-9D7E-C30AB8FA99C5}" srcOrd="0" destOrd="0" presId="urn:microsoft.com/office/officeart/2005/8/layout/hierarchy1"/>
    <dgm:cxn modelId="{A5F02AAF-C46B-4F48-9085-426366F9FEA6}" type="presParOf" srcId="{A5EC2B2F-B145-4713-9D7E-C30AB8FA99C5}" destId="{2F8C50CB-AEB1-4877-8BAF-F01D6AE0D4DB}" srcOrd="0" destOrd="0" presId="urn:microsoft.com/office/officeart/2005/8/layout/hierarchy1"/>
    <dgm:cxn modelId="{5DABCBF4-B33C-4A9F-BE82-A89B8563B0C6}" type="presParOf" srcId="{A5EC2B2F-B145-4713-9D7E-C30AB8FA99C5}" destId="{D58D3DF3-5B2F-4E8B-A1B3-ED7352855920}" srcOrd="1" destOrd="0" presId="urn:microsoft.com/office/officeart/2005/8/layout/hierarchy1"/>
    <dgm:cxn modelId="{0E8E16B8-8943-4C56-AABC-E21E61C4EC3C}" type="presParOf" srcId="{2963CB50-610E-4E7C-9AB1-D67305E595A1}" destId="{427D3644-84DB-4FE1-B382-3A69310B2277}" srcOrd="1" destOrd="0" presId="urn:microsoft.com/office/officeart/2005/8/layout/hierarchy1"/>
    <dgm:cxn modelId="{30885BB8-1079-4D64-9342-67F44C8E8FF5}" type="presParOf" srcId="{427D3644-84DB-4FE1-B382-3A69310B2277}" destId="{07D8B320-0987-4020-925A-5AC8F343D898}" srcOrd="0" destOrd="0" presId="urn:microsoft.com/office/officeart/2005/8/layout/hierarchy1"/>
    <dgm:cxn modelId="{893CAA82-3D66-49CA-9E45-2FE82AE2E5A3}" type="presParOf" srcId="{427D3644-84DB-4FE1-B382-3A69310B2277}" destId="{230802C8-CAC2-492E-8A34-03E531BBD759}" srcOrd="1" destOrd="0" presId="urn:microsoft.com/office/officeart/2005/8/layout/hierarchy1"/>
    <dgm:cxn modelId="{C484E0F9-F158-4C97-B320-CF89276EA73F}" type="presParOf" srcId="{230802C8-CAC2-492E-8A34-03E531BBD759}" destId="{F2D914F8-FF83-44B8-AF38-55E52CE853E2}" srcOrd="0" destOrd="0" presId="urn:microsoft.com/office/officeart/2005/8/layout/hierarchy1"/>
    <dgm:cxn modelId="{9981A621-D088-493B-B3F7-55E7573E428D}" type="presParOf" srcId="{F2D914F8-FF83-44B8-AF38-55E52CE853E2}" destId="{4F5D6330-FFCA-4DDF-8C88-AC391E3725A5}" srcOrd="0" destOrd="0" presId="urn:microsoft.com/office/officeart/2005/8/layout/hierarchy1"/>
    <dgm:cxn modelId="{C02883B2-B4DA-463E-BB41-7BD5DC287FFD}" type="presParOf" srcId="{F2D914F8-FF83-44B8-AF38-55E52CE853E2}" destId="{6904CC99-748F-4859-9140-F2F7A138A0F7}" srcOrd="1" destOrd="0" presId="urn:microsoft.com/office/officeart/2005/8/layout/hierarchy1"/>
    <dgm:cxn modelId="{54F040DD-71E9-4234-AF39-4A4AE729B591}" type="presParOf" srcId="{230802C8-CAC2-492E-8A34-03E531BBD759}" destId="{A0FD9CA2-4062-4EDB-B34B-E8462D8114C8}" srcOrd="1" destOrd="0" presId="urn:microsoft.com/office/officeart/2005/8/layout/hierarchy1"/>
    <dgm:cxn modelId="{1E1C2AEA-EAE1-4F54-8178-432FC62488F0}" type="presParOf" srcId="{427D3644-84DB-4FE1-B382-3A69310B2277}" destId="{9F5E7F4B-C9CE-4EBD-B440-8F3A485B5A95}" srcOrd="2" destOrd="0" presId="urn:microsoft.com/office/officeart/2005/8/layout/hierarchy1"/>
    <dgm:cxn modelId="{0293F1B3-B29B-48FD-A6A8-ABBB09E0DB10}" type="presParOf" srcId="{427D3644-84DB-4FE1-B382-3A69310B2277}" destId="{7EB67133-7A5F-4AA2-B3DB-39DCD81CA8BF}" srcOrd="3" destOrd="0" presId="urn:microsoft.com/office/officeart/2005/8/layout/hierarchy1"/>
    <dgm:cxn modelId="{A94A86BC-9DC3-47AC-8B8A-72C371ECDC44}" type="presParOf" srcId="{7EB67133-7A5F-4AA2-B3DB-39DCD81CA8BF}" destId="{6B8E7262-B60A-4EA7-95DD-2D39F6AF7F9B}" srcOrd="0" destOrd="0" presId="urn:microsoft.com/office/officeart/2005/8/layout/hierarchy1"/>
    <dgm:cxn modelId="{9825D271-947C-4BEB-928D-B728CFDC9078}" type="presParOf" srcId="{6B8E7262-B60A-4EA7-95DD-2D39F6AF7F9B}" destId="{09EC57D2-5D60-4533-9536-7D7340609438}" srcOrd="0" destOrd="0" presId="urn:microsoft.com/office/officeart/2005/8/layout/hierarchy1"/>
    <dgm:cxn modelId="{27D95F98-36CE-419B-B0A4-DEE532C9D085}" type="presParOf" srcId="{6B8E7262-B60A-4EA7-95DD-2D39F6AF7F9B}" destId="{46E6056D-2DED-4FFE-BF1F-9C45FBF5A2E4}" srcOrd="1" destOrd="0" presId="urn:microsoft.com/office/officeart/2005/8/layout/hierarchy1"/>
    <dgm:cxn modelId="{0B043EB2-0559-4711-89CF-19C364EEAA1F}" type="presParOf" srcId="{7EB67133-7A5F-4AA2-B3DB-39DCD81CA8BF}" destId="{C47AAB9B-5C53-48DA-AB93-10F96DBE383D}" srcOrd="1" destOrd="0" presId="urn:microsoft.com/office/officeart/2005/8/layout/hierarchy1"/>
    <dgm:cxn modelId="{9F4792F2-26F3-4F37-BBE3-5E14FD359930}" type="presParOf" srcId="{427D3644-84DB-4FE1-B382-3A69310B2277}" destId="{FCD85AC9-3E9B-4344-BF6C-CEF925B49417}" srcOrd="4" destOrd="0" presId="urn:microsoft.com/office/officeart/2005/8/layout/hierarchy1"/>
    <dgm:cxn modelId="{5944E66B-E727-4798-9B0C-AAD04E34E731}" type="presParOf" srcId="{427D3644-84DB-4FE1-B382-3A69310B2277}" destId="{02823702-AB43-4630-B990-C34B97446578}" srcOrd="5" destOrd="0" presId="urn:microsoft.com/office/officeart/2005/8/layout/hierarchy1"/>
    <dgm:cxn modelId="{4CC65F77-41D9-4F71-94C1-C8CAC0404C11}" type="presParOf" srcId="{02823702-AB43-4630-B990-C34B97446578}" destId="{78940B83-BFCE-49B3-A412-5F98F56C1612}" srcOrd="0" destOrd="0" presId="urn:microsoft.com/office/officeart/2005/8/layout/hierarchy1"/>
    <dgm:cxn modelId="{7D40F498-F20B-4666-9A69-B4B09DF0C79A}" type="presParOf" srcId="{78940B83-BFCE-49B3-A412-5F98F56C1612}" destId="{81A4DD5A-18FA-4044-989C-5CF2CE0CA1CF}" srcOrd="0" destOrd="0" presId="urn:microsoft.com/office/officeart/2005/8/layout/hierarchy1"/>
    <dgm:cxn modelId="{BB8DF87F-B6D9-4EB9-8EB2-7EE9B7D9BC4D}" type="presParOf" srcId="{78940B83-BFCE-49B3-A412-5F98F56C1612}" destId="{C69BE9BF-4D5F-4E5F-A010-9ADCF3A1CC56}" srcOrd="1" destOrd="0" presId="urn:microsoft.com/office/officeart/2005/8/layout/hierarchy1"/>
    <dgm:cxn modelId="{9F9BB198-17D1-4B53-83AA-B612FDC67899}" type="presParOf" srcId="{02823702-AB43-4630-B990-C34B97446578}" destId="{177DE0FD-BED0-47BE-8D5D-9DFA4842D3C4}" srcOrd="1" destOrd="0" presId="urn:microsoft.com/office/officeart/2005/8/layout/hierarchy1"/>
    <dgm:cxn modelId="{27A30052-3F47-4B8A-B42E-07AFA145CC2B}" type="presParOf" srcId="{5EE362AD-58DD-48DA-B6DE-70E5E3EE8FB4}" destId="{65E673F3-465D-4520-A4B2-9C8379F233E8}" srcOrd="2" destOrd="0" presId="urn:microsoft.com/office/officeart/2005/8/layout/hierarchy1"/>
    <dgm:cxn modelId="{96441E9C-FF71-4A06-8558-AF45FE038F9E}" type="presParOf" srcId="{5EE362AD-58DD-48DA-B6DE-70E5E3EE8FB4}" destId="{C79D10FB-2B45-4311-A6CC-AA9793E88646}" srcOrd="3" destOrd="0" presId="urn:microsoft.com/office/officeart/2005/8/layout/hierarchy1"/>
    <dgm:cxn modelId="{34F98602-609E-4E33-B853-4A57C872583D}" type="presParOf" srcId="{C79D10FB-2B45-4311-A6CC-AA9793E88646}" destId="{E494359F-97EF-4DB4-9290-4B539F4A7FDB}" srcOrd="0" destOrd="0" presId="urn:microsoft.com/office/officeart/2005/8/layout/hierarchy1"/>
    <dgm:cxn modelId="{8BCFE218-0882-4E43-AE06-999094858C63}" type="presParOf" srcId="{E494359F-97EF-4DB4-9290-4B539F4A7FDB}" destId="{A07ED710-7280-4EC8-8B97-8717F6375D96}" srcOrd="0" destOrd="0" presId="urn:microsoft.com/office/officeart/2005/8/layout/hierarchy1"/>
    <dgm:cxn modelId="{BC280F79-830F-4024-AF37-BA9E3ED64BA6}" type="presParOf" srcId="{E494359F-97EF-4DB4-9290-4B539F4A7FDB}" destId="{D086957F-FE15-4FAB-873D-4C44793EDC65}" srcOrd="1" destOrd="0" presId="urn:microsoft.com/office/officeart/2005/8/layout/hierarchy1"/>
    <dgm:cxn modelId="{BB6B4EDA-D065-444B-BED5-49BE501D58AC}" type="presParOf" srcId="{C79D10FB-2B45-4311-A6CC-AA9793E88646}" destId="{A9BFD631-C856-4AC7-9A25-B7BCABA601B9}" srcOrd="1" destOrd="0" presId="urn:microsoft.com/office/officeart/2005/8/layout/hierarchy1"/>
    <dgm:cxn modelId="{BD5AD360-4C56-4C6E-B533-79CEF0D393E6}" type="presParOf" srcId="{A9BFD631-C856-4AC7-9A25-B7BCABA601B9}" destId="{1EDAE1F4-D152-4EDE-8A25-FD7BA154E274}" srcOrd="0" destOrd="0" presId="urn:microsoft.com/office/officeart/2005/8/layout/hierarchy1"/>
    <dgm:cxn modelId="{94CFEDCB-B02B-496A-94B5-3B5EC9491A5F}" type="presParOf" srcId="{A9BFD631-C856-4AC7-9A25-B7BCABA601B9}" destId="{7B046998-5DB2-457C-BEE4-3213CDF40C7B}" srcOrd="1" destOrd="0" presId="urn:microsoft.com/office/officeart/2005/8/layout/hierarchy1"/>
    <dgm:cxn modelId="{117A4F7F-9D98-44A0-A951-8C167D492649}" type="presParOf" srcId="{7B046998-5DB2-457C-BEE4-3213CDF40C7B}" destId="{5DEC0FB3-534C-489C-BF8E-78F9D5EA6E0F}" srcOrd="0" destOrd="0" presId="urn:microsoft.com/office/officeart/2005/8/layout/hierarchy1"/>
    <dgm:cxn modelId="{4617A297-6C15-4A1D-ACEC-FC728B2AA8B6}" type="presParOf" srcId="{5DEC0FB3-534C-489C-BF8E-78F9D5EA6E0F}" destId="{9D6EC7F7-7705-43DA-83BF-3CFED9B7E7CC}" srcOrd="0" destOrd="0" presId="urn:microsoft.com/office/officeart/2005/8/layout/hierarchy1"/>
    <dgm:cxn modelId="{044D0699-B991-408E-AF3F-77EB18B3B91D}" type="presParOf" srcId="{5DEC0FB3-534C-489C-BF8E-78F9D5EA6E0F}" destId="{1E50AE7B-FA5E-4212-9DD5-C8E23FF85B33}" srcOrd="1" destOrd="0" presId="urn:microsoft.com/office/officeart/2005/8/layout/hierarchy1"/>
    <dgm:cxn modelId="{51609D04-5126-4ACA-8413-F4A23FE7636D}" type="presParOf" srcId="{7B046998-5DB2-457C-BEE4-3213CDF40C7B}" destId="{3BB03512-5E85-4D54-9620-D6008AEF67EC}" srcOrd="1" destOrd="0" presId="urn:microsoft.com/office/officeart/2005/8/layout/hierarchy1"/>
    <dgm:cxn modelId="{718D5E0A-8A17-4B8A-8EA4-9365106FD597}" type="presParOf" srcId="{A9BFD631-C856-4AC7-9A25-B7BCABA601B9}" destId="{3E073385-6AB2-449C-871B-CC6114632731}" srcOrd="2" destOrd="0" presId="urn:microsoft.com/office/officeart/2005/8/layout/hierarchy1"/>
    <dgm:cxn modelId="{E996AA25-8C9D-4D46-85AF-5DC29681C8FA}" type="presParOf" srcId="{A9BFD631-C856-4AC7-9A25-B7BCABA601B9}" destId="{E331196C-83FC-4E08-A381-C0F3D98B09D8}" srcOrd="3" destOrd="0" presId="urn:microsoft.com/office/officeart/2005/8/layout/hierarchy1"/>
    <dgm:cxn modelId="{4737B18C-904B-4253-9113-ADC77D19A072}" type="presParOf" srcId="{E331196C-83FC-4E08-A381-C0F3D98B09D8}" destId="{798462B4-1AE4-433D-83E6-9E9C3A8A57A9}" srcOrd="0" destOrd="0" presId="urn:microsoft.com/office/officeart/2005/8/layout/hierarchy1"/>
    <dgm:cxn modelId="{3BC96948-9DD2-4783-928C-941E0A356CD8}" type="presParOf" srcId="{798462B4-1AE4-433D-83E6-9E9C3A8A57A9}" destId="{CF137D6A-4939-42BE-AE52-A42D73AB992B}" srcOrd="0" destOrd="0" presId="urn:microsoft.com/office/officeart/2005/8/layout/hierarchy1"/>
    <dgm:cxn modelId="{230211F2-5874-4D8E-A29A-EC95DEA35699}" type="presParOf" srcId="{798462B4-1AE4-433D-83E6-9E9C3A8A57A9}" destId="{0E05BB2B-B73B-440F-AFF8-E9AA74EEB397}" srcOrd="1" destOrd="0" presId="urn:microsoft.com/office/officeart/2005/8/layout/hierarchy1"/>
    <dgm:cxn modelId="{14940302-B80C-4ABE-941C-1DBF678351B3}" type="presParOf" srcId="{E331196C-83FC-4E08-A381-C0F3D98B09D8}" destId="{CC8BCF83-84ED-49AF-AEB3-CF2A338F2D4E}" srcOrd="1" destOrd="0" presId="urn:microsoft.com/office/officeart/2005/8/layout/hierarchy1"/>
    <dgm:cxn modelId="{B84C1FD7-2393-4A70-976D-0B711F6F2017}" type="presParOf" srcId="{A9BFD631-C856-4AC7-9A25-B7BCABA601B9}" destId="{A9FB2708-2EFF-454C-B0F2-451384149447}" srcOrd="4" destOrd="0" presId="urn:microsoft.com/office/officeart/2005/8/layout/hierarchy1"/>
    <dgm:cxn modelId="{6CF2D3F7-1344-4577-990F-938BC382E9FE}" type="presParOf" srcId="{A9BFD631-C856-4AC7-9A25-B7BCABA601B9}" destId="{8BAED360-55CB-48F7-87B2-2D75A276696E}" srcOrd="5" destOrd="0" presId="urn:microsoft.com/office/officeart/2005/8/layout/hierarchy1"/>
    <dgm:cxn modelId="{4D55F3F2-3BB9-4978-BE01-2920CF111D1A}" type="presParOf" srcId="{8BAED360-55CB-48F7-87B2-2D75A276696E}" destId="{9B55274F-2123-48D9-BA38-B0E12B0E379A}" srcOrd="0" destOrd="0" presId="urn:microsoft.com/office/officeart/2005/8/layout/hierarchy1"/>
    <dgm:cxn modelId="{A558B3B5-5695-43DC-BD4D-E0461A46BDAE}" type="presParOf" srcId="{9B55274F-2123-48D9-BA38-B0E12B0E379A}" destId="{A0EF1B60-2B69-460B-9136-97371479025A}" srcOrd="0" destOrd="0" presId="urn:microsoft.com/office/officeart/2005/8/layout/hierarchy1"/>
    <dgm:cxn modelId="{FAF77B0D-153B-4B95-8B62-8C155961921E}" type="presParOf" srcId="{9B55274F-2123-48D9-BA38-B0E12B0E379A}" destId="{DED3D22C-723A-4D35-B4C9-5A358C4F710B}" srcOrd="1" destOrd="0" presId="urn:microsoft.com/office/officeart/2005/8/layout/hierarchy1"/>
    <dgm:cxn modelId="{96491040-52B8-4F31-BC02-344223A5B429}" type="presParOf" srcId="{8BAED360-55CB-48F7-87B2-2D75A276696E}" destId="{20B74756-8800-4D8D-AB92-B9127D8C18B5}"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FB2708-2EFF-454C-B0F2-451384149447}">
      <dsp:nvSpPr>
        <dsp:cNvPr id="0" name=""/>
        <dsp:cNvSpPr/>
      </dsp:nvSpPr>
      <dsp:spPr>
        <a:xfrm>
          <a:off x="4093368" y="1427868"/>
          <a:ext cx="928241" cy="220879"/>
        </a:xfrm>
        <a:custGeom>
          <a:avLst/>
          <a:gdLst/>
          <a:ahLst/>
          <a:cxnLst/>
          <a:rect l="0" t="0" r="0" b="0"/>
          <a:pathLst>
            <a:path>
              <a:moveTo>
                <a:pt x="0" y="0"/>
              </a:moveTo>
              <a:lnTo>
                <a:pt x="0" y="150522"/>
              </a:lnTo>
              <a:lnTo>
                <a:pt x="928241" y="150522"/>
              </a:lnTo>
              <a:lnTo>
                <a:pt x="928241" y="22087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073385-6AB2-449C-871B-CC6114632731}">
      <dsp:nvSpPr>
        <dsp:cNvPr id="0" name=""/>
        <dsp:cNvSpPr/>
      </dsp:nvSpPr>
      <dsp:spPr>
        <a:xfrm>
          <a:off x="4047648" y="1427868"/>
          <a:ext cx="91440" cy="220879"/>
        </a:xfrm>
        <a:custGeom>
          <a:avLst/>
          <a:gdLst/>
          <a:ahLst/>
          <a:cxnLst/>
          <a:rect l="0" t="0" r="0" b="0"/>
          <a:pathLst>
            <a:path>
              <a:moveTo>
                <a:pt x="45720" y="0"/>
              </a:moveTo>
              <a:lnTo>
                <a:pt x="45720" y="22087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DAE1F4-D152-4EDE-8A25-FD7BA154E274}">
      <dsp:nvSpPr>
        <dsp:cNvPr id="0" name=""/>
        <dsp:cNvSpPr/>
      </dsp:nvSpPr>
      <dsp:spPr>
        <a:xfrm>
          <a:off x="3165127" y="1427868"/>
          <a:ext cx="928241" cy="220879"/>
        </a:xfrm>
        <a:custGeom>
          <a:avLst/>
          <a:gdLst/>
          <a:ahLst/>
          <a:cxnLst/>
          <a:rect l="0" t="0" r="0" b="0"/>
          <a:pathLst>
            <a:path>
              <a:moveTo>
                <a:pt x="928241" y="0"/>
              </a:moveTo>
              <a:lnTo>
                <a:pt x="928241" y="150522"/>
              </a:lnTo>
              <a:lnTo>
                <a:pt x="0" y="150522"/>
              </a:lnTo>
              <a:lnTo>
                <a:pt x="0" y="22087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E673F3-465D-4520-A4B2-9C8379F233E8}">
      <dsp:nvSpPr>
        <dsp:cNvPr id="0" name=""/>
        <dsp:cNvSpPr/>
      </dsp:nvSpPr>
      <dsp:spPr>
        <a:xfrm>
          <a:off x="2701007" y="724725"/>
          <a:ext cx="1392361" cy="220879"/>
        </a:xfrm>
        <a:custGeom>
          <a:avLst/>
          <a:gdLst/>
          <a:ahLst/>
          <a:cxnLst/>
          <a:rect l="0" t="0" r="0" b="0"/>
          <a:pathLst>
            <a:path>
              <a:moveTo>
                <a:pt x="0" y="0"/>
              </a:moveTo>
              <a:lnTo>
                <a:pt x="0" y="150522"/>
              </a:lnTo>
              <a:lnTo>
                <a:pt x="1392361" y="150522"/>
              </a:lnTo>
              <a:lnTo>
                <a:pt x="1392361" y="22087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D85AC9-3E9B-4344-BF6C-CEF925B49417}">
      <dsp:nvSpPr>
        <dsp:cNvPr id="0" name=""/>
        <dsp:cNvSpPr/>
      </dsp:nvSpPr>
      <dsp:spPr>
        <a:xfrm>
          <a:off x="1308645" y="1427868"/>
          <a:ext cx="928241" cy="220879"/>
        </a:xfrm>
        <a:custGeom>
          <a:avLst/>
          <a:gdLst/>
          <a:ahLst/>
          <a:cxnLst/>
          <a:rect l="0" t="0" r="0" b="0"/>
          <a:pathLst>
            <a:path>
              <a:moveTo>
                <a:pt x="0" y="0"/>
              </a:moveTo>
              <a:lnTo>
                <a:pt x="0" y="150522"/>
              </a:lnTo>
              <a:lnTo>
                <a:pt x="928241" y="150522"/>
              </a:lnTo>
              <a:lnTo>
                <a:pt x="928241" y="22087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5E7F4B-C9CE-4EBD-B440-8F3A485B5A95}">
      <dsp:nvSpPr>
        <dsp:cNvPr id="0" name=""/>
        <dsp:cNvSpPr/>
      </dsp:nvSpPr>
      <dsp:spPr>
        <a:xfrm>
          <a:off x="1262925" y="1427868"/>
          <a:ext cx="91440" cy="220879"/>
        </a:xfrm>
        <a:custGeom>
          <a:avLst/>
          <a:gdLst/>
          <a:ahLst/>
          <a:cxnLst/>
          <a:rect l="0" t="0" r="0" b="0"/>
          <a:pathLst>
            <a:path>
              <a:moveTo>
                <a:pt x="45720" y="0"/>
              </a:moveTo>
              <a:lnTo>
                <a:pt x="45720" y="22087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D8B320-0987-4020-925A-5AC8F343D898}">
      <dsp:nvSpPr>
        <dsp:cNvPr id="0" name=""/>
        <dsp:cNvSpPr/>
      </dsp:nvSpPr>
      <dsp:spPr>
        <a:xfrm>
          <a:off x="380404" y="1427868"/>
          <a:ext cx="928241" cy="220879"/>
        </a:xfrm>
        <a:custGeom>
          <a:avLst/>
          <a:gdLst/>
          <a:ahLst/>
          <a:cxnLst/>
          <a:rect l="0" t="0" r="0" b="0"/>
          <a:pathLst>
            <a:path>
              <a:moveTo>
                <a:pt x="928241" y="0"/>
              </a:moveTo>
              <a:lnTo>
                <a:pt x="928241" y="150522"/>
              </a:lnTo>
              <a:lnTo>
                <a:pt x="0" y="150522"/>
              </a:lnTo>
              <a:lnTo>
                <a:pt x="0" y="22087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BE08A0-D7D4-4ADD-852F-C69E3C9F15EC}">
      <dsp:nvSpPr>
        <dsp:cNvPr id="0" name=""/>
        <dsp:cNvSpPr/>
      </dsp:nvSpPr>
      <dsp:spPr>
        <a:xfrm>
          <a:off x="1308645" y="724725"/>
          <a:ext cx="1392361" cy="220879"/>
        </a:xfrm>
        <a:custGeom>
          <a:avLst/>
          <a:gdLst/>
          <a:ahLst/>
          <a:cxnLst/>
          <a:rect l="0" t="0" r="0" b="0"/>
          <a:pathLst>
            <a:path>
              <a:moveTo>
                <a:pt x="1392361" y="0"/>
              </a:moveTo>
              <a:lnTo>
                <a:pt x="1392361" y="150522"/>
              </a:lnTo>
              <a:lnTo>
                <a:pt x="0" y="150522"/>
              </a:lnTo>
              <a:lnTo>
                <a:pt x="0" y="22087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E2079E-E287-43FC-AC27-939407718245}">
      <dsp:nvSpPr>
        <dsp:cNvPr id="0" name=""/>
        <dsp:cNvSpPr/>
      </dsp:nvSpPr>
      <dsp:spPr>
        <a:xfrm>
          <a:off x="2321272" y="242462"/>
          <a:ext cx="759469" cy="482263"/>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0851EF-DC9F-47C8-8761-C9CA2EE41996}">
      <dsp:nvSpPr>
        <dsp:cNvPr id="0" name=""/>
        <dsp:cNvSpPr/>
      </dsp:nvSpPr>
      <dsp:spPr>
        <a:xfrm>
          <a:off x="2405657" y="322628"/>
          <a:ext cx="759469" cy="482263"/>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Impact of Pound depriciation on trade</a:t>
          </a:r>
        </a:p>
      </dsp:txBody>
      <dsp:txXfrm>
        <a:off x="2419782" y="336753"/>
        <a:ext cx="731219" cy="454013"/>
      </dsp:txXfrm>
    </dsp:sp>
    <dsp:sp modelId="{2F8C50CB-AEB1-4877-8BAF-F01D6AE0D4DB}">
      <dsp:nvSpPr>
        <dsp:cNvPr id="0" name=""/>
        <dsp:cNvSpPr/>
      </dsp:nvSpPr>
      <dsp:spPr>
        <a:xfrm>
          <a:off x="928910" y="945605"/>
          <a:ext cx="759469" cy="48226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58D3DF3-5B2F-4E8B-A1B3-ED7352855920}">
      <dsp:nvSpPr>
        <dsp:cNvPr id="0" name=""/>
        <dsp:cNvSpPr/>
      </dsp:nvSpPr>
      <dsp:spPr>
        <a:xfrm>
          <a:off x="1013296" y="1025771"/>
          <a:ext cx="759469" cy="48226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Benefactors</a:t>
          </a:r>
          <a:endParaRPr lang="en-US" sz="700" kern="1200"/>
        </a:p>
      </dsp:txBody>
      <dsp:txXfrm>
        <a:off x="1027421" y="1039896"/>
        <a:ext cx="731219" cy="454013"/>
      </dsp:txXfrm>
    </dsp:sp>
    <dsp:sp modelId="{4F5D6330-FFCA-4DDF-8C88-AC391E3725A5}">
      <dsp:nvSpPr>
        <dsp:cNvPr id="0" name=""/>
        <dsp:cNvSpPr/>
      </dsp:nvSpPr>
      <dsp:spPr>
        <a:xfrm>
          <a:off x="669" y="1648747"/>
          <a:ext cx="759469" cy="48226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904CC99-748F-4859-9140-F2F7A138A0F7}">
      <dsp:nvSpPr>
        <dsp:cNvPr id="0" name=""/>
        <dsp:cNvSpPr/>
      </dsp:nvSpPr>
      <dsp:spPr>
        <a:xfrm>
          <a:off x="85055" y="1728914"/>
          <a:ext cx="759469" cy="48226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Exporters</a:t>
          </a:r>
        </a:p>
      </dsp:txBody>
      <dsp:txXfrm>
        <a:off x="99180" y="1743039"/>
        <a:ext cx="731219" cy="454013"/>
      </dsp:txXfrm>
    </dsp:sp>
    <dsp:sp modelId="{09EC57D2-5D60-4533-9536-7D7340609438}">
      <dsp:nvSpPr>
        <dsp:cNvPr id="0" name=""/>
        <dsp:cNvSpPr/>
      </dsp:nvSpPr>
      <dsp:spPr>
        <a:xfrm>
          <a:off x="928910" y="1648747"/>
          <a:ext cx="759469" cy="48226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6E6056D-2DED-4FFE-BF1F-9C45FBF5A2E4}">
      <dsp:nvSpPr>
        <dsp:cNvPr id="0" name=""/>
        <dsp:cNvSpPr/>
      </dsp:nvSpPr>
      <dsp:spPr>
        <a:xfrm>
          <a:off x="1013296" y="1728914"/>
          <a:ext cx="759469" cy="48226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Toursim</a:t>
          </a:r>
        </a:p>
      </dsp:txBody>
      <dsp:txXfrm>
        <a:off x="1027421" y="1743039"/>
        <a:ext cx="731219" cy="454013"/>
      </dsp:txXfrm>
    </dsp:sp>
    <dsp:sp modelId="{81A4DD5A-18FA-4044-989C-5CF2CE0CA1CF}">
      <dsp:nvSpPr>
        <dsp:cNvPr id="0" name=""/>
        <dsp:cNvSpPr/>
      </dsp:nvSpPr>
      <dsp:spPr>
        <a:xfrm>
          <a:off x="1857151" y="1648747"/>
          <a:ext cx="759469" cy="48226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69BE9BF-4D5F-4E5F-A010-9ADCF3A1CC56}">
      <dsp:nvSpPr>
        <dsp:cNvPr id="0" name=""/>
        <dsp:cNvSpPr/>
      </dsp:nvSpPr>
      <dsp:spPr>
        <a:xfrm>
          <a:off x="1941537" y="1728914"/>
          <a:ext cx="759469" cy="48226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Workers</a:t>
          </a:r>
        </a:p>
      </dsp:txBody>
      <dsp:txXfrm>
        <a:off x="1955662" y="1743039"/>
        <a:ext cx="731219" cy="454013"/>
      </dsp:txXfrm>
    </dsp:sp>
    <dsp:sp modelId="{A07ED710-7280-4EC8-8B97-8717F6375D96}">
      <dsp:nvSpPr>
        <dsp:cNvPr id="0" name=""/>
        <dsp:cNvSpPr/>
      </dsp:nvSpPr>
      <dsp:spPr>
        <a:xfrm>
          <a:off x="3713633" y="945605"/>
          <a:ext cx="759469" cy="48226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086957F-FE15-4FAB-873D-4C44793EDC65}">
      <dsp:nvSpPr>
        <dsp:cNvPr id="0" name=""/>
        <dsp:cNvSpPr/>
      </dsp:nvSpPr>
      <dsp:spPr>
        <a:xfrm>
          <a:off x="3798019" y="1025771"/>
          <a:ext cx="759469" cy="48226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Disfavored</a:t>
          </a:r>
          <a:endParaRPr lang="en-US" sz="700" kern="1200"/>
        </a:p>
      </dsp:txBody>
      <dsp:txXfrm>
        <a:off x="3812144" y="1039896"/>
        <a:ext cx="731219" cy="454013"/>
      </dsp:txXfrm>
    </dsp:sp>
    <dsp:sp modelId="{9D6EC7F7-7705-43DA-83BF-3CFED9B7E7CC}">
      <dsp:nvSpPr>
        <dsp:cNvPr id="0" name=""/>
        <dsp:cNvSpPr/>
      </dsp:nvSpPr>
      <dsp:spPr>
        <a:xfrm>
          <a:off x="2785392" y="1648747"/>
          <a:ext cx="759469" cy="48226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E50AE7B-FA5E-4212-9DD5-C8E23FF85B33}">
      <dsp:nvSpPr>
        <dsp:cNvPr id="0" name=""/>
        <dsp:cNvSpPr/>
      </dsp:nvSpPr>
      <dsp:spPr>
        <a:xfrm>
          <a:off x="2869778" y="1728914"/>
          <a:ext cx="759469" cy="48226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Consumers</a:t>
          </a:r>
        </a:p>
      </dsp:txBody>
      <dsp:txXfrm>
        <a:off x="2883903" y="1743039"/>
        <a:ext cx="731219" cy="454013"/>
      </dsp:txXfrm>
    </dsp:sp>
    <dsp:sp modelId="{CF137D6A-4939-42BE-AE52-A42D73AB992B}">
      <dsp:nvSpPr>
        <dsp:cNvPr id="0" name=""/>
        <dsp:cNvSpPr/>
      </dsp:nvSpPr>
      <dsp:spPr>
        <a:xfrm>
          <a:off x="3713633" y="1648747"/>
          <a:ext cx="759469" cy="48226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E05BB2B-B73B-440F-AFF8-E9AA74EEB397}">
      <dsp:nvSpPr>
        <dsp:cNvPr id="0" name=""/>
        <dsp:cNvSpPr/>
      </dsp:nvSpPr>
      <dsp:spPr>
        <a:xfrm>
          <a:off x="3798019" y="1728914"/>
          <a:ext cx="759469" cy="48226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Importers</a:t>
          </a:r>
        </a:p>
      </dsp:txBody>
      <dsp:txXfrm>
        <a:off x="3812144" y="1743039"/>
        <a:ext cx="731219" cy="454013"/>
      </dsp:txXfrm>
    </dsp:sp>
    <dsp:sp modelId="{A0EF1B60-2B69-460B-9136-97371479025A}">
      <dsp:nvSpPr>
        <dsp:cNvPr id="0" name=""/>
        <dsp:cNvSpPr/>
      </dsp:nvSpPr>
      <dsp:spPr>
        <a:xfrm>
          <a:off x="4641874" y="1648747"/>
          <a:ext cx="759469" cy="48226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D3D22C-723A-4D35-B4C9-5A358C4F710B}">
      <dsp:nvSpPr>
        <dsp:cNvPr id="0" name=""/>
        <dsp:cNvSpPr/>
      </dsp:nvSpPr>
      <dsp:spPr>
        <a:xfrm>
          <a:off x="4726260" y="1728914"/>
          <a:ext cx="759469" cy="48226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Manufacturers</a:t>
          </a:r>
        </a:p>
      </dsp:txBody>
      <dsp:txXfrm>
        <a:off x="4740385" y="1743039"/>
        <a:ext cx="731219" cy="45401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DDD889-DE6A-40D7-8853-A901062B1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12</Pages>
  <Words>3000</Words>
  <Characters>17105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Constantin Alexandru Frunza</cp:lastModifiedBy>
  <cp:revision>31</cp:revision>
  <dcterms:created xsi:type="dcterms:W3CDTF">2022-02-14T10:49:00Z</dcterms:created>
  <dcterms:modified xsi:type="dcterms:W3CDTF">2022-03-31T12:43:00Z</dcterms:modified>
</cp:coreProperties>
</file>