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DF302E" w14:textId="4714BC3B" w:rsidR="00D27AF0" w:rsidRPr="00D27AF0" w:rsidRDefault="00D27AF0" w:rsidP="00D27AF0">
      <w:pPr>
        <w:spacing w:line="360" w:lineRule="auto"/>
        <w:jc w:val="center"/>
        <w:rPr>
          <w:rFonts w:ascii="Times New Roman" w:hAnsi="Times New Roman" w:cs="Times New Roman"/>
          <w:b/>
          <w:bCs/>
          <w:lang w:val="en-US"/>
        </w:rPr>
      </w:pPr>
      <w:r w:rsidRPr="00D27AF0">
        <w:rPr>
          <w:rFonts w:ascii="Times New Roman" w:hAnsi="Times New Roman" w:cs="Times New Roman"/>
          <w:b/>
          <w:bCs/>
          <w:noProof/>
          <w:lang w:val="en-US"/>
        </w:rPr>
        <w:drawing>
          <wp:inline distT="0" distB="0" distL="0" distR="0" wp14:anchorId="65DA4E33" wp14:editId="5DB69074">
            <wp:extent cx="4429125" cy="1200150"/>
            <wp:effectExtent l="0" t="0" r="9525" b="0"/>
            <wp:docPr id="956016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29125" cy="1200150"/>
                    </a:xfrm>
                    <a:prstGeom prst="rect">
                      <a:avLst/>
                    </a:prstGeom>
                    <a:noFill/>
                    <a:ln>
                      <a:noFill/>
                    </a:ln>
                  </pic:spPr>
                </pic:pic>
              </a:graphicData>
            </a:graphic>
          </wp:inline>
        </w:drawing>
      </w:r>
    </w:p>
    <w:p w14:paraId="5FF47D84" w14:textId="77777777" w:rsidR="00D27AF0" w:rsidRDefault="00D27AF0" w:rsidP="00BB0E62">
      <w:pPr>
        <w:spacing w:line="360" w:lineRule="auto"/>
        <w:jc w:val="center"/>
        <w:rPr>
          <w:rFonts w:ascii="Times New Roman" w:hAnsi="Times New Roman" w:cs="Times New Roman"/>
          <w:b/>
          <w:bCs/>
        </w:rPr>
      </w:pPr>
    </w:p>
    <w:p w14:paraId="689AFA5F" w14:textId="77777777" w:rsidR="00D27AF0" w:rsidRDefault="00D27AF0" w:rsidP="00BB0E62">
      <w:pPr>
        <w:spacing w:line="360" w:lineRule="auto"/>
        <w:jc w:val="center"/>
        <w:rPr>
          <w:rFonts w:ascii="Times New Roman" w:hAnsi="Times New Roman" w:cs="Times New Roman"/>
          <w:b/>
          <w:bCs/>
        </w:rPr>
      </w:pPr>
    </w:p>
    <w:p w14:paraId="1829430E" w14:textId="41800DB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Programme:</w:t>
      </w:r>
      <w:r w:rsidRPr="00BB0E62">
        <w:rPr>
          <w:rFonts w:ascii="Times New Roman" w:hAnsi="Times New Roman" w:cs="Times New Roman"/>
        </w:rPr>
        <w:t xml:space="preserve"> MSc Public Health and Social Care in Practice</w:t>
      </w:r>
    </w:p>
    <w:p w14:paraId="01FE3865" w14:textId="7777777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Module Name:</w:t>
      </w:r>
      <w:r w:rsidRPr="00BB0E62">
        <w:rPr>
          <w:rFonts w:ascii="Times New Roman" w:hAnsi="Times New Roman" w:cs="Times New Roman"/>
        </w:rPr>
        <w:t xml:space="preserve"> Community Care and Management of Longer-term Conditions</w:t>
      </w:r>
    </w:p>
    <w:p w14:paraId="10C63909" w14:textId="7777777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Module Code:</w:t>
      </w:r>
      <w:r w:rsidRPr="00BB0E62">
        <w:rPr>
          <w:rFonts w:ascii="Times New Roman" w:hAnsi="Times New Roman" w:cs="Times New Roman"/>
        </w:rPr>
        <w:t xml:space="preserve"> LCHS7003</w:t>
      </w:r>
    </w:p>
    <w:p w14:paraId="1F86C68C" w14:textId="7777777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Assignment Title:</w:t>
      </w:r>
      <w:r w:rsidRPr="00BB0E62">
        <w:rPr>
          <w:rFonts w:ascii="Times New Roman" w:hAnsi="Times New Roman" w:cs="Times New Roman"/>
        </w:rPr>
        <w:t xml:space="preserve"> Information Booklet: Sickle Cell Disease in Early Infancy in the United Kingdom</w:t>
      </w:r>
    </w:p>
    <w:p w14:paraId="107B9CCA" w14:textId="7BAB497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Student Name:</w:t>
      </w:r>
      <w:r w:rsidRPr="00BB0E62">
        <w:rPr>
          <w:rFonts w:ascii="Times New Roman" w:hAnsi="Times New Roman" w:cs="Times New Roman"/>
        </w:rPr>
        <w:t xml:space="preserve"> </w:t>
      </w:r>
      <w:r w:rsidR="00964EF6">
        <w:rPr>
          <w:rFonts w:ascii="Times New Roman" w:hAnsi="Times New Roman" w:cs="Times New Roman"/>
        </w:rPr>
        <w:t>FUAANSHA D. PIMPALE</w:t>
      </w:r>
    </w:p>
    <w:p w14:paraId="713AA023" w14:textId="18460A42"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Student</w:t>
      </w:r>
      <w:r w:rsidR="00A94720">
        <w:rPr>
          <w:rFonts w:ascii="Times New Roman" w:hAnsi="Times New Roman" w:cs="Times New Roman"/>
          <w:b/>
          <w:bCs/>
        </w:rPr>
        <w:t xml:space="preserve"> ID : 2530082</w:t>
      </w:r>
    </w:p>
    <w:p w14:paraId="711E45BD" w14:textId="7777777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Lecturer:</w:t>
      </w:r>
      <w:r w:rsidRPr="00BB0E62">
        <w:rPr>
          <w:rFonts w:ascii="Times New Roman" w:hAnsi="Times New Roman" w:cs="Times New Roman"/>
        </w:rPr>
        <w:t xml:space="preserve"> Muhammed Khan</w:t>
      </w:r>
    </w:p>
    <w:p w14:paraId="3EAD7712" w14:textId="77777777" w:rsidR="00BB0E62" w:rsidRPr="00BB0E62" w:rsidRDefault="00BB0E62" w:rsidP="00BB0E62">
      <w:pPr>
        <w:spacing w:line="360" w:lineRule="auto"/>
        <w:jc w:val="center"/>
        <w:rPr>
          <w:rFonts w:ascii="Times New Roman" w:hAnsi="Times New Roman" w:cs="Times New Roman"/>
        </w:rPr>
      </w:pPr>
      <w:r w:rsidRPr="00BB0E62">
        <w:rPr>
          <w:rFonts w:ascii="Times New Roman" w:hAnsi="Times New Roman" w:cs="Times New Roman"/>
          <w:b/>
          <w:bCs/>
        </w:rPr>
        <w:t>Date of Submission:</w:t>
      </w:r>
      <w:r w:rsidRPr="00BB0E62">
        <w:rPr>
          <w:rFonts w:ascii="Times New Roman" w:hAnsi="Times New Roman" w:cs="Times New Roman"/>
        </w:rPr>
        <w:t xml:space="preserve"> 19 March 2026</w:t>
      </w:r>
    </w:p>
    <w:p w14:paraId="1D229649" w14:textId="77777777" w:rsidR="00BB0E62" w:rsidRDefault="00BB0E62" w:rsidP="00BB0E62">
      <w:pPr>
        <w:spacing w:line="360" w:lineRule="auto"/>
        <w:jc w:val="both"/>
      </w:pPr>
    </w:p>
    <w:p w14:paraId="668DB677" w14:textId="77777777" w:rsidR="00BB0E62" w:rsidRDefault="00BB0E62" w:rsidP="00BB0E62">
      <w:pPr>
        <w:spacing w:line="360" w:lineRule="auto"/>
        <w:jc w:val="both"/>
      </w:pPr>
    </w:p>
    <w:p w14:paraId="74816E46" w14:textId="77777777" w:rsidR="00BB0E62" w:rsidRDefault="00BB0E62" w:rsidP="00BB0E62">
      <w:pPr>
        <w:spacing w:line="360" w:lineRule="auto"/>
        <w:jc w:val="both"/>
      </w:pPr>
    </w:p>
    <w:p w14:paraId="05568A8A" w14:textId="77777777" w:rsidR="00BB0E62" w:rsidRDefault="00BB0E62" w:rsidP="00BB0E62">
      <w:pPr>
        <w:spacing w:line="360" w:lineRule="auto"/>
        <w:jc w:val="both"/>
      </w:pPr>
    </w:p>
    <w:p w14:paraId="748A7455" w14:textId="77777777" w:rsidR="00BB0E62" w:rsidRDefault="00BB0E62" w:rsidP="00BB0E62">
      <w:pPr>
        <w:spacing w:line="360" w:lineRule="auto"/>
        <w:jc w:val="both"/>
      </w:pPr>
    </w:p>
    <w:p w14:paraId="0A800C6A" w14:textId="77777777" w:rsidR="00BB0E62" w:rsidRDefault="00BB0E62" w:rsidP="00BB0E62">
      <w:pPr>
        <w:spacing w:line="360" w:lineRule="auto"/>
        <w:jc w:val="both"/>
      </w:pPr>
    </w:p>
    <w:p w14:paraId="709C053F" w14:textId="77777777" w:rsidR="00BB0E62" w:rsidRDefault="00BB0E62" w:rsidP="00BB0E62">
      <w:pPr>
        <w:spacing w:line="360" w:lineRule="auto"/>
        <w:jc w:val="both"/>
      </w:pPr>
    </w:p>
    <w:p w14:paraId="1BC6C2C3" w14:textId="77777777" w:rsidR="00BB0E62" w:rsidRDefault="00BB0E62" w:rsidP="00BB0E62">
      <w:pPr>
        <w:spacing w:line="360" w:lineRule="auto"/>
        <w:jc w:val="both"/>
      </w:pPr>
    </w:p>
    <w:p w14:paraId="7CDAA0A3" w14:textId="77777777" w:rsidR="00BB0E62" w:rsidRDefault="00BB0E62" w:rsidP="00BB0E62">
      <w:pPr>
        <w:spacing w:line="360" w:lineRule="auto"/>
        <w:jc w:val="both"/>
      </w:pPr>
    </w:p>
    <w:p w14:paraId="7CD34940" w14:textId="77777777" w:rsidR="00BB0E62" w:rsidRDefault="00BB0E62" w:rsidP="00BB0E62">
      <w:pPr>
        <w:spacing w:line="360" w:lineRule="auto"/>
        <w:jc w:val="both"/>
      </w:pPr>
    </w:p>
    <w:p w14:paraId="7637868A" w14:textId="77777777" w:rsidR="00A94720" w:rsidRDefault="00A94720" w:rsidP="00BB0E62">
      <w:pPr>
        <w:pStyle w:val="Heading1"/>
        <w:spacing w:line="360" w:lineRule="auto"/>
        <w:jc w:val="both"/>
        <w:rPr>
          <w:rFonts w:ascii="Times New Roman" w:hAnsi="Times New Roman" w:cs="Times New Roman"/>
          <w:sz w:val="24"/>
          <w:szCs w:val="24"/>
        </w:rPr>
        <w:sectPr w:rsidR="00A94720">
          <w:pgSz w:w="11906" w:h="16838"/>
          <w:pgMar w:top="1440" w:right="1440" w:bottom="1440" w:left="1440" w:header="708" w:footer="708" w:gutter="0"/>
          <w:cols w:space="708"/>
          <w:docGrid w:linePitch="360"/>
        </w:sectPr>
      </w:pPr>
    </w:p>
    <w:p w14:paraId="39EDB58E" w14:textId="27895058" w:rsidR="00CA2694" w:rsidRPr="00BB0E62" w:rsidRDefault="00CA2694"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lastRenderedPageBreak/>
        <w:t>Introduction</w:t>
      </w:r>
    </w:p>
    <w:p w14:paraId="373A5941" w14:textId="77777777" w:rsidR="00D15236" w:rsidRDefault="00C8493A" w:rsidP="00BB0E62">
      <w:pPr>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 xml:space="preserve">The sickle cell disease (SCD) is a hereditary haemoglobin disorder due to mutation in the </w:t>
      </w:r>
      <w:r w:rsidRPr="00BB0E62">
        <w:rPr>
          <w:rFonts w:ascii="Times New Roman" w:hAnsi="Times New Roman" w:cs="Times New Roman"/>
          <w:b/>
          <w:bCs/>
          <w:sz w:val="24"/>
          <w:szCs w:val="24"/>
        </w:rPr>
        <w:t>β-globin</w:t>
      </w:r>
      <w:r w:rsidRPr="00BB0E62">
        <w:rPr>
          <w:rFonts w:ascii="Times New Roman" w:hAnsi="Times New Roman" w:cs="Times New Roman"/>
          <w:sz w:val="24"/>
          <w:szCs w:val="24"/>
        </w:rPr>
        <w:t xml:space="preserve"> gene which forms haemoglobin S that causes the red blood cells to be rigid and sickle-shaped resulting in hindering microcirculation as well as causing haemolytic anaemia and </w:t>
      </w:r>
      <w:proofErr w:type="spellStart"/>
      <w:r w:rsidRPr="00BB0E62">
        <w:rPr>
          <w:rFonts w:ascii="Times New Roman" w:hAnsi="Times New Roman" w:cs="Times New Roman"/>
          <w:sz w:val="24"/>
          <w:szCs w:val="24"/>
        </w:rPr>
        <w:t>vaso</w:t>
      </w:r>
      <w:proofErr w:type="spellEnd"/>
      <w:r w:rsidRPr="00BB0E62">
        <w:rPr>
          <w:rFonts w:ascii="Times New Roman" w:hAnsi="Times New Roman" w:cs="Times New Roman"/>
          <w:sz w:val="24"/>
          <w:szCs w:val="24"/>
        </w:rPr>
        <w:t xml:space="preserve">-occlusive problems (Rees, Williams and Gladwin, 2010). SCD is a genetic disease burden on a population of about </w:t>
      </w:r>
      <w:r w:rsidRPr="00BB0E62">
        <w:rPr>
          <w:rFonts w:ascii="Times New Roman" w:hAnsi="Times New Roman" w:cs="Times New Roman"/>
          <w:b/>
          <w:bCs/>
          <w:sz w:val="24"/>
          <w:szCs w:val="24"/>
        </w:rPr>
        <w:t>7.7 million</w:t>
      </w:r>
      <w:r w:rsidRPr="00BB0E62">
        <w:rPr>
          <w:rFonts w:ascii="Times New Roman" w:hAnsi="Times New Roman" w:cs="Times New Roman"/>
          <w:sz w:val="24"/>
          <w:szCs w:val="24"/>
        </w:rPr>
        <w:t xml:space="preserve"> globally, with an average of </w:t>
      </w:r>
      <w:r w:rsidRPr="00BB0E62">
        <w:rPr>
          <w:rFonts w:ascii="Times New Roman" w:hAnsi="Times New Roman" w:cs="Times New Roman"/>
          <w:b/>
          <w:bCs/>
          <w:sz w:val="24"/>
          <w:szCs w:val="24"/>
        </w:rPr>
        <w:t>300,000 infants</w:t>
      </w:r>
      <w:r w:rsidRPr="00BB0E62">
        <w:rPr>
          <w:rFonts w:ascii="Times New Roman" w:hAnsi="Times New Roman" w:cs="Times New Roman"/>
          <w:sz w:val="24"/>
          <w:szCs w:val="24"/>
        </w:rPr>
        <w:t xml:space="preserve"> born with the condition annually showing the disease has a high prevalence (World Health Organization, 2023). SCD is the most prevalent inherited blood disease in the United Kingdom, with a prevalence of approximately </w:t>
      </w:r>
      <w:r w:rsidRPr="00BB0E62">
        <w:rPr>
          <w:rFonts w:ascii="Times New Roman" w:hAnsi="Times New Roman" w:cs="Times New Roman"/>
          <w:b/>
          <w:bCs/>
          <w:sz w:val="24"/>
          <w:szCs w:val="24"/>
        </w:rPr>
        <w:t>17,000 individuals</w:t>
      </w:r>
      <w:r w:rsidRPr="00BB0E62">
        <w:rPr>
          <w:rFonts w:ascii="Times New Roman" w:hAnsi="Times New Roman" w:cs="Times New Roman"/>
          <w:sz w:val="24"/>
          <w:szCs w:val="24"/>
        </w:rPr>
        <w:t xml:space="preserve">, with </w:t>
      </w:r>
      <w:r w:rsidRPr="00BB0E62">
        <w:rPr>
          <w:rFonts w:ascii="Times New Roman" w:hAnsi="Times New Roman" w:cs="Times New Roman"/>
          <w:b/>
          <w:bCs/>
          <w:sz w:val="24"/>
          <w:szCs w:val="24"/>
        </w:rPr>
        <w:t>250–300 babies</w:t>
      </w:r>
      <w:r w:rsidRPr="00BB0E62">
        <w:rPr>
          <w:rFonts w:ascii="Times New Roman" w:hAnsi="Times New Roman" w:cs="Times New Roman"/>
          <w:sz w:val="24"/>
          <w:szCs w:val="24"/>
        </w:rPr>
        <w:t xml:space="preserve"> diagnosed each year, mostly due to national screening programmes (Sickle Cell Society, 2024). Early infancy is a period of critical disease management since clinical manifestations usually occur after the haemoglobin level of the </w:t>
      </w:r>
      <w:proofErr w:type="spellStart"/>
      <w:r w:rsidRPr="00BB0E62">
        <w:rPr>
          <w:rFonts w:ascii="Times New Roman" w:hAnsi="Times New Roman" w:cs="Times New Roman"/>
          <w:sz w:val="24"/>
          <w:szCs w:val="24"/>
        </w:rPr>
        <w:t>fetus</w:t>
      </w:r>
      <w:proofErr w:type="spellEnd"/>
      <w:r w:rsidRPr="00BB0E62">
        <w:rPr>
          <w:rFonts w:ascii="Times New Roman" w:hAnsi="Times New Roman" w:cs="Times New Roman"/>
          <w:sz w:val="24"/>
          <w:szCs w:val="24"/>
        </w:rPr>
        <w:t xml:space="preserve"> drops at the ages of </w:t>
      </w:r>
      <w:r w:rsidRPr="00BB0E62">
        <w:rPr>
          <w:rFonts w:ascii="Times New Roman" w:hAnsi="Times New Roman" w:cs="Times New Roman"/>
          <w:b/>
          <w:bCs/>
          <w:sz w:val="24"/>
          <w:szCs w:val="24"/>
        </w:rPr>
        <w:t>3–6 months</w:t>
      </w:r>
      <w:r w:rsidRPr="00BB0E62">
        <w:rPr>
          <w:rFonts w:ascii="Times New Roman" w:hAnsi="Times New Roman" w:cs="Times New Roman"/>
          <w:sz w:val="24"/>
          <w:szCs w:val="24"/>
        </w:rPr>
        <w:t xml:space="preserve">, making them more vulnerable to infection, severe anaemia and </w:t>
      </w:r>
      <w:proofErr w:type="spellStart"/>
      <w:r w:rsidRPr="00BB0E62">
        <w:rPr>
          <w:rFonts w:ascii="Times New Roman" w:hAnsi="Times New Roman" w:cs="Times New Roman"/>
          <w:sz w:val="24"/>
          <w:szCs w:val="24"/>
        </w:rPr>
        <w:t>vaso</w:t>
      </w:r>
      <w:proofErr w:type="spellEnd"/>
      <w:r w:rsidRPr="00BB0E62">
        <w:rPr>
          <w:rFonts w:ascii="Times New Roman" w:hAnsi="Times New Roman" w:cs="Times New Roman"/>
          <w:sz w:val="24"/>
          <w:szCs w:val="24"/>
        </w:rPr>
        <w:t xml:space="preserve">-occlusive complications (Rees, 2007). Universal newborn blood spot screening has been established in the United Kingdom to test more than </w:t>
      </w:r>
      <w:r w:rsidRPr="00BB0E62">
        <w:rPr>
          <w:rFonts w:ascii="Times New Roman" w:hAnsi="Times New Roman" w:cs="Times New Roman"/>
          <w:b/>
          <w:bCs/>
          <w:sz w:val="24"/>
          <w:szCs w:val="24"/>
        </w:rPr>
        <w:t>600,000 newborn babies</w:t>
      </w:r>
      <w:r w:rsidRPr="00BB0E62">
        <w:rPr>
          <w:rFonts w:ascii="Times New Roman" w:hAnsi="Times New Roman" w:cs="Times New Roman"/>
          <w:sz w:val="24"/>
          <w:szCs w:val="24"/>
        </w:rPr>
        <w:t xml:space="preserve"> every year, which allows those with the conditions to be detected early and treated </w:t>
      </w:r>
    </w:p>
    <w:p w14:paraId="0951363A" w14:textId="1D21DD7A" w:rsidR="00CA2694" w:rsidRPr="00BB0E62" w:rsidRDefault="00C8493A" w:rsidP="00BB0E62">
      <w:pPr>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 xml:space="preserve">with immediate clinical care, including prophylactic penicillin and </w:t>
      </w:r>
      <w:r w:rsidRPr="00BB0E62">
        <w:rPr>
          <w:rFonts w:ascii="Times New Roman" w:hAnsi="Times New Roman" w:cs="Times New Roman"/>
          <w:b/>
          <w:bCs/>
          <w:sz w:val="24"/>
          <w:szCs w:val="24"/>
        </w:rPr>
        <w:t>specialised</w:t>
      </w:r>
      <w:r w:rsidRPr="00BB0E62">
        <w:rPr>
          <w:rFonts w:ascii="Times New Roman" w:hAnsi="Times New Roman" w:cs="Times New Roman"/>
          <w:sz w:val="24"/>
          <w:szCs w:val="24"/>
        </w:rPr>
        <w:t xml:space="preserve"> follow-up services (UK Government, 2020). Early identification during birth enables early management of complications that play a great role in the morbidity and mortality of early childhood. In turn, systematic screening and early paediatric care </w:t>
      </w:r>
      <w:r w:rsidRPr="00BB0E62">
        <w:rPr>
          <w:rFonts w:ascii="Times New Roman" w:hAnsi="Times New Roman" w:cs="Times New Roman"/>
          <w:b/>
          <w:bCs/>
          <w:sz w:val="24"/>
          <w:szCs w:val="24"/>
        </w:rPr>
        <w:t>are</w:t>
      </w:r>
      <w:r w:rsidRPr="00BB0E62">
        <w:rPr>
          <w:rFonts w:ascii="Times New Roman" w:hAnsi="Times New Roman" w:cs="Times New Roman"/>
          <w:sz w:val="24"/>
          <w:szCs w:val="24"/>
        </w:rPr>
        <w:t xml:space="preserve"> an essential strategy of great importance to the population health since it can help decrease the severity of the disease and enhance the survival rates of infants with sickle cell disease in the United Kingdom</w:t>
      </w:r>
      <w:r w:rsidR="00CA2694" w:rsidRPr="00BB0E62">
        <w:rPr>
          <w:rFonts w:ascii="Times New Roman" w:hAnsi="Times New Roman" w:cs="Times New Roman"/>
          <w:sz w:val="24"/>
          <w:szCs w:val="24"/>
        </w:rPr>
        <w:t>.</w:t>
      </w:r>
    </w:p>
    <w:p w14:paraId="24A667B9" w14:textId="2D7CD637" w:rsidR="00CA2694" w:rsidRPr="00BB0E62" w:rsidRDefault="00CA2694"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Definition and Aetiology</w:t>
      </w:r>
    </w:p>
    <w:p w14:paraId="454CB586" w14:textId="1BFF9A23" w:rsidR="00CA2694" w:rsidRPr="00CA2694" w:rsidRDefault="00C8493A" w:rsidP="00BB0E62">
      <w:pPr>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Sickle cell disease (SCD) is a familial haemoglobin dysfunction where there is the production of abnormal haemoglobin S (</w:t>
      </w:r>
      <w:proofErr w:type="spellStart"/>
      <w:r w:rsidRPr="00BB0E62">
        <w:rPr>
          <w:rFonts w:ascii="Times New Roman" w:hAnsi="Times New Roman" w:cs="Times New Roman"/>
          <w:sz w:val="24"/>
          <w:szCs w:val="24"/>
        </w:rPr>
        <w:t>HbS</w:t>
      </w:r>
      <w:proofErr w:type="spellEnd"/>
      <w:r w:rsidRPr="00BB0E62">
        <w:rPr>
          <w:rFonts w:ascii="Times New Roman" w:hAnsi="Times New Roman" w:cs="Times New Roman"/>
          <w:sz w:val="24"/>
          <w:szCs w:val="24"/>
        </w:rPr>
        <w:t xml:space="preserve">), as a consequence of mutation in the β-globin gene, the HBB gene that is located on chromosome 11 (Rees, Williams and Gladwin, 2010). The mutation replaces glutamic acid at the sixth position of the β-globin chain with valine and results in haemoglobin, which polymerises during low-oxygen conditions and shapes erythrocytes into stiff sickle forms. Such sickle red blood cells have less deformability and higher adhesiveness which favour microvascular obstruction, haemolysis and tissue hypoxia (Rees, Williams and Gladwin, 2010). Normal </w:t>
      </w:r>
      <w:r w:rsidRPr="00BB0E62">
        <w:rPr>
          <w:rFonts w:ascii="Times New Roman" w:hAnsi="Times New Roman" w:cs="Times New Roman"/>
          <w:sz w:val="24"/>
          <w:szCs w:val="24"/>
        </w:rPr>
        <w:lastRenderedPageBreak/>
        <w:t xml:space="preserve">erythrocytes last about 120 days, but sickled erythrocytes </w:t>
      </w:r>
      <w:proofErr w:type="spellStart"/>
      <w:r w:rsidRPr="00BB0E62">
        <w:rPr>
          <w:rFonts w:ascii="Times New Roman" w:hAnsi="Times New Roman" w:cs="Times New Roman"/>
          <w:sz w:val="24"/>
          <w:szCs w:val="24"/>
        </w:rPr>
        <w:t>hemolyze</w:t>
      </w:r>
      <w:proofErr w:type="spellEnd"/>
      <w:r w:rsidRPr="00BB0E62">
        <w:rPr>
          <w:rFonts w:ascii="Times New Roman" w:hAnsi="Times New Roman" w:cs="Times New Roman"/>
          <w:sz w:val="24"/>
          <w:szCs w:val="24"/>
        </w:rPr>
        <w:t xml:space="preserve"> often in 10–20 days, which results in chronic anaemia and frequent </w:t>
      </w:r>
      <w:proofErr w:type="spellStart"/>
      <w:r w:rsidRPr="00BB0E62">
        <w:rPr>
          <w:rFonts w:ascii="Times New Roman" w:hAnsi="Times New Roman" w:cs="Times New Roman"/>
          <w:sz w:val="24"/>
          <w:szCs w:val="24"/>
        </w:rPr>
        <w:t>vaso</w:t>
      </w:r>
      <w:proofErr w:type="spellEnd"/>
      <w:r w:rsidRPr="00BB0E62">
        <w:rPr>
          <w:rFonts w:ascii="Times New Roman" w:hAnsi="Times New Roman" w:cs="Times New Roman"/>
          <w:sz w:val="24"/>
          <w:szCs w:val="24"/>
        </w:rPr>
        <w:t xml:space="preserve">-occlusive crisis. SCD has an autosomal recessive type of inheritance. Those who inherit the </w:t>
      </w:r>
      <w:proofErr w:type="spellStart"/>
      <w:r w:rsidRPr="00BB0E62">
        <w:rPr>
          <w:rFonts w:ascii="Times New Roman" w:hAnsi="Times New Roman" w:cs="Times New Roman"/>
          <w:sz w:val="24"/>
          <w:szCs w:val="24"/>
        </w:rPr>
        <w:t>HbS</w:t>
      </w:r>
      <w:proofErr w:type="spellEnd"/>
      <w:r w:rsidRPr="00BB0E62">
        <w:rPr>
          <w:rFonts w:ascii="Times New Roman" w:hAnsi="Times New Roman" w:cs="Times New Roman"/>
          <w:sz w:val="24"/>
          <w:szCs w:val="24"/>
        </w:rPr>
        <w:t xml:space="preserve"> gene in two copies (</w:t>
      </w:r>
      <w:proofErr w:type="spellStart"/>
      <w:r w:rsidRPr="00BB0E62">
        <w:rPr>
          <w:rFonts w:ascii="Times New Roman" w:hAnsi="Times New Roman" w:cs="Times New Roman"/>
          <w:sz w:val="24"/>
          <w:szCs w:val="24"/>
        </w:rPr>
        <w:t>HbSS</w:t>
      </w:r>
      <w:proofErr w:type="spellEnd"/>
      <w:r w:rsidRPr="00BB0E62">
        <w:rPr>
          <w:rFonts w:ascii="Times New Roman" w:hAnsi="Times New Roman" w:cs="Times New Roman"/>
          <w:sz w:val="24"/>
          <w:szCs w:val="24"/>
        </w:rPr>
        <w:t>) develop the disease and those with single one (</w:t>
      </w:r>
      <w:proofErr w:type="spellStart"/>
      <w:r w:rsidRPr="00BB0E62">
        <w:rPr>
          <w:rFonts w:ascii="Times New Roman" w:hAnsi="Times New Roman" w:cs="Times New Roman"/>
          <w:sz w:val="24"/>
          <w:szCs w:val="24"/>
        </w:rPr>
        <w:t>HbAS</w:t>
      </w:r>
      <w:proofErr w:type="spellEnd"/>
      <w:r w:rsidRPr="00BB0E62">
        <w:rPr>
          <w:rFonts w:ascii="Times New Roman" w:hAnsi="Times New Roman" w:cs="Times New Roman"/>
          <w:sz w:val="24"/>
          <w:szCs w:val="24"/>
        </w:rPr>
        <w:t xml:space="preserve">) do not develop the disease but develop sickle cell trait which does not manifest severely in clinical manifestations. The prevalence of the sickle cell trait in populations that had high prevalence ranges between one in seventy-nine newborns across the globe with the genetic mutation being widely spread across the world (Sickle Cell Society, 2024). In the initial months of their lives, the infants with SCD have some protection because of high levels of </w:t>
      </w:r>
      <w:proofErr w:type="spellStart"/>
      <w:r w:rsidRPr="00BB0E62">
        <w:rPr>
          <w:rFonts w:ascii="Times New Roman" w:hAnsi="Times New Roman" w:cs="Times New Roman"/>
          <w:sz w:val="24"/>
          <w:szCs w:val="24"/>
        </w:rPr>
        <w:t>fetal</w:t>
      </w:r>
      <w:proofErr w:type="spellEnd"/>
      <w:r w:rsidRPr="00BB0E62">
        <w:rPr>
          <w:rFonts w:ascii="Times New Roman" w:hAnsi="Times New Roman" w:cs="Times New Roman"/>
          <w:sz w:val="24"/>
          <w:szCs w:val="24"/>
        </w:rPr>
        <w:t xml:space="preserve"> haemoglobin (</w:t>
      </w:r>
      <w:proofErr w:type="spellStart"/>
      <w:r w:rsidRPr="00BB0E62">
        <w:rPr>
          <w:rFonts w:ascii="Times New Roman" w:hAnsi="Times New Roman" w:cs="Times New Roman"/>
          <w:sz w:val="24"/>
          <w:szCs w:val="24"/>
        </w:rPr>
        <w:t>HbF</w:t>
      </w:r>
      <w:proofErr w:type="spellEnd"/>
      <w:r w:rsidRPr="00BB0E62">
        <w:rPr>
          <w:rFonts w:ascii="Times New Roman" w:hAnsi="Times New Roman" w:cs="Times New Roman"/>
          <w:sz w:val="24"/>
          <w:szCs w:val="24"/>
        </w:rPr>
        <w:t xml:space="preserve">) which prevents haemoglobin polymerisation. Since the </w:t>
      </w:r>
      <w:proofErr w:type="spellStart"/>
      <w:r w:rsidRPr="00BB0E62">
        <w:rPr>
          <w:rFonts w:ascii="Times New Roman" w:hAnsi="Times New Roman" w:cs="Times New Roman"/>
          <w:sz w:val="24"/>
          <w:szCs w:val="24"/>
        </w:rPr>
        <w:t>HbF</w:t>
      </w:r>
      <w:proofErr w:type="spellEnd"/>
      <w:r w:rsidRPr="00BB0E62">
        <w:rPr>
          <w:rFonts w:ascii="Times New Roman" w:hAnsi="Times New Roman" w:cs="Times New Roman"/>
          <w:sz w:val="24"/>
          <w:szCs w:val="24"/>
        </w:rPr>
        <w:t xml:space="preserve"> levels decrease following birth, which is usually between three to six months, </w:t>
      </w:r>
      <w:proofErr w:type="spellStart"/>
      <w:r w:rsidRPr="00BB0E62">
        <w:rPr>
          <w:rFonts w:ascii="Times New Roman" w:hAnsi="Times New Roman" w:cs="Times New Roman"/>
          <w:sz w:val="24"/>
          <w:szCs w:val="24"/>
        </w:rPr>
        <w:t>HbS</w:t>
      </w:r>
      <w:proofErr w:type="spellEnd"/>
      <w:r w:rsidRPr="00BB0E62">
        <w:rPr>
          <w:rFonts w:ascii="Times New Roman" w:hAnsi="Times New Roman" w:cs="Times New Roman"/>
          <w:sz w:val="24"/>
          <w:szCs w:val="24"/>
        </w:rPr>
        <w:t xml:space="preserve"> is now mostly dominant with clinical manifestations starting to occur (Rees, 2007). Common early symptoms are dactylitis, severe anaemia and prone to bacterial infections owing to dysfunction of the spleen.</w:t>
      </w:r>
      <w:r w:rsidR="00BB0E62">
        <w:rPr>
          <w:rFonts w:ascii="Times New Roman" w:hAnsi="Times New Roman" w:cs="Times New Roman"/>
          <w:sz w:val="24"/>
          <w:szCs w:val="24"/>
        </w:rPr>
        <w:t xml:space="preserve"> </w:t>
      </w:r>
      <w:r w:rsidRPr="00BB0E62">
        <w:rPr>
          <w:rFonts w:ascii="Times New Roman" w:hAnsi="Times New Roman" w:cs="Times New Roman"/>
          <w:sz w:val="24"/>
          <w:szCs w:val="24"/>
        </w:rPr>
        <w:t xml:space="preserve">Historical selection pressure by malaria is indicated by the distribution of SCD. Bearers of the sickle cell trait are partially immune to severe Plasmodium falciparum malaria, which enhanced the survival in malaria-infested areas and kept </w:t>
      </w:r>
      <w:r w:rsidRPr="00BB0E62">
        <w:rPr>
          <w:rFonts w:ascii="Times New Roman" w:hAnsi="Times New Roman" w:cs="Times New Roman"/>
          <w:sz w:val="24"/>
          <w:szCs w:val="24"/>
        </w:rPr>
        <w:t>the gene in the population of African, Caribbean and Mediterranean descent (Ware et al., 2017). Migration patterns have therefore led to the spread of SCD in the global regions outside the endemic areas. The condition is disproportionately prevalent in the communities with African and Caribbean ancestry in the United Kingdom, which is the result of a demographic shift in the context of international migration and ethnic diversification of urban populations (NHS England, 2021).</w:t>
      </w:r>
    </w:p>
    <w:p w14:paraId="2ADCA2B5" w14:textId="11B36AFF" w:rsidR="00CA2694" w:rsidRPr="00BB0E62" w:rsidRDefault="00CA2694"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Global and UK Prevalence</w:t>
      </w:r>
    </w:p>
    <w:p w14:paraId="0130D57E" w14:textId="77777777"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Sickle cell disease is an important health issue that impacts about </w:t>
      </w:r>
      <w:r w:rsidRPr="00C8493A">
        <w:rPr>
          <w:rFonts w:ascii="Times New Roman" w:eastAsia="Times New Roman" w:hAnsi="Times New Roman" w:cs="Times New Roman"/>
          <w:b/>
          <w:bCs/>
          <w:sz w:val="24"/>
          <w:szCs w:val="24"/>
          <w:lang w:eastAsia="en-IN" w:bidi="ar-SA"/>
        </w:rPr>
        <w:t>7.7 million</w:t>
      </w:r>
      <w:r w:rsidRPr="00C8493A">
        <w:rPr>
          <w:rFonts w:ascii="Times New Roman" w:eastAsia="Times New Roman" w:hAnsi="Times New Roman" w:cs="Times New Roman"/>
          <w:sz w:val="24"/>
          <w:szCs w:val="24"/>
          <w:lang w:eastAsia="en-IN" w:bidi="ar-SA"/>
        </w:rPr>
        <w:t xml:space="preserve"> people around the world and about </w:t>
      </w:r>
      <w:r w:rsidRPr="00C8493A">
        <w:rPr>
          <w:rFonts w:ascii="Times New Roman" w:eastAsia="Times New Roman" w:hAnsi="Times New Roman" w:cs="Times New Roman"/>
          <w:b/>
          <w:bCs/>
          <w:sz w:val="24"/>
          <w:szCs w:val="24"/>
          <w:lang w:eastAsia="en-IN" w:bidi="ar-SA"/>
        </w:rPr>
        <w:t>300,000</w:t>
      </w:r>
      <w:r w:rsidRPr="00C8493A">
        <w:rPr>
          <w:rFonts w:ascii="Times New Roman" w:eastAsia="Times New Roman" w:hAnsi="Times New Roman" w:cs="Times New Roman"/>
          <w:sz w:val="24"/>
          <w:szCs w:val="24"/>
          <w:lang w:eastAsia="en-IN" w:bidi="ar-SA"/>
        </w:rPr>
        <w:t xml:space="preserve"> infants are born with the disease every year (World Health Organization, 2023; Piel et al., 2017). There is a strong geographical concentration in the disease since the sickle cell gene was developed in malaria-infested areas. Sub-Saharan Africa has a proportion of about </w:t>
      </w:r>
      <w:r w:rsidRPr="00C8493A">
        <w:rPr>
          <w:rFonts w:ascii="Times New Roman" w:eastAsia="Times New Roman" w:hAnsi="Times New Roman" w:cs="Times New Roman"/>
          <w:b/>
          <w:bCs/>
          <w:sz w:val="24"/>
          <w:szCs w:val="24"/>
          <w:lang w:eastAsia="en-IN" w:bidi="ar-SA"/>
        </w:rPr>
        <w:t>80%</w:t>
      </w:r>
      <w:r w:rsidRPr="00C8493A">
        <w:rPr>
          <w:rFonts w:ascii="Times New Roman" w:eastAsia="Times New Roman" w:hAnsi="Times New Roman" w:cs="Times New Roman"/>
          <w:sz w:val="24"/>
          <w:szCs w:val="24"/>
          <w:lang w:eastAsia="en-IN" w:bidi="ar-SA"/>
        </w:rPr>
        <w:t xml:space="preserve"> of the cases of SCD, as the health facility and access to specialised care </w:t>
      </w:r>
      <w:r w:rsidRPr="00C8493A">
        <w:rPr>
          <w:rFonts w:ascii="Times New Roman" w:eastAsia="Times New Roman" w:hAnsi="Times New Roman" w:cs="Times New Roman"/>
          <w:b/>
          <w:bCs/>
          <w:sz w:val="24"/>
          <w:szCs w:val="24"/>
          <w:lang w:eastAsia="en-IN" w:bidi="ar-SA"/>
        </w:rPr>
        <w:t>are</w:t>
      </w:r>
      <w:r w:rsidRPr="00C8493A">
        <w:rPr>
          <w:rFonts w:ascii="Times New Roman" w:eastAsia="Times New Roman" w:hAnsi="Times New Roman" w:cs="Times New Roman"/>
          <w:sz w:val="24"/>
          <w:szCs w:val="24"/>
          <w:lang w:eastAsia="en-IN" w:bidi="ar-SA"/>
        </w:rPr>
        <w:t xml:space="preserve"> scarce (Ware et al., 2017). In most of the low-income countries, there is no systematic screening and preventive care, which adds to the high rates of death of affected children. It has been estimated that approximately </w:t>
      </w:r>
      <w:r w:rsidRPr="00C8493A">
        <w:rPr>
          <w:rFonts w:ascii="Times New Roman" w:eastAsia="Times New Roman" w:hAnsi="Times New Roman" w:cs="Times New Roman"/>
          <w:b/>
          <w:bCs/>
          <w:sz w:val="24"/>
          <w:szCs w:val="24"/>
          <w:lang w:eastAsia="en-IN" w:bidi="ar-SA"/>
        </w:rPr>
        <w:t>90 percent</w:t>
      </w:r>
      <w:r w:rsidRPr="00C8493A">
        <w:rPr>
          <w:rFonts w:ascii="Times New Roman" w:eastAsia="Times New Roman" w:hAnsi="Times New Roman" w:cs="Times New Roman"/>
          <w:sz w:val="24"/>
          <w:szCs w:val="24"/>
          <w:lang w:eastAsia="en-IN" w:bidi="ar-SA"/>
        </w:rPr>
        <w:t xml:space="preserve"> of SCD-afflicted children born in low-income environments </w:t>
      </w:r>
      <w:r w:rsidRPr="00C8493A">
        <w:rPr>
          <w:rFonts w:ascii="Times New Roman" w:eastAsia="Times New Roman" w:hAnsi="Times New Roman" w:cs="Times New Roman"/>
          <w:sz w:val="24"/>
          <w:szCs w:val="24"/>
          <w:lang w:eastAsia="en-IN" w:bidi="ar-SA"/>
        </w:rPr>
        <w:lastRenderedPageBreak/>
        <w:t>pass away before their fifth birthday without proper care, and this also shows how critical a low availability of healthcare resources can be (World Health Organization, 2023).</w:t>
      </w:r>
    </w:p>
    <w:p w14:paraId="497AF3B4" w14:textId="77777777"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In the United Kingdom, SCD is considered to be the most prevalent inherited blood disease. The statistics on the prevalence of SCD show that currently, the population of the condition living in ethnically diverse groups is about </w:t>
      </w:r>
      <w:r w:rsidRPr="00C8493A">
        <w:rPr>
          <w:rFonts w:ascii="Times New Roman" w:eastAsia="Times New Roman" w:hAnsi="Times New Roman" w:cs="Times New Roman"/>
          <w:b/>
          <w:bCs/>
          <w:sz w:val="24"/>
          <w:szCs w:val="24"/>
          <w:lang w:eastAsia="en-IN" w:bidi="ar-SA"/>
        </w:rPr>
        <w:t>17,000–18,000</w:t>
      </w:r>
      <w:r w:rsidRPr="00C8493A">
        <w:rPr>
          <w:rFonts w:ascii="Times New Roman" w:eastAsia="Times New Roman" w:hAnsi="Times New Roman" w:cs="Times New Roman"/>
          <w:sz w:val="24"/>
          <w:szCs w:val="24"/>
          <w:lang w:eastAsia="en-IN" w:bidi="ar-SA"/>
        </w:rPr>
        <w:t xml:space="preserve"> people, which underscores the increasing social health importance of the ailment (</w:t>
      </w:r>
      <w:proofErr w:type="spellStart"/>
      <w:r w:rsidRPr="00C8493A">
        <w:rPr>
          <w:rFonts w:ascii="Times New Roman" w:eastAsia="Times New Roman" w:hAnsi="Times New Roman" w:cs="Times New Roman"/>
          <w:sz w:val="24"/>
          <w:szCs w:val="24"/>
          <w:lang w:eastAsia="en-IN" w:bidi="ar-SA"/>
        </w:rPr>
        <w:t>Dormandy</w:t>
      </w:r>
      <w:proofErr w:type="spellEnd"/>
      <w:r w:rsidRPr="00C8493A">
        <w:rPr>
          <w:rFonts w:ascii="Times New Roman" w:eastAsia="Times New Roman" w:hAnsi="Times New Roman" w:cs="Times New Roman"/>
          <w:sz w:val="24"/>
          <w:szCs w:val="24"/>
          <w:lang w:eastAsia="en-IN" w:bidi="ar-SA"/>
        </w:rPr>
        <w:t xml:space="preserve"> et al., 2017). In the UK, the prevalence of SCD in babies was estimated at </w:t>
      </w:r>
      <w:r w:rsidRPr="00C8493A">
        <w:rPr>
          <w:rFonts w:ascii="Times New Roman" w:eastAsia="Times New Roman" w:hAnsi="Times New Roman" w:cs="Times New Roman"/>
          <w:b/>
          <w:bCs/>
          <w:sz w:val="24"/>
          <w:szCs w:val="24"/>
          <w:lang w:eastAsia="en-IN" w:bidi="ar-SA"/>
        </w:rPr>
        <w:t>250–300</w:t>
      </w:r>
      <w:r w:rsidRPr="00C8493A">
        <w:rPr>
          <w:rFonts w:ascii="Times New Roman" w:eastAsia="Times New Roman" w:hAnsi="Times New Roman" w:cs="Times New Roman"/>
          <w:sz w:val="24"/>
          <w:szCs w:val="24"/>
          <w:lang w:eastAsia="en-IN" w:bidi="ar-SA"/>
        </w:rPr>
        <w:t xml:space="preserve"> cases annually, which was mainly identified via the national newborn screening programme (Sickle Cell Society, 2024). Among newborns, it is estimated that </w:t>
      </w:r>
      <w:proofErr w:type="spellStart"/>
      <w:r w:rsidRPr="00C8493A">
        <w:rPr>
          <w:rFonts w:ascii="Times New Roman" w:eastAsia="Times New Roman" w:hAnsi="Times New Roman" w:cs="Times New Roman"/>
          <w:sz w:val="24"/>
          <w:szCs w:val="24"/>
          <w:lang w:eastAsia="en-IN" w:bidi="ar-SA"/>
        </w:rPr>
        <w:t xml:space="preserve">every </w:t>
      </w:r>
      <w:r w:rsidRPr="00C8493A">
        <w:rPr>
          <w:rFonts w:ascii="Times New Roman" w:eastAsia="Times New Roman" w:hAnsi="Times New Roman" w:cs="Times New Roman"/>
          <w:b/>
          <w:bCs/>
          <w:sz w:val="24"/>
          <w:szCs w:val="24"/>
          <w:lang w:eastAsia="en-IN" w:bidi="ar-SA"/>
        </w:rPr>
        <w:t>one</w:t>
      </w:r>
      <w:proofErr w:type="spellEnd"/>
      <w:r w:rsidRPr="00C8493A">
        <w:rPr>
          <w:rFonts w:ascii="Times New Roman" w:eastAsia="Times New Roman" w:hAnsi="Times New Roman" w:cs="Times New Roman"/>
          <w:b/>
          <w:bCs/>
          <w:sz w:val="24"/>
          <w:szCs w:val="24"/>
          <w:lang w:eastAsia="en-IN" w:bidi="ar-SA"/>
        </w:rPr>
        <w:t xml:space="preserve"> in 2,800 births</w:t>
      </w:r>
      <w:r w:rsidRPr="00C8493A">
        <w:rPr>
          <w:rFonts w:ascii="Times New Roman" w:eastAsia="Times New Roman" w:hAnsi="Times New Roman" w:cs="Times New Roman"/>
          <w:sz w:val="24"/>
          <w:szCs w:val="24"/>
          <w:lang w:eastAsia="en-IN" w:bidi="ar-SA"/>
        </w:rPr>
        <w:t xml:space="preserve"> is affected and every </w:t>
      </w:r>
      <w:r w:rsidRPr="00C8493A">
        <w:rPr>
          <w:rFonts w:ascii="Times New Roman" w:eastAsia="Times New Roman" w:hAnsi="Times New Roman" w:cs="Times New Roman"/>
          <w:b/>
          <w:bCs/>
          <w:sz w:val="24"/>
          <w:szCs w:val="24"/>
          <w:lang w:eastAsia="en-IN" w:bidi="ar-SA"/>
        </w:rPr>
        <w:t>one in seventy-nine babies</w:t>
      </w:r>
      <w:r w:rsidRPr="00C8493A">
        <w:rPr>
          <w:rFonts w:ascii="Times New Roman" w:eastAsia="Times New Roman" w:hAnsi="Times New Roman" w:cs="Times New Roman"/>
          <w:sz w:val="24"/>
          <w:szCs w:val="24"/>
          <w:lang w:eastAsia="en-IN" w:bidi="ar-SA"/>
        </w:rPr>
        <w:t xml:space="preserve"> has the trait of the sickle cell, which has shown that the gene is widely spread in the population (UK Government, 2025; Sickle Cell Society, 2024).</w:t>
      </w:r>
    </w:p>
    <w:p w14:paraId="4841FEAD" w14:textId="356618A6" w:rsidR="00CA2694" w:rsidRPr="00CA2694"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The National Health Service has adopted universal newborn blood spot screening, the conditions identified by the screening include sickle cell disease to address early detection, screening over </w:t>
      </w:r>
      <w:r w:rsidRPr="00C8493A">
        <w:rPr>
          <w:rFonts w:ascii="Times New Roman" w:eastAsia="Times New Roman" w:hAnsi="Times New Roman" w:cs="Times New Roman"/>
          <w:b/>
          <w:bCs/>
          <w:sz w:val="24"/>
          <w:szCs w:val="24"/>
          <w:lang w:eastAsia="en-IN" w:bidi="ar-SA"/>
        </w:rPr>
        <w:t>600,000 newborns</w:t>
      </w:r>
      <w:r w:rsidRPr="00C8493A">
        <w:rPr>
          <w:rFonts w:ascii="Times New Roman" w:eastAsia="Times New Roman" w:hAnsi="Times New Roman" w:cs="Times New Roman"/>
          <w:sz w:val="24"/>
          <w:szCs w:val="24"/>
          <w:lang w:eastAsia="en-IN" w:bidi="ar-SA"/>
        </w:rPr>
        <w:t xml:space="preserve"> each year (UK Government, 2020). Screening facilitates early clinical </w:t>
      </w:r>
      <w:r w:rsidRPr="00C8493A">
        <w:rPr>
          <w:rFonts w:ascii="Times New Roman" w:eastAsia="Times New Roman" w:hAnsi="Times New Roman" w:cs="Times New Roman"/>
          <w:sz w:val="24"/>
          <w:szCs w:val="24"/>
          <w:lang w:eastAsia="en-IN" w:bidi="ar-SA"/>
        </w:rPr>
        <w:t xml:space="preserve">prevention such as prophylactic antibiotics and expert care. The prevalence of SCD in </w:t>
      </w:r>
      <w:r w:rsidRPr="00C8493A">
        <w:rPr>
          <w:rFonts w:ascii="Times New Roman" w:eastAsia="Times New Roman" w:hAnsi="Times New Roman" w:cs="Times New Roman"/>
          <w:b/>
          <w:bCs/>
          <w:sz w:val="24"/>
          <w:szCs w:val="24"/>
          <w:lang w:eastAsia="en-IN" w:bidi="ar-SA"/>
        </w:rPr>
        <w:t>the UK</w:t>
      </w:r>
      <w:r w:rsidRPr="00C8493A">
        <w:rPr>
          <w:rFonts w:ascii="Times New Roman" w:eastAsia="Times New Roman" w:hAnsi="Times New Roman" w:cs="Times New Roman"/>
          <w:sz w:val="24"/>
          <w:szCs w:val="24"/>
          <w:lang w:eastAsia="en-IN" w:bidi="ar-SA"/>
        </w:rPr>
        <w:t xml:space="preserve"> is however disproportionate. The prevalence is reported to be higher in major cities like London and Birmingham as a result of population demographic concentration of populations that have a historical background of the high prevalence of the disease (</w:t>
      </w:r>
      <w:proofErr w:type="spellStart"/>
      <w:r w:rsidRPr="00C8493A">
        <w:rPr>
          <w:rFonts w:ascii="Times New Roman" w:eastAsia="Times New Roman" w:hAnsi="Times New Roman" w:cs="Times New Roman"/>
          <w:sz w:val="24"/>
          <w:szCs w:val="24"/>
          <w:lang w:eastAsia="en-IN" w:bidi="ar-SA"/>
        </w:rPr>
        <w:t>Latinovic</w:t>
      </w:r>
      <w:proofErr w:type="spellEnd"/>
      <w:r w:rsidRPr="00C8493A">
        <w:rPr>
          <w:rFonts w:ascii="Times New Roman" w:eastAsia="Times New Roman" w:hAnsi="Times New Roman" w:cs="Times New Roman"/>
          <w:sz w:val="24"/>
          <w:szCs w:val="24"/>
          <w:lang w:eastAsia="en-IN" w:bidi="ar-SA"/>
        </w:rPr>
        <w:t xml:space="preserve"> et al., 2013). The trends demonstrate the ways in which migration and ethnic disparities in health still influence the epidemiology of sickle cell disease in the United Kingdom</w:t>
      </w:r>
      <w:r w:rsidR="00CA2694" w:rsidRPr="00CA2694">
        <w:rPr>
          <w:rFonts w:ascii="Times New Roman" w:hAnsi="Times New Roman" w:cs="Times New Roman"/>
          <w:sz w:val="24"/>
          <w:szCs w:val="24"/>
        </w:rPr>
        <w:t>.</w:t>
      </w:r>
    </w:p>
    <w:p w14:paraId="1897F6A2" w14:textId="5B87E80E" w:rsidR="00CA2694" w:rsidRPr="00BB0E62" w:rsidRDefault="00CA2694"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Physical Impact in Early Infancy</w:t>
      </w:r>
    </w:p>
    <w:p w14:paraId="13F56727" w14:textId="77777777"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The mutation of haemoglobin to sickle cell leads to significant physiological problems at a young age due to chronic haemolysis and repeated vascular blockage due to unnatural polymerisation of haemoglobin. Haemoglobin S in red blood cells makes them rigid and sticky in hypoxic conditions that encourage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 xml:space="preserve">-occlusion in small blood vessels and hinders the flow of oxygen to the tissues (Rees, Williams and Gladwin, 2010). Normal erythrocytes have a lifespan of around </w:t>
      </w:r>
      <w:r w:rsidRPr="00C8493A">
        <w:rPr>
          <w:rFonts w:ascii="Times New Roman" w:eastAsia="Times New Roman" w:hAnsi="Times New Roman" w:cs="Times New Roman"/>
          <w:b/>
          <w:bCs/>
          <w:sz w:val="24"/>
          <w:szCs w:val="24"/>
          <w:lang w:eastAsia="en-IN" w:bidi="ar-SA"/>
        </w:rPr>
        <w:t>120 days</w:t>
      </w:r>
      <w:r w:rsidRPr="00C8493A">
        <w:rPr>
          <w:rFonts w:ascii="Times New Roman" w:eastAsia="Times New Roman" w:hAnsi="Times New Roman" w:cs="Times New Roman"/>
          <w:sz w:val="24"/>
          <w:szCs w:val="24"/>
          <w:lang w:eastAsia="en-IN" w:bidi="ar-SA"/>
        </w:rPr>
        <w:t xml:space="preserve">, and the sickle erythrocytes are often destroyed within </w:t>
      </w:r>
      <w:r w:rsidRPr="00C8493A">
        <w:rPr>
          <w:rFonts w:ascii="Times New Roman" w:eastAsia="Times New Roman" w:hAnsi="Times New Roman" w:cs="Times New Roman"/>
          <w:b/>
          <w:bCs/>
          <w:sz w:val="24"/>
          <w:szCs w:val="24"/>
          <w:lang w:eastAsia="en-IN" w:bidi="ar-SA"/>
        </w:rPr>
        <w:t>10–20 days</w:t>
      </w:r>
      <w:r w:rsidRPr="00C8493A">
        <w:rPr>
          <w:rFonts w:ascii="Times New Roman" w:eastAsia="Times New Roman" w:hAnsi="Times New Roman" w:cs="Times New Roman"/>
          <w:sz w:val="24"/>
          <w:szCs w:val="24"/>
          <w:lang w:eastAsia="en-IN" w:bidi="ar-SA"/>
        </w:rPr>
        <w:t xml:space="preserve"> and this causes permanent haemolytic anaemia and extreme demands on metabolism in infants who still have limited physiological </w:t>
      </w:r>
      <w:r w:rsidRPr="00C8493A">
        <w:rPr>
          <w:rFonts w:ascii="Times New Roman" w:eastAsia="Times New Roman" w:hAnsi="Times New Roman" w:cs="Times New Roman"/>
          <w:sz w:val="24"/>
          <w:szCs w:val="24"/>
          <w:lang w:eastAsia="en-IN" w:bidi="ar-SA"/>
        </w:rPr>
        <w:lastRenderedPageBreak/>
        <w:t>reserves (Rees, Williams and Gladwin, 2010). Therefore, sickle cell disease infants usually have severe anaemia, fatigue and retarded growth within the first year of life.</w:t>
      </w:r>
    </w:p>
    <w:p w14:paraId="61B5FB33" w14:textId="5B0B8ED6"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Another significant early clinical phase is dactylitis, which can also be referred to as hand-foot syndrome; it is painful swelling of the hands and feet occasioned by microvascular obstruction in bone marrow. It is a complication that is common in children aged between </w:t>
      </w:r>
      <w:r w:rsidRPr="00C8493A">
        <w:rPr>
          <w:rFonts w:ascii="Times New Roman" w:eastAsia="Times New Roman" w:hAnsi="Times New Roman" w:cs="Times New Roman"/>
          <w:b/>
          <w:bCs/>
          <w:sz w:val="24"/>
          <w:szCs w:val="24"/>
          <w:lang w:eastAsia="en-IN" w:bidi="ar-SA"/>
        </w:rPr>
        <w:t>six months and two years</w:t>
      </w:r>
      <w:r w:rsidRPr="00C8493A">
        <w:rPr>
          <w:rFonts w:ascii="Times New Roman" w:eastAsia="Times New Roman" w:hAnsi="Times New Roman" w:cs="Times New Roman"/>
          <w:sz w:val="24"/>
          <w:szCs w:val="24"/>
          <w:lang w:eastAsia="en-IN" w:bidi="ar-SA"/>
        </w:rPr>
        <w:t xml:space="preserve"> of age and it is usually the first manifestation of the disease (Rees, 2007). Also, splenic sequestration is a fatal complication during infancy. Splenic bursting pooling of blood may lead to acute hypovolaemia and severe anaemia, which is treated urgently by transfusion therapy to avoid collapse in circulation. Infants also exhibit vulnerability to bacterial infections since, due to multiple instances of splenic infarction, the immune system is compromised and the body cannot eliminate the encapsulated organisms like </w:t>
      </w:r>
      <w:r w:rsidRPr="00C8493A">
        <w:rPr>
          <w:rFonts w:ascii="Times New Roman" w:eastAsia="Times New Roman" w:hAnsi="Times New Roman" w:cs="Times New Roman"/>
          <w:i/>
          <w:iCs/>
          <w:sz w:val="24"/>
          <w:szCs w:val="24"/>
          <w:lang w:eastAsia="en-IN" w:bidi="ar-SA"/>
        </w:rPr>
        <w:t>Streptococcus pneumoniae</w:t>
      </w:r>
      <w:r w:rsidRPr="00C8493A">
        <w:rPr>
          <w:rFonts w:ascii="Times New Roman" w:eastAsia="Times New Roman" w:hAnsi="Times New Roman" w:cs="Times New Roman"/>
          <w:sz w:val="24"/>
          <w:szCs w:val="24"/>
          <w:lang w:eastAsia="en-IN" w:bidi="ar-SA"/>
        </w:rPr>
        <w:t>.</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The consequence of these complications includes hospitalisation, which is a common occurrence. Vascular obstruction is the leading cause of disease morbidity as acute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 xml:space="preserve">-occlusive pain crises represent about </w:t>
      </w:r>
      <w:r w:rsidRPr="00C8493A">
        <w:rPr>
          <w:rFonts w:ascii="Times New Roman" w:eastAsia="Times New Roman" w:hAnsi="Times New Roman" w:cs="Times New Roman"/>
          <w:b/>
          <w:bCs/>
          <w:sz w:val="24"/>
          <w:szCs w:val="24"/>
          <w:lang w:eastAsia="en-IN" w:bidi="ar-SA"/>
        </w:rPr>
        <w:t>80%</w:t>
      </w:r>
      <w:r w:rsidRPr="00C8493A">
        <w:rPr>
          <w:rFonts w:ascii="Times New Roman" w:eastAsia="Times New Roman" w:hAnsi="Times New Roman" w:cs="Times New Roman"/>
          <w:sz w:val="24"/>
          <w:szCs w:val="24"/>
          <w:lang w:eastAsia="en-IN" w:bidi="ar-SA"/>
        </w:rPr>
        <w:t xml:space="preserve"> of hospitalization of people with sickle cell disease (</w:t>
      </w:r>
      <w:proofErr w:type="spellStart"/>
      <w:r w:rsidRPr="00C8493A">
        <w:rPr>
          <w:rFonts w:ascii="Times New Roman" w:eastAsia="Times New Roman" w:hAnsi="Times New Roman" w:cs="Times New Roman"/>
          <w:sz w:val="24"/>
          <w:szCs w:val="24"/>
          <w:lang w:eastAsia="en-IN" w:bidi="ar-SA"/>
        </w:rPr>
        <w:t>Latinovic</w:t>
      </w:r>
      <w:proofErr w:type="spellEnd"/>
      <w:r w:rsidRPr="00C8493A">
        <w:rPr>
          <w:rFonts w:ascii="Times New Roman" w:eastAsia="Times New Roman" w:hAnsi="Times New Roman" w:cs="Times New Roman"/>
          <w:sz w:val="24"/>
          <w:szCs w:val="24"/>
          <w:lang w:eastAsia="en-IN" w:bidi="ar-SA"/>
        </w:rPr>
        <w:t xml:space="preserve"> et al., 2013). A decade had also seen the number </w:t>
      </w:r>
      <w:r w:rsidRPr="00C8493A">
        <w:rPr>
          <w:rFonts w:ascii="Times New Roman" w:eastAsia="Times New Roman" w:hAnsi="Times New Roman" w:cs="Times New Roman"/>
          <w:sz w:val="24"/>
          <w:szCs w:val="24"/>
          <w:lang w:eastAsia="en-IN" w:bidi="ar-SA"/>
        </w:rPr>
        <w:t xml:space="preserve">of hospital stays of sickle cell disease rise by an alarming </w:t>
      </w:r>
      <w:r w:rsidRPr="00C8493A">
        <w:rPr>
          <w:rFonts w:ascii="Times New Roman" w:eastAsia="Times New Roman" w:hAnsi="Times New Roman" w:cs="Times New Roman"/>
          <w:b/>
          <w:bCs/>
          <w:sz w:val="24"/>
          <w:szCs w:val="24"/>
          <w:lang w:eastAsia="en-IN" w:bidi="ar-SA"/>
        </w:rPr>
        <w:t>42 percent</w:t>
      </w:r>
      <w:r w:rsidRPr="00C8493A">
        <w:rPr>
          <w:rFonts w:ascii="Times New Roman" w:eastAsia="Times New Roman" w:hAnsi="Times New Roman" w:cs="Times New Roman"/>
          <w:sz w:val="24"/>
          <w:szCs w:val="24"/>
          <w:lang w:eastAsia="en-IN" w:bidi="ar-SA"/>
        </w:rPr>
        <w:t>, which shows an upward trend in healthcare requirements of certain communities with a high prevalence of the disease (</w:t>
      </w:r>
      <w:proofErr w:type="spellStart"/>
      <w:r w:rsidRPr="00C8493A">
        <w:rPr>
          <w:rFonts w:ascii="Times New Roman" w:eastAsia="Times New Roman" w:hAnsi="Times New Roman" w:cs="Times New Roman"/>
          <w:sz w:val="24"/>
          <w:szCs w:val="24"/>
          <w:lang w:eastAsia="en-IN" w:bidi="ar-SA"/>
        </w:rPr>
        <w:t>Latinovic</w:t>
      </w:r>
      <w:proofErr w:type="spellEnd"/>
      <w:r w:rsidRPr="00C8493A">
        <w:rPr>
          <w:rFonts w:ascii="Times New Roman" w:eastAsia="Times New Roman" w:hAnsi="Times New Roman" w:cs="Times New Roman"/>
          <w:sz w:val="24"/>
          <w:szCs w:val="24"/>
          <w:lang w:eastAsia="en-IN" w:bidi="ar-SA"/>
        </w:rPr>
        <w:t xml:space="preserve"> et al., 2013). Repeated hospitalisation is a significant strain on the services of paediatrics and indicates how long-term the disorder can be.</w:t>
      </w:r>
    </w:p>
    <w:p w14:paraId="6B6855CA" w14:textId="401F61CE" w:rsidR="00CA2694" w:rsidRPr="00CA2694"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Sickle cell typically predisposes one to neurological complications such as stroke. Repeated instances of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-occlusion and endothelial injury may result in the formation of cerebral vasculopathy in the course of the childhood period. In the absence of proper monitoring and transfusion therapy, children with SCD exhibit a major risk of stroke when compared to the overall paediatric population. The killer trends also demonstrate how serious these complications are. Sickle cell disease is a leading cause of childhood mortality in the world, especially in environments where diagnosis and prophylaxis treatment are not done early enough (Ware et al., 2017). Disease complications have remained a decrease in the life expectancy even in high-income healthcare systems relative to the population at large.</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These complications are based on three interconnected pathological processes, which include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 xml:space="preserve">-occlusion, chronic </w:t>
      </w:r>
      <w:r w:rsidRPr="00C8493A">
        <w:rPr>
          <w:rFonts w:ascii="Times New Roman" w:eastAsia="Times New Roman" w:hAnsi="Times New Roman" w:cs="Times New Roman"/>
          <w:sz w:val="24"/>
          <w:szCs w:val="24"/>
          <w:lang w:eastAsia="en-IN" w:bidi="ar-SA"/>
        </w:rPr>
        <w:lastRenderedPageBreak/>
        <w:t>haemolysis, and immune dysfunction. Vaso-occlusion hinders microcirculation and leads to tissue hypoxia, release of free haemoglobin through haemolysis, which leads to endogenous injury of vascular endothelium, and impairment of immune defence by the splenic dysfunction (Rees, Williams and Gladwin, 2010). A combination of these processes contributes to the fact that infants with sickle cells develop frequent complications in the course of which a continuous clinical follow-up is necessary</w:t>
      </w:r>
      <w:r w:rsidR="00CA2694" w:rsidRPr="00CA2694">
        <w:rPr>
          <w:rFonts w:ascii="Times New Roman" w:hAnsi="Times New Roman" w:cs="Times New Roman"/>
          <w:sz w:val="24"/>
          <w:szCs w:val="24"/>
        </w:rPr>
        <w:t>.</w:t>
      </w:r>
    </w:p>
    <w:p w14:paraId="1CB00519" w14:textId="575792A7" w:rsidR="00CA2694" w:rsidRPr="00BB0E62" w:rsidRDefault="00CA2694"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Psychological and Social Impact</w:t>
      </w:r>
    </w:p>
    <w:p w14:paraId="6D80D50E" w14:textId="6A46FBA8" w:rsidR="00CA2694" w:rsidRPr="00CA2694"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Sickle cell disease imposes considerable psychological and social impact on families that have to take care of the sufferers who are infants. This diagnosis often causes chronic anxiety due to the need of parents to cope with a long-term condition that is accompanied by uncertain complications and frequent hospitalisation. The issues of severe pain </w:t>
      </w:r>
      <w:r w:rsidRPr="00C8493A">
        <w:rPr>
          <w:rFonts w:ascii="Times New Roman" w:eastAsia="Times New Roman" w:hAnsi="Times New Roman" w:cs="Times New Roman"/>
          <w:b/>
          <w:bCs/>
          <w:sz w:val="24"/>
          <w:szCs w:val="24"/>
          <w:lang w:eastAsia="en-IN" w:bidi="ar-SA"/>
        </w:rPr>
        <w:t>crises</w:t>
      </w:r>
      <w:r w:rsidRPr="00C8493A">
        <w:rPr>
          <w:rFonts w:ascii="Times New Roman" w:eastAsia="Times New Roman" w:hAnsi="Times New Roman" w:cs="Times New Roman"/>
          <w:sz w:val="24"/>
          <w:szCs w:val="24"/>
          <w:lang w:eastAsia="en-IN" w:bidi="ar-SA"/>
        </w:rPr>
        <w:t xml:space="preserve">, infections and possible organ damage during the early </w:t>
      </w:r>
      <w:r w:rsidRPr="00C8493A">
        <w:rPr>
          <w:rFonts w:ascii="Times New Roman" w:eastAsia="Times New Roman" w:hAnsi="Times New Roman" w:cs="Times New Roman"/>
          <w:b/>
          <w:bCs/>
          <w:sz w:val="24"/>
          <w:szCs w:val="24"/>
          <w:lang w:eastAsia="en-IN" w:bidi="ar-SA"/>
        </w:rPr>
        <w:t>childhood</w:t>
      </w:r>
      <w:r w:rsidRPr="00C8493A">
        <w:rPr>
          <w:rFonts w:ascii="Times New Roman" w:eastAsia="Times New Roman" w:hAnsi="Times New Roman" w:cs="Times New Roman"/>
          <w:sz w:val="24"/>
          <w:szCs w:val="24"/>
          <w:lang w:eastAsia="en-IN" w:bidi="ar-SA"/>
        </w:rPr>
        <w:t xml:space="preserve"> age are common causes of emotional stress. Parents who have to take care of babies with sickle cell disorder often report constant anxiety about the possibility of sudden worsening of their condition and the lack of certainty about the prognosis in the long run (Telfer et al., 2007). Psychological </w:t>
      </w:r>
      <w:r w:rsidRPr="00C8493A">
        <w:rPr>
          <w:rFonts w:ascii="Times New Roman" w:eastAsia="Times New Roman" w:hAnsi="Times New Roman" w:cs="Times New Roman"/>
          <w:b/>
          <w:bCs/>
          <w:sz w:val="24"/>
          <w:szCs w:val="24"/>
          <w:lang w:eastAsia="en-IN" w:bidi="ar-SA"/>
        </w:rPr>
        <w:t>load</w:t>
      </w:r>
      <w:r w:rsidRPr="00C8493A">
        <w:rPr>
          <w:rFonts w:ascii="Times New Roman" w:eastAsia="Times New Roman" w:hAnsi="Times New Roman" w:cs="Times New Roman"/>
          <w:sz w:val="24"/>
          <w:szCs w:val="24"/>
          <w:lang w:eastAsia="en-IN" w:bidi="ar-SA"/>
        </w:rPr>
        <w:t xml:space="preserve"> is </w:t>
      </w:r>
      <w:r w:rsidRPr="00C8493A">
        <w:rPr>
          <w:rFonts w:ascii="Times New Roman" w:eastAsia="Times New Roman" w:hAnsi="Times New Roman" w:cs="Times New Roman"/>
          <w:sz w:val="24"/>
          <w:szCs w:val="24"/>
          <w:lang w:eastAsia="en-IN" w:bidi="ar-SA"/>
        </w:rPr>
        <w:t>enhanced by the necessity to monitor the patient constantly, to visit the doctor frequently and follow preventive treatment including using prophylaxis and vaccines.</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Emotional stress is not the only social effect. The need to visit the hospital and meet with the specialists regularly to </w:t>
      </w:r>
      <w:r w:rsidRPr="00C8493A">
        <w:rPr>
          <w:rFonts w:ascii="Times New Roman" w:eastAsia="Times New Roman" w:hAnsi="Times New Roman" w:cs="Times New Roman"/>
          <w:b/>
          <w:bCs/>
          <w:sz w:val="24"/>
          <w:szCs w:val="24"/>
          <w:lang w:eastAsia="en-IN" w:bidi="ar-SA"/>
        </w:rPr>
        <w:t>care for</w:t>
      </w:r>
      <w:r w:rsidRPr="00C8493A">
        <w:rPr>
          <w:rFonts w:ascii="Times New Roman" w:eastAsia="Times New Roman" w:hAnsi="Times New Roman" w:cs="Times New Roman"/>
          <w:sz w:val="24"/>
          <w:szCs w:val="24"/>
          <w:lang w:eastAsia="en-IN" w:bidi="ar-SA"/>
        </w:rPr>
        <w:t xml:space="preserve"> an infant with sickle cell disease may often disturb </w:t>
      </w:r>
      <w:r w:rsidRPr="00C8493A">
        <w:rPr>
          <w:rFonts w:ascii="Times New Roman" w:eastAsia="Times New Roman" w:hAnsi="Times New Roman" w:cs="Times New Roman"/>
          <w:b/>
          <w:bCs/>
          <w:sz w:val="24"/>
          <w:szCs w:val="24"/>
          <w:lang w:eastAsia="en-IN" w:bidi="ar-SA"/>
        </w:rPr>
        <w:t>employment</w:t>
      </w:r>
      <w:r w:rsidRPr="00C8493A">
        <w:rPr>
          <w:rFonts w:ascii="Times New Roman" w:eastAsia="Times New Roman" w:hAnsi="Times New Roman" w:cs="Times New Roman"/>
          <w:sz w:val="24"/>
          <w:szCs w:val="24"/>
          <w:lang w:eastAsia="en-IN" w:bidi="ar-SA"/>
        </w:rPr>
        <w:t xml:space="preserve"> and place high financial strain on the families. Other childcare pressures and transportation expenses related to specialist clinics also add to the strain of the economy. These forces have an uneven distribution of weight among communities with the highest prevalence of sickle cell disease. In the United Kingdom, the disease is predominant among people of African and Caribbean descent, i.e., many of the affected families are the representatives of ethnic minorities that have a poor socioeconomic status (Sickle Cell Society, 2024)</w:t>
      </w:r>
      <w:r w:rsidR="00CA2694" w:rsidRPr="00CA2694">
        <w:rPr>
          <w:rFonts w:ascii="Times New Roman" w:hAnsi="Times New Roman" w:cs="Times New Roman"/>
          <w:sz w:val="24"/>
          <w:szCs w:val="24"/>
        </w:rPr>
        <w:t>.</w:t>
      </w:r>
    </w:p>
    <w:p w14:paraId="2D450BC2" w14:textId="5C782A1E" w:rsidR="00CA2694" w:rsidRPr="00BB0E62" w:rsidRDefault="00CA2694"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Evidence-Based Treatment in the UK</w:t>
      </w:r>
    </w:p>
    <w:p w14:paraId="70BFE300" w14:textId="77777777"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Sickle cell disease among children in the early childhood stage in the United Kingdom is managed through </w:t>
      </w:r>
      <w:r w:rsidRPr="00C8493A">
        <w:rPr>
          <w:rFonts w:ascii="Times New Roman" w:eastAsia="Times New Roman" w:hAnsi="Times New Roman" w:cs="Times New Roman"/>
          <w:b/>
          <w:bCs/>
          <w:sz w:val="24"/>
          <w:szCs w:val="24"/>
          <w:lang w:eastAsia="en-IN" w:bidi="ar-SA"/>
        </w:rPr>
        <w:t>organised</w:t>
      </w:r>
      <w:r w:rsidRPr="00C8493A">
        <w:rPr>
          <w:rFonts w:ascii="Times New Roman" w:eastAsia="Times New Roman" w:hAnsi="Times New Roman" w:cs="Times New Roman"/>
          <w:sz w:val="24"/>
          <w:szCs w:val="24"/>
          <w:lang w:eastAsia="en-IN" w:bidi="ar-SA"/>
        </w:rPr>
        <w:t xml:space="preserve"> care pathways in the National Health Service (NHS) managed facilities that are designed to mitigate the risk of infections, avert complications and enhance long-term </w:t>
      </w:r>
      <w:r w:rsidRPr="00C8493A">
        <w:rPr>
          <w:rFonts w:ascii="Times New Roman" w:eastAsia="Times New Roman" w:hAnsi="Times New Roman" w:cs="Times New Roman"/>
          <w:sz w:val="24"/>
          <w:szCs w:val="24"/>
          <w:lang w:eastAsia="en-IN" w:bidi="ar-SA"/>
        </w:rPr>
        <w:lastRenderedPageBreak/>
        <w:t xml:space="preserve">survival. Penicillin prophylaxis is one of the first interventions, which is introduced soon after the diagnosis within the national newborn screening programme. Splenic dysfunction leads to more </w:t>
      </w:r>
      <w:r w:rsidRPr="00C8493A">
        <w:rPr>
          <w:rFonts w:ascii="Times New Roman" w:eastAsia="Times New Roman" w:hAnsi="Times New Roman" w:cs="Times New Roman"/>
          <w:b/>
          <w:bCs/>
          <w:sz w:val="24"/>
          <w:szCs w:val="24"/>
          <w:lang w:eastAsia="en-IN" w:bidi="ar-SA"/>
        </w:rPr>
        <w:t>implicated</w:t>
      </w:r>
      <w:r w:rsidRPr="00C8493A">
        <w:rPr>
          <w:rFonts w:ascii="Times New Roman" w:eastAsia="Times New Roman" w:hAnsi="Times New Roman" w:cs="Times New Roman"/>
          <w:sz w:val="24"/>
          <w:szCs w:val="24"/>
          <w:lang w:eastAsia="en-IN" w:bidi="ar-SA"/>
        </w:rPr>
        <w:t xml:space="preserve"> infants with sickle cell disease being susceptible to invasive pneumococcal infections due to the inability to eliminate encapsulated bacteria. Penicillin prophylaxis is an essential element in the initial clinical management of sickle cell patients since it demonstrates a significant decrease in death rates caused by infection in children taking the drug every day (Cober and Phelps, 2010).</w:t>
      </w:r>
    </w:p>
    <w:p w14:paraId="671A0528" w14:textId="55D63336"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Vaccination can also be defined as a strategy of high preventative value. Along with the regular childhood vaccinations, children with sickle cell disease get more vaccines, which aim at pathogens that are known to cause serious infections in children whose immunity is compromised. These are pneumococcal, meningococcal and </w:t>
      </w:r>
      <w:r w:rsidRPr="00C8493A">
        <w:rPr>
          <w:rFonts w:ascii="Times New Roman" w:eastAsia="Times New Roman" w:hAnsi="Times New Roman" w:cs="Times New Roman"/>
          <w:i/>
          <w:iCs/>
          <w:sz w:val="24"/>
          <w:szCs w:val="24"/>
          <w:lang w:eastAsia="en-IN" w:bidi="ar-SA"/>
        </w:rPr>
        <w:t>Haemophilus influenzae</w:t>
      </w:r>
      <w:r w:rsidRPr="00C8493A">
        <w:rPr>
          <w:rFonts w:ascii="Times New Roman" w:eastAsia="Times New Roman" w:hAnsi="Times New Roman" w:cs="Times New Roman"/>
          <w:sz w:val="24"/>
          <w:szCs w:val="24"/>
          <w:lang w:eastAsia="en-IN" w:bidi="ar-SA"/>
        </w:rPr>
        <w:t xml:space="preserve"> type b vaccines. Immunisation in childhood is especially crucial since bacterial infections remain a leading cause of childhood morbidity in any person who has sickle cell disease (NHS England, 2021).</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Pharmacological treatments are also applied in order to lessen the severity of the disease. Hydroxycarbamide (hydroxyurea) is commonly used in children with frequent </w:t>
      </w:r>
      <w:r w:rsidRPr="00C8493A">
        <w:rPr>
          <w:rFonts w:ascii="Times New Roman" w:eastAsia="Times New Roman" w:hAnsi="Times New Roman" w:cs="Times New Roman"/>
          <w:sz w:val="24"/>
          <w:szCs w:val="24"/>
          <w:lang w:eastAsia="en-IN" w:bidi="ar-SA"/>
        </w:rPr>
        <w:t xml:space="preserve">complications since it elevates the levels of </w:t>
      </w:r>
      <w:proofErr w:type="spellStart"/>
      <w:r w:rsidRPr="00C8493A">
        <w:rPr>
          <w:rFonts w:ascii="Times New Roman" w:eastAsia="Times New Roman" w:hAnsi="Times New Roman" w:cs="Times New Roman"/>
          <w:sz w:val="24"/>
          <w:szCs w:val="24"/>
          <w:lang w:eastAsia="en-IN" w:bidi="ar-SA"/>
        </w:rPr>
        <w:t>fetal</w:t>
      </w:r>
      <w:proofErr w:type="spellEnd"/>
      <w:r w:rsidRPr="00C8493A">
        <w:rPr>
          <w:rFonts w:ascii="Times New Roman" w:eastAsia="Times New Roman" w:hAnsi="Times New Roman" w:cs="Times New Roman"/>
          <w:sz w:val="24"/>
          <w:szCs w:val="24"/>
          <w:lang w:eastAsia="en-IN" w:bidi="ar-SA"/>
        </w:rPr>
        <w:t xml:space="preserve"> haemoglobin and decreases haemoglobin S polymerisation, as well as reduces the incidence of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 xml:space="preserve">-occlusive crises. Hydroxycarbamide has shown a decrease in painful attacks and </w:t>
      </w:r>
      <w:r w:rsidRPr="00C8493A">
        <w:rPr>
          <w:rFonts w:ascii="Times New Roman" w:eastAsia="Times New Roman" w:hAnsi="Times New Roman" w:cs="Times New Roman"/>
          <w:b/>
          <w:bCs/>
          <w:sz w:val="24"/>
          <w:szCs w:val="24"/>
          <w:lang w:eastAsia="en-IN" w:bidi="ar-SA"/>
        </w:rPr>
        <w:t>hospitalisations</w:t>
      </w:r>
      <w:r w:rsidRPr="00C8493A">
        <w:rPr>
          <w:rFonts w:ascii="Times New Roman" w:eastAsia="Times New Roman" w:hAnsi="Times New Roman" w:cs="Times New Roman"/>
          <w:sz w:val="24"/>
          <w:szCs w:val="24"/>
          <w:lang w:eastAsia="en-IN" w:bidi="ar-SA"/>
        </w:rPr>
        <w:t xml:space="preserve"> of people with sickle cell disease (NICE, 2023).</w:t>
      </w:r>
    </w:p>
    <w:p w14:paraId="26C85222" w14:textId="17E7B1CE"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Another critical treatment plan is blood transfusion therapy. This is </w:t>
      </w:r>
      <w:r w:rsidRPr="00C8493A">
        <w:rPr>
          <w:rFonts w:ascii="Times New Roman" w:eastAsia="Times New Roman" w:hAnsi="Times New Roman" w:cs="Times New Roman"/>
          <w:b/>
          <w:bCs/>
          <w:sz w:val="24"/>
          <w:szCs w:val="24"/>
          <w:lang w:eastAsia="en-IN" w:bidi="ar-SA"/>
        </w:rPr>
        <w:t>for the prevention</w:t>
      </w:r>
      <w:r w:rsidRPr="00C8493A">
        <w:rPr>
          <w:rFonts w:ascii="Times New Roman" w:eastAsia="Times New Roman" w:hAnsi="Times New Roman" w:cs="Times New Roman"/>
          <w:sz w:val="24"/>
          <w:szCs w:val="24"/>
          <w:lang w:eastAsia="en-IN" w:bidi="ar-SA"/>
        </w:rPr>
        <w:t xml:space="preserve"> of stroke in children with high cerebral blood flow velocity who have been found after transcranial Doppler screening. Transfusion decreases the percentage of haemoglobin S in the blood, thus decreasing the risk of </w:t>
      </w:r>
      <w:r w:rsidRPr="00C8493A">
        <w:rPr>
          <w:rFonts w:ascii="Times New Roman" w:eastAsia="Times New Roman" w:hAnsi="Times New Roman" w:cs="Times New Roman"/>
          <w:b/>
          <w:bCs/>
          <w:sz w:val="24"/>
          <w:szCs w:val="24"/>
          <w:lang w:eastAsia="en-IN" w:bidi="ar-SA"/>
        </w:rPr>
        <w:t>vascular blockage</w:t>
      </w:r>
      <w:r w:rsidRPr="00C8493A">
        <w:rPr>
          <w:rFonts w:ascii="Times New Roman" w:eastAsia="Times New Roman" w:hAnsi="Times New Roman" w:cs="Times New Roman"/>
          <w:sz w:val="24"/>
          <w:szCs w:val="24"/>
          <w:lang w:eastAsia="en-IN" w:bidi="ar-SA"/>
        </w:rPr>
        <w:t xml:space="preserve"> and brain stroke (NICE, 2021).</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One possible therapeutic intervention is </w:t>
      </w:r>
      <w:r w:rsidRPr="00C8493A">
        <w:rPr>
          <w:rFonts w:ascii="Times New Roman" w:eastAsia="Times New Roman" w:hAnsi="Times New Roman" w:cs="Times New Roman"/>
          <w:b/>
          <w:bCs/>
          <w:sz w:val="24"/>
          <w:szCs w:val="24"/>
          <w:lang w:eastAsia="en-IN" w:bidi="ar-SA"/>
        </w:rPr>
        <w:t>haematopoietic</w:t>
      </w:r>
      <w:r w:rsidRPr="00C8493A">
        <w:rPr>
          <w:rFonts w:ascii="Times New Roman" w:eastAsia="Times New Roman" w:hAnsi="Times New Roman" w:cs="Times New Roman"/>
          <w:sz w:val="24"/>
          <w:szCs w:val="24"/>
          <w:lang w:eastAsia="en-IN" w:bidi="ar-SA"/>
        </w:rPr>
        <w:t xml:space="preserve"> stem cell transplantation as a potentially curative therapy to replace damaged bone marrow with healthy donor stem cells producing normal haemoglobin. Despite the opportunity of transplantation to be able to eliminate the disease in the long term, it is not used on a large scale due to the fact that only a limited number of patients can find suitable donors and the practice has a high level of risks (Ware et al., 2017).</w:t>
      </w:r>
    </w:p>
    <w:p w14:paraId="1AB98FD1" w14:textId="126028CC" w:rsidR="00CA2694" w:rsidRPr="00CA2694"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Though these treatment options are available, the availability of specialised haemoglobinopathy services is still uneven </w:t>
      </w:r>
      <w:r w:rsidRPr="00C8493A">
        <w:rPr>
          <w:rFonts w:ascii="Times New Roman" w:eastAsia="Times New Roman" w:hAnsi="Times New Roman" w:cs="Times New Roman"/>
          <w:sz w:val="24"/>
          <w:szCs w:val="24"/>
          <w:lang w:eastAsia="en-IN" w:bidi="ar-SA"/>
        </w:rPr>
        <w:lastRenderedPageBreak/>
        <w:t xml:space="preserve">throughout the United Kingdom, establishing an imbalance in the early management of the disease and </w:t>
      </w:r>
      <w:r w:rsidRPr="00C8493A">
        <w:rPr>
          <w:rFonts w:ascii="Times New Roman" w:eastAsia="Times New Roman" w:hAnsi="Times New Roman" w:cs="Times New Roman"/>
          <w:b/>
          <w:bCs/>
          <w:sz w:val="24"/>
          <w:szCs w:val="24"/>
          <w:lang w:eastAsia="en-IN" w:bidi="ar-SA"/>
        </w:rPr>
        <w:t>clinical outcomes</w:t>
      </w:r>
      <w:r w:rsidRPr="00C8493A">
        <w:rPr>
          <w:rFonts w:ascii="Times New Roman" w:eastAsia="Times New Roman" w:hAnsi="Times New Roman" w:cs="Times New Roman"/>
          <w:sz w:val="24"/>
          <w:szCs w:val="24"/>
          <w:lang w:eastAsia="en-IN" w:bidi="ar-SA"/>
        </w:rPr>
        <w:t xml:space="preserve"> of the affected infants</w:t>
      </w:r>
      <w:r w:rsidR="00CA2694" w:rsidRPr="00CA2694">
        <w:rPr>
          <w:rFonts w:ascii="Times New Roman" w:hAnsi="Times New Roman" w:cs="Times New Roman"/>
          <w:sz w:val="24"/>
          <w:szCs w:val="24"/>
        </w:rPr>
        <w:t>.</w:t>
      </w:r>
    </w:p>
    <w:p w14:paraId="5BCEF793" w14:textId="1CCEF8D6" w:rsidR="00CA2694" w:rsidRPr="00BB0E62" w:rsidRDefault="00CA2694"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Theoretical Models for Long-Term Condition Management</w:t>
      </w:r>
    </w:p>
    <w:p w14:paraId="538C13F2" w14:textId="1C35FF9C" w:rsidR="00CA2694" w:rsidRPr="00CA2694"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Sickle cell disease should be managed using </w:t>
      </w:r>
      <w:r w:rsidRPr="00C8493A">
        <w:rPr>
          <w:rFonts w:ascii="Times New Roman" w:eastAsia="Times New Roman" w:hAnsi="Times New Roman" w:cs="Times New Roman"/>
          <w:b/>
          <w:bCs/>
          <w:sz w:val="24"/>
          <w:szCs w:val="24"/>
          <w:lang w:eastAsia="en-IN" w:bidi="ar-SA"/>
        </w:rPr>
        <w:t>long-term</w:t>
      </w:r>
      <w:r w:rsidRPr="00C8493A">
        <w:rPr>
          <w:rFonts w:ascii="Times New Roman" w:eastAsia="Times New Roman" w:hAnsi="Times New Roman" w:cs="Times New Roman"/>
          <w:sz w:val="24"/>
          <w:szCs w:val="24"/>
          <w:lang w:eastAsia="en-IN" w:bidi="ar-SA"/>
        </w:rPr>
        <w:t xml:space="preserve"> care plans due to the lifelong monitoring, preventive measures and multidisciplinary clinical support that are involved in the management of this condition. In the United Kingdom, the model of organising services in the country is the House of Care. The model focuses on four areas that are interdependent with effective and knowledgeable patients, organised medical and nursing personnel, </w:t>
      </w:r>
      <w:r w:rsidRPr="00C8493A">
        <w:rPr>
          <w:rFonts w:ascii="Times New Roman" w:eastAsia="Times New Roman" w:hAnsi="Times New Roman" w:cs="Times New Roman"/>
          <w:b/>
          <w:bCs/>
          <w:sz w:val="24"/>
          <w:szCs w:val="24"/>
          <w:lang w:eastAsia="en-IN" w:bidi="ar-SA"/>
        </w:rPr>
        <w:t>prosocial</w:t>
      </w:r>
      <w:r w:rsidRPr="00C8493A">
        <w:rPr>
          <w:rFonts w:ascii="Times New Roman" w:eastAsia="Times New Roman" w:hAnsi="Times New Roman" w:cs="Times New Roman"/>
          <w:sz w:val="24"/>
          <w:szCs w:val="24"/>
          <w:lang w:eastAsia="en-IN" w:bidi="ar-SA"/>
        </w:rPr>
        <w:t xml:space="preserve"> organisational structures and the availability of resources in communities (NHS England, 2019). As it relates to the issue of sickle cell disease, the House of Care model would encourage integrated paediatric services comprising </w:t>
      </w:r>
      <w:r w:rsidRPr="00C8493A">
        <w:rPr>
          <w:rFonts w:ascii="Times New Roman" w:eastAsia="Times New Roman" w:hAnsi="Times New Roman" w:cs="Times New Roman"/>
          <w:b/>
          <w:bCs/>
          <w:sz w:val="24"/>
          <w:szCs w:val="24"/>
          <w:lang w:eastAsia="en-IN" w:bidi="ar-SA"/>
        </w:rPr>
        <w:t>of</w:t>
      </w:r>
      <w:r w:rsidRPr="00C8493A">
        <w:rPr>
          <w:rFonts w:ascii="Times New Roman" w:eastAsia="Times New Roman" w:hAnsi="Times New Roman" w:cs="Times New Roman"/>
          <w:sz w:val="24"/>
          <w:szCs w:val="24"/>
          <w:lang w:eastAsia="en-IN" w:bidi="ar-SA"/>
        </w:rPr>
        <w:t xml:space="preserve"> haematologists, paediatricians, specialist nurses and community healthcare providers. The collaborative strategy will help to monitor problems early, frequent health check-ups and health education programmes that will assist the parents dealing with the condition at </w:t>
      </w:r>
      <w:r w:rsidRPr="00C8493A">
        <w:rPr>
          <w:rFonts w:ascii="Times New Roman" w:eastAsia="Times New Roman" w:hAnsi="Times New Roman" w:cs="Times New Roman"/>
          <w:b/>
          <w:bCs/>
          <w:sz w:val="24"/>
          <w:szCs w:val="24"/>
          <w:lang w:eastAsia="en-IN" w:bidi="ar-SA"/>
        </w:rPr>
        <w:t>a tender age</w:t>
      </w:r>
      <w:r w:rsidRPr="00C8493A">
        <w:rPr>
          <w:rFonts w:ascii="Times New Roman" w:eastAsia="Times New Roman" w:hAnsi="Times New Roman" w:cs="Times New Roman"/>
          <w:sz w:val="24"/>
          <w:szCs w:val="24"/>
          <w:lang w:eastAsia="en-IN" w:bidi="ar-SA"/>
        </w:rPr>
        <w:t xml:space="preserve">. Person-centred care is one of the key principles of the model as it promotes the </w:t>
      </w:r>
      <w:r w:rsidRPr="00C8493A">
        <w:rPr>
          <w:rFonts w:ascii="Times New Roman" w:eastAsia="Times New Roman" w:hAnsi="Times New Roman" w:cs="Times New Roman"/>
          <w:sz w:val="24"/>
          <w:szCs w:val="24"/>
          <w:lang w:eastAsia="en-IN" w:bidi="ar-SA"/>
        </w:rPr>
        <w:t>idea of shared decision-making between the professionals and the families who take care of the patient on a daily basis.</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The Chronic Care Model is an internationally recognised model of chronic disease management that emphasises the enhancement of </w:t>
      </w:r>
      <w:r w:rsidRPr="00C8493A">
        <w:rPr>
          <w:rFonts w:ascii="Times New Roman" w:eastAsia="Times New Roman" w:hAnsi="Times New Roman" w:cs="Times New Roman"/>
          <w:b/>
          <w:bCs/>
          <w:sz w:val="24"/>
          <w:szCs w:val="24"/>
          <w:lang w:eastAsia="en-IN" w:bidi="ar-SA"/>
        </w:rPr>
        <w:t>health outcomes</w:t>
      </w:r>
      <w:r w:rsidRPr="00C8493A">
        <w:rPr>
          <w:rFonts w:ascii="Times New Roman" w:eastAsia="Times New Roman" w:hAnsi="Times New Roman" w:cs="Times New Roman"/>
          <w:sz w:val="24"/>
          <w:szCs w:val="24"/>
          <w:lang w:eastAsia="en-IN" w:bidi="ar-SA"/>
        </w:rPr>
        <w:t xml:space="preserve"> in well-organised interactions between the healthcare systems and informed patients. This model reflects a number of components, including self-management support, the design of the delivery system, the decision support mechanism and clinical information systems that promote coordinated care in healthcare services (Ware et al., 2017). In the context of paediatric management of sickle cell, this paradigm emphasises the role of systematic monitoring, early clinical intervention and regular communication between healthcare providers and caregivers. Complications and their further treatments can be monitored through the integration of electronic health records and specialist registries and can be used to coordinate long-term treatment plans by clinicians</w:t>
      </w:r>
      <w:r w:rsidR="00CA2694" w:rsidRPr="00CA2694">
        <w:rPr>
          <w:rFonts w:ascii="Times New Roman" w:hAnsi="Times New Roman" w:cs="Times New Roman"/>
          <w:sz w:val="24"/>
          <w:szCs w:val="24"/>
        </w:rPr>
        <w:t>.</w:t>
      </w:r>
    </w:p>
    <w:p w14:paraId="7BB3F927" w14:textId="0BD146D8" w:rsidR="00C8493A" w:rsidRPr="00BB0E62" w:rsidRDefault="00C8493A"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Health Policy and Care Agenda</w:t>
      </w:r>
    </w:p>
    <w:p w14:paraId="7FDB29B3" w14:textId="77777777"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The management of sickle cell disease in the United Kingdom is based on national health policies aimed </w:t>
      </w:r>
      <w:r w:rsidRPr="00C8493A">
        <w:rPr>
          <w:rFonts w:ascii="Times New Roman" w:eastAsia="Times New Roman" w:hAnsi="Times New Roman" w:cs="Times New Roman"/>
          <w:b/>
          <w:bCs/>
          <w:sz w:val="24"/>
          <w:szCs w:val="24"/>
          <w:lang w:eastAsia="en-IN" w:bidi="ar-SA"/>
        </w:rPr>
        <w:t>to ensure better results</w:t>
      </w:r>
      <w:r w:rsidRPr="00C8493A">
        <w:rPr>
          <w:rFonts w:ascii="Times New Roman" w:eastAsia="Times New Roman" w:hAnsi="Times New Roman" w:cs="Times New Roman"/>
          <w:sz w:val="24"/>
          <w:szCs w:val="24"/>
          <w:lang w:eastAsia="en-IN" w:bidi="ar-SA"/>
        </w:rPr>
        <w:t xml:space="preserve"> of the long-term condition and preventable complications. Long-term </w:t>
      </w:r>
      <w:r w:rsidRPr="00C8493A">
        <w:rPr>
          <w:rFonts w:ascii="Times New Roman" w:eastAsia="Times New Roman" w:hAnsi="Times New Roman" w:cs="Times New Roman"/>
          <w:sz w:val="24"/>
          <w:szCs w:val="24"/>
          <w:lang w:eastAsia="en-IN" w:bidi="ar-SA"/>
        </w:rPr>
        <w:lastRenderedPageBreak/>
        <w:t xml:space="preserve">conditions are described as a significant source of healthcare demand in the NHS Long Term Plan, as around </w:t>
      </w:r>
      <w:r w:rsidRPr="00C8493A">
        <w:rPr>
          <w:rFonts w:ascii="Times New Roman" w:eastAsia="Times New Roman" w:hAnsi="Times New Roman" w:cs="Times New Roman"/>
          <w:b/>
          <w:bCs/>
          <w:sz w:val="24"/>
          <w:szCs w:val="24"/>
          <w:lang w:eastAsia="en-IN" w:bidi="ar-SA"/>
        </w:rPr>
        <w:t>70 percent</w:t>
      </w:r>
      <w:r w:rsidRPr="00C8493A">
        <w:rPr>
          <w:rFonts w:ascii="Times New Roman" w:eastAsia="Times New Roman" w:hAnsi="Times New Roman" w:cs="Times New Roman"/>
          <w:sz w:val="24"/>
          <w:szCs w:val="24"/>
          <w:lang w:eastAsia="en-IN" w:bidi="ar-SA"/>
        </w:rPr>
        <w:t xml:space="preserve"> of the NHS costs, and </w:t>
      </w:r>
      <w:r w:rsidRPr="00C8493A">
        <w:rPr>
          <w:rFonts w:ascii="Times New Roman" w:eastAsia="Times New Roman" w:hAnsi="Times New Roman" w:cs="Times New Roman"/>
          <w:b/>
          <w:bCs/>
          <w:sz w:val="24"/>
          <w:szCs w:val="24"/>
          <w:lang w:eastAsia="en-IN" w:bidi="ar-SA"/>
        </w:rPr>
        <w:t>50 percent</w:t>
      </w:r>
      <w:r w:rsidRPr="00C8493A">
        <w:rPr>
          <w:rFonts w:ascii="Times New Roman" w:eastAsia="Times New Roman" w:hAnsi="Times New Roman" w:cs="Times New Roman"/>
          <w:sz w:val="24"/>
          <w:szCs w:val="24"/>
          <w:lang w:eastAsia="en-IN" w:bidi="ar-SA"/>
        </w:rPr>
        <w:t xml:space="preserve"> of general practitioner appointments, are attributed to long-term conditions (NHS England, 2019). In this context, there was an enhanced specialised haemoglobinopathy service, which was intended to enhance coordinated care of persons with sickle cell disease, which comprises regional specialist centres and multidisciplinary paediatric teams.</w:t>
      </w:r>
    </w:p>
    <w:p w14:paraId="301E4665" w14:textId="38346C3D" w:rsidR="00C8493A" w:rsidRPr="00C8493A" w:rsidRDefault="00C8493A"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C8493A">
        <w:rPr>
          <w:rFonts w:ascii="Times New Roman" w:eastAsia="Times New Roman" w:hAnsi="Times New Roman" w:cs="Times New Roman"/>
          <w:sz w:val="24"/>
          <w:szCs w:val="24"/>
          <w:lang w:eastAsia="en-IN" w:bidi="ar-SA"/>
        </w:rPr>
        <w:t xml:space="preserve">Clinical management is also supported by NICE guidelines which give standardised </w:t>
      </w:r>
      <w:r w:rsidRPr="00C8493A">
        <w:rPr>
          <w:rFonts w:ascii="Times New Roman" w:eastAsia="Times New Roman" w:hAnsi="Times New Roman" w:cs="Times New Roman"/>
          <w:b/>
          <w:bCs/>
          <w:sz w:val="24"/>
          <w:szCs w:val="24"/>
          <w:lang w:eastAsia="en-IN" w:bidi="ar-SA"/>
        </w:rPr>
        <w:t>evidence-based</w:t>
      </w:r>
      <w:r w:rsidRPr="00C8493A">
        <w:rPr>
          <w:rFonts w:ascii="Times New Roman" w:eastAsia="Times New Roman" w:hAnsi="Times New Roman" w:cs="Times New Roman"/>
          <w:sz w:val="24"/>
          <w:szCs w:val="24"/>
          <w:lang w:eastAsia="en-IN" w:bidi="ar-SA"/>
        </w:rPr>
        <w:t xml:space="preserve"> pathways to diagnosing and treating complications of sickle cell disease. Among the NICE guidelines are protocols to deal with acute painful crises, stroke prevention with transfusion therapy as well as hydroxycarbamide to minimize </w:t>
      </w:r>
      <w:proofErr w:type="spellStart"/>
      <w:r w:rsidRPr="00C8493A">
        <w:rPr>
          <w:rFonts w:ascii="Times New Roman" w:eastAsia="Times New Roman" w:hAnsi="Times New Roman" w:cs="Times New Roman"/>
          <w:sz w:val="24"/>
          <w:szCs w:val="24"/>
          <w:lang w:eastAsia="en-IN" w:bidi="ar-SA"/>
        </w:rPr>
        <w:t>vaso</w:t>
      </w:r>
      <w:proofErr w:type="spellEnd"/>
      <w:r w:rsidRPr="00C8493A">
        <w:rPr>
          <w:rFonts w:ascii="Times New Roman" w:eastAsia="Times New Roman" w:hAnsi="Times New Roman" w:cs="Times New Roman"/>
          <w:sz w:val="24"/>
          <w:szCs w:val="24"/>
          <w:lang w:eastAsia="en-IN" w:bidi="ar-SA"/>
        </w:rPr>
        <w:t>-occlusive complications (NICE, 2021). The following recommendations are meant to promote consistency in clinical practice within the NHS hospitals and other specialist services.</w:t>
      </w:r>
      <w:r w:rsidR="00BB0E62">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Early diagnosis is taken care of by the national newborn blood spot screening programme that </w:t>
      </w:r>
      <w:r w:rsidRPr="00C8493A">
        <w:rPr>
          <w:rFonts w:ascii="Times New Roman" w:eastAsia="Times New Roman" w:hAnsi="Times New Roman" w:cs="Times New Roman"/>
          <w:b/>
          <w:bCs/>
          <w:sz w:val="24"/>
          <w:szCs w:val="24"/>
          <w:lang w:eastAsia="en-IN" w:bidi="ar-SA"/>
        </w:rPr>
        <w:t>screens</w:t>
      </w:r>
      <w:r w:rsidRPr="00C8493A">
        <w:rPr>
          <w:rFonts w:ascii="Times New Roman" w:eastAsia="Times New Roman" w:hAnsi="Times New Roman" w:cs="Times New Roman"/>
          <w:sz w:val="24"/>
          <w:szCs w:val="24"/>
          <w:lang w:eastAsia="en-IN" w:bidi="ar-SA"/>
        </w:rPr>
        <w:t xml:space="preserve"> over </w:t>
      </w:r>
      <w:r w:rsidRPr="00C8493A">
        <w:rPr>
          <w:rFonts w:ascii="Times New Roman" w:eastAsia="Times New Roman" w:hAnsi="Times New Roman" w:cs="Times New Roman"/>
          <w:b/>
          <w:bCs/>
          <w:sz w:val="24"/>
          <w:szCs w:val="24"/>
          <w:lang w:eastAsia="en-IN" w:bidi="ar-SA"/>
        </w:rPr>
        <w:t>600,000 newborn babies</w:t>
      </w:r>
      <w:r w:rsidRPr="00C8493A">
        <w:rPr>
          <w:rFonts w:ascii="Times New Roman" w:eastAsia="Times New Roman" w:hAnsi="Times New Roman" w:cs="Times New Roman"/>
          <w:sz w:val="24"/>
          <w:szCs w:val="24"/>
          <w:lang w:eastAsia="en-IN" w:bidi="ar-SA"/>
        </w:rPr>
        <w:t xml:space="preserve"> in England annually </w:t>
      </w:r>
      <w:r w:rsidRPr="00C8493A">
        <w:rPr>
          <w:rFonts w:ascii="Times New Roman" w:eastAsia="Times New Roman" w:hAnsi="Times New Roman" w:cs="Times New Roman"/>
          <w:b/>
          <w:bCs/>
          <w:sz w:val="24"/>
          <w:szCs w:val="24"/>
          <w:lang w:eastAsia="en-IN" w:bidi="ar-SA"/>
        </w:rPr>
        <w:t>for</w:t>
      </w:r>
      <w:r w:rsidRPr="00C8493A">
        <w:rPr>
          <w:rFonts w:ascii="Times New Roman" w:eastAsia="Times New Roman" w:hAnsi="Times New Roman" w:cs="Times New Roman"/>
          <w:sz w:val="24"/>
          <w:szCs w:val="24"/>
          <w:lang w:eastAsia="en-IN" w:bidi="ar-SA"/>
        </w:rPr>
        <w:t xml:space="preserve"> diseases such as sickle cell disease (UK Government, 2020). Through this universal screening programme, early diagnosis during </w:t>
      </w:r>
      <w:r w:rsidRPr="00C8493A">
        <w:rPr>
          <w:rFonts w:ascii="Times New Roman" w:eastAsia="Times New Roman" w:hAnsi="Times New Roman" w:cs="Times New Roman"/>
          <w:b/>
          <w:bCs/>
          <w:sz w:val="24"/>
          <w:szCs w:val="24"/>
          <w:lang w:eastAsia="en-IN" w:bidi="ar-SA"/>
        </w:rPr>
        <w:t>the first weeks of life</w:t>
      </w:r>
      <w:r w:rsidRPr="00C8493A">
        <w:rPr>
          <w:rFonts w:ascii="Times New Roman" w:eastAsia="Times New Roman" w:hAnsi="Times New Roman" w:cs="Times New Roman"/>
          <w:sz w:val="24"/>
          <w:szCs w:val="24"/>
          <w:lang w:eastAsia="en-IN" w:bidi="ar-SA"/>
        </w:rPr>
        <w:t xml:space="preserve"> </w:t>
      </w:r>
      <w:r w:rsidRPr="00C8493A">
        <w:rPr>
          <w:rFonts w:ascii="Times New Roman" w:eastAsia="Times New Roman" w:hAnsi="Times New Roman" w:cs="Times New Roman"/>
          <w:sz w:val="24"/>
          <w:szCs w:val="24"/>
          <w:lang w:eastAsia="en-IN" w:bidi="ar-SA"/>
        </w:rPr>
        <w:t xml:space="preserve">makes the infants subject to preventive therapy including prophylactic penicillin and </w:t>
      </w:r>
      <w:r w:rsidRPr="00C8493A">
        <w:rPr>
          <w:rFonts w:ascii="Times New Roman" w:eastAsia="Times New Roman" w:hAnsi="Times New Roman" w:cs="Times New Roman"/>
          <w:b/>
          <w:bCs/>
          <w:sz w:val="24"/>
          <w:szCs w:val="24"/>
          <w:lang w:eastAsia="en-IN" w:bidi="ar-SA"/>
        </w:rPr>
        <w:t>specialist monitoring</w:t>
      </w:r>
      <w:r w:rsidRPr="00C8493A">
        <w:rPr>
          <w:rFonts w:ascii="Times New Roman" w:hAnsi="Times New Roman" w:cs="Times New Roman"/>
          <w:sz w:val="24"/>
          <w:szCs w:val="24"/>
        </w:rPr>
        <w:t>.</w:t>
      </w:r>
    </w:p>
    <w:p w14:paraId="771B3598" w14:textId="7757FE09" w:rsidR="00C8493A" w:rsidRPr="00BB0E62" w:rsidRDefault="00C8493A"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Recommendations</w:t>
      </w:r>
    </w:p>
    <w:p w14:paraId="4A73F158" w14:textId="77777777" w:rsidR="00BB0E62" w:rsidRPr="00BB0E62" w:rsidRDefault="00BB0E62"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BB0E62">
        <w:rPr>
          <w:rFonts w:ascii="Times New Roman" w:eastAsia="Times New Roman" w:hAnsi="Times New Roman" w:cs="Times New Roman"/>
          <w:sz w:val="24"/>
          <w:szCs w:val="24"/>
          <w:lang w:eastAsia="en-IN" w:bidi="ar-SA"/>
        </w:rPr>
        <w:t xml:space="preserve">To enhance the outcomes of infants with sickle cell disease in the United Kingdom, there is a need to improve policies and the healthcare system specifically. To begin with, </w:t>
      </w:r>
      <w:r w:rsidRPr="00BB0E62">
        <w:rPr>
          <w:rFonts w:ascii="Times New Roman" w:eastAsia="Times New Roman" w:hAnsi="Times New Roman" w:cs="Times New Roman"/>
          <w:b/>
          <w:bCs/>
          <w:sz w:val="24"/>
          <w:szCs w:val="24"/>
          <w:lang w:eastAsia="en-IN" w:bidi="ar-SA"/>
        </w:rPr>
        <w:t>early</w:t>
      </w:r>
      <w:r w:rsidRPr="00BB0E62">
        <w:rPr>
          <w:rFonts w:ascii="Times New Roman" w:eastAsia="Times New Roman" w:hAnsi="Times New Roman" w:cs="Times New Roman"/>
          <w:sz w:val="24"/>
          <w:szCs w:val="24"/>
          <w:lang w:eastAsia="en-IN" w:bidi="ar-SA"/>
        </w:rPr>
        <w:t xml:space="preserve"> consultation with specialist haemoglobinopathy services should be given first priority. Even though newborn screening allows affected infants to be diagnosed early in their lives, a delay in seeking specialists is still an issue in some jurisdictions. This would ensure that every diagnosed </w:t>
      </w:r>
      <w:r w:rsidRPr="00BB0E62">
        <w:rPr>
          <w:rFonts w:ascii="Times New Roman" w:eastAsia="Times New Roman" w:hAnsi="Times New Roman" w:cs="Times New Roman"/>
          <w:b/>
          <w:bCs/>
          <w:sz w:val="24"/>
          <w:szCs w:val="24"/>
          <w:lang w:eastAsia="en-IN" w:bidi="ar-SA"/>
        </w:rPr>
        <w:t>infant</w:t>
      </w:r>
      <w:r w:rsidRPr="00BB0E62">
        <w:rPr>
          <w:rFonts w:ascii="Times New Roman" w:eastAsia="Times New Roman" w:hAnsi="Times New Roman" w:cs="Times New Roman"/>
          <w:sz w:val="24"/>
          <w:szCs w:val="24"/>
          <w:lang w:eastAsia="en-IN" w:bidi="ar-SA"/>
        </w:rPr>
        <w:t xml:space="preserve"> is seen by specialist clinicians and that necessary clinical monitoring is done within the initial </w:t>
      </w:r>
      <w:r w:rsidRPr="00BB0E62">
        <w:rPr>
          <w:rFonts w:ascii="Times New Roman" w:eastAsia="Times New Roman" w:hAnsi="Times New Roman" w:cs="Times New Roman"/>
          <w:b/>
          <w:bCs/>
          <w:sz w:val="24"/>
          <w:szCs w:val="24"/>
          <w:lang w:eastAsia="en-IN" w:bidi="ar-SA"/>
        </w:rPr>
        <w:t>three months</w:t>
      </w:r>
      <w:r w:rsidRPr="00BB0E62">
        <w:rPr>
          <w:rFonts w:ascii="Times New Roman" w:eastAsia="Times New Roman" w:hAnsi="Times New Roman" w:cs="Times New Roman"/>
          <w:sz w:val="24"/>
          <w:szCs w:val="24"/>
          <w:lang w:eastAsia="en-IN" w:bidi="ar-SA"/>
        </w:rPr>
        <w:t xml:space="preserve"> to minimize complications that are avoidable.</w:t>
      </w:r>
    </w:p>
    <w:p w14:paraId="5CFE9F7F" w14:textId="77777777" w:rsidR="00BB0E62" w:rsidRPr="00BB0E62" w:rsidRDefault="00BB0E62"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BB0E62">
        <w:rPr>
          <w:rFonts w:ascii="Times New Roman" w:eastAsia="Times New Roman" w:hAnsi="Times New Roman" w:cs="Times New Roman"/>
          <w:sz w:val="24"/>
          <w:szCs w:val="24"/>
          <w:lang w:eastAsia="en-IN" w:bidi="ar-SA"/>
        </w:rPr>
        <w:t xml:space="preserve">Second, there should be increased community awareness campaigns in communities where the rate of prevalence of sickle cell disease is the most prevalent. The condition is found in the United Kingdom, however, </w:t>
      </w:r>
      <w:r w:rsidRPr="00BB0E62">
        <w:rPr>
          <w:rFonts w:ascii="Times New Roman" w:eastAsia="Times New Roman" w:hAnsi="Times New Roman" w:cs="Times New Roman"/>
          <w:b/>
          <w:bCs/>
          <w:sz w:val="24"/>
          <w:szCs w:val="24"/>
          <w:lang w:eastAsia="en-IN" w:bidi="ar-SA"/>
        </w:rPr>
        <w:t>disproportionately</w:t>
      </w:r>
      <w:r w:rsidRPr="00BB0E62">
        <w:rPr>
          <w:rFonts w:ascii="Times New Roman" w:eastAsia="Times New Roman" w:hAnsi="Times New Roman" w:cs="Times New Roman"/>
          <w:sz w:val="24"/>
          <w:szCs w:val="24"/>
          <w:lang w:eastAsia="en-IN" w:bidi="ar-SA"/>
        </w:rPr>
        <w:t xml:space="preserve"> among the people of African and Caribbean descent, and culturally sensitive education </w:t>
      </w:r>
      <w:r w:rsidRPr="00BB0E62">
        <w:rPr>
          <w:rFonts w:ascii="Times New Roman" w:eastAsia="Times New Roman" w:hAnsi="Times New Roman" w:cs="Times New Roman"/>
          <w:b/>
          <w:bCs/>
          <w:sz w:val="24"/>
          <w:szCs w:val="24"/>
          <w:lang w:eastAsia="en-IN" w:bidi="ar-SA"/>
        </w:rPr>
        <w:t>programmes</w:t>
      </w:r>
      <w:r w:rsidRPr="00BB0E62">
        <w:rPr>
          <w:rFonts w:ascii="Times New Roman" w:eastAsia="Times New Roman" w:hAnsi="Times New Roman" w:cs="Times New Roman"/>
          <w:sz w:val="24"/>
          <w:szCs w:val="24"/>
          <w:lang w:eastAsia="en-IN" w:bidi="ar-SA"/>
        </w:rPr>
        <w:t xml:space="preserve"> </w:t>
      </w:r>
      <w:r w:rsidRPr="00BB0E62">
        <w:rPr>
          <w:rFonts w:ascii="Times New Roman" w:eastAsia="Times New Roman" w:hAnsi="Times New Roman" w:cs="Times New Roman"/>
          <w:b/>
          <w:bCs/>
          <w:sz w:val="24"/>
          <w:szCs w:val="24"/>
          <w:lang w:eastAsia="en-IN" w:bidi="ar-SA"/>
        </w:rPr>
        <w:t>are</w:t>
      </w:r>
      <w:r w:rsidRPr="00BB0E62">
        <w:rPr>
          <w:rFonts w:ascii="Times New Roman" w:eastAsia="Times New Roman" w:hAnsi="Times New Roman" w:cs="Times New Roman"/>
          <w:sz w:val="24"/>
          <w:szCs w:val="24"/>
          <w:lang w:eastAsia="en-IN" w:bidi="ar-SA"/>
        </w:rPr>
        <w:t xml:space="preserve"> a necessity in enhancing recognition and adherence to therapy at a younger age. Awareness about genetic </w:t>
      </w:r>
      <w:r w:rsidRPr="00BB0E62">
        <w:rPr>
          <w:rFonts w:ascii="Times New Roman" w:eastAsia="Times New Roman" w:hAnsi="Times New Roman" w:cs="Times New Roman"/>
          <w:sz w:val="24"/>
          <w:szCs w:val="24"/>
          <w:lang w:eastAsia="en-IN" w:bidi="ar-SA"/>
        </w:rPr>
        <w:lastRenderedPageBreak/>
        <w:t xml:space="preserve">inheritance and the </w:t>
      </w:r>
      <w:r w:rsidRPr="00BB0E62">
        <w:rPr>
          <w:rFonts w:ascii="Times New Roman" w:eastAsia="Times New Roman" w:hAnsi="Times New Roman" w:cs="Times New Roman"/>
          <w:b/>
          <w:bCs/>
          <w:sz w:val="24"/>
          <w:szCs w:val="24"/>
          <w:lang w:eastAsia="en-IN" w:bidi="ar-SA"/>
        </w:rPr>
        <w:t>healthcare</w:t>
      </w:r>
      <w:r w:rsidRPr="00BB0E62">
        <w:rPr>
          <w:rFonts w:ascii="Times New Roman" w:eastAsia="Times New Roman" w:hAnsi="Times New Roman" w:cs="Times New Roman"/>
          <w:sz w:val="24"/>
          <w:szCs w:val="24"/>
          <w:lang w:eastAsia="en-IN" w:bidi="ar-SA"/>
        </w:rPr>
        <w:t xml:space="preserve"> provided to individuals could be raised by involving community organisations and primary care services in the process of the public health campaigns.</w:t>
      </w:r>
    </w:p>
    <w:p w14:paraId="2F39C5DF" w14:textId="77777777" w:rsidR="00BB0E62" w:rsidRPr="00BB0E62" w:rsidRDefault="00BB0E62" w:rsidP="00BB0E62">
      <w:p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BB0E62">
        <w:rPr>
          <w:rFonts w:ascii="Times New Roman" w:eastAsia="Times New Roman" w:hAnsi="Times New Roman" w:cs="Times New Roman"/>
          <w:sz w:val="24"/>
          <w:szCs w:val="24"/>
          <w:lang w:eastAsia="en-IN" w:bidi="ar-SA"/>
        </w:rPr>
        <w:t xml:space="preserve">Third, the population with the sickle cell trait should be provided with access to genetic counselling services so as to enable them </w:t>
      </w:r>
      <w:r w:rsidRPr="00BB0E62">
        <w:rPr>
          <w:rFonts w:ascii="Times New Roman" w:eastAsia="Times New Roman" w:hAnsi="Times New Roman" w:cs="Times New Roman"/>
          <w:b/>
          <w:bCs/>
          <w:sz w:val="24"/>
          <w:szCs w:val="24"/>
          <w:lang w:eastAsia="en-IN" w:bidi="ar-SA"/>
        </w:rPr>
        <w:t>to make</w:t>
      </w:r>
      <w:r w:rsidRPr="00BB0E62">
        <w:rPr>
          <w:rFonts w:ascii="Times New Roman" w:eastAsia="Times New Roman" w:hAnsi="Times New Roman" w:cs="Times New Roman"/>
          <w:sz w:val="24"/>
          <w:szCs w:val="24"/>
          <w:lang w:eastAsia="en-IN" w:bidi="ar-SA"/>
        </w:rPr>
        <w:t xml:space="preserve"> informed reproductive choices. The screening statistics show that </w:t>
      </w:r>
      <w:r w:rsidRPr="00BB0E62">
        <w:rPr>
          <w:rFonts w:ascii="Times New Roman" w:eastAsia="Times New Roman" w:hAnsi="Times New Roman" w:cs="Times New Roman"/>
          <w:b/>
          <w:bCs/>
          <w:sz w:val="24"/>
          <w:szCs w:val="24"/>
          <w:lang w:eastAsia="en-IN" w:bidi="ar-SA"/>
        </w:rPr>
        <w:t>one in seventy-nine children born in the United Kingdom</w:t>
      </w:r>
      <w:r w:rsidRPr="00BB0E62">
        <w:rPr>
          <w:rFonts w:ascii="Times New Roman" w:eastAsia="Times New Roman" w:hAnsi="Times New Roman" w:cs="Times New Roman"/>
          <w:sz w:val="24"/>
          <w:szCs w:val="24"/>
          <w:lang w:eastAsia="en-IN" w:bidi="ar-SA"/>
        </w:rPr>
        <w:t xml:space="preserve"> have the sickle cell trait illustrating the significance of the availability of counselling services to the </w:t>
      </w:r>
      <w:r w:rsidRPr="00BB0E62">
        <w:rPr>
          <w:rFonts w:ascii="Times New Roman" w:eastAsia="Times New Roman" w:hAnsi="Times New Roman" w:cs="Times New Roman"/>
          <w:b/>
          <w:bCs/>
          <w:sz w:val="24"/>
          <w:szCs w:val="24"/>
          <w:lang w:eastAsia="en-IN" w:bidi="ar-SA"/>
        </w:rPr>
        <w:t>families planning their next pregnancy</w:t>
      </w:r>
      <w:r w:rsidRPr="00BB0E62">
        <w:rPr>
          <w:rFonts w:ascii="Times New Roman" w:eastAsia="Times New Roman" w:hAnsi="Times New Roman" w:cs="Times New Roman"/>
          <w:sz w:val="24"/>
          <w:szCs w:val="24"/>
          <w:lang w:eastAsia="en-IN" w:bidi="ar-SA"/>
        </w:rPr>
        <w:t xml:space="preserve"> (Sickle Cell Society, 2024).</w:t>
      </w:r>
    </w:p>
    <w:p w14:paraId="40A6063D" w14:textId="7148D2AB" w:rsidR="00C8493A" w:rsidRPr="00BB0E62" w:rsidRDefault="00C8493A" w:rsidP="00BB0E62">
      <w:pPr>
        <w:pStyle w:val="Heading1"/>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Conclusion</w:t>
      </w:r>
    </w:p>
    <w:p w14:paraId="4545A76B" w14:textId="533F3121" w:rsidR="00CA2694" w:rsidRDefault="00BB0E62" w:rsidP="00BB0E62">
      <w:pPr>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t xml:space="preserve">Sickle cell disease is a severe genetic blood disorder, which has a high health impact both globally and nationally. It is also evident that sickle cell disease affects more or less 7.7 million people in the world, more than 300,000 babies are born with the condition every year, which proves that the problem continues to pose a significant burden globally. In the United Kingdom, the prevalence of sickle cell disease is approximately 17,000 individuals, the number of infants is estimated at 250-300/year, which is why the challenge is becoming increasingly topical in the context of multinational populations. The </w:t>
      </w:r>
      <w:r w:rsidRPr="00BB0E62">
        <w:rPr>
          <w:rFonts w:ascii="Times New Roman" w:hAnsi="Times New Roman" w:cs="Times New Roman"/>
          <w:sz w:val="24"/>
          <w:szCs w:val="24"/>
        </w:rPr>
        <w:t>NHS newborn blood spot screening programme, which screen over 600,000 newborns yearly, is important in the early diagnosis of the condition to allow timely preventive care and specialist management</w:t>
      </w:r>
      <w:r w:rsidR="00C8493A" w:rsidRPr="00C8493A">
        <w:rPr>
          <w:rFonts w:ascii="Times New Roman" w:hAnsi="Times New Roman" w:cs="Times New Roman"/>
          <w:sz w:val="24"/>
          <w:szCs w:val="24"/>
        </w:rPr>
        <w:t>.</w:t>
      </w:r>
    </w:p>
    <w:p w14:paraId="0F20D7C6" w14:textId="77777777" w:rsidR="00D27AF0" w:rsidRDefault="00D27AF0" w:rsidP="00BB0E62">
      <w:pPr>
        <w:spacing w:line="360" w:lineRule="auto"/>
        <w:jc w:val="both"/>
        <w:rPr>
          <w:rFonts w:ascii="Times New Roman" w:hAnsi="Times New Roman" w:cs="Times New Roman"/>
          <w:sz w:val="24"/>
          <w:szCs w:val="24"/>
        </w:rPr>
      </w:pPr>
    </w:p>
    <w:p w14:paraId="4CE23C29" w14:textId="77777777" w:rsidR="00D27AF0" w:rsidRDefault="00D27AF0" w:rsidP="00BB0E62">
      <w:pPr>
        <w:spacing w:line="360" w:lineRule="auto"/>
        <w:jc w:val="both"/>
        <w:rPr>
          <w:rFonts w:ascii="Times New Roman" w:hAnsi="Times New Roman" w:cs="Times New Roman"/>
          <w:sz w:val="24"/>
          <w:szCs w:val="24"/>
        </w:rPr>
      </w:pPr>
    </w:p>
    <w:p w14:paraId="6B121B92" w14:textId="77777777" w:rsidR="00D27AF0" w:rsidRDefault="00D27AF0" w:rsidP="00BB0E62">
      <w:pPr>
        <w:spacing w:line="360" w:lineRule="auto"/>
        <w:jc w:val="both"/>
        <w:rPr>
          <w:rFonts w:ascii="Times New Roman" w:hAnsi="Times New Roman" w:cs="Times New Roman"/>
          <w:sz w:val="24"/>
          <w:szCs w:val="24"/>
        </w:rPr>
      </w:pPr>
    </w:p>
    <w:p w14:paraId="347CB83E" w14:textId="77777777" w:rsidR="00D27AF0" w:rsidRDefault="00D27AF0" w:rsidP="00BB0E62">
      <w:pPr>
        <w:spacing w:line="360" w:lineRule="auto"/>
        <w:jc w:val="both"/>
        <w:rPr>
          <w:rFonts w:ascii="Times New Roman" w:hAnsi="Times New Roman" w:cs="Times New Roman"/>
          <w:sz w:val="24"/>
          <w:szCs w:val="24"/>
        </w:rPr>
      </w:pPr>
    </w:p>
    <w:p w14:paraId="4B7F01C3" w14:textId="77777777" w:rsidR="00D27AF0" w:rsidRDefault="00D27AF0" w:rsidP="00BB0E62">
      <w:pPr>
        <w:spacing w:line="360" w:lineRule="auto"/>
        <w:jc w:val="both"/>
        <w:rPr>
          <w:rFonts w:ascii="Times New Roman" w:hAnsi="Times New Roman" w:cs="Times New Roman"/>
          <w:sz w:val="24"/>
          <w:szCs w:val="24"/>
        </w:rPr>
      </w:pPr>
    </w:p>
    <w:p w14:paraId="00B8A196" w14:textId="77777777" w:rsidR="00D27AF0" w:rsidRDefault="00D27AF0" w:rsidP="00BB0E62">
      <w:pPr>
        <w:spacing w:line="360" w:lineRule="auto"/>
        <w:jc w:val="both"/>
        <w:rPr>
          <w:rFonts w:ascii="Times New Roman" w:hAnsi="Times New Roman" w:cs="Times New Roman"/>
          <w:sz w:val="24"/>
          <w:szCs w:val="24"/>
        </w:rPr>
      </w:pPr>
    </w:p>
    <w:p w14:paraId="2EBCDACB" w14:textId="77777777" w:rsidR="00D27AF0" w:rsidRDefault="00D27AF0" w:rsidP="00BB0E62">
      <w:pPr>
        <w:spacing w:line="360" w:lineRule="auto"/>
        <w:jc w:val="both"/>
        <w:rPr>
          <w:rFonts w:ascii="Times New Roman" w:hAnsi="Times New Roman" w:cs="Times New Roman"/>
          <w:sz w:val="24"/>
          <w:szCs w:val="24"/>
        </w:rPr>
      </w:pPr>
    </w:p>
    <w:p w14:paraId="2A445353" w14:textId="77777777" w:rsidR="00D27AF0" w:rsidRDefault="00D27AF0" w:rsidP="00BB0E62">
      <w:pPr>
        <w:spacing w:line="360" w:lineRule="auto"/>
        <w:jc w:val="both"/>
        <w:rPr>
          <w:rFonts w:ascii="Times New Roman" w:hAnsi="Times New Roman" w:cs="Times New Roman"/>
          <w:sz w:val="24"/>
          <w:szCs w:val="24"/>
        </w:rPr>
      </w:pPr>
    </w:p>
    <w:p w14:paraId="3CE34E78" w14:textId="77777777" w:rsidR="00D27AF0" w:rsidRDefault="00D27AF0" w:rsidP="00BB0E62">
      <w:pPr>
        <w:spacing w:line="360" w:lineRule="auto"/>
        <w:jc w:val="both"/>
        <w:rPr>
          <w:rFonts w:ascii="Times New Roman" w:hAnsi="Times New Roman" w:cs="Times New Roman"/>
          <w:sz w:val="24"/>
          <w:szCs w:val="24"/>
        </w:rPr>
      </w:pPr>
    </w:p>
    <w:p w14:paraId="5B7E41AA" w14:textId="77777777" w:rsidR="00D27AF0" w:rsidRDefault="00D27AF0" w:rsidP="00BB0E62">
      <w:pPr>
        <w:spacing w:line="360" w:lineRule="auto"/>
        <w:jc w:val="both"/>
        <w:rPr>
          <w:rFonts w:ascii="Times New Roman" w:hAnsi="Times New Roman" w:cs="Times New Roman"/>
          <w:sz w:val="24"/>
          <w:szCs w:val="24"/>
        </w:rPr>
      </w:pPr>
    </w:p>
    <w:p w14:paraId="36E9C7F1" w14:textId="77777777" w:rsidR="00D27AF0" w:rsidRDefault="00D27AF0" w:rsidP="00BB0E62">
      <w:pPr>
        <w:spacing w:line="360" w:lineRule="auto"/>
        <w:jc w:val="both"/>
        <w:rPr>
          <w:rFonts w:ascii="Times New Roman" w:hAnsi="Times New Roman" w:cs="Times New Roman"/>
          <w:sz w:val="24"/>
          <w:szCs w:val="24"/>
        </w:rPr>
      </w:pPr>
    </w:p>
    <w:p w14:paraId="6B30B43A" w14:textId="77777777" w:rsidR="00D27AF0" w:rsidRDefault="00D27AF0" w:rsidP="00BB0E62">
      <w:pPr>
        <w:spacing w:line="360" w:lineRule="auto"/>
        <w:jc w:val="both"/>
        <w:rPr>
          <w:rFonts w:ascii="Times New Roman" w:hAnsi="Times New Roman" w:cs="Times New Roman"/>
          <w:sz w:val="24"/>
          <w:szCs w:val="24"/>
        </w:rPr>
      </w:pPr>
    </w:p>
    <w:p w14:paraId="12CD8249" w14:textId="77777777" w:rsidR="00D27AF0" w:rsidRDefault="00D27AF0" w:rsidP="00BB0E62">
      <w:pPr>
        <w:spacing w:line="360" w:lineRule="auto"/>
        <w:jc w:val="both"/>
        <w:rPr>
          <w:rFonts w:ascii="Times New Roman" w:hAnsi="Times New Roman" w:cs="Times New Roman"/>
          <w:sz w:val="24"/>
          <w:szCs w:val="24"/>
        </w:rPr>
      </w:pPr>
    </w:p>
    <w:p w14:paraId="7083E378" w14:textId="77777777" w:rsidR="00D27AF0" w:rsidRDefault="00D27AF0" w:rsidP="00BB0E62">
      <w:pPr>
        <w:spacing w:line="360" w:lineRule="auto"/>
        <w:jc w:val="both"/>
        <w:rPr>
          <w:rFonts w:ascii="Times New Roman" w:hAnsi="Times New Roman" w:cs="Times New Roman"/>
          <w:sz w:val="24"/>
          <w:szCs w:val="24"/>
        </w:rPr>
      </w:pPr>
    </w:p>
    <w:p w14:paraId="73B4037A" w14:textId="77777777" w:rsidR="00D27AF0" w:rsidRDefault="00D27AF0" w:rsidP="00BB0E62">
      <w:pPr>
        <w:spacing w:line="360" w:lineRule="auto"/>
        <w:jc w:val="both"/>
        <w:rPr>
          <w:rFonts w:ascii="Times New Roman" w:hAnsi="Times New Roman" w:cs="Times New Roman"/>
          <w:sz w:val="24"/>
          <w:szCs w:val="24"/>
        </w:rPr>
      </w:pPr>
    </w:p>
    <w:p w14:paraId="1EED2F39" w14:textId="77777777" w:rsidR="00D27AF0" w:rsidRDefault="00D27AF0" w:rsidP="00BB0E62">
      <w:pPr>
        <w:spacing w:line="360" w:lineRule="auto"/>
        <w:jc w:val="both"/>
        <w:rPr>
          <w:rFonts w:ascii="Times New Roman" w:hAnsi="Times New Roman" w:cs="Times New Roman"/>
          <w:sz w:val="24"/>
          <w:szCs w:val="24"/>
        </w:rPr>
      </w:pPr>
    </w:p>
    <w:p w14:paraId="644B2F9E" w14:textId="77777777" w:rsidR="00DE3F1A" w:rsidRDefault="00DE3F1A" w:rsidP="00DE3F1A">
      <w:pPr>
        <w:pStyle w:val="Heading1"/>
        <w:numPr>
          <w:ilvl w:val="0"/>
          <w:numId w:val="0"/>
        </w:numPr>
        <w:spacing w:line="360" w:lineRule="auto"/>
        <w:jc w:val="both"/>
        <w:rPr>
          <w:rFonts w:ascii="Times New Roman" w:hAnsi="Times New Roman" w:cs="Times New Roman"/>
          <w:sz w:val="24"/>
          <w:szCs w:val="24"/>
        </w:rPr>
      </w:pPr>
    </w:p>
    <w:p w14:paraId="09388B46" w14:textId="77777777" w:rsidR="00DE3F1A" w:rsidRPr="00DE3F1A" w:rsidRDefault="00DE3F1A" w:rsidP="00DE3F1A"/>
    <w:p w14:paraId="266CB975" w14:textId="2A03867D" w:rsidR="00CA2694" w:rsidRPr="00BB0E62" w:rsidRDefault="00CA2694" w:rsidP="00DE3F1A">
      <w:pPr>
        <w:pStyle w:val="Heading1"/>
        <w:numPr>
          <w:ilvl w:val="0"/>
          <w:numId w:val="0"/>
        </w:numPr>
        <w:spacing w:line="360" w:lineRule="auto"/>
        <w:jc w:val="both"/>
        <w:rPr>
          <w:rFonts w:ascii="Times New Roman" w:hAnsi="Times New Roman" w:cs="Times New Roman"/>
          <w:sz w:val="24"/>
          <w:szCs w:val="24"/>
        </w:rPr>
      </w:pPr>
      <w:r w:rsidRPr="00BB0E62">
        <w:rPr>
          <w:rFonts w:ascii="Times New Roman" w:hAnsi="Times New Roman" w:cs="Times New Roman"/>
          <w:sz w:val="24"/>
          <w:szCs w:val="24"/>
        </w:rPr>
        <w:lastRenderedPageBreak/>
        <w:t>References</w:t>
      </w:r>
    </w:p>
    <w:p w14:paraId="19F4EC6B"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proofErr w:type="spellStart"/>
      <w:r w:rsidRPr="00D27AF0">
        <w:rPr>
          <w:rFonts w:ascii="Times New Roman" w:eastAsia="Times New Roman" w:hAnsi="Times New Roman" w:cs="Times New Roman"/>
          <w:sz w:val="24"/>
          <w:szCs w:val="24"/>
          <w:lang w:eastAsia="en-IN" w:bidi="ar-SA"/>
        </w:rPr>
        <w:t>Centers</w:t>
      </w:r>
      <w:proofErr w:type="spellEnd"/>
      <w:r w:rsidRPr="00D27AF0">
        <w:rPr>
          <w:rFonts w:ascii="Times New Roman" w:eastAsia="Times New Roman" w:hAnsi="Times New Roman" w:cs="Times New Roman"/>
          <w:sz w:val="24"/>
          <w:szCs w:val="24"/>
          <w:lang w:eastAsia="en-IN" w:bidi="ar-SA"/>
        </w:rPr>
        <w:t xml:space="preserve"> for Disease Control and Prevention (CDC) (2024) </w:t>
      </w:r>
      <w:r w:rsidRPr="00D27AF0">
        <w:rPr>
          <w:rFonts w:ascii="Times New Roman" w:eastAsia="Times New Roman" w:hAnsi="Times New Roman" w:cs="Times New Roman"/>
          <w:i/>
          <w:iCs/>
          <w:sz w:val="24"/>
          <w:szCs w:val="24"/>
          <w:lang w:eastAsia="en-IN" w:bidi="ar-SA"/>
        </w:rPr>
        <w:t>What is sickle cell disease?</w:t>
      </w:r>
      <w:r w:rsidRPr="00D27AF0">
        <w:rPr>
          <w:rFonts w:ascii="Times New Roman" w:eastAsia="Times New Roman" w:hAnsi="Times New Roman" w:cs="Times New Roman"/>
          <w:sz w:val="24"/>
          <w:szCs w:val="24"/>
          <w:lang w:eastAsia="en-IN" w:bidi="ar-SA"/>
        </w:rPr>
        <w:t xml:space="preserve"> Available at: </w:t>
      </w:r>
      <w:hyperlink r:id="rId6" w:history="1">
        <w:r w:rsidRPr="00D27AF0">
          <w:rPr>
            <w:rStyle w:val="Hyperlink"/>
            <w:rFonts w:ascii="Times New Roman" w:eastAsia="Times New Roman" w:hAnsi="Times New Roman" w:cs="Times New Roman"/>
            <w:sz w:val="24"/>
            <w:szCs w:val="24"/>
            <w:lang w:eastAsia="en-IN" w:bidi="ar-SA"/>
          </w:rPr>
          <w:t>https://www.cdc.gov/sicklecell/disease/index.html</w:t>
        </w:r>
      </w:hyperlink>
    </w:p>
    <w:p w14:paraId="641E86E2"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Cober, M.P. and Phelps, S.J. (2010) ‘Penicillin prophylaxis in children with sickle cell disease’, </w:t>
      </w:r>
      <w:r w:rsidRPr="00D27AF0">
        <w:rPr>
          <w:rFonts w:ascii="Times New Roman" w:eastAsia="Times New Roman" w:hAnsi="Times New Roman" w:cs="Times New Roman"/>
          <w:i/>
          <w:iCs/>
          <w:sz w:val="24"/>
          <w:szCs w:val="24"/>
          <w:lang w:eastAsia="en-IN" w:bidi="ar-SA"/>
        </w:rPr>
        <w:t xml:space="preserve">Journal of </w:t>
      </w:r>
      <w:proofErr w:type="spellStart"/>
      <w:r w:rsidRPr="00D27AF0">
        <w:rPr>
          <w:rFonts w:ascii="Times New Roman" w:eastAsia="Times New Roman" w:hAnsi="Times New Roman" w:cs="Times New Roman"/>
          <w:i/>
          <w:iCs/>
          <w:sz w:val="24"/>
          <w:szCs w:val="24"/>
          <w:lang w:eastAsia="en-IN" w:bidi="ar-SA"/>
        </w:rPr>
        <w:t>Pediatric</w:t>
      </w:r>
      <w:proofErr w:type="spellEnd"/>
      <w:r w:rsidRPr="00D27AF0">
        <w:rPr>
          <w:rFonts w:ascii="Times New Roman" w:eastAsia="Times New Roman" w:hAnsi="Times New Roman" w:cs="Times New Roman"/>
          <w:i/>
          <w:iCs/>
          <w:sz w:val="24"/>
          <w:szCs w:val="24"/>
          <w:lang w:eastAsia="en-IN" w:bidi="ar-SA"/>
        </w:rPr>
        <w:t xml:space="preserve"> Pharmacology and Therapeutics</w:t>
      </w:r>
      <w:r w:rsidRPr="00D27AF0">
        <w:rPr>
          <w:rFonts w:ascii="Times New Roman" w:eastAsia="Times New Roman" w:hAnsi="Times New Roman" w:cs="Times New Roman"/>
          <w:sz w:val="24"/>
          <w:szCs w:val="24"/>
          <w:lang w:eastAsia="en-IN" w:bidi="ar-SA"/>
        </w:rPr>
        <w:t xml:space="preserve">, 15(3), pp.152–159. Available at: </w:t>
      </w:r>
      <w:hyperlink r:id="rId7" w:history="1">
        <w:r w:rsidRPr="00D27AF0">
          <w:rPr>
            <w:rStyle w:val="Hyperlink"/>
            <w:rFonts w:ascii="Times New Roman" w:eastAsia="Times New Roman" w:hAnsi="Times New Roman" w:cs="Times New Roman"/>
            <w:sz w:val="24"/>
            <w:szCs w:val="24"/>
            <w:lang w:eastAsia="en-IN" w:bidi="ar-SA"/>
          </w:rPr>
          <w:t>https://www.ncbi.nlm.nih.gov/pmc/articles/PMC3018247/</w:t>
        </w:r>
      </w:hyperlink>
    </w:p>
    <w:p w14:paraId="022966EB"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proofErr w:type="spellStart"/>
      <w:r w:rsidRPr="00D27AF0">
        <w:rPr>
          <w:rFonts w:ascii="Times New Roman" w:eastAsia="Times New Roman" w:hAnsi="Times New Roman" w:cs="Times New Roman"/>
          <w:sz w:val="24"/>
          <w:szCs w:val="24"/>
          <w:lang w:eastAsia="en-IN" w:bidi="ar-SA"/>
        </w:rPr>
        <w:t>Dormandy</w:t>
      </w:r>
      <w:proofErr w:type="spellEnd"/>
      <w:r w:rsidRPr="00D27AF0">
        <w:rPr>
          <w:rFonts w:ascii="Times New Roman" w:eastAsia="Times New Roman" w:hAnsi="Times New Roman" w:cs="Times New Roman"/>
          <w:sz w:val="24"/>
          <w:szCs w:val="24"/>
          <w:lang w:eastAsia="en-IN" w:bidi="ar-SA"/>
        </w:rPr>
        <w:t xml:space="preserve">, E., James, J., Inusa, B. and Rees, D. (2017) </w:t>
      </w:r>
      <w:r w:rsidRPr="00D27AF0">
        <w:rPr>
          <w:rFonts w:ascii="Times New Roman" w:eastAsia="Times New Roman" w:hAnsi="Times New Roman" w:cs="Times New Roman"/>
          <w:i/>
          <w:iCs/>
          <w:sz w:val="24"/>
          <w:szCs w:val="24"/>
          <w:lang w:eastAsia="en-IN" w:bidi="ar-SA"/>
        </w:rPr>
        <w:t>How many people have sickle cell disease in the UK?</w:t>
      </w:r>
      <w:r w:rsidRPr="00D27AF0">
        <w:rPr>
          <w:rFonts w:ascii="Times New Roman" w:eastAsia="Times New Roman" w:hAnsi="Times New Roman" w:cs="Times New Roman"/>
          <w:sz w:val="24"/>
          <w:szCs w:val="24"/>
          <w:lang w:eastAsia="en-IN" w:bidi="ar-SA"/>
        </w:rPr>
        <w:t xml:space="preserve"> London: ARISE Initiative. Available at: </w:t>
      </w:r>
      <w:hyperlink r:id="rId8" w:tgtFrame="_new" w:history="1">
        <w:r w:rsidRPr="00D27AF0">
          <w:rPr>
            <w:rFonts w:ascii="Times New Roman" w:eastAsia="Times New Roman" w:hAnsi="Times New Roman" w:cs="Times New Roman"/>
            <w:color w:val="0000FF"/>
            <w:sz w:val="24"/>
            <w:szCs w:val="24"/>
            <w:u w:val="single"/>
            <w:lang w:eastAsia="en-IN" w:bidi="ar-SA"/>
          </w:rPr>
          <w:t>https://www.ariseinitiative.org/wp-content/uploads/2020/02/How-many-people-have-sickle-cell-disease-in-the-UK.pdf</w:t>
        </w:r>
      </w:hyperlink>
    </w:p>
    <w:p w14:paraId="095DFE8C"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proofErr w:type="spellStart"/>
      <w:r w:rsidRPr="00D27AF0">
        <w:rPr>
          <w:rFonts w:ascii="Times New Roman" w:eastAsia="Times New Roman" w:hAnsi="Times New Roman" w:cs="Times New Roman"/>
          <w:sz w:val="24"/>
          <w:szCs w:val="24"/>
          <w:lang w:eastAsia="en-IN" w:bidi="ar-SA"/>
        </w:rPr>
        <w:t>Latinovic</w:t>
      </w:r>
      <w:proofErr w:type="spellEnd"/>
      <w:r w:rsidRPr="00D27AF0">
        <w:rPr>
          <w:rFonts w:ascii="Times New Roman" w:eastAsia="Times New Roman" w:hAnsi="Times New Roman" w:cs="Times New Roman"/>
          <w:sz w:val="24"/>
          <w:szCs w:val="24"/>
          <w:lang w:eastAsia="en-IN" w:bidi="ar-SA"/>
        </w:rPr>
        <w:t xml:space="preserve">, R., Gulliford, M. and Hughes, M. (2013) ‘Trends in hospital admissions for sickle cell disease in England’, </w:t>
      </w:r>
      <w:r w:rsidRPr="00D27AF0">
        <w:rPr>
          <w:rFonts w:ascii="Times New Roman" w:eastAsia="Times New Roman" w:hAnsi="Times New Roman" w:cs="Times New Roman"/>
          <w:i/>
          <w:iCs/>
          <w:sz w:val="24"/>
          <w:szCs w:val="24"/>
          <w:lang w:eastAsia="en-IN" w:bidi="ar-SA"/>
        </w:rPr>
        <w:t>British Journal of General Practice</w:t>
      </w:r>
      <w:r w:rsidRPr="00D27AF0">
        <w:rPr>
          <w:rFonts w:ascii="Times New Roman" w:eastAsia="Times New Roman" w:hAnsi="Times New Roman" w:cs="Times New Roman"/>
          <w:sz w:val="24"/>
          <w:szCs w:val="24"/>
          <w:lang w:eastAsia="en-IN" w:bidi="ar-SA"/>
        </w:rPr>
        <w:t xml:space="preserve">, 63(609), pp.e113–e118. Available at: </w:t>
      </w:r>
      <w:hyperlink r:id="rId9" w:history="1">
        <w:r w:rsidRPr="00D27AF0">
          <w:rPr>
            <w:rStyle w:val="Hyperlink"/>
            <w:rFonts w:ascii="Times New Roman" w:eastAsia="Times New Roman" w:hAnsi="Times New Roman" w:cs="Times New Roman"/>
            <w:sz w:val="24"/>
            <w:szCs w:val="24"/>
            <w:lang w:eastAsia="en-IN" w:bidi="ar-SA"/>
          </w:rPr>
          <w:t>https://www.ncbi.nlm.nih.gov/pmc/articles/PMC3580054/</w:t>
        </w:r>
      </w:hyperlink>
    </w:p>
    <w:p w14:paraId="75FAE4AD"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Lobitz, S., Telfer, P. and Daher, A. (2018) ‘Newborn screening for </w:t>
      </w:r>
      <w:r w:rsidRPr="00D27AF0">
        <w:rPr>
          <w:rFonts w:ascii="Times New Roman" w:eastAsia="Times New Roman" w:hAnsi="Times New Roman" w:cs="Times New Roman"/>
          <w:sz w:val="24"/>
          <w:szCs w:val="24"/>
          <w:lang w:eastAsia="en-IN" w:bidi="ar-SA"/>
        </w:rPr>
        <w:t xml:space="preserve">sickle cell disease in Europe’, </w:t>
      </w:r>
      <w:r w:rsidRPr="00D27AF0">
        <w:rPr>
          <w:rFonts w:ascii="Times New Roman" w:eastAsia="Times New Roman" w:hAnsi="Times New Roman" w:cs="Times New Roman"/>
          <w:i/>
          <w:iCs/>
          <w:sz w:val="24"/>
          <w:szCs w:val="24"/>
          <w:lang w:eastAsia="en-IN" w:bidi="ar-SA"/>
        </w:rPr>
        <w:t>British Journal of Haematology</w:t>
      </w:r>
      <w:r w:rsidRPr="00D27AF0">
        <w:rPr>
          <w:rFonts w:ascii="Times New Roman" w:eastAsia="Times New Roman" w:hAnsi="Times New Roman" w:cs="Times New Roman"/>
          <w:sz w:val="24"/>
          <w:szCs w:val="24"/>
          <w:lang w:eastAsia="en-IN" w:bidi="ar-SA"/>
        </w:rPr>
        <w:t xml:space="preserve">, 182(2), pp.185–194. Available at: </w:t>
      </w:r>
      <w:hyperlink r:id="rId10" w:history="1">
        <w:r w:rsidRPr="00D27AF0">
          <w:rPr>
            <w:rStyle w:val="Hyperlink"/>
            <w:rFonts w:ascii="Times New Roman" w:eastAsia="Times New Roman" w:hAnsi="Times New Roman" w:cs="Times New Roman"/>
            <w:sz w:val="24"/>
            <w:szCs w:val="24"/>
            <w:lang w:eastAsia="en-IN" w:bidi="ar-SA"/>
          </w:rPr>
          <w:t>https://onlinelibrary.wiley.com/doi/10.1111/bjh.15600</w:t>
        </w:r>
      </w:hyperlink>
    </w:p>
    <w:p w14:paraId="3523AAF0"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National Haemoglobinopathy Register (2023) </w:t>
      </w:r>
      <w:r w:rsidRPr="00D27AF0">
        <w:rPr>
          <w:rFonts w:ascii="Times New Roman" w:eastAsia="Times New Roman" w:hAnsi="Times New Roman" w:cs="Times New Roman"/>
          <w:i/>
          <w:iCs/>
          <w:sz w:val="24"/>
          <w:szCs w:val="24"/>
          <w:lang w:eastAsia="en-IN" w:bidi="ar-SA"/>
        </w:rPr>
        <w:t>Annual Report</w:t>
      </w:r>
      <w:r w:rsidRPr="00D27AF0">
        <w:rPr>
          <w:rFonts w:ascii="Times New Roman" w:eastAsia="Times New Roman" w:hAnsi="Times New Roman" w:cs="Times New Roman"/>
          <w:sz w:val="24"/>
          <w:szCs w:val="24"/>
          <w:lang w:eastAsia="en-IN" w:bidi="ar-SA"/>
        </w:rPr>
        <w:t xml:space="preserve">. Available at: </w:t>
      </w:r>
      <w:hyperlink r:id="rId11" w:tgtFrame="_new" w:history="1">
        <w:r w:rsidRPr="00D27AF0">
          <w:rPr>
            <w:rFonts w:ascii="Times New Roman" w:eastAsia="Times New Roman" w:hAnsi="Times New Roman" w:cs="Times New Roman"/>
            <w:color w:val="0000FF"/>
            <w:sz w:val="24"/>
            <w:szCs w:val="24"/>
            <w:u w:val="single"/>
            <w:lang w:eastAsia="en-IN" w:bidi="ar-SA"/>
          </w:rPr>
          <w:t>https://www.nhr.nhs.uk</w:t>
        </w:r>
      </w:hyperlink>
    </w:p>
    <w:p w14:paraId="34618BAF"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National Institute for Health and Care Excellence (NICE) (2021) </w:t>
      </w:r>
      <w:r w:rsidRPr="00D27AF0">
        <w:rPr>
          <w:rFonts w:ascii="Times New Roman" w:eastAsia="Times New Roman" w:hAnsi="Times New Roman" w:cs="Times New Roman"/>
          <w:i/>
          <w:iCs/>
          <w:sz w:val="24"/>
          <w:szCs w:val="24"/>
          <w:lang w:eastAsia="en-IN" w:bidi="ar-SA"/>
        </w:rPr>
        <w:t>Sickle cell disease: managing acute painful episodes in hospital.</w:t>
      </w:r>
      <w:r w:rsidRPr="00D27AF0">
        <w:rPr>
          <w:rFonts w:ascii="Times New Roman" w:eastAsia="Times New Roman" w:hAnsi="Times New Roman" w:cs="Times New Roman"/>
          <w:sz w:val="24"/>
          <w:szCs w:val="24"/>
          <w:lang w:eastAsia="en-IN" w:bidi="ar-SA"/>
        </w:rPr>
        <w:t xml:space="preserve"> Available at: </w:t>
      </w:r>
      <w:hyperlink r:id="rId12" w:tgtFrame="_new" w:history="1">
        <w:r w:rsidRPr="00D27AF0">
          <w:rPr>
            <w:rFonts w:ascii="Times New Roman" w:eastAsia="Times New Roman" w:hAnsi="Times New Roman" w:cs="Times New Roman"/>
            <w:color w:val="0000FF"/>
            <w:sz w:val="24"/>
            <w:szCs w:val="24"/>
            <w:u w:val="single"/>
            <w:lang w:eastAsia="en-IN" w:bidi="ar-SA"/>
          </w:rPr>
          <w:t>https://www.nice.org.uk/guidance</w:t>
        </w:r>
      </w:hyperlink>
    </w:p>
    <w:p w14:paraId="1D3891E4"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National Institute for Health and Care Excellence (NICE) (2023) </w:t>
      </w:r>
      <w:r w:rsidRPr="00D27AF0">
        <w:rPr>
          <w:rFonts w:ascii="Times New Roman" w:eastAsia="Times New Roman" w:hAnsi="Times New Roman" w:cs="Times New Roman"/>
          <w:i/>
          <w:iCs/>
          <w:sz w:val="24"/>
          <w:szCs w:val="24"/>
          <w:lang w:eastAsia="en-IN" w:bidi="ar-SA"/>
        </w:rPr>
        <w:t>Hydroxycarbamide for treating sickle cell disease.</w:t>
      </w:r>
      <w:r w:rsidRPr="00D27AF0">
        <w:rPr>
          <w:rFonts w:ascii="Times New Roman" w:eastAsia="Times New Roman" w:hAnsi="Times New Roman" w:cs="Times New Roman"/>
          <w:sz w:val="24"/>
          <w:szCs w:val="24"/>
          <w:lang w:eastAsia="en-IN" w:bidi="ar-SA"/>
        </w:rPr>
        <w:t xml:space="preserve"> Available at: </w:t>
      </w:r>
      <w:hyperlink r:id="rId13" w:tgtFrame="_new" w:history="1">
        <w:r w:rsidRPr="00D27AF0">
          <w:rPr>
            <w:rFonts w:ascii="Times New Roman" w:eastAsia="Times New Roman" w:hAnsi="Times New Roman" w:cs="Times New Roman"/>
            <w:color w:val="0000FF"/>
            <w:sz w:val="24"/>
            <w:szCs w:val="24"/>
            <w:u w:val="single"/>
            <w:lang w:eastAsia="en-IN" w:bidi="ar-SA"/>
          </w:rPr>
          <w:t>https://www.nice.org.uk</w:t>
        </w:r>
      </w:hyperlink>
    </w:p>
    <w:p w14:paraId="1E419F16"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NHS England (2019) </w:t>
      </w:r>
      <w:r w:rsidRPr="00D27AF0">
        <w:rPr>
          <w:rFonts w:ascii="Times New Roman" w:eastAsia="Times New Roman" w:hAnsi="Times New Roman" w:cs="Times New Roman"/>
          <w:i/>
          <w:iCs/>
          <w:sz w:val="24"/>
          <w:szCs w:val="24"/>
          <w:lang w:eastAsia="en-IN" w:bidi="ar-SA"/>
        </w:rPr>
        <w:t>The NHS Long Term Plan.</w:t>
      </w:r>
      <w:r w:rsidRPr="00D27AF0">
        <w:rPr>
          <w:rFonts w:ascii="Times New Roman" w:eastAsia="Times New Roman" w:hAnsi="Times New Roman" w:cs="Times New Roman"/>
          <w:sz w:val="24"/>
          <w:szCs w:val="24"/>
          <w:lang w:eastAsia="en-IN" w:bidi="ar-SA"/>
        </w:rPr>
        <w:t xml:space="preserve"> Available at: </w:t>
      </w:r>
      <w:hyperlink r:id="rId14" w:tgtFrame="_new" w:history="1">
        <w:r w:rsidRPr="00D27AF0">
          <w:rPr>
            <w:rFonts w:ascii="Times New Roman" w:eastAsia="Times New Roman" w:hAnsi="Times New Roman" w:cs="Times New Roman"/>
            <w:color w:val="0000FF"/>
            <w:sz w:val="24"/>
            <w:szCs w:val="24"/>
            <w:u w:val="single"/>
            <w:lang w:eastAsia="en-IN" w:bidi="ar-SA"/>
          </w:rPr>
          <w:t>https://www.longtermplan.nhs.uk</w:t>
        </w:r>
      </w:hyperlink>
    </w:p>
    <w:p w14:paraId="5680DEDD"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NHS England (2021) </w:t>
      </w:r>
      <w:r w:rsidRPr="00D27AF0">
        <w:rPr>
          <w:rFonts w:ascii="Times New Roman" w:eastAsia="Times New Roman" w:hAnsi="Times New Roman" w:cs="Times New Roman"/>
          <w:i/>
          <w:iCs/>
          <w:sz w:val="24"/>
          <w:szCs w:val="24"/>
          <w:lang w:eastAsia="en-IN" w:bidi="ar-SA"/>
        </w:rPr>
        <w:t>Treatment of sickle cell disease.</w:t>
      </w:r>
      <w:r w:rsidRPr="00D27AF0">
        <w:rPr>
          <w:rFonts w:ascii="Times New Roman" w:eastAsia="Times New Roman" w:hAnsi="Times New Roman" w:cs="Times New Roman"/>
          <w:sz w:val="24"/>
          <w:szCs w:val="24"/>
          <w:lang w:eastAsia="en-IN" w:bidi="ar-SA"/>
        </w:rPr>
        <w:t xml:space="preserve"> Available at: </w:t>
      </w:r>
      <w:hyperlink r:id="rId15" w:tgtFrame="_new" w:history="1">
        <w:r w:rsidRPr="00D27AF0">
          <w:rPr>
            <w:rFonts w:ascii="Times New Roman" w:eastAsia="Times New Roman" w:hAnsi="Times New Roman" w:cs="Times New Roman"/>
            <w:color w:val="0000FF"/>
            <w:sz w:val="24"/>
            <w:szCs w:val="24"/>
            <w:u w:val="single"/>
            <w:lang w:eastAsia="en-IN" w:bidi="ar-SA"/>
          </w:rPr>
          <w:t>https://researchbriefings.files.parliament.uk/documents/CDP-2021-0209/CDP-2021-0209.pdf</w:t>
        </w:r>
      </w:hyperlink>
    </w:p>
    <w:p w14:paraId="28F2B641"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NHS England (2023) </w:t>
      </w:r>
      <w:r w:rsidRPr="00D27AF0">
        <w:rPr>
          <w:rFonts w:ascii="Times New Roman" w:eastAsia="Times New Roman" w:hAnsi="Times New Roman" w:cs="Times New Roman"/>
          <w:i/>
          <w:iCs/>
          <w:sz w:val="24"/>
          <w:szCs w:val="24"/>
          <w:lang w:eastAsia="en-IN" w:bidi="ar-SA"/>
        </w:rPr>
        <w:t>National Haemoglobinopathy Register data overview.</w:t>
      </w:r>
      <w:r w:rsidRPr="00D27AF0">
        <w:rPr>
          <w:rFonts w:ascii="Times New Roman" w:eastAsia="Times New Roman" w:hAnsi="Times New Roman" w:cs="Times New Roman"/>
          <w:sz w:val="24"/>
          <w:szCs w:val="24"/>
          <w:lang w:eastAsia="en-IN" w:bidi="ar-SA"/>
        </w:rPr>
        <w:t xml:space="preserve"> Available at: </w:t>
      </w:r>
      <w:hyperlink r:id="rId16" w:tgtFrame="_new" w:history="1">
        <w:r w:rsidRPr="00D27AF0">
          <w:rPr>
            <w:rFonts w:ascii="Times New Roman" w:eastAsia="Times New Roman" w:hAnsi="Times New Roman" w:cs="Times New Roman"/>
            <w:color w:val="0000FF"/>
            <w:sz w:val="24"/>
            <w:szCs w:val="24"/>
            <w:u w:val="single"/>
            <w:lang w:eastAsia="en-IN" w:bidi="ar-SA"/>
          </w:rPr>
          <w:t>https://www.nhr.nhs.uk</w:t>
        </w:r>
      </w:hyperlink>
    </w:p>
    <w:p w14:paraId="024699A8"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Patient.info (2023) </w:t>
      </w:r>
      <w:r w:rsidRPr="00D27AF0">
        <w:rPr>
          <w:rFonts w:ascii="Times New Roman" w:eastAsia="Times New Roman" w:hAnsi="Times New Roman" w:cs="Times New Roman"/>
          <w:i/>
          <w:iCs/>
          <w:sz w:val="24"/>
          <w:szCs w:val="24"/>
          <w:lang w:eastAsia="en-IN" w:bidi="ar-SA"/>
        </w:rPr>
        <w:t>Sickle cell disease and sickle cell anaemia.</w:t>
      </w:r>
      <w:r w:rsidRPr="00D27AF0">
        <w:rPr>
          <w:rFonts w:ascii="Times New Roman" w:eastAsia="Times New Roman" w:hAnsi="Times New Roman" w:cs="Times New Roman"/>
          <w:sz w:val="24"/>
          <w:szCs w:val="24"/>
          <w:lang w:eastAsia="en-IN" w:bidi="ar-SA"/>
        </w:rPr>
        <w:t xml:space="preserve"> </w:t>
      </w:r>
      <w:r w:rsidRPr="00D27AF0">
        <w:rPr>
          <w:rFonts w:ascii="Times New Roman" w:eastAsia="Times New Roman" w:hAnsi="Times New Roman" w:cs="Times New Roman"/>
          <w:sz w:val="24"/>
          <w:szCs w:val="24"/>
          <w:lang w:eastAsia="en-IN" w:bidi="ar-SA"/>
        </w:rPr>
        <w:lastRenderedPageBreak/>
        <w:t xml:space="preserve">Available at: </w:t>
      </w:r>
      <w:hyperlink r:id="rId17" w:tgtFrame="_new" w:history="1">
        <w:r w:rsidRPr="00D27AF0">
          <w:rPr>
            <w:rFonts w:ascii="Times New Roman" w:eastAsia="Times New Roman" w:hAnsi="Times New Roman" w:cs="Times New Roman"/>
            <w:color w:val="0000FF"/>
            <w:sz w:val="24"/>
            <w:szCs w:val="24"/>
            <w:u w:val="single"/>
            <w:lang w:eastAsia="en-IN" w:bidi="ar-SA"/>
          </w:rPr>
          <w:t>https://patient.info/doctor/haematology/sickle-cell-disease-and-sickle-cell-anaemia-pro</w:t>
        </w:r>
      </w:hyperlink>
    </w:p>
    <w:p w14:paraId="698184CA"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Piel, F.B., Steinberg, M.H. and Rees, D.C. (2017) ‘Sickle cell disease’, </w:t>
      </w:r>
      <w:r w:rsidRPr="00D27AF0">
        <w:rPr>
          <w:rFonts w:ascii="Times New Roman" w:eastAsia="Times New Roman" w:hAnsi="Times New Roman" w:cs="Times New Roman"/>
          <w:i/>
          <w:iCs/>
          <w:sz w:val="24"/>
          <w:szCs w:val="24"/>
          <w:lang w:eastAsia="en-IN" w:bidi="ar-SA"/>
        </w:rPr>
        <w:t>The Lancet Haematology</w:t>
      </w:r>
      <w:r w:rsidRPr="00D27AF0">
        <w:rPr>
          <w:rFonts w:ascii="Times New Roman" w:eastAsia="Times New Roman" w:hAnsi="Times New Roman" w:cs="Times New Roman"/>
          <w:sz w:val="24"/>
          <w:szCs w:val="24"/>
          <w:lang w:eastAsia="en-IN" w:bidi="ar-SA"/>
        </w:rPr>
        <w:t>, 4(7), pp.e353–e364.</w:t>
      </w:r>
    </w:p>
    <w:p w14:paraId="28D03385"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Public Health England (2020) </w:t>
      </w:r>
      <w:r w:rsidRPr="00D27AF0">
        <w:rPr>
          <w:rFonts w:ascii="Times New Roman" w:eastAsia="Times New Roman" w:hAnsi="Times New Roman" w:cs="Times New Roman"/>
          <w:i/>
          <w:iCs/>
          <w:sz w:val="24"/>
          <w:szCs w:val="24"/>
          <w:lang w:eastAsia="en-IN" w:bidi="ar-SA"/>
        </w:rPr>
        <w:t>Sickle cell and thalassaemia screening programme: annual report.</w:t>
      </w:r>
      <w:r w:rsidRPr="00D27AF0">
        <w:rPr>
          <w:rFonts w:ascii="Times New Roman" w:eastAsia="Times New Roman" w:hAnsi="Times New Roman" w:cs="Times New Roman"/>
          <w:sz w:val="24"/>
          <w:szCs w:val="24"/>
          <w:lang w:eastAsia="en-IN" w:bidi="ar-SA"/>
        </w:rPr>
        <w:t xml:space="preserve"> Available at: </w:t>
      </w:r>
      <w:hyperlink r:id="rId18" w:tgtFrame="_new" w:history="1">
        <w:r w:rsidRPr="00D27AF0">
          <w:rPr>
            <w:rFonts w:ascii="Times New Roman" w:eastAsia="Times New Roman" w:hAnsi="Times New Roman" w:cs="Times New Roman"/>
            <w:color w:val="0000FF"/>
            <w:sz w:val="24"/>
            <w:szCs w:val="24"/>
            <w:u w:val="single"/>
            <w:lang w:eastAsia="en-IN" w:bidi="ar-SA"/>
          </w:rPr>
          <w:t>https://www.gov.uk/topic/population-screening-programmes/sickle-cell-thalassaemia</w:t>
        </w:r>
      </w:hyperlink>
    </w:p>
    <w:p w14:paraId="565542A4"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Rees, D. (2007) ‘Neonatal sickle cell disease and thalassaemia’, </w:t>
      </w:r>
      <w:r w:rsidRPr="00D27AF0">
        <w:rPr>
          <w:rFonts w:ascii="Times New Roman" w:eastAsia="Times New Roman" w:hAnsi="Times New Roman" w:cs="Times New Roman"/>
          <w:i/>
          <w:iCs/>
          <w:sz w:val="24"/>
          <w:szCs w:val="24"/>
          <w:lang w:eastAsia="en-IN" w:bidi="ar-SA"/>
        </w:rPr>
        <w:t>Infant Journal</w:t>
      </w:r>
      <w:r w:rsidRPr="00D27AF0">
        <w:rPr>
          <w:rFonts w:ascii="Times New Roman" w:eastAsia="Times New Roman" w:hAnsi="Times New Roman" w:cs="Times New Roman"/>
          <w:sz w:val="24"/>
          <w:szCs w:val="24"/>
          <w:lang w:eastAsia="en-IN" w:bidi="ar-SA"/>
        </w:rPr>
        <w:t xml:space="preserve">, 3(1), pp.13–17. Available at: </w:t>
      </w:r>
      <w:hyperlink r:id="rId19" w:tgtFrame="_new" w:history="1">
        <w:r w:rsidRPr="00D27AF0">
          <w:rPr>
            <w:rFonts w:ascii="Times New Roman" w:eastAsia="Times New Roman" w:hAnsi="Times New Roman" w:cs="Times New Roman"/>
            <w:color w:val="0000FF"/>
            <w:sz w:val="24"/>
            <w:szCs w:val="24"/>
            <w:u w:val="single"/>
            <w:lang w:eastAsia="en-IN" w:bidi="ar-SA"/>
          </w:rPr>
          <w:t>https://www.infantjournal.co.uk/pdf/inf_013_sia.pdf</w:t>
        </w:r>
      </w:hyperlink>
    </w:p>
    <w:p w14:paraId="1FEA78CE"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Rees, D.C., Williams, T.N. and Gladwin, M.T. (2010) ‘Sickle-cell disease’, </w:t>
      </w:r>
      <w:r w:rsidRPr="00D27AF0">
        <w:rPr>
          <w:rFonts w:ascii="Times New Roman" w:eastAsia="Times New Roman" w:hAnsi="Times New Roman" w:cs="Times New Roman"/>
          <w:i/>
          <w:iCs/>
          <w:sz w:val="24"/>
          <w:szCs w:val="24"/>
          <w:lang w:eastAsia="en-IN" w:bidi="ar-SA"/>
        </w:rPr>
        <w:t>The Lancet</w:t>
      </w:r>
      <w:r w:rsidRPr="00D27AF0">
        <w:rPr>
          <w:rFonts w:ascii="Times New Roman" w:eastAsia="Times New Roman" w:hAnsi="Times New Roman" w:cs="Times New Roman"/>
          <w:sz w:val="24"/>
          <w:szCs w:val="24"/>
          <w:lang w:eastAsia="en-IN" w:bidi="ar-SA"/>
        </w:rPr>
        <w:t>, 376(9757), pp.2018–2031.</w:t>
      </w:r>
    </w:p>
    <w:p w14:paraId="0129278B"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Runkel, B., Koren, A., Ghosh, K. and Vichinsky, E. (2020) ‘Screening for sickle cell disease in newborns: a systematic review’, </w:t>
      </w:r>
      <w:r w:rsidRPr="00D27AF0">
        <w:rPr>
          <w:rFonts w:ascii="Times New Roman" w:eastAsia="Times New Roman" w:hAnsi="Times New Roman" w:cs="Times New Roman"/>
          <w:i/>
          <w:iCs/>
          <w:sz w:val="24"/>
          <w:szCs w:val="24"/>
          <w:lang w:eastAsia="en-IN" w:bidi="ar-SA"/>
        </w:rPr>
        <w:t>Systematic Reviews</w:t>
      </w:r>
      <w:r w:rsidRPr="00D27AF0">
        <w:rPr>
          <w:rFonts w:ascii="Times New Roman" w:eastAsia="Times New Roman" w:hAnsi="Times New Roman" w:cs="Times New Roman"/>
          <w:sz w:val="24"/>
          <w:szCs w:val="24"/>
          <w:lang w:eastAsia="en-IN" w:bidi="ar-SA"/>
        </w:rPr>
        <w:t>, 9(1).</w:t>
      </w:r>
    </w:p>
    <w:p w14:paraId="22DEB586"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Sickle Cell Society (2024) </w:t>
      </w:r>
      <w:r w:rsidRPr="00D27AF0">
        <w:rPr>
          <w:rFonts w:ascii="Times New Roman" w:eastAsia="Times New Roman" w:hAnsi="Times New Roman" w:cs="Times New Roman"/>
          <w:i/>
          <w:iCs/>
          <w:sz w:val="24"/>
          <w:szCs w:val="24"/>
          <w:lang w:eastAsia="en-IN" w:bidi="ar-SA"/>
        </w:rPr>
        <w:t>About sickle cell disease.</w:t>
      </w:r>
      <w:r w:rsidRPr="00D27AF0">
        <w:rPr>
          <w:rFonts w:ascii="Times New Roman" w:eastAsia="Times New Roman" w:hAnsi="Times New Roman" w:cs="Times New Roman"/>
          <w:sz w:val="24"/>
          <w:szCs w:val="24"/>
          <w:lang w:eastAsia="en-IN" w:bidi="ar-SA"/>
        </w:rPr>
        <w:t xml:space="preserve"> Available at: </w:t>
      </w:r>
      <w:hyperlink r:id="rId20" w:tgtFrame="_new" w:history="1">
        <w:r w:rsidRPr="00D27AF0">
          <w:rPr>
            <w:rFonts w:ascii="Times New Roman" w:eastAsia="Times New Roman" w:hAnsi="Times New Roman" w:cs="Times New Roman"/>
            <w:color w:val="0000FF"/>
            <w:sz w:val="24"/>
            <w:szCs w:val="24"/>
            <w:u w:val="single"/>
            <w:lang w:eastAsia="en-IN" w:bidi="ar-SA"/>
          </w:rPr>
          <w:t>https://www.sicklecellsociety.org/about-sickle-cell/</w:t>
        </w:r>
      </w:hyperlink>
    </w:p>
    <w:p w14:paraId="54E687BB"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Streetly, A., </w:t>
      </w:r>
      <w:proofErr w:type="spellStart"/>
      <w:r w:rsidRPr="00D27AF0">
        <w:rPr>
          <w:rFonts w:ascii="Times New Roman" w:eastAsia="Times New Roman" w:hAnsi="Times New Roman" w:cs="Times New Roman"/>
          <w:sz w:val="24"/>
          <w:szCs w:val="24"/>
          <w:lang w:eastAsia="en-IN" w:bidi="ar-SA"/>
        </w:rPr>
        <w:t>Latinovic</w:t>
      </w:r>
      <w:proofErr w:type="spellEnd"/>
      <w:r w:rsidRPr="00D27AF0">
        <w:rPr>
          <w:rFonts w:ascii="Times New Roman" w:eastAsia="Times New Roman" w:hAnsi="Times New Roman" w:cs="Times New Roman"/>
          <w:sz w:val="24"/>
          <w:szCs w:val="24"/>
          <w:lang w:eastAsia="en-IN" w:bidi="ar-SA"/>
        </w:rPr>
        <w:t xml:space="preserve">, R. and Hall, K. (2010) ‘Positive screening and carrier results for the England-wide universal newborn sickle cell screening programme’, </w:t>
      </w:r>
      <w:r w:rsidRPr="00D27AF0">
        <w:rPr>
          <w:rFonts w:ascii="Times New Roman" w:eastAsia="Times New Roman" w:hAnsi="Times New Roman" w:cs="Times New Roman"/>
          <w:i/>
          <w:iCs/>
          <w:sz w:val="24"/>
          <w:szCs w:val="24"/>
          <w:lang w:eastAsia="en-IN" w:bidi="ar-SA"/>
        </w:rPr>
        <w:t>Journal of Clinical Pathology</w:t>
      </w:r>
      <w:r w:rsidRPr="00D27AF0">
        <w:rPr>
          <w:rFonts w:ascii="Times New Roman" w:eastAsia="Times New Roman" w:hAnsi="Times New Roman" w:cs="Times New Roman"/>
          <w:sz w:val="24"/>
          <w:szCs w:val="24"/>
          <w:lang w:eastAsia="en-IN" w:bidi="ar-SA"/>
        </w:rPr>
        <w:t>, 63(7), pp.626–629.</w:t>
      </w:r>
    </w:p>
    <w:p w14:paraId="2AF2032A"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Streetly, A., Sisodia, R., Dick, M. and </w:t>
      </w:r>
      <w:proofErr w:type="spellStart"/>
      <w:r w:rsidRPr="00D27AF0">
        <w:rPr>
          <w:rFonts w:ascii="Times New Roman" w:eastAsia="Times New Roman" w:hAnsi="Times New Roman" w:cs="Times New Roman"/>
          <w:sz w:val="24"/>
          <w:szCs w:val="24"/>
          <w:lang w:eastAsia="en-IN" w:bidi="ar-SA"/>
        </w:rPr>
        <w:t>Latinovic</w:t>
      </w:r>
      <w:proofErr w:type="spellEnd"/>
      <w:r w:rsidRPr="00D27AF0">
        <w:rPr>
          <w:rFonts w:ascii="Times New Roman" w:eastAsia="Times New Roman" w:hAnsi="Times New Roman" w:cs="Times New Roman"/>
          <w:sz w:val="24"/>
          <w:szCs w:val="24"/>
          <w:lang w:eastAsia="en-IN" w:bidi="ar-SA"/>
        </w:rPr>
        <w:t xml:space="preserve">, R. (2017) ‘Evaluation of the newborn sickle cell screening programme in England’, </w:t>
      </w:r>
      <w:r w:rsidRPr="00D27AF0">
        <w:rPr>
          <w:rFonts w:ascii="Times New Roman" w:eastAsia="Times New Roman" w:hAnsi="Times New Roman" w:cs="Times New Roman"/>
          <w:i/>
          <w:iCs/>
          <w:sz w:val="24"/>
          <w:szCs w:val="24"/>
          <w:lang w:eastAsia="en-IN" w:bidi="ar-SA"/>
        </w:rPr>
        <w:t>Archives of Disease in Childhood</w:t>
      </w:r>
      <w:r w:rsidRPr="00D27AF0">
        <w:rPr>
          <w:rFonts w:ascii="Times New Roman" w:eastAsia="Times New Roman" w:hAnsi="Times New Roman" w:cs="Times New Roman"/>
          <w:sz w:val="24"/>
          <w:szCs w:val="24"/>
          <w:lang w:eastAsia="en-IN" w:bidi="ar-SA"/>
        </w:rPr>
        <w:t>, 102(1), pp.29–34.</w:t>
      </w:r>
    </w:p>
    <w:p w14:paraId="2170258C"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Telfer, P., Coen, P., Chakravorty, S. and Wilkey, O. (2007) ‘Clinical outcomes in children with sickle cell disease living in England’, </w:t>
      </w:r>
      <w:proofErr w:type="spellStart"/>
      <w:r w:rsidRPr="00D27AF0">
        <w:rPr>
          <w:rFonts w:ascii="Times New Roman" w:eastAsia="Times New Roman" w:hAnsi="Times New Roman" w:cs="Times New Roman"/>
          <w:i/>
          <w:iCs/>
          <w:sz w:val="24"/>
          <w:szCs w:val="24"/>
          <w:lang w:eastAsia="en-IN" w:bidi="ar-SA"/>
        </w:rPr>
        <w:t>Haematologica</w:t>
      </w:r>
      <w:proofErr w:type="spellEnd"/>
      <w:r w:rsidRPr="00D27AF0">
        <w:rPr>
          <w:rFonts w:ascii="Times New Roman" w:eastAsia="Times New Roman" w:hAnsi="Times New Roman" w:cs="Times New Roman"/>
          <w:sz w:val="24"/>
          <w:szCs w:val="24"/>
          <w:lang w:eastAsia="en-IN" w:bidi="ar-SA"/>
        </w:rPr>
        <w:t>, 92(7), pp.905–912.</w:t>
      </w:r>
    </w:p>
    <w:p w14:paraId="665D23AE"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UK Government (2018) </w:t>
      </w:r>
      <w:r w:rsidRPr="00D27AF0">
        <w:rPr>
          <w:rFonts w:ascii="Times New Roman" w:eastAsia="Times New Roman" w:hAnsi="Times New Roman" w:cs="Times New Roman"/>
          <w:i/>
          <w:iCs/>
          <w:sz w:val="24"/>
          <w:szCs w:val="24"/>
          <w:lang w:eastAsia="en-IN" w:bidi="ar-SA"/>
        </w:rPr>
        <w:t>Sickle cell and thalassaemia screening: data report 2018 to 2019.</w:t>
      </w:r>
      <w:r w:rsidRPr="00D27AF0">
        <w:rPr>
          <w:rFonts w:ascii="Times New Roman" w:eastAsia="Times New Roman" w:hAnsi="Times New Roman" w:cs="Times New Roman"/>
          <w:sz w:val="24"/>
          <w:szCs w:val="24"/>
          <w:lang w:eastAsia="en-IN" w:bidi="ar-SA"/>
        </w:rPr>
        <w:t xml:space="preserve"> Available at: </w:t>
      </w:r>
      <w:hyperlink r:id="rId21" w:tgtFrame="_new" w:history="1">
        <w:r w:rsidRPr="00D27AF0">
          <w:rPr>
            <w:rFonts w:ascii="Times New Roman" w:eastAsia="Times New Roman" w:hAnsi="Times New Roman" w:cs="Times New Roman"/>
            <w:color w:val="0000FF"/>
            <w:sz w:val="24"/>
            <w:szCs w:val="24"/>
            <w:u w:val="single"/>
            <w:lang w:eastAsia="en-IN" w:bidi="ar-SA"/>
          </w:rPr>
          <w:t>https://www.gov.uk/government/publications/sickle-cell-and-thalassaemia-screening-data-report-2018-to-2019</w:t>
        </w:r>
      </w:hyperlink>
    </w:p>
    <w:p w14:paraId="1E2EB06A"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UK Government (2020) </w:t>
      </w:r>
      <w:r w:rsidRPr="00D27AF0">
        <w:rPr>
          <w:rFonts w:ascii="Times New Roman" w:eastAsia="Times New Roman" w:hAnsi="Times New Roman" w:cs="Times New Roman"/>
          <w:i/>
          <w:iCs/>
          <w:sz w:val="24"/>
          <w:szCs w:val="24"/>
          <w:lang w:eastAsia="en-IN" w:bidi="ar-SA"/>
        </w:rPr>
        <w:t>Sickle cell and thalassaemia screening: data report 2019 to 2020.</w:t>
      </w:r>
      <w:r w:rsidRPr="00D27AF0">
        <w:rPr>
          <w:rFonts w:ascii="Times New Roman" w:eastAsia="Times New Roman" w:hAnsi="Times New Roman" w:cs="Times New Roman"/>
          <w:sz w:val="24"/>
          <w:szCs w:val="24"/>
          <w:lang w:eastAsia="en-IN" w:bidi="ar-SA"/>
        </w:rPr>
        <w:t xml:space="preserve"> Available at: </w:t>
      </w:r>
      <w:hyperlink r:id="rId22" w:tgtFrame="_new" w:history="1">
        <w:r w:rsidRPr="00D27AF0">
          <w:rPr>
            <w:rFonts w:ascii="Times New Roman" w:eastAsia="Times New Roman" w:hAnsi="Times New Roman" w:cs="Times New Roman"/>
            <w:color w:val="0000FF"/>
            <w:sz w:val="24"/>
            <w:szCs w:val="24"/>
            <w:u w:val="single"/>
            <w:lang w:eastAsia="en-IN" w:bidi="ar-SA"/>
          </w:rPr>
          <w:t>https://www.gov.uk/government/publications/sickle-cell-and-thalassaemia-screening-data-report-2019-to-2020</w:t>
        </w:r>
      </w:hyperlink>
    </w:p>
    <w:p w14:paraId="0032A30F"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UK Government (2025) </w:t>
      </w:r>
      <w:r w:rsidRPr="00D27AF0">
        <w:rPr>
          <w:rFonts w:ascii="Times New Roman" w:eastAsia="Times New Roman" w:hAnsi="Times New Roman" w:cs="Times New Roman"/>
          <w:i/>
          <w:iCs/>
          <w:sz w:val="24"/>
          <w:szCs w:val="24"/>
          <w:lang w:eastAsia="en-IN" w:bidi="ar-SA"/>
        </w:rPr>
        <w:t xml:space="preserve">Newborn blood spot screening: conditions </w:t>
      </w:r>
      <w:r w:rsidRPr="00D27AF0">
        <w:rPr>
          <w:rFonts w:ascii="Times New Roman" w:eastAsia="Times New Roman" w:hAnsi="Times New Roman" w:cs="Times New Roman"/>
          <w:i/>
          <w:iCs/>
          <w:sz w:val="24"/>
          <w:szCs w:val="24"/>
          <w:lang w:eastAsia="en-IN" w:bidi="ar-SA"/>
        </w:rPr>
        <w:lastRenderedPageBreak/>
        <w:t>screened for.</w:t>
      </w:r>
      <w:r w:rsidRPr="00D27AF0">
        <w:rPr>
          <w:rFonts w:ascii="Times New Roman" w:eastAsia="Times New Roman" w:hAnsi="Times New Roman" w:cs="Times New Roman"/>
          <w:sz w:val="24"/>
          <w:szCs w:val="24"/>
          <w:lang w:eastAsia="en-IN" w:bidi="ar-SA"/>
        </w:rPr>
        <w:t xml:space="preserve"> Available at: </w:t>
      </w:r>
      <w:hyperlink r:id="rId23" w:tgtFrame="_new" w:history="1">
        <w:r w:rsidRPr="00D27AF0">
          <w:rPr>
            <w:rFonts w:ascii="Times New Roman" w:eastAsia="Times New Roman" w:hAnsi="Times New Roman" w:cs="Times New Roman"/>
            <w:color w:val="0000FF"/>
            <w:sz w:val="24"/>
            <w:szCs w:val="24"/>
            <w:u w:val="single"/>
            <w:lang w:eastAsia="en-IN" w:bidi="ar-SA"/>
          </w:rPr>
          <w:t>https://www.gov.uk/government/publications/health-professional-handbook-newborn-blood-spot-screening</w:t>
        </w:r>
      </w:hyperlink>
    </w:p>
    <w:p w14:paraId="31A6340B"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UK Government (2025) </w:t>
      </w:r>
      <w:r w:rsidRPr="00D27AF0">
        <w:rPr>
          <w:rFonts w:ascii="Times New Roman" w:eastAsia="Times New Roman" w:hAnsi="Times New Roman" w:cs="Times New Roman"/>
          <w:i/>
          <w:iCs/>
          <w:sz w:val="24"/>
          <w:szCs w:val="24"/>
          <w:lang w:eastAsia="en-IN" w:bidi="ar-SA"/>
        </w:rPr>
        <w:t>Screening tests for you and your baby.</w:t>
      </w:r>
      <w:r w:rsidRPr="00D27AF0">
        <w:rPr>
          <w:rFonts w:ascii="Times New Roman" w:eastAsia="Times New Roman" w:hAnsi="Times New Roman" w:cs="Times New Roman"/>
          <w:sz w:val="24"/>
          <w:szCs w:val="24"/>
          <w:lang w:eastAsia="en-IN" w:bidi="ar-SA"/>
        </w:rPr>
        <w:t xml:space="preserve"> Available at: </w:t>
      </w:r>
      <w:hyperlink r:id="rId24" w:tgtFrame="_new" w:history="1">
        <w:r w:rsidRPr="00D27AF0">
          <w:rPr>
            <w:rFonts w:ascii="Times New Roman" w:eastAsia="Times New Roman" w:hAnsi="Times New Roman" w:cs="Times New Roman"/>
            <w:color w:val="0000FF"/>
            <w:sz w:val="24"/>
            <w:szCs w:val="24"/>
            <w:u w:val="single"/>
            <w:lang w:eastAsia="en-IN" w:bidi="ar-SA"/>
          </w:rPr>
          <w:t>https://www.gov.uk/government/publications/screening-tests-for-you-and-your-baby</w:t>
        </w:r>
      </w:hyperlink>
    </w:p>
    <w:p w14:paraId="50274950"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Ware, R.E., de Montalembert, M., Tshilolo, L. and Abboud, M.R. (2017) ‘Sickle cell disease’, </w:t>
      </w:r>
      <w:r w:rsidRPr="00D27AF0">
        <w:rPr>
          <w:rFonts w:ascii="Times New Roman" w:eastAsia="Times New Roman" w:hAnsi="Times New Roman" w:cs="Times New Roman"/>
          <w:i/>
          <w:iCs/>
          <w:sz w:val="24"/>
          <w:szCs w:val="24"/>
          <w:lang w:eastAsia="en-IN" w:bidi="ar-SA"/>
        </w:rPr>
        <w:t>The Lancet</w:t>
      </w:r>
      <w:r w:rsidRPr="00D27AF0">
        <w:rPr>
          <w:rFonts w:ascii="Times New Roman" w:eastAsia="Times New Roman" w:hAnsi="Times New Roman" w:cs="Times New Roman"/>
          <w:sz w:val="24"/>
          <w:szCs w:val="24"/>
          <w:lang w:eastAsia="en-IN" w:bidi="ar-SA"/>
        </w:rPr>
        <w:t xml:space="preserve">, 390(10091), pp.311–323. </w:t>
      </w:r>
    </w:p>
    <w:p w14:paraId="0E345696" w14:textId="77777777" w:rsidR="00D27AF0" w:rsidRPr="00D27AF0" w:rsidRDefault="00D27AF0" w:rsidP="00D27AF0">
      <w:pPr>
        <w:pStyle w:val="ListParagraph"/>
        <w:numPr>
          <w:ilvl w:val="0"/>
          <w:numId w:val="11"/>
        </w:numPr>
        <w:spacing w:before="100" w:beforeAutospacing="1" w:after="100" w:afterAutospacing="1" w:line="360" w:lineRule="auto"/>
        <w:jc w:val="both"/>
        <w:rPr>
          <w:rFonts w:ascii="Times New Roman" w:eastAsia="Times New Roman" w:hAnsi="Times New Roman" w:cs="Times New Roman"/>
          <w:sz w:val="24"/>
          <w:szCs w:val="24"/>
          <w:lang w:eastAsia="en-IN" w:bidi="ar-SA"/>
        </w:rPr>
      </w:pPr>
      <w:r w:rsidRPr="00D27AF0">
        <w:rPr>
          <w:rFonts w:ascii="Times New Roman" w:eastAsia="Times New Roman" w:hAnsi="Times New Roman" w:cs="Times New Roman"/>
          <w:sz w:val="24"/>
          <w:szCs w:val="24"/>
          <w:lang w:eastAsia="en-IN" w:bidi="ar-SA"/>
        </w:rPr>
        <w:t xml:space="preserve">World Health Organization (WHO) (2023) </w:t>
      </w:r>
      <w:r w:rsidRPr="00D27AF0">
        <w:rPr>
          <w:rFonts w:ascii="Times New Roman" w:eastAsia="Times New Roman" w:hAnsi="Times New Roman" w:cs="Times New Roman"/>
          <w:i/>
          <w:iCs/>
          <w:sz w:val="24"/>
          <w:szCs w:val="24"/>
          <w:lang w:eastAsia="en-IN" w:bidi="ar-SA"/>
        </w:rPr>
        <w:t>Sickle-cell disease fact sheet.</w:t>
      </w:r>
      <w:r w:rsidRPr="00D27AF0">
        <w:rPr>
          <w:rFonts w:ascii="Times New Roman" w:eastAsia="Times New Roman" w:hAnsi="Times New Roman" w:cs="Times New Roman"/>
          <w:sz w:val="24"/>
          <w:szCs w:val="24"/>
          <w:lang w:eastAsia="en-IN" w:bidi="ar-SA"/>
        </w:rPr>
        <w:t xml:space="preserve"> Available at: </w:t>
      </w:r>
      <w:hyperlink r:id="rId25" w:tgtFrame="_new" w:history="1">
        <w:r w:rsidRPr="00D27AF0">
          <w:rPr>
            <w:rFonts w:ascii="Times New Roman" w:eastAsia="Times New Roman" w:hAnsi="Times New Roman" w:cs="Times New Roman"/>
            <w:color w:val="0000FF"/>
            <w:sz w:val="24"/>
            <w:szCs w:val="24"/>
            <w:u w:val="single"/>
            <w:lang w:eastAsia="en-IN" w:bidi="ar-SA"/>
          </w:rPr>
          <w:t>https://www.who.int/news-room/fact-sheets/detail/sickle-cell-disease</w:t>
        </w:r>
      </w:hyperlink>
    </w:p>
    <w:sectPr w:rsidR="00D27AF0" w:rsidRPr="00D27AF0" w:rsidSect="00A94720">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F00125C"/>
    <w:multiLevelType w:val="hybridMultilevel"/>
    <w:tmpl w:val="FCBEAF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33658110">
    <w:abstractNumId w:val="0"/>
  </w:num>
  <w:num w:numId="2" w16cid:durableId="1106854117">
    <w:abstractNumId w:val="0"/>
  </w:num>
  <w:num w:numId="3" w16cid:durableId="1670019523">
    <w:abstractNumId w:val="0"/>
  </w:num>
  <w:num w:numId="4" w16cid:durableId="1249004159">
    <w:abstractNumId w:val="0"/>
  </w:num>
  <w:num w:numId="5" w16cid:durableId="903950209">
    <w:abstractNumId w:val="0"/>
  </w:num>
  <w:num w:numId="6" w16cid:durableId="888954262">
    <w:abstractNumId w:val="0"/>
  </w:num>
  <w:num w:numId="7" w16cid:durableId="689182742">
    <w:abstractNumId w:val="0"/>
  </w:num>
  <w:num w:numId="8" w16cid:durableId="516819048">
    <w:abstractNumId w:val="0"/>
  </w:num>
  <w:num w:numId="9" w16cid:durableId="1405906806">
    <w:abstractNumId w:val="0"/>
  </w:num>
  <w:num w:numId="10" w16cid:durableId="1278371477">
    <w:abstractNumId w:val="0"/>
  </w:num>
  <w:num w:numId="11" w16cid:durableId="584267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694"/>
    <w:rsid w:val="00107EFC"/>
    <w:rsid w:val="004411F6"/>
    <w:rsid w:val="005F1CE3"/>
    <w:rsid w:val="00964EF6"/>
    <w:rsid w:val="00A94720"/>
    <w:rsid w:val="00BB0E62"/>
    <w:rsid w:val="00C8493A"/>
    <w:rsid w:val="00C978CB"/>
    <w:rsid w:val="00CA2694"/>
    <w:rsid w:val="00D15236"/>
    <w:rsid w:val="00D27AF0"/>
    <w:rsid w:val="00DE3F1A"/>
    <w:rsid w:val="00E90ADE"/>
    <w:rsid w:val="00EC4B52"/>
    <w:rsid w:val="00F44F42"/>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94DE"/>
  <w15:chartTrackingRefBased/>
  <w15:docId w15:val="{C117221C-0912-4312-9558-615774BC4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694"/>
  </w:style>
  <w:style w:type="paragraph" w:styleId="Heading1">
    <w:name w:val="heading 1"/>
    <w:basedOn w:val="Normal"/>
    <w:next w:val="Normal"/>
    <w:link w:val="Heading1Char"/>
    <w:uiPriority w:val="9"/>
    <w:qFormat/>
    <w:rsid w:val="00CA2694"/>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CA2694"/>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CA2694"/>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CA2694"/>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CA2694"/>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CA2694"/>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CA2694"/>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A2694"/>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A2694"/>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694"/>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CA2694"/>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CA2694"/>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CA269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CA2694"/>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CA2694"/>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CA269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A269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A269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CA269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A269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A269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A2694"/>
    <w:rPr>
      <w:color w:val="5A5A5A" w:themeColor="text1" w:themeTint="A5"/>
      <w:spacing w:val="10"/>
    </w:rPr>
  </w:style>
  <w:style w:type="paragraph" w:styleId="Quote">
    <w:name w:val="Quote"/>
    <w:basedOn w:val="Normal"/>
    <w:next w:val="Normal"/>
    <w:link w:val="QuoteChar"/>
    <w:uiPriority w:val="29"/>
    <w:qFormat/>
    <w:rsid w:val="00CA2694"/>
    <w:pPr>
      <w:spacing w:before="160"/>
      <w:ind w:left="720" w:right="720"/>
    </w:pPr>
    <w:rPr>
      <w:i/>
      <w:iCs/>
      <w:color w:val="000000" w:themeColor="text1"/>
    </w:rPr>
  </w:style>
  <w:style w:type="character" w:customStyle="1" w:styleId="QuoteChar">
    <w:name w:val="Quote Char"/>
    <w:basedOn w:val="DefaultParagraphFont"/>
    <w:link w:val="Quote"/>
    <w:uiPriority w:val="29"/>
    <w:rsid w:val="00CA2694"/>
    <w:rPr>
      <w:i/>
      <w:iCs/>
      <w:color w:val="000000" w:themeColor="text1"/>
    </w:rPr>
  </w:style>
  <w:style w:type="paragraph" w:styleId="ListParagraph">
    <w:name w:val="List Paragraph"/>
    <w:basedOn w:val="Normal"/>
    <w:uiPriority w:val="34"/>
    <w:qFormat/>
    <w:rsid w:val="00CA2694"/>
    <w:pPr>
      <w:ind w:left="720"/>
      <w:contextualSpacing/>
    </w:pPr>
    <w:rPr>
      <w:rFonts w:cs="Cordia New"/>
      <w:szCs w:val="28"/>
    </w:rPr>
  </w:style>
  <w:style w:type="character" w:styleId="IntenseEmphasis">
    <w:name w:val="Intense Emphasis"/>
    <w:basedOn w:val="DefaultParagraphFont"/>
    <w:uiPriority w:val="21"/>
    <w:qFormat/>
    <w:rsid w:val="00CA2694"/>
    <w:rPr>
      <w:b/>
      <w:bCs/>
      <w:i/>
      <w:iCs/>
      <w:caps/>
    </w:rPr>
  </w:style>
  <w:style w:type="paragraph" w:styleId="IntenseQuote">
    <w:name w:val="Intense Quote"/>
    <w:basedOn w:val="Normal"/>
    <w:next w:val="Normal"/>
    <w:link w:val="IntenseQuoteChar"/>
    <w:uiPriority w:val="30"/>
    <w:qFormat/>
    <w:rsid w:val="00CA269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A269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CA2694"/>
    <w:rPr>
      <w:b/>
      <w:bCs/>
      <w:smallCaps/>
      <w:u w:val="single"/>
    </w:rPr>
  </w:style>
  <w:style w:type="paragraph" w:styleId="Caption">
    <w:name w:val="caption"/>
    <w:basedOn w:val="Normal"/>
    <w:next w:val="Normal"/>
    <w:uiPriority w:val="35"/>
    <w:semiHidden/>
    <w:unhideWhenUsed/>
    <w:qFormat/>
    <w:rsid w:val="00CA2694"/>
    <w:pPr>
      <w:spacing w:after="200" w:line="240" w:lineRule="auto"/>
    </w:pPr>
    <w:rPr>
      <w:i/>
      <w:iCs/>
      <w:color w:val="44546A" w:themeColor="text2"/>
      <w:sz w:val="18"/>
      <w:szCs w:val="18"/>
    </w:rPr>
  </w:style>
  <w:style w:type="character" w:styleId="Strong">
    <w:name w:val="Strong"/>
    <w:basedOn w:val="DefaultParagraphFont"/>
    <w:uiPriority w:val="22"/>
    <w:qFormat/>
    <w:rsid w:val="00CA2694"/>
    <w:rPr>
      <w:b/>
      <w:bCs/>
      <w:color w:val="000000" w:themeColor="text1"/>
    </w:rPr>
  </w:style>
  <w:style w:type="character" w:styleId="Emphasis">
    <w:name w:val="Emphasis"/>
    <w:basedOn w:val="DefaultParagraphFont"/>
    <w:uiPriority w:val="20"/>
    <w:qFormat/>
    <w:rsid w:val="00CA2694"/>
    <w:rPr>
      <w:i/>
      <w:iCs/>
      <w:color w:val="auto"/>
    </w:rPr>
  </w:style>
  <w:style w:type="paragraph" w:styleId="NoSpacing">
    <w:name w:val="No Spacing"/>
    <w:uiPriority w:val="1"/>
    <w:qFormat/>
    <w:rsid w:val="00CA2694"/>
    <w:pPr>
      <w:spacing w:after="0" w:line="240" w:lineRule="auto"/>
    </w:pPr>
  </w:style>
  <w:style w:type="character" w:styleId="SubtleEmphasis">
    <w:name w:val="Subtle Emphasis"/>
    <w:basedOn w:val="DefaultParagraphFont"/>
    <w:uiPriority w:val="19"/>
    <w:qFormat/>
    <w:rsid w:val="00CA2694"/>
    <w:rPr>
      <w:i/>
      <w:iCs/>
      <w:color w:val="404040" w:themeColor="text1" w:themeTint="BF"/>
    </w:rPr>
  </w:style>
  <w:style w:type="character" w:styleId="SubtleReference">
    <w:name w:val="Subtle Reference"/>
    <w:basedOn w:val="DefaultParagraphFont"/>
    <w:uiPriority w:val="31"/>
    <w:qFormat/>
    <w:rsid w:val="00CA2694"/>
    <w:rPr>
      <w:smallCaps/>
      <w:color w:val="404040" w:themeColor="text1" w:themeTint="BF"/>
      <w:u w:val="single" w:color="7F7F7F" w:themeColor="text1" w:themeTint="80"/>
    </w:rPr>
  </w:style>
  <w:style w:type="character" w:styleId="BookTitle">
    <w:name w:val="Book Title"/>
    <w:basedOn w:val="DefaultParagraphFont"/>
    <w:uiPriority w:val="33"/>
    <w:qFormat/>
    <w:rsid w:val="00CA2694"/>
    <w:rPr>
      <w:b w:val="0"/>
      <w:bCs w:val="0"/>
      <w:smallCaps/>
      <w:spacing w:val="5"/>
    </w:rPr>
  </w:style>
  <w:style w:type="paragraph" w:styleId="TOCHeading">
    <w:name w:val="TOC Heading"/>
    <w:basedOn w:val="Heading1"/>
    <w:next w:val="Normal"/>
    <w:uiPriority w:val="39"/>
    <w:semiHidden/>
    <w:unhideWhenUsed/>
    <w:qFormat/>
    <w:rsid w:val="00CA2694"/>
    <w:pPr>
      <w:outlineLvl w:val="9"/>
    </w:pPr>
  </w:style>
  <w:style w:type="paragraph" w:styleId="NormalWeb">
    <w:name w:val="Normal (Web)"/>
    <w:basedOn w:val="Normal"/>
    <w:uiPriority w:val="99"/>
    <w:semiHidden/>
    <w:unhideWhenUsed/>
    <w:rsid w:val="00CA2694"/>
    <w:pPr>
      <w:spacing w:before="100" w:beforeAutospacing="1" w:after="100" w:afterAutospacing="1" w:line="240" w:lineRule="auto"/>
    </w:pPr>
    <w:rPr>
      <w:rFonts w:ascii="Times New Roman" w:eastAsia="Times New Roman" w:hAnsi="Times New Roman" w:cs="Times New Roman"/>
      <w:sz w:val="24"/>
      <w:szCs w:val="24"/>
      <w:lang w:eastAsia="en-IN" w:bidi="ar-SA"/>
    </w:rPr>
  </w:style>
  <w:style w:type="character" w:styleId="Hyperlink">
    <w:name w:val="Hyperlink"/>
    <w:basedOn w:val="DefaultParagraphFont"/>
    <w:uiPriority w:val="99"/>
    <w:unhideWhenUsed/>
    <w:rsid w:val="00CA2694"/>
    <w:rPr>
      <w:color w:val="0000FF"/>
      <w:u w:val="single"/>
    </w:rPr>
  </w:style>
  <w:style w:type="character" w:styleId="UnresolvedMention">
    <w:name w:val="Unresolved Mention"/>
    <w:basedOn w:val="DefaultParagraphFont"/>
    <w:uiPriority w:val="99"/>
    <w:semiHidden/>
    <w:unhideWhenUsed/>
    <w:rsid w:val="00D27A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iseinitiative.org/wp-content/uploads/2020/02/How-many-people-have-sickle-cell-disease-in-the-UK.pdf?utm_source=chatgpt.com" TargetMode="External"/><Relationship Id="rId13" Type="http://schemas.openxmlformats.org/officeDocument/2006/relationships/hyperlink" Target="https://www.nice.org.uk" TargetMode="External"/><Relationship Id="rId18" Type="http://schemas.openxmlformats.org/officeDocument/2006/relationships/hyperlink" Target="https://www.gov.uk/topic/population-screening-programmes/sickle-cell-thalassaemia"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gov.uk/government/publications/sickle-cell-and-thalassaemia-screening-data-report-2018-to-2019" TargetMode="External"/><Relationship Id="rId7" Type="http://schemas.openxmlformats.org/officeDocument/2006/relationships/hyperlink" Target="https://www.ncbi.nlm.nih.gov/pmc/articles/PMC3018247/" TargetMode="External"/><Relationship Id="rId12" Type="http://schemas.openxmlformats.org/officeDocument/2006/relationships/hyperlink" Target="https://www.nice.org.uk/guidance" TargetMode="External"/><Relationship Id="rId17" Type="http://schemas.openxmlformats.org/officeDocument/2006/relationships/hyperlink" Target="https://patient.info/doctor/haematology/sickle-cell-disease-and-sickle-cell-anaemia-pro" TargetMode="External"/><Relationship Id="rId25" Type="http://schemas.openxmlformats.org/officeDocument/2006/relationships/hyperlink" Target="https://www.who.int/news-room/fact-sheets/detail/sickle-cell-disease" TargetMode="External"/><Relationship Id="rId2" Type="http://schemas.openxmlformats.org/officeDocument/2006/relationships/styles" Target="styles.xml"/><Relationship Id="rId16" Type="http://schemas.openxmlformats.org/officeDocument/2006/relationships/hyperlink" Target="https://www.nhr.nhs.uk" TargetMode="External"/><Relationship Id="rId20" Type="http://schemas.openxmlformats.org/officeDocument/2006/relationships/hyperlink" Target="https://www.sicklecellsociety.org/about-sickle-cell/" TargetMode="External"/><Relationship Id="rId1" Type="http://schemas.openxmlformats.org/officeDocument/2006/relationships/numbering" Target="numbering.xml"/><Relationship Id="rId6" Type="http://schemas.openxmlformats.org/officeDocument/2006/relationships/hyperlink" Target="https://www.cdc.gov/sicklecell/disease/index.html" TargetMode="External"/><Relationship Id="rId11" Type="http://schemas.openxmlformats.org/officeDocument/2006/relationships/hyperlink" Target="https://www.nhr.nhs.uk" TargetMode="External"/><Relationship Id="rId24" Type="http://schemas.openxmlformats.org/officeDocument/2006/relationships/hyperlink" Target="https://www.gov.uk/government/publications/screening-tests-for-you-and-your-baby" TargetMode="External"/><Relationship Id="rId5" Type="http://schemas.openxmlformats.org/officeDocument/2006/relationships/image" Target="media/image1.png"/><Relationship Id="rId15" Type="http://schemas.openxmlformats.org/officeDocument/2006/relationships/hyperlink" Target="https://researchbriefings.files.parliament.uk/documents/CDP-2021-0209/CDP-2021-0209.pdf" TargetMode="External"/><Relationship Id="rId23" Type="http://schemas.openxmlformats.org/officeDocument/2006/relationships/hyperlink" Target="https://www.gov.uk/government/publications/health-professional-handbook-newborn-blood-spot-screening" TargetMode="External"/><Relationship Id="rId10" Type="http://schemas.openxmlformats.org/officeDocument/2006/relationships/hyperlink" Target="https://onlinelibrary.wiley.com/doi/10.1111/bjh.15600" TargetMode="External"/><Relationship Id="rId19" Type="http://schemas.openxmlformats.org/officeDocument/2006/relationships/hyperlink" Target="https://www.infantjournal.co.uk/pdf/inf_013_sia.pdf" TargetMode="External"/><Relationship Id="rId4" Type="http://schemas.openxmlformats.org/officeDocument/2006/relationships/webSettings" Target="webSettings.xml"/><Relationship Id="rId9" Type="http://schemas.openxmlformats.org/officeDocument/2006/relationships/hyperlink" Target="https://www.ncbi.nlm.nih.gov/pmc/articles/PMC3580054/" TargetMode="External"/><Relationship Id="rId14" Type="http://schemas.openxmlformats.org/officeDocument/2006/relationships/hyperlink" Target="https://www.longtermplan.nhs.uk" TargetMode="External"/><Relationship Id="rId22" Type="http://schemas.openxmlformats.org/officeDocument/2006/relationships/hyperlink" Target="https://www.gov.uk/government/publications/sickle-cell-and-thalassaemia-screening-data-report-2019-to-202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13</Pages>
  <Words>4057</Words>
  <Characters>24427</Characters>
  <Application>Microsoft Office Word</Application>
  <DocSecurity>0</DocSecurity>
  <Lines>387</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Fuaansha Dadabhai Pimpale (2530082)</cp:lastModifiedBy>
  <cp:revision>6</cp:revision>
  <dcterms:created xsi:type="dcterms:W3CDTF">2026-03-13T13:56:00Z</dcterms:created>
  <dcterms:modified xsi:type="dcterms:W3CDTF">2026-03-13T14:01:00Z</dcterms:modified>
</cp:coreProperties>
</file>