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51196218"/>
        <w:docPartObj>
          <w:docPartGallery w:val="Cover Pages"/>
          <w:docPartUnique/>
        </w:docPartObj>
      </w:sdtPr>
      <w:sdtEndPr>
        <w:rPr>
          <w:rFonts w:ascii="Times New Roman" w:eastAsia="Times New Roman" w:hAnsi="Times New Roman" w:cs="Times New Roman"/>
          <w:b/>
          <w:bCs/>
          <w:sz w:val="32"/>
          <w:szCs w:val="32"/>
        </w:rPr>
      </w:sdtEndPr>
      <w:sdtContent>
        <w:p w14:paraId="5E03A37E" w14:textId="7133C1C3" w:rsidR="007E676F" w:rsidRDefault="007E676F"/>
        <w:p w14:paraId="5E7054BB" w14:textId="174C9D1B" w:rsidR="007E676F" w:rsidRDefault="007E676F">
          <w:pPr>
            <w:rPr>
              <w:rFonts w:ascii="Times New Roman" w:eastAsia="Times New Roman" w:hAnsi="Times New Roman" w:cs="Times New Roman"/>
              <w:b/>
              <w:bCs/>
              <w:sz w:val="32"/>
              <w:szCs w:val="32"/>
            </w:rPr>
          </w:pPr>
          <w:r>
            <w:rPr>
              <w:noProof/>
            </w:rPr>
            <mc:AlternateContent>
              <mc:Choice Requires="wps">
                <w:drawing>
                  <wp:anchor distT="0" distB="0" distL="114300" distR="114300" simplePos="0" relativeHeight="251662336" behindDoc="0" locked="0" layoutInCell="1" allowOverlap="1" wp14:anchorId="48DB9FFE" wp14:editId="2C95A2D9">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9100</wp14:pctPosVOffset>
                        </wp:positionV>
                      </mc:Choice>
                      <mc:Fallback>
                        <wp:positionV relativeFrom="page">
                          <wp:posOffset>972185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7365D"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66F6247" w14:textId="77777777" w:rsidR="007E676F" w:rsidRDefault="007E676F">
                                    <w:pPr>
                                      <w:pStyle w:val="NoSpacing"/>
                                      <w:jc w:val="right"/>
                                      <w:rPr>
                                        <w:caps/>
                                        <w:color w:val="17365D" w:themeColor="text2" w:themeShade="BF"/>
                                        <w:sz w:val="40"/>
                                        <w:szCs w:val="40"/>
                                      </w:rPr>
                                    </w:pPr>
                                    <w:r>
                                      <w:rPr>
                                        <w:caps/>
                                        <w:color w:val="17365D" w:themeColor="text2" w:themeShade="BF"/>
                                        <w:sz w:val="40"/>
                                        <w:szCs w:val="40"/>
                                      </w:rPr>
                                      <w:t>[Date]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48DB9FF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17365D"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66F6247" w14:textId="77777777" w:rsidR="007E676F" w:rsidRDefault="007E676F">
                              <w:pPr>
                                <w:pStyle w:val="NoSpacing"/>
                                <w:jc w:val="right"/>
                                <w:rPr>
                                  <w:caps/>
                                  <w:color w:val="17365D" w:themeColor="text2" w:themeShade="BF"/>
                                  <w:sz w:val="40"/>
                                  <w:szCs w:val="40"/>
                                </w:rPr>
                              </w:pPr>
                              <w:r>
                                <w:rPr>
                                  <w:caps/>
                                  <w:color w:val="17365D" w:themeColor="text2" w:themeShade="BF"/>
                                  <w:sz w:val="40"/>
                                  <w:szCs w:val="40"/>
                                </w:rPr>
                                <w:t>[Date]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39534EE" wp14:editId="0E1C36A0">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83700</wp14:pctPosVOffset>
                        </wp:positionV>
                      </mc:Choice>
                      <mc:Fallback>
                        <wp:positionV relativeFrom="page">
                          <wp:posOffset>8947150</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889A6A" w14:textId="65F8F406" w:rsidR="007E676F" w:rsidRDefault="007E676F">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39534EE"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p w14:paraId="0E889A6A" w14:textId="65F8F406" w:rsidR="007E676F" w:rsidRDefault="007E676F">
                          <w:pPr>
                            <w:pStyle w:val="NoSpacing"/>
                            <w:jc w:val="right"/>
                            <w:rPr>
                              <w:caps/>
                              <w:color w:val="262626" w:themeColor="text1" w:themeTint="D9"/>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B685963" wp14:editId="1D3A0CD3">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45500</wp14:pctPosVOffset>
                        </wp:positionV>
                      </mc:Choice>
                      <mc:Fallback>
                        <wp:positionV relativeFrom="page">
                          <wp:posOffset>4863465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7035C8" w14:textId="77777777" w:rsidR="007E676F" w:rsidRDefault="007E676F" w:rsidP="007E676F">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code:LCMB7034</w:t>
                                </w:r>
                              </w:p>
                              <w:p w14:paraId="6BCBF2D3" w14:textId="77777777" w:rsidR="007E676F" w:rsidRDefault="007E676F" w:rsidP="007E676F">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name:INTERNATIONAL BUSSINESS CONCEPT</w:t>
                                </w:r>
                              </w:p>
                              <w:p w14:paraId="0A2F7933" w14:textId="77777777" w:rsidR="007E676F" w:rsidRDefault="007E676F" w:rsidP="007E676F">
                                <w:pPr>
                                  <w:spacing w:line="360" w:lineRule="auto"/>
                                  <w:jc w:val="center"/>
                                  <w:rPr>
                                    <w:rFonts w:ascii="Times New Roman" w:eastAsia="Times New Roman" w:hAnsi="Times New Roman" w:cs="Times New Roman"/>
                                    <w:b/>
                                    <w:bCs/>
                                    <w:sz w:val="32"/>
                                    <w:szCs w:val="32"/>
                                  </w:rPr>
                                </w:pPr>
                                <w:bookmarkStart w:id="0" w:name="_heading=h.2doaqm3wugg1" w:colFirst="0" w:colLast="0"/>
                                <w:bookmarkEnd w:id="0"/>
                                <w:r>
                                  <w:rPr>
                                    <w:rFonts w:ascii="Times New Roman" w:eastAsia="Times New Roman" w:hAnsi="Times New Roman" w:cs="Times New Roman"/>
                                    <w:b/>
                                    <w:bCs/>
                                    <w:sz w:val="32"/>
                                    <w:szCs w:val="32"/>
                                  </w:rPr>
                                  <w:t>Title: Global Operation and evaluation of British Petroleum (BP)</w:t>
                                </w:r>
                              </w:p>
                              <w:p w14:paraId="5A4951CC" w14:textId="77777777" w:rsidR="007E676F" w:rsidRDefault="007E676F" w:rsidP="007E676F">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Student ID &amp; Name: Karan kumar 2434478 </w:t>
                                </w:r>
                              </w:p>
                              <w:p w14:paraId="5E57812E" w14:textId="49D3E8C2" w:rsidR="007E676F" w:rsidRDefault="007E676F" w:rsidP="007E676F">
                                <w:pPr>
                                  <w:pStyle w:val="NoSpacing"/>
                                  <w:jc w:val="right"/>
                                  <w:rPr>
                                    <w:smallCaps/>
                                    <w:color w:val="1F497D" w:themeColor="text2"/>
                                    <w:sz w:val="36"/>
                                    <w:szCs w:val="36"/>
                                  </w:rPr>
                                </w:pPr>
                                <w:r>
                                  <w:rPr>
                                    <w:rFonts w:ascii="Times New Roman" w:eastAsia="Times New Roman" w:hAnsi="Times New Roman" w:cs="Times New Roman"/>
                                    <w:b/>
                                    <w:bCs/>
                                    <w:color w:val="CC0000"/>
                                    <w:sz w:val="32"/>
                                    <w:szCs w:val="32"/>
                                  </w:rPr>
                                  <w:t>WC: 4763</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B685963"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007035C8" w14:textId="77777777" w:rsidR="007E676F" w:rsidRDefault="007E676F" w:rsidP="007E676F">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code:LCMB7034</w:t>
                          </w:r>
                        </w:p>
                        <w:p w14:paraId="6BCBF2D3" w14:textId="77777777" w:rsidR="007E676F" w:rsidRDefault="007E676F" w:rsidP="007E676F">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name:INTERNATIONAL BUSSINESS CONCEPT</w:t>
                          </w:r>
                        </w:p>
                        <w:p w14:paraId="0A2F7933" w14:textId="77777777" w:rsidR="007E676F" w:rsidRDefault="007E676F" w:rsidP="007E676F">
                          <w:pPr>
                            <w:spacing w:line="360" w:lineRule="auto"/>
                            <w:jc w:val="center"/>
                            <w:rPr>
                              <w:rFonts w:ascii="Times New Roman" w:eastAsia="Times New Roman" w:hAnsi="Times New Roman" w:cs="Times New Roman"/>
                              <w:b/>
                              <w:bCs/>
                              <w:sz w:val="32"/>
                              <w:szCs w:val="32"/>
                            </w:rPr>
                          </w:pPr>
                          <w:bookmarkStart w:id="1" w:name="_heading=h.2doaqm3wugg1" w:colFirst="0" w:colLast="0"/>
                          <w:bookmarkEnd w:id="1"/>
                          <w:r>
                            <w:rPr>
                              <w:rFonts w:ascii="Times New Roman" w:eastAsia="Times New Roman" w:hAnsi="Times New Roman" w:cs="Times New Roman"/>
                              <w:b/>
                              <w:bCs/>
                              <w:sz w:val="32"/>
                              <w:szCs w:val="32"/>
                            </w:rPr>
                            <w:t>Title: Global Operation and evaluation of British Petroleum (BP)</w:t>
                          </w:r>
                        </w:p>
                        <w:p w14:paraId="5A4951CC" w14:textId="77777777" w:rsidR="007E676F" w:rsidRDefault="007E676F" w:rsidP="007E676F">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Student ID &amp; Name: Karan kumar 2434478 </w:t>
                          </w:r>
                        </w:p>
                        <w:p w14:paraId="5E57812E" w14:textId="49D3E8C2" w:rsidR="007E676F" w:rsidRDefault="007E676F" w:rsidP="007E676F">
                          <w:pPr>
                            <w:pStyle w:val="NoSpacing"/>
                            <w:jc w:val="right"/>
                            <w:rPr>
                              <w:smallCaps/>
                              <w:color w:val="1F497D" w:themeColor="text2"/>
                              <w:sz w:val="36"/>
                              <w:szCs w:val="36"/>
                            </w:rPr>
                          </w:pPr>
                          <w:r>
                            <w:rPr>
                              <w:rFonts w:ascii="Times New Roman" w:eastAsia="Times New Roman" w:hAnsi="Times New Roman" w:cs="Times New Roman"/>
                              <w:b/>
                              <w:bCs/>
                              <w:color w:val="CC0000"/>
                              <w:sz w:val="32"/>
                              <w:szCs w:val="32"/>
                            </w:rPr>
                            <w:t>WC: 4763</w:t>
                          </w: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570AB6D2" wp14:editId="51146AA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BB45C49"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fillcolor="#4f81bd [3204]" stroked="f" strokeweight="2pt">
                      <o:lock v:ext="edit" aspectratio="t"/>
                    </v:rect>
                    <w10:wrap anchorx="page" anchory="page"/>
                  </v:group>
                </w:pict>
              </mc:Fallback>
            </mc:AlternateContent>
          </w:r>
          <w:r>
            <w:rPr>
              <w:rFonts w:ascii="Times New Roman" w:eastAsia="Times New Roman" w:hAnsi="Times New Roman" w:cs="Times New Roman"/>
              <w:b/>
              <w:bCs/>
              <w:sz w:val="32"/>
              <w:szCs w:val="32"/>
            </w:rPr>
            <w:br w:type="page"/>
          </w:r>
        </w:p>
      </w:sdtContent>
    </w:sdt>
    <w:p w14:paraId="13A231A5" w14:textId="17FC2361" w:rsidR="00DE4259" w:rsidRDefault="000F0635">
      <w:pPr>
        <w:spacing w:line="360" w:lineRule="auto"/>
        <w:jc w:val="center"/>
        <w:rPr>
          <w:rFonts w:ascii="Times New Roman" w:eastAsia="Times New Roman" w:hAnsi="Times New Roman" w:cs="Times New Roman"/>
          <w:b/>
          <w:bCs/>
          <w:sz w:val="24"/>
          <w:szCs w:val="24"/>
        </w:rPr>
      </w:pPr>
      <w:r>
        <w:lastRenderedPageBreak/>
        <w:br w:type="page"/>
      </w:r>
    </w:p>
    <w:p w14:paraId="50573326" w14:textId="77777777" w:rsidR="00DE4259" w:rsidRDefault="000F063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Table of Contents</w:t>
      </w:r>
    </w:p>
    <w:sdt>
      <w:sdtPr>
        <w:id w:val="205584261"/>
        <w:docPartObj>
          <w:docPartGallery w:val="Table of Contents"/>
          <w:docPartUnique/>
        </w:docPartObj>
      </w:sdtPr>
      <w:sdtEndPr>
        <w:rPr>
          <w:rFonts w:asciiTheme="majorBidi" w:hAnsiTheme="majorBidi" w:cstheme="majorBidi"/>
          <w:sz w:val="24"/>
          <w:szCs w:val="24"/>
        </w:rPr>
      </w:sdtEndPr>
      <w:sdtContent>
        <w:p w14:paraId="3C521917" w14:textId="77777777" w:rsidR="00296F8C" w:rsidRPr="00296F8C" w:rsidRDefault="000F0635" w:rsidP="00296F8C">
          <w:pPr>
            <w:pStyle w:val="TOC1"/>
            <w:tabs>
              <w:tab w:val="right" w:pos="9019"/>
            </w:tabs>
            <w:spacing w:line="360" w:lineRule="auto"/>
            <w:jc w:val="both"/>
            <w:rPr>
              <w:rFonts w:asciiTheme="majorBidi" w:eastAsiaTheme="minorEastAsia" w:hAnsiTheme="majorBidi" w:cstheme="majorBidi"/>
              <w:noProof/>
              <w:sz w:val="24"/>
              <w:szCs w:val="24"/>
              <w:lang w:val="en-AU"/>
            </w:rPr>
          </w:pPr>
          <w:r w:rsidRPr="00296F8C">
            <w:rPr>
              <w:rFonts w:asciiTheme="majorBidi" w:hAnsiTheme="majorBidi" w:cstheme="majorBidi"/>
              <w:sz w:val="24"/>
              <w:szCs w:val="24"/>
            </w:rPr>
            <w:fldChar w:fldCharType="begin"/>
          </w:r>
          <w:r w:rsidRPr="00296F8C">
            <w:rPr>
              <w:rFonts w:asciiTheme="majorBidi" w:hAnsiTheme="majorBidi" w:cstheme="majorBidi"/>
              <w:sz w:val="24"/>
              <w:szCs w:val="24"/>
            </w:rPr>
            <w:instrText xml:space="preserve"> TOC \h \u \z \t "Heading 1,1,Heading 2,2,Heading 3,3,Heading 4,4,Heading 5,5,Heading 6,6,"</w:instrText>
          </w:r>
          <w:r w:rsidRPr="00296F8C">
            <w:rPr>
              <w:rFonts w:asciiTheme="majorBidi" w:hAnsiTheme="majorBidi" w:cstheme="majorBidi"/>
              <w:sz w:val="24"/>
              <w:szCs w:val="24"/>
            </w:rPr>
            <w:fldChar w:fldCharType="separate"/>
          </w:r>
          <w:hyperlink w:anchor="_Toc216276548" w:history="1">
            <w:r w:rsidR="00296F8C" w:rsidRPr="00296F8C">
              <w:rPr>
                <w:rStyle w:val="Hyperlink"/>
                <w:rFonts w:asciiTheme="majorBidi" w:hAnsiTheme="majorBidi" w:cstheme="majorBidi"/>
                <w:noProof/>
                <w:sz w:val="24"/>
                <w:szCs w:val="24"/>
              </w:rPr>
              <w:t>1.0 Introduction to the report</w:t>
            </w:r>
            <w:r w:rsidR="00296F8C" w:rsidRPr="00296F8C">
              <w:rPr>
                <w:rFonts w:asciiTheme="majorBidi" w:hAnsiTheme="majorBidi" w:cstheme="majorBidi"/>
                <w:noProof/>
                <w:webHidden/>
                <w:sz w:val="24"/>
                <w:szCs w:val="24"/>
              </w:rPr>
              <w:tab/>
            </w:r>
            <w:r w:rsidR="00296F8C" w:rsidRPr="00296F8C">
              <w:rPr>
                <w:rFonts w:asciiTheme="majorBidi" w:hAnsiTheme="majorBidi" w:cstheme="majorBidi"/>
                <w:noProof/>
                <w:webHidden/>
                <w:sz w:val="24"/>
                <w:szCs w:val="24"/>
              </w:rPr>
              <w:fldChar w:fldCharType="begin"/>
            </w:r>
            <w:r w:rsidR="00296F8C" w:rsidRPr="00296F8C">
              <w:rPr>
                <w:rFonts w:asciiTheme="majorBidi" w:hAnsiTheme="majorBidi" w:cstheme="majorBidi"/>
                <w:noProof/>
                <w:webHidden/>
                <w:sz w:val="24"/>
                <w:szCs w:val="24"/>
              </w:rPr>
              <w:instrText xml:space="preserve"> PAGEREF _Toc216276548 \h </w:instrText>
            </w:r>
            <w:r w:rsidR="00296F8C" w:rsidRPr="00296F8C">
              <w:rPr>
                <w:rFonts w:asciiTheme="majorBidi" w:hAnsiTheme="majorBidi" w:cstheme="majorBidi"/>
                <w:noProof/>
                <w:webHidden/>
                <w:sz w:val="24"/>
                <w:szCs w:val="24"/>
              </w:rPr>
            </w:r>
            <w:r w:rsidR="00296F8C" w:rsidRPr="00296F8C">
              <w:rPr>
                <w:rFonts w:asciiTheme="majorBidi" w:hAnsiTheme="majorBidi" w:cstheme="majorBidi"/>
                <w:noProof/>
                <w:webHidden/>
                <w:sz w:val="24"/>
                <w:szCs w:val="24"/>
              </w:rPr>
              <w:fldChar w:fldCharType="separate"/>
            </w:r>
            <w:r w:rsidR="00296F8C">
              <w:rPr>
                <w:rFonts w:asciiTheme="majorBidi" w:hAnsiTheme="majorBidi" w:cstheme="majorBidi"/>
                <w:noProof/>
                <w:webHidden/>
                <w:sz w:val="24"/>
                <w:szCs w:val="24"/>
              </w:rPr>
              <w:t>3</w:t>
            </w:r>
            <w:r w:rsidR="00296F8C" w:rsidRPr="00296F8C">
              <w:rPr>
                <w:rFonts w:asciiTheme="majorBidi" w:hAnsiTheme="majorBidi" w:cstheme="majorBidi"/>
                <w:noProof/>
                <w:webHidden/>
                <w:sz w:val="24"/>
                <w:szCs w:val="24"/>
              </w:rPr>
              <w:fldChar w:fldCharType="end"/>
            </w:r>
          </w:hyperlink>
        </w:p>
        <w:p w14:paraId="34994A7E" w14:textId="77777777" w:rsidR="00296F8C" w:rsidRPr="00296F8C" w:rsidRDefault="00296F8C" w:rsidP="00296F8C">
          <w:pPr>
            <w:pStyle w:val="TOC2"/>
            <w:tabs>
              <w:tab w:val="right" w:pos="9019"/>
            </w:tabs>
            <w:spacing w:line="360" w:lineRule="auto"/>
            <w:jc w:val="both"/>
            <w:rPr>
              <w:rFonts w:asciiTheme="majorBidi" w:eastAsiaTheme="minorEastAsia" w:hAnsiTheme="majorBidi" w:cstheme="majorBidi"/>
              <w:noProof/>
              <w:sz w:val="24"/>
              <w:szCs w:val="24"/>
              <w:lang w:val="en-AU"/>
            </w:rPr>
          </w:pPr>
          <w:hyperlink w:anchor="_Toc216276549" w:history="1">
            <w:r w:rsidRPr="00296F8C">
              <w:rPr>
                <w:rStyle w:val="Hyperlink"/>
                <w:rFonts w:asciiTheme="majorBidi" w:hAnsiTheme="majorBidi" w:cstheme="majorBidi"/>
                <w:noProof/>
                <w:sz w:val="24"/>
                <w:szCs w:val="24"/>
              </w:rPr>
              <w:t>1.1 Introducing the concept of Multinational Companies (MNCs)</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_Toc216276549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3</w:t>
            </w:r>
            <w:r w:rsidRPr="00296F8C">
              <w:rPr>
                <w:rFonts w:asciiTheme="majorBidi" w:hAnsiTheme="majorBidi" w:cstheme="majorBidi"/>
                <w:noProof/>
                <w:webHidden/>
                <w:sz w:val="24"/>
                <w:szCs w:val="24"/>
              </w:rPr>
              <w:fldChar w:fldCharType="end"/>
            </w:r>
          </w:hyperlink>
        </w:p>
        <w:p w14:paraId="77CB9405" w14:textId="77777777" w:rsidR="00296F8C" w:rsidRPr="00296F8C" w:rsidRDefault="00296F8C" w:rsidP="00296F8C">
          <w:pPr>
            <w:pStyle w:val="TOC2"/>
            <w:tabs>
              <w:tab w:val="right" w:pos="9019"/>
            </w:tabs>
            <w:spacing w:line="360" w:lineRule="auto"/>
            <w:jc w:val="both"/>
            <w:rPr>
              <w:rFonts w:asciiTheme="majorBidi" w:eastAsiaTheme="minorEastAsia" w:hAnsiTheme="majorBidi" w:cstheme="majorBidi"/>
              <w:noProof/>
              <w:sz w:val="24"/>
              <w:szCs w:val="24"/>
              <w:lang w:val="en-AU"/>
            </w:rPr>
          </w:pPr>
          <w:hyperlink w:anchor="_Toc216276550" w:history="1">
            <w:r w:rsidRPr="00296F8C">
              <w:rPr>
                <w:rStyle w:val="Hyperlink"/>
                <w:rFonts w:asciiTheme="majorBidi" w:hAnsiTheme="majorBidi" w:cstheme="majorBidi"/>
                <w:noProof/>
                <w:sz w:val="24"/>
                <w:szCs w:val="24"/>
              </w:rPr>
              <w:t>1.2 Background of chosen MNC: British Petroleum</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_Toc216276550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3</w:t>
            </w:r>
            <w:r w:rsidRPr="00296F8C">
              <w:rPr>
                <w:rFonts w:asciiTheme="majorBidi" w:hAnsiTheme="majorBidi" w:cstheme="majorBidi"/>
                <w:noProof/>
                <w:webHidden/>
                <w:sz w:val="24"/>
                <w:szCs w:val="24"/>
              </w:rPr>
              <w:fldChar w:fldCharType="end"/>
            </w:r>
          </w:hyperlink>
        </w:p>
        <w:p w14:paraId="57FA7242" w14:textId="77777777" w:rsidR="00296F8C" w:rsidRPr="00296F8C" w:rsidRDefault="00296F8C" w:rsidP="00296F8C">
          <w:pPr>
            <w:pStyle w:val="TOC2"/>
            <w:tabs>
              <w:tab w:val="right" w:pos="9019"/>
            </w:tabs>
            <w:spacing w:line="360" w:lineRule="auto"/>
            <w:jc w:val="both"/>
            <w:rPr>
              <w:rFonts w:asciiTheme="majorBidi" w:eastAsiaTheme="minorEastAsia" w:hAnsiTheme="majorBidi" w:cstheme="majorBidi"/>
              <w:noProof/>
              <w:sz w:val="24"/>
              <w:szCs w:val="24"/>
              <w:lang w:val="en-AU"/>
            </w:rPr>
          </w:pPr>
          <w:hyperlink w:anchor="_Toc216276551" w:history="1">
            <w:r w:rsidRPr="00296F8C">
              <w:rPr>
                <w:rStyle w:val="Hyperlink"/>
                <w:rFonts w:asciiTheme="majorBidi" w:hAnsiTheme="majorBidi" w:cstheme="majorBidi"/>
                <w:noProof/>
                <w:sz w:val="24"/>
                <w:szCs w:val="24"/>
              </w:rPr>
              <w:t>1.3 Aim of the report</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_Toc216276551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4</w:t>
            </w:r>
            <w:r w:rsidRPr="00296F8C">
              <w:rPr>
                <w:rFonts w:asciiTheme="majorBidi" w:hAnsiTheme="majorBidi" w:cstheme="majorBidi"/>
                <w:noProof/>
                <w:webHidden/>
                <w:sz w:val="24"/>
                <w:szCs w:val="24"/>
              </w:rPr>
              <w:fldChar w:fldCharType="end"/>
            </w:r>
          </w:hyperlink>
        </w:p>
        <w:p w14:paraId="3DFE444A" w14:textId="77777777" w:rsidR="00296F8C" w:rsidRPr="00296F8C" w:rsidRDefault="00296F8C" w:rsidP="00296F8C">
          <w:pPr>
            <w:pStyle w:val="TOC1"/>
            <w:tabs>
              <w:tab w:val="right" w:pos="9019"/>
            </w:tabs>
            <w:spacing w:line="360" w:lineRule="auto"/>
            <w:jc w:val="both"/>
            <w:rPr>
              <w:rFonts w:asciiTheme="majorBidi" w:eastAsiaTheme="minorEastAsia" w:hAnsiTheme="majorBidi" w:cstheme="majorBidi"/>
              <w:noProof/>
              <w:sz w:val="24"/>
              <w:szCs w:val="24"/>
              <w:lang w:val="en-AU"/>
            </w:rPr>
          </w:pPr>
          <w:hyperlink w:anchor="_Toc216276552" w:history="1">
            <w:r w:rsidRPr="00296F8C">
              <w:rPr>
                <w:rStyle w:val="Hyperlink"/>
                <w:rFonts w:asciiTheme="majorBidi" w:hAnsiTheme="majorBidi" w:cstheme="majorBidi"/>
                <w:noProof/>
                <w:sz w:val="24"/>
                <w:szCs w:val="24"/>
              </w:rPr>
              <w:t>2.0 Benefits and challenges of international operations</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_Toc216276552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4</w:t>
            </w:r>
            <w:r w:rsidRPr="00296F8C">
              <w:rPr>
                <w:rFonts w:asciiTheme="majorBidi" w:hAnsiTheme="majorBidi" w:cstheme="majorBidi"/>
                <w:noProof/>
                <w:webHidden/>
                <w:sz w:val="24"/>
                <w:szCs w:val="24"/>
              </w:rPr>
              <w:fldChar w:fldCharType="end"/>
            </w:r>
          </w:hyperlink>
        </w:p>
        <w:p w14:paraId="5E8E9D74" w14:textId="77777777" w:rsidR="00296F8C" w:rsidRPr="00296F8C" w:rsidRDefault="00296F8C" w:rsidP="00296F8C">
          <w:pPr>
            <w:pStyle w:val="TOC2"/>
            <w:tabs>
              <w:tab w:val="right" w:pos="9019"/>
            </w:tabs>
            <w:spacing w:line="360" w:lineRule="auto"/>
            <w:jc w:val="both"/>
            <w:rPr>
              <w:rFonts w:asciiTheme="majorBidi" w:eastAsiaTheme="minorEastAsia" w:hAnsiTheme="majorBidi" w:cstheme="majorBidi"/>
              <w:noProof/>
              <w:sz w:val="24"/>
              <w:szCs w:val="24"/>
              <w:lang w:val="en-AU"/>
            </w:rPr>
          </w:pPr>
          <w:hyperlink w:anchor="_Toc216276553" w:history="1">
            <w:r w:rsidRPr="00296F8C">
              <w:rPr>
                <w:rStyle w:val="Hyperlink"/>
                <w:rFonts w:asciiTheme="majorBidi" w:hAnsiTheme="majorBidi" w:cstheme="majorBidi"/>
                <w:noProof/>
                <w:sz w:val="24"/>
                <w:szCs w:val="24"/>
              </w:rPr>
              <w:t>a. Explaining why BP can be designated an MNC</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_Toc216276553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4</w:t>
            </w:r>
            <w:r w:rsidRPr="00296F8C">
              <w:rPr>
                <w:rFonts w:asciiTheme="majorBidi" w:hAnsiTheme="majorBidi" w:cstheme="majorBidi"/>
                <w:noProof/>
                <w:webHidden/>
                <w:sz w:val="24"/>
                <w:szCs w:val="24"/>
              </w:rPr>
              <w:fldChar w:fldCharType="end"/>
            </w:r>
          </w:hyperlink>
        </w:p>
        <w:p w14:paraId="203B4B6D" w14:textId="77777777" w:rsidR="00296F8C" w:rsidRPr="00296F8C" w:rsidRDefault="00296F8C" w:rsidP="00296F8C">
          <w:pPr>
            <w:pStyle w:val="TOC2"/>
            <w:tabs>
              <w:tab w:val="right" w:pos="9019"/>
            </w:tabs>
            <w:spacing w:line="360" w:lineRule="auto"/>
            <w:jc w:val="both"/>
            <w:rPr>
              <w:rFonts w:asciiTheme="majorBidi" w:eastAsiaTheme="minorEastAsia" w:hAnsiTheme="majorBidi" w:cstheme="majorBidi"/>
              <w:noProof/>
              <w:sz w:val="24"/>
              <w:szCs w:val="24"/>
              <w:lang w:val="en-AU"/>
            </w:rPr>
          </w:pPr>
          <w:hyperlink w:anchor="_Toc216276554" w:history="1">
            <w:r w:rsidRPr="00296F8C">
              <w:rPr>
                <w:rStyle w:val="Hyperlink"/>
                <w:rFonts w:asciiTheme="majorBidi" w:hAnsiTheme="majorBidi" w:cstheme="majorBidi"/>
                <w:noProof/>
                <w:sz w:val="24"/>
                <w:szCs w:val="24"/>
              </w:rPr>
              <w:t>b. Introducing the concept of value chain, why it is considered important in cases of MNCs and listing down the benefits of value chain</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_Toc216276554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5</w:t>
            </w:r>
            <w:r w:rsidRPr="00296F8C">
              <w:rPr>
                <w:rFonts w:asciiTheme="majorBidi" w:hAnsiTheme="majorBidi" w:cstheme="majorBidi"/>
                <w:noProof/>
                <w:webHidden/>
                <w:sz w:val="24"/>
                <w:szCs w:val="24"/>
              </w:rPr>
              <w:fldChar w:fldCharType="end"/>
            </w:r>
          </w:hyperlink>
        </w:p>
        <w:p w14:paraId="1DC957BC" w14:textId="77777777" w:rsidR="00296F8C" w:rsidRPr="00296F8C" w:rsidRDefault="00296F8C" w:rsidP="00296F8C">
          <w:pPr>
            <w:pStyle w:val="TOC2"/>
            <w:tabs>
              <w:tab w:val="right" w:pos="9019"/>
            </w:tabs>
            <w:spacing w:line="360" w:lineRule="auto"/>
            <w:jc w:val="both"/>
            <w:rPr>
              <w:rFonts w:asciiTheme="majorBidi" w:eastAsiaTheme="minorEastAsia" w:hAnsiTheme="majorBidi" w:cstheme="majorBidi"/>
              <w:noProof/>
              <w:sz w:val="24"/>
              <w:szCs w:val="24"/>
              <w:lang w:val="en-AU"/>
            </w:rPr>
          </w:pPr>
          <w:hyperlink w:anchor="_Toc216276555" w:history="1">
            <w:r w:rsidRPr="00296F8C">
              <w:rPr>
                <w:rStyle w:val="Hyperlink"/>
                <w:rFonts w:asciiTheme="majorBidi" w:hAnsiTheme="majorBidi" w:cstheme="majorBidi"/>
                <w:noProof/>
                <w:sz w:val="24"/>
                <w:szCs w:val="24"/>
              </w:rPr>
              <w:t>c. Relevance of value chain aspects for British Petroleum</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_Toc216276555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5</w:t>
            </w:r>
            <w:r w:rsidRPr="00296F8C">
              <w:rPr>
                <w:rFonts w:asciiTheme="majorBidi" w:hAnsiTheme="majorBidi" w:cstheme="majorBidi"/>
                <w:noProof/>
                <w:webHidden/>
                <w:sz w:val="24"/>
                <w:szCs w:val="24"/>
              </w:rPr>
              <w:fldChar w:fldCharType="end"/>
            </w:r>
          </w:hyperlink>
        </w:p>
        <w:p w14:paraId="5037978B" w14:textId="77777777" w:rsidR="00296F8C" w:rsidRPr="00296F8C" w:rsidRDefault="00296F8C" w:rsidP="00296F8C">
          <w:pPr>
            <w:pStyle w:val="TOC2"/>
            <w:tabs>
              <w:tab w:val="right" w:pos="9019"/>
            </w:tabs>
            <w:spacing w:line="360" w:lineRule="auto"/>
            <w:jc w:val="both"/>
            <w:rPr>
              <w:rFonts w:asciiTheme="majorBidi" w:eastAsiaTheme="minorEastAsia" w:hAnsiTheme="majorBidi" w:cstheme="majorBidi"/>
              <w:noProof/>
              <w:sz w:val="24"/>
              <w:szCs w:val="24"/>
              <w:lang w:val="en-AU"/>
            </w:rPr>
          </w:pPr>
          <w:hyperlink w:anchor="_Toc216276556" w:history="1">
            <w:r w:rsidRPr="00296F8C">
              <w:rPr>
                <w:rStyle w:val="Hyperlink"/>
                <w:rFonts w:asciiTheme="majorBidi" w:hAnsiTheme="majorBidi" w:cstheme="majorBidi"/>
                <w:noProof/>
                <w:sz w:val="24"/>
                <w:szCs w:val="24"/>
              </w:rPr>
              <w:t>d. Summary of the nature of global operations of the company, focusing on value chain aspects</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_Toc216276556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5</w:t>
            </w:r>
            <w:r w:rsidRPr="00296F8C">
              <w:rPr>
                <w:rFonts w:asciiTheme="majorBidi" w:hAnsiTheme="majorBidi" w:cstheme="majorBidi"/>
                <w:noProof/>
                <w:webHidden/>
                <w:sz w:val="24"/>
                <w:szCs w:val="24"/>
              </w:rPr>
              <w:fldChar w:fldCharType="end"/>
            </w:r>
          </w:hyperlink>
        </w:p>
        <w:p w14:paraId="7FBD9DF0" w14:textId="77777777" w:rsidR="00296F8C" w:rsidRPr="00296F8C" w:rsidRDefault="00296F8C" w:rsidP="00296F8C">
          <w:pPr>
            <w:pStyle w:val="TOC2"/>
            <w:tabs>
              <w:tab w:val="right" w:pos="9019"/>
            </w:tabs>
            <w:spacing w:line="360" w:lineRule="auto"/>
            <w:jc w:val="both"/>
            <w:rPr>
              <w:rFonts w:asciiTheme="majorBidi" w:eastAsiaTheme="minorEastAsia" w:hAnsiTheme="majorBidi" w:cstheme="majorBidi"/>
              <w:noProof/>
              <w:sz w:val="24"/>
              <w:szCs w:val="24"/>
              <w:lang w:val="en-AU"/>
            </w:rPr>
          </w:pPr>
          <w:hyperlink w:anchor="_Toc216276557" w:history="1">
            <w:r w:rsidRPr="00296F8C">
              <w:rPr>
                <w:rStyle w:val="Hyperlink"/>
                <w:rFonts w:asciiTheme="majorBidi" w:hAnsiTheme="majorBidi" w:cstheme="majorBidi"/>
                <w:noProof/>
                <w:sz w:val="24"/>
                <w:szCs w:val="24"/>
              </w:rPr>
              <w:t>e. Identifying different entry modes used by BP in entering different international markets in which it has presence with dominant entry mode</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_Toc216276557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8</w:t>
            </w:r>
            <w:r w:rsidRPr="00296F8C">
              <w:rPr>
                <w:rFonts w:asciiTheme="majorBidi" w:hAnsiTheme="majorBidi" w:cstheme="majorBidi"/>
                <w:noProof/>
                <w:webHidden/>
                <w:sz w:val="24"/>
                <w:szCs w:val="24"/>
              </w:rPr>
              <w:fldChar w:fldCharType="end"/>
            </w:r>
          </w:hyperlink>
        </w:p>
        <w:p w14:paraId="2860F65A" w14:textId="77777777" w:rsidR="00296F8C" w:rsidRPr="00296F8C" w:rsidRDefault="00296F8C" w:rsidP="00296F8C">
          <w:pPr>
            <w:pStyle w:val="TOC2"/>
            <w:tabs>
              <w:tab w:val="right" w:pos="9019"/>
            </w:tabs>
            <w:spacing w:line="360" w:lineRule="auto"/>
            <w:jc w:val="both"/>
            <w:rPr>
              <w:rFonts w:asciiTheme="majorBidi" w:eastAsiaTheme="minorEastAsia" w:hAnsiTheme="majorBidi" w:cstheme="majorBidi"/>
              <w:noProof/>
              <w:sz w:val="24"/>
              <w:szCs w:val="24"/>
              <w:lang w:val="en-AU"/>
            </w:rPr>
          </w:pPr>
          <w:hyperlink w:anchor="_Toc216276558" w:history="1">
            <w:r w:rsidRPr="00296F8C">
              <w:rPr>
                <w:rStyle w:val="Hyperlink"/>
                <w:rFonts w:asciiTheme="majorBidi" w:hAnsiTheme="majorBidi" w:cstheme="majorBidi"/>
                <w:noProof/>
                <w:sz w:val="24"/>
                <w:szCs w:val="24"/>
              </w:rPr>
              <w:t>f. Explaining key benefits obtained by the chosen company from its international operations in four countries</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_Toc216276558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10</w:t>
            </w:r>
            <w:r w:rsidRPr="00296F8C">
              <w:rPr>
                <w:rFonts w:asciiTheme="majorBidi" w:hAnsiTheme="majorBidi" w:cstheme="majorBidi"/>
                <w:noProof/>
                <w:webHidden/>
                <w:sz w:val="24"/>
                <w:szCs w:val="24"/>
              </w:rPr>
              <w:fldChar w:fldCharType="end"/>
            </w:r>
          </w:hyperlink>
        </w:p>
        <w:p w14:paraId="2AD79F68" w14:textId="77777777" w:rsidR="00296F8C" w:rsidRPr="00296F8C" w:rsidRDefault="00296F8C" w:rsidP="00296F8C">
          <w:pPr>
            <w:pStyle w:val="TOC1"/>
            <w:tabs>
              <w:tab w:val="right" w:pos="9019"/>
            </w:tabs>
            <w:spacing w:line="360" w:lineRule="auto"/>
            <w:jc w:val="both"/>
            <w:rPr>
              <w:rFonts w:asciiTheme="majorBidi" w:eastAsiaTheme="minorEastAsia" w:hAnsiTheme="majorBidi" w:cstheme="majorBidi"/>
              <w:noProof/>
              <w:sz w:val="24"/>
              <w:szCs w:val="24"/>
              <w:lang w:val="en-AU"/>
            </w:rPr>
          </w:pPr>
          <w:hyperlink w:anchor="_Toc216276559" w:history="1">
            <w:r w:rsidRPr="00296F8C">
              <w:rPr>
                <w:rStyle w:val="Hyperlink"/>
                <w:rFonts w:asciiTheme="majorBidi" w:hAnsiTheme="majorBidi" w:cstheme="majorBidi"/>
                <w:noProof/>
                <w:sz w:val="24"/>
                <w:szCs w:val="24"/>
              </w:rPr>
              <w:t>3.0 OLI factors discussion and its impact on the international market entry mode for the chosen company</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_Toc216276559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11</w:t>
            </w:r>
            <w:r w:rsidRPr="00296F8C">
              <w:rPr>
                <w:rFonts w:asciiTheme="majorBidi" w:hAnsiTheme="majorBidi" w:cstheme="majorBidi"/>
                <w:noProof/>
                <w:webHidden/>
                <w:sz w:val="24"/>
                <w:szCs w:val="24"/>
              </w:rPr>
              <w:fldChar w:fldCharType="end"/>
            </w:r>
          </w:hyperlink>
        </w:p>
        <w:p w14:paraId="2D0B21EA" w14:textId="77777777" w:rsidR="00296F8C" w:rsidRPr="00296F8C" w:rsidRDefault="00296F8C" w:rsidP="00296F8C">
          <w:pPr>
            <w:pStyle w:val="TOC2"/>
            <w:tabs>
              <w:tab w:val="right" w:pos="9019"/>
            </w:tabs>
            <w:spacing w:line="360" w:lineRule="auto"/>
            <w:jc w:val="both"/>
            <w:rPr>
              <w:rFonts w:asciiTheme="majorBidi" w:eastAsiaTheme="minorEastAsia" w:hAnsiTheme="majorBidi" w:cstheme="majorBidi"/>
              <w:noProof/>
              <w:sz w:val="24"/>
              <w:szCs w:val="24"/>
              <w:lang w:val="en-AU"/>
            </w:rPr>
          </w:pPr>
          <w:hyperlink w:anchor="_Toc216276560" w:history="1">
            <w:r w:rsidRPr="00296F8C">
              <w:rPr>
                <w:rStyle w:val="Hyperlink"/>
                <w:rFonts w:asciiTheme="majorBidi" w:hAnsiTheme="majorBidi" w:cstheme="majorBidi"/>
                <w:noProof/>
                <w:sz w:val="24"/>
                <w:szCs w:val="24"/>
              </w:rPr>
              <w:t>3.1 Defining OLI Factors and addressing why these factors matter for market expansion</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_Toc216276560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11</w:t>
            </w:r>
            <w:r w:rsidRPr="00296F8C">
              <w:rPr>
                <w:rFonts w:asciiTheme="majorBidi" w:hAnsiTheme="majorBidi" w:cstheme="majorBidi"/>
                <w:noProof/>
                <w:webHidden/>
                <w:sz w:val="24"/>
                <w:szCs w:val="24"/>
              </w:rPr>
              <w:fldChar w:fldCharType="end"/>
            </w:r>
          </w:hyperlink>
        </w:p>
        <w:p w14:paraId="1F20CC47" w14:textId="77777777" w:rsidR="00296F8C" w:rsidRPr="00296F8C" w:rsidRDefault="00296F8C" w:rsidP="00296F8C">
          <w:pPr>
            <w:pStyle w:val="TOC2"/>
            <w:tabs>
              <w:tab w:val="right" w:pos="9019"/>
            </w:tabs>
            <w:spacing w:line="360" w:lineRule="auto"/>
            <w:jc w:val="both"/>
            <w:rPr>
              <w:rFonts w:asciiTheme="majorBidi" w:eastAsiaTheme="minorEastAsia" w:hAnsiTheme="majorBidi" w:cstheme="majorBidi"/>
              <w:noProof/>
              <w:sz w:val="24"/>
              <w:szCs w:val="24"/>
              <w:lang w:val="en-AU"/>
            </w:rPr>
          </w:pPr>
          <w:hyperlink w:anchor="_Toc216276561" w:history="1">
            <w:r w:rsidRPr="00296F8C">
              <w:rPr>
                <w:rStyle w:val="Hyperlink"/>
                <w:rFonts w:asciiTheme="majorBidi" w:hAnsiTheme="majorBidi" w:cstheme="majorBidi"/>
                <w:noProof/>
                <w:sz w:val="24"/>
                <w:szCs w:val="24"/>
              </w:rPr>
              <w:t>3.2 OLI analysis on international market entry mode for MNCs in  emerging economy countries</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_Toc216276561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12</w:t>
            </w:r>
            <w:r w:rsidRPr="00296F8C">
              <w:rPr>
                <w:rFonts w:asciiTheme="majorBidi" w:hAnsiTheme="majorBidi" w:cstheme="majorBidi"/>
                <w:noProof/>
                <w:webHidden/>
                <w:sz w:val="24"/>
                <w:szCs w:val="24"/>
              </w:rPr>
              <w:fldChar w:fldCharType="end"/>
            </w:r>
          </w:hyperlink>
        </w:p>
        <w:p w14:paraId="48497118" w14:textId="77777777" w:rsidR="00296F8C" w:rsidRPr="00296F8C" w:rsidRDefault="00296F8C" w:rsidP="00296F8C">
          <w:pPr>
            <w:pStyle w:val="TOC2"/>
            <w:tabs>
              <w:tab w:val="right" w:pos="9019"/>
            </w:tabs>
            <w:spacing w:line="360" w:lineRule="auto"/>
            <w:jc w:val="both"/>
            <w:rPr>
              <w:rFonts w:asciiTheme="majorBidi" w:eastAsiaTheme="minorEastAsia" w:hAnsiTheme="majorBidi" w:cstheme="majorBidi"/>
              <w:noProof/>
              <w:sz w:val="24"/>
              <w:szCs w:val="24"/>
              <w:lang w:val="en-AU"/>
            </w:rPr>
          </w:pPr>
          <w:hyperlink w:anchor="_Toc216276562" w:history="1">
            <w:r w:rsidRPr="00296F8C">
              <w:rPr>
                <w:rStyle w:val="Hyperlink"/>
                <w:rFonts w:asciiTheme="majorBidi" w:hAnsiTheme="majorBidi" w:cstheme="majorBidi"/>
                <w:noProof/>
                <w:sz w:val="24"/>
                <w:szCs w:val="24"/>
              </w:rPr>
              <w:t>3.3 Critical discussion on the identified analysis of OLI impact on global entry modes used by MNC in 4 countries, including two emerging economies</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_Toc216276562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14</w:t>
            </w:r>
            <w:r w:rsidRPr="00296F8C">
              <w:rPr>
                <w:rFonts w:asciiTheme="majorBidi" w:hAnsiTheme="majorBidi" w:cstheme="majorBidi"/>
                <w:noProof/>
                <w:webHidden/>
                <w:sz w:val="24"/>
                <w:szCs w:val="24"/>
              </w:rPr>
              <w:fldChar w:fldCharType="end"/>
            </w:r>
          </w:hyperlink>
        </w:p>
        <w:p w14:paraId="4484937D" w14:textId="77777777" w:rsidR="00296F8C" w:rsidRPr="00296F8C" w:rsidRDefault="00296F8C" w:rsidP="00296F8C">
          <w:pPr>
            <w:pStyle w:val="TOC1"/>
            <w:tabs>
              <w:tab w:val="right" w:pos="9019"/>
            </w:tabs>
            <w:spacing w:line="360" w:lineRule="auto"/>
            <w:jc w:val="both"/>
            <w:rPr>
              <w:rFonts w:asciiTheme="majorBidi" w:eastAsiaTheme="minorEastAsia" w:hAnsiTheme="majorBidi" w:cstheme="majorBidi"/>
              <w:noProof/>
              <w:sz w:val="24"/>
              <w:szCs w:val="24"/>
              <w:lang w:val="en-AU"/>
            </w:rPr>
          </w:pPr>
          <w:hyperlink w:anchor="_Toc216276563" w:history="1">
            <w:r w:rsidRPr="00296F8C">
              <w:rPr>
                <w:rStyle w:val="Hyperlink"/>
                <w:rFonts w:asciiTheme="majorBidi" w:hAnsiTheme="majorBidi" w:cstheme="majorBidi"/>
                <w:noProof/>
                <w:sz w:val="24"/>
                <w:szCs w:val="24"/>
              </w:rPr>
              <w:t>4.0 Evaluation of how cultural differences between the home country of BP and the chosen emerging economy impact market entry strategy &amp; success</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_Toc216276563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14</w:t>
            </w:r>
            <w:r w:rsidRPr="00296F8C">
              <w:rPr>
                <w:rFonts w:asciiTheme="majorBidi" w:hAnsiTheme="majorBidi" w:cstheme="majorBidi"/>
                <w:noProof/>
                <w:webHidden/>
                <w:sz w:val="24"/>
                <w:szCs w:val="24"/>
              </w:rPr>
              <w:fldChar w:fldCharType="end"/>
            </w:r>
          </w:hyperlink>
        </w:p>
        <w:p w14:paraId="2D1B0039" w14:textId="77777777" w:rsidR="00296F8C" w:rsidRPr="00296F8C" w:rsidRDefault="00296F8C" w:rsidP="00296F8C">
          <w:pPr>
            <w:pStyle w:val="TOC2"/>
            <w:tabs>
              <w:tab w:val="right" w:pos="9019"/>
            </w:tabs>
            <w:spacing w:line="360" w:lineRule="auto"/>
            <w:jc w:val="both"/>
            <w:rPr>
              <w:rFonts w:asciiTheme="majorBidi" w:eastAsiaTheme="minorEastAsia" w:hAnsiTheme="majorBidi" w:cstheme="majorBidi"/>
              <w:noProof/>
              <w:sz w:val="24"/>
              <w:szCs w:val="24"/>
              <w:lang w:val="en-AU"/>
            </w:rPr>
          </w:pPr>
          <w:hyperlink w:anchor="_Toc216276564" w:history="1">
            <w:r w:rsidRPr="00296F8C">
              <w:rPr>
                <w:rStyle w:val="Hyperlink"/>
                <w:rFonts w:asciiTheme="majorBidi" w:hAnsiTheme="majorBidi" w:cstheme="majorBidi"/>
                <w:noProof/>
                <w:sz w:val="24"/>
                <w:szCs w:val="24"/>
              </w:rPr>
              <w:t>4.1 Hofstede’s cultural dimensions on identifying cultural differences between the home country and the chosen emerging two economies</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_Toc216276564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14</w:t>
            </w:r>
            <w:r w:rsidRPr="00296F8C">
              <w:rPr>
                <w:rFonts w:asciiTheme="majorBidi" w:hAnsiTheme="majorBidi" w:cstheme="majorBidi"/>
                <w:noProof/>
                <w:webHidden/>
                <w:sz w:val="24"/>
                <w:szCs w:val="24"/>
              </w:rPr>
              <w:fldChar w:fldCharType="end"/>
            </w:r>
          </w:hyperlink>
        </w:p>
        <w:p w14:paraId="7FE44E10" w14:textId="77777777" w:rsidR="00296F8C" w:rsidRPr="00296F8C" w:rsidRDefault="00296F8C" w:rsidP="00296F8C">
          <w:pPr>
            <w:pStyle w:val="TOC2"/>
            <w:tabs>
              <w:tab w:val="right" w:pos="9019"/>
            </w:tabs>
            <w:spacing w:line="360" w:lineRule="auto"/>
            <w:jc w:val="both"/>
            <w:rPr>
              <w:rFonts w:asciiTheme="majorBidi" w:eastAsiaTheme="minorEastAsia" w:hAnsiTheme="majorBidi" w:cstheme="majorBidi"/>
              <w:noProof/>
              <w:sz w:val="24"/>
              <w:szCs w:val="24"/>
              <w:lang w:val="en-AU"/>
            </w:rPr>
          </w:pPr>
          <w:hyperlink w:anchor="_Toc216276565" w:history="1">
            <w:r w:rsidRPr="00296F8C">
              <w:rPr>
                <w:rStyle w:val="Hyperlink"/>
                <w:rFonts w:asciiTheme="majorBidi" w:hAnsiTheme="majorBidi" w:cstheme="majorBidi"/>
                <w:noProof/>
                <w:sz w:val="24"/>
                <w:szCs w:val="24"/>
              </w:rPr>
              <w:t>4.2 Based on cultural analysis, how cultural differences impact global market entry strategy &amp; success of British Petroleum in China, India &amp; Brazil</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_Toc216276565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17</w:t>
            </w:r>
            <w:r w:rsidRPr="00296F8C">
              <w:rPr>
                <w:rFonts w:asciiTheme="majorBidi" w:hAnsiTheme="majorBidi" w:cstheme="majorBidi"/>
                <w:noProof/>
                <w:webHidden/>
                <w:sz w:val="24"/>
                <w:szCs w:val="24"/>
              </w:rPr>
              <w:fldChar w:fldCharType="end"/>
            </w:r>
          </w:hyperlink>
        </w:p>
        <w:p w14:paraId="7493C753" w14:textId="77777777" w:rsidR="00296F8C" w:rsidRPr="00296F8C" w:rsidRDefault="00296F8C" w:rsidP="00296F8C">
          <w:pPr>
            <w:pStyle w:val="TOC1"/>
            <w:tabs>
              <w:tab w:val="right" w:pos="9019"/>
            </w:tabs>
            <w:spacing w:line="360" w:lineRule="auto"/>
            <w:jc w:val="both"/>
            <w:rPr>
              <w:rFonts w:asciiTheme="majorBidi" w:eastAsiaTheme="minorEastAsia" w:hAnsiTheme="majorBidi" w:cstheme="majorBidi"/>
              <w:noProof/>
              <w:sz w:val="24"/>
              <w:szCs w:val="24"/>
              <w:lang w:val="en-AU"/>
            </w:rPr>
          </w:pPr>
          <w:hyperlink w:anchor="_Toc216276566" w:history="1">
            <w:r w:rsidRPr="00296F8C">
              <w:rPr>
                <w:rStyle w:val="Hyperlink"/>
                <w:rFonts w:asciiTheme="majorBidi" w:hAnsiTheme="majorBidi" w:cstheme="majorBidi"/>
                <w:noProof/>
                <w:sz w:val="24"/>
                <w:szCs w:val="24"/>
              </w:rPr>
              <w:t>5.0 Recommendation of 3 major adjustments for the chosen company</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_Toc216276566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18</w:t>
            </w:r>
            <w:r w:rsidRPr="00296F8C">
              <w:rPr>
                <w:rFonts w:asciiTheme="majorBidi" w:hAnsiTheme="majorBidi" w:cstheme="majorBidi"/>
                <w:noProof/>
                <w:webHidden/>
                <w:sz w:val="24"/>
                <w:szCs w:val="24"/>
              </w:rPr>
              <w:fldChar w:fldCharType="end"/>
            </w:r>
          </w:hyperlink>
        </w:p>
        <w:p w14:paraId="6452C3BF" w14:textId="77777777" w:rsidR="00296F8C" w:rsidRPr="00296F8C" w:rsidRDefault="00296F8C" w:rsidP="00296F8C">
          <w:pPr>
            <w:pStyle w:val="TOC2"/>
            <w:tabs>
              <w:tab w:val="right" w:pos="9019"/>
            </w:tabs>
            <w:spacing w:line="360" w:lineRule="auto"/>
            <w:jc w:val="both"/>
            <w:rPr>
              <w:rFonts w:asciiTheme="majorBidi" w:eastAsiaTheme="minorEastAsia" w:hAnsiTheme="majorBidi" w:cstheme="majorBidi"/>
              <w:noProof/>
              <w:sz w:val="24"/>
              <w:szCs w:val="24"/>
              <w:lang w:val="en-AU"/>
            </w:rPr>
          </w:pPr>
          <w:hyperlink w:anchor="_Toc216276567" w:history="1">
            <w:r w:rsidRPr="00296F8C">
              <w:rPr>
                <w:rStyle w:val="Hyperlink"/>
                <w:rFonts w:asciiTheme="majorBidi" w:hAnsiTheme="majorBidi" w:cstheme="majorBidi"/>
                <w:noProof/>
                <w:sz w:val="24"/>
                <w:szCs w:val="24"/>
              </w:rPr>
              <w:t>5.1 Recommended three major adjustments for BP to ensure their SOPs for successful internationalisation in China, India and Brazil</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_Toc216276567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18</w:t>
            </w:r>
            <w:r w:rsidRPr="00296F8C">
              <w:rPr>
                <w:rFonts w:asciiTheme="majorBidi" w:hAnsiTheme="majorBidi" w:cstheme="majorBidi"/>
                <w:noProof/>
                <w:webHidden/>
                <w:sz w:val="24"/>
                <w:szCs w:val="24"/>
              </w:rPr>
              <w:fldChar w:fldCharType="end"/>
            </w:r>
          </w:hyperlink>
        </w:p>
        <w:p w14:paraId="562C5552" w14:textId="77777777" w:rsidR="00296F8C" w:rsidRPr="00296F8C" w:rsidRDefault="00296F8C" w:rsidP="00296F8C">
          <w:pPr>
            <w:pStyle w:val="TOC2"/>
            <w:tabs>
              <w:tab w:val="right" w:pos="9019"/>
            </w:tabs>
            <w:spacing w:line="360" w:lineRule="auto"/>
            <w:jc w:val="both"/>
            <w:rPr>
              <w:rFonts w:asciiTheme="majorBidi" w:eastAsiaTheme="minorEastAsia" w:hAnsiTheme="majorBidi" w:cstheme="majorBidi"/>
              <w:noProof/>
              <w:sz w:val="24"/>
              <w:szCs w:val="24"/>
              <w:lang w:val="en-AU"/>
            </w:rPr>
          </w:pPr>
          <w:hyperlink w:anchor="_Toc216276568" w:history="1">
            <w:r w:rsidRPr="00296F8C">
              <w:rPr>
                <w:rStyle w:val="Hyperlink"/>
                <w:rFonts w:asciiTheme="majorBidi" w:hAnsiTheme="majorBidi" w:cstheme="majorBidi"/>
                <w:noProof/>
                <w:sz w:val="24"/>
                <w:szCs w:val="24"/>
              </w:rPr>
              <w:t>5.2 Recommended adjustments aligned with OLI analysis &amp; cultural factors between the country of origin of BP and the chosen emerging economic countries</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_Toc216276568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19</w:t>
            </w:r>
            <w:r w:rsidRPr="00296F8C">
              <w:rPr>
                <w:rFonts w:asciiTheme="majorBidi" w:hAnsiTheme="majorBidi" w:cstheme="majorBidi"/>
                <w:noProof/>
                <w:webHidden/>
                <w:sz w:val="24"/>
                <w:szCs w:val="24"/>
              </w:rPr>
              <w:fldChar w:fldCharType="end"/>
            </w:r>
          </w:hyperlink>
        </w:p>
        <w:p w14:paraId="7DD209F2" w14:textId="77777777" w:rsidR="00296F8C" w:rsidRPr="00296F8C" w:rsidRDefault="00296F8C" w:rsidP="00296F8C">
          <w:pPr>
            <w:pStyle w:val="TOC1"/>
            <w:tabs>
              <w:tab w:val="right" w:pos="9019"/>
            </w:tabs>
            <w:spacing w:line="360" w:lineRule="auto"/>
            <w:jc w:val="both"/>
            <w:rPr>
              <w:rFonts w:asciiTheme="majorBidi" w:eastAsiaTheme="minorEastAsia" w:hAnsiTheme="majorBidi" w:cstheme="majorBidi"/>
              <w:noProof/>
              <w:sz w:val="24"/>
              <w:szCs w:val="24"/>
              <w:lang w:val="en-AU"/>
            </w:rPr>
          </w:pPr>
          <w:hyperlink w:anchor="_Toc216276569" w:history="1">
            <w:r w:rsidRPr="00296F8C">
              <w:rPr>
                <w:rStyle w:val="Hyperlink"/>
                <w:rFonts w:asciiTheme="majorBidi" w:hAnsiTheme="majorBidi" w:cstheme="majorBidi"/>
                <w:noProof/>
                <w:sz w:val="24"/>
                <w:szCs w:val="24"/>
              </w:rPr>
              <w:t>6.0 Conclusion</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_Toc216276569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20</w:t>
            </w:r>
            <w:r w:rsidRPr="00296F8C">
              <w:rPr>
                <w:rFonts w:asciiTheme="majorBidi" w:hAnsiTheme="majorBidi" w:cstheme="majorBidi"/>
                <w:noProof/>
                <w:webHidden/>
                <w:sz w:val="24"/>
                <w:szCs w:val="24"/>
              </w:rPr>
              <w:fldChar w:fldCharType="end"/>
            </w:r>
          </w:hyperlink>
        </w:p>
        <w:p w14:paraId="7DD47CF9" w14:textId="77777777" w:rsidR="00296F8C" w:rsidRPr="00296F8C" w:rsidRDefault="00296F8C" w:rsidP="00296F8C">
          <w:pPr>
            <w:pStyle w:val="TOC1"/>
            <w:tabs>
              <w:tab w:val="right" w:pos="9019"/>
            </w:tabs>
            <w:spacing w:line="360" w:lineRule="auto"/>
            <w:jc w:val="both"/>
            <w:rPr>
              <w:rFonts w:asciiTheme="majorBidi" w:eastAsiaTheme="minorEastAsia" w:hAnsiTheme="majorBidi" w:cstheme="majorBidi"/>
              <w:noProof/>
              <w:sz w:val="24"/>
              <w:szCs w:val="24"/>
              <w:lang w:val="en-AU"/>
            </w:rPr>
          </w:pPr>
          <w:hyperlink w:anchor="_Toc216276570" w:history="1">
            <w:r w:rsidRPr="00296F8C">
              <w:rPr>
                <w:rStyle w:val="Hyperlink"/>
                <w:rFonts w:asciiTheme="majorBidi" w:hAnsiTheme="majorBidi" w:cstheme="majorBidi"/>
                <w:noProof/>
                <w:sz w:val="24"/>
                <w:szCs w:val="24"/>
              </w:rPr>
              <w:t>References</w:t>
            </w:r>
            <w:r w:rsidRPr="00296F8C">
              <w:rPr>
                <w:rFonts w:asciiTheme="majorBidi" w:hAnsiTheme="majorBidi" w:cstheme="majorBidi"/>
                <w:noProof/>
                <w:webHidden/>
                <w:sz w:val="24"/>
                <w:szCs w:val="24"/>
              </w:rPr>
              <w:tab/>
            </w:r>
            <w:r w:rsidRPr="00296F8C">
              <w:rPr>
                <w:rFonts w:asciiTheme="majorBidi" w:hAnsiTheme="majorBidi" w:cstheme="majorBidi"/>
                <w:noProof/>
                <w:webHidden/>
                <w:sz w:val="24"/>
                <w:szCs w:val="24"/>
              </w:rPr>
              <w:fldChar w:fldCharType="begin"/>
            </w:r>
            <w:r w:rsidRPr="00296F8C">
              <w:rPr>
                <w:rFonts w:asciiTheme="majorBidi" w:hAnsiTheme="majorBidi" w:cstheme="majorBidi"/>
                <w:noProof/>
                <w:webHidden/>
                <w:sz w:val="24"/>
                <w:szCs w:val="24"/>
              </w:rPr>
              <w:instrText xml:space="preserve"> PAGEREF _Toc216276570 \h </w:instrText>
            </w:r>
            <w:r w:rsidRPr="00296F8C">
              <w:rPr>
                <w:rFonts w:asciiTheme="majorBidi" w:hAnsiTheme="majorBidi" w:cstheme="majorBidi"/>
                <w:noProof/>
                <w:webHidden/>
                <w:sz w:val="24"/>
                <w:szCs w:val="24"/>
              </w:rPr>
            </w:r>
            <w:r w:rsidRPr="00296F8C">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22</w:t>
            </w:r>
            <w:r w:rsidRPr="00296F8C">
              <w:rPr>
                <w:rFonts w:asciiTheme="majorBidi" w:hAnsiTheme="majorBidi" w:cstheme="majorBidi"/>
                <w:noProof/>
                <w:webHidden/>
                <w:sz w:val="24"/>
                <w:szCs w:val="24"/>
              </w:rPr>
              <w:fldChar w:fldCharType="end"/>
            </w:r>
          </w:hyperlink>
        </w:p>
        <w:p w14:paraId="5BCB6A98" w14:textId="77777777" w:rsidR="00DE4259" w:rsidRPr="00296F8C" w:rsidRDefault="000F0635" w:rsidP="00296F8C">
          <w:pPr>
            <w:widowControl w:val="0"/>
            <w:tabs>
              <w:tab w:val="right" w:pos="12000"/>
            </w:tabs>
            <w:spacing w:before="60" w:line="360" w:lineRule="auto"/>
            <w:jc w:val="both"/>
            <w:rPr>
              <w:rFonts w:asciiTheme="majorBidi" w:eastAsia="Times New Roman" w:hAnsiTheme="majorBidi" w:cstheme="majorBidi"/>
              <w:color w:val="000000"/>
              <w:sz w:val="24"/>
              <w:szCs w:val="24"/>
            </w:rPr>
          </w:pPr>
          <w:r w:rsidRPr="00296F8C">
            <w:rPr>
              <w:rFonts w:asciiTheme="majorBidi" w:hAnsiTheme="majorBidi" w:cstheme="majorBidi"/>
              <w:sz w:val="24"/>
              <w:szCs w:val="24"/>
            </w:rPr>
            <w:fldChar w:fldCharType="end"/>
          </w:r>
        </w:p>
      </w:sdtContent>
    </w:sdt>
    <w:p w14:paraId="25C53917" w14:textId="77777777" w:rsidR="00DE4259" w:rsidRDefault="00DE4259">
      <w:pPr>
        <w:spacing w:line="360" w:lineRule="auto"/>
        <w:jc w:val="center"/>
        <w:rPr>
          <w:rFonts w:ascii="Times New Roman" w:eastAsia="Times New Roman" w:hAnsi="Times New Roman" w:cs="Times New Roman"/>
          <w:sz w:val="24"/>
          <w:szCs w:val="24"/>
        </w:rPr>
      </w:pPr>
    </w:p>
    <w:p w14:paraId="1A2BE21A" w14:textId="77777777" w:rsidR="00DE4259" w:rsidRDefault="000F0635">
      <w:pPr>
        <w:spacing w:line="360" w:lineRule="auto"/>
        <w:jc w:val="center"/>
        <w:rPr>
          <w:rFonts w:ascii="Times New Roman" w:eastAsia="Times New Roman" w:hAnsi="Times New Roman" w:cs="Times New Roman"/>
          <w:b/>
          <w:bCs/>
          <w:sz w:val="24"/>
          <w:szCs w:val="24"/>
        </w:rPr>
      </w:pPr>
      <w:r>
        <w:br w:type="page"/>
      </w:r>
    </w:p>
    <w:p w14:paraId="208DC282" w14:textId="77777777" w:rsidR="00DE4259" w:rsidRDefault="000F0635">
      <w:pPr>
        <w:pStyle w:val="Heading1"/>
      </w:pPr>
      <w:bookmarkStart w:id="2" w:name="_Toc216276548"/>
      <w:r>
        <w:lastRenderedPageBreak/>
        <w:t>1.0 Introduction to the report</w:t>
      </w:r>
      <w:bookmarkEnd w:id="2"/>
    </w:p>
    <w:p w14:paraId="796BBE81" w14:textId="77777777" w:rsidR="00DE4259" w:rsidRDefault="000F0635">
      <w:pPr>
        <w:pStyle w:val="Heading2"/>
        <w:rPr>
          <w:color w:val="CC0000"/>
        </w:rPr>
      </w:pPr>
      <w:bookmarkStart w:id="3" w:name="_Toc216276549"/>
      <w:r>
        <w:rPr>
          <w:color w:val="CC0000"/>
        </w:rPr>
        <w:t>1.1 Introducing the concept of Multinational Companies (MNCs)</w:t>
      </w:r>
      <w:bookmarkEnd w:id="3"/>
      <w:r>
        <w:rPr>
          <w:color w:val="CC0000"/>
        </w:rPr>
        <w:t xml:space="preserve"> </w:t>
      </w:r>
    </w:p>
    <w:p w14:paraId="35784D6E" w14:textId="77777777" w:rsidR="00DE4259" w:rsidRDefault="000F0635">
      <w:pPr>
        <w:spacing w:line="360" w:lineRule="auto"/>
        <w:jc w:val="both"/>
        <w:rPr>
          <w:rFonts w:ascii="Times New Roman" w:eastAsia="Times New Roman" w:hAnsi="Times New Roman" w:cs="Times New Roman"/>
          <w:color w:val="CC0000"/>
          <w:sz w:val="24"/>
          <w:szCs w:val="24"/>
        </w:rPr>
      </w:pPr>
      <w:r>
        <w:rPr>
          <w:rFonts w:ascii="Times New Roman" w:eastAsia="Times New Roman" w:hAnsi="Times New Roman" w:cs="Times New Roman"/>
          <w:color w:val="CC0000"/>
          <w:sz w:val="24"/>
          <w:szCs w:val="24"/>
        </w:rPr>
        <w:t xml:space="preserve">A Multinational Company (MNC) refers to a large business entity that operates both in its home (origin) country and has facilities, offices and subsidiaries in at least one other country apart from the home country market. The key characteristics of such MNCs include operations such as manufacturing, sales and marketing spanning over multiple locations with a centralised control (typically with a parent company that runs from the home country). </w:t>
      </w:r>
    </w:p>
    <w:p w14:paraId="633F4475" w14:textId="77777777" w:rsidR="00DE4259" w:rsidRDefault="000F0635">
      <w:pPr>
        <w:pStyle w:val="Heading2"/>
      </w:pPr>
      <w:bookmarkStart w:id="4" w:name="_Toc216276550"/>
      <w:r>
        <w:t>1.2 Background of chosen MNC: British Petroleum</w:t>
      </w:r>
      <w:bookmarkEnd w:id="4"/>
    </w:p>
    <w:p w14:paraId="0D3231FF"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Petroleum (BP) is one of the world's leading integrated oil and gas businesses. The organisation claims a global presence, employing around 91,000 people worldwide and operating in about 70 countries, including the US, China, India, Brazil, and others. BP made $47.677 billion in revenue during the quarter ended on June 30, 2025, as shown in figure 1 (MacroTrends, 2025). </w:t>
      </w:r>
    </w:p>
    <w:p w14:paraId="59B4AFEB" w14:textId="77777777" w:rsidR="00DE4259" w:rsidRDefault="000F063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AU"/>
        </w:rPr>
        <w:drawing>
          <wp:inline distT="114300" distB="114300" distL="114300" distR="114300" wp14:anchorId="5E0048E9" wp14:editId="4BFA0596">
            <wp:extent cx="5731200" cy="4927600"/>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4927600"/>
                    </a:xfrm>
                    <a:prstGeom prst="rect">
                      <a:avLst/>
                    </a:prstGeom>
                    <a:ln/>
                  </pic:spPr>
                </pic:pic>
              </a:graphicData>
            </a:graphic>
          </wp:inline>
        </w:drawing>
      </w:r>
    </w:p>
    <w:p w14:paraId="03CDB1A0"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Revenue of BP</w:t>
      </w:r>
    </w:p>
    <w:p w14:paraId="05240625"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(Source: MacroTrends, 2025)</w:t>
      </w:r>
    </w:p>
    <w:p w14:paraId="520C63B3"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BP aims to "reimagine energy for people and the planet" by investing $1.2 billion in low-carbon technologies while maintaining a balance with conventional hydrocarbon production (DCFmodeling.com, 2024). This investment and financial performance of BP underscores its commitment to innovation and sustainability. </w:t>
      </w:r>
    </w:p>
    <w:p w14:paraId="4059B4F3" w14:textId="77777777" w:rsidR="00DE4259" w:rsidRDefault="000F0635">
      <w:pPr>
        <w:pStyle w:val="Heading2"/>
      </w:pPr>
      <w:bookmarkStart w:id="5" w:name="_Toc216276551"/>
      <w:r>
        <w:t>1.3 Aim of the report</w:t>
      </w:r>
      <w:bookmarkEnd w:id="5"/>
    </w:p>
    <w:p w14:paraId="4C7FAFD5" w14:textId="77777777" w:rsidR="00DE4259" w:rsidRDefault="000F0635">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The aim of the report is to evaluate the global operations of British Petroleum (BP), with a specific emphasis on its presence in emerging economies like India and Brazil, and provide insights into international market entry strategies, challenges and opportunities. </w:t>
      </w:r>
    </w:p>
    <w:p w14:paraId="59896B40" w14:textId="77777777" w:rsidR="00DE4259" w:rsidRDefault="00DE4259">
      <w:pPr>
        <w:spacing w:line="360" w:lineRule="auto"/>
        <w:jc w:val="both"/>
        <w:rPr>
          <w:rFonts w:ascii="Times New Roman" w:eastAsia="Times New Roman" w:hAnsi="Times New Roman" w:cs="Times New Roman"/>
          <w:b/>
          <w:bCs/>
          <w:sz w:val="24"/>
          <w:szCs w:val="24"/>
        </w:rPr>
      </w:pPr>
    </w:p>
    <w:p w14:paraId="07E44D2C" w14:textId="77777777" w:rsidR="00DE4259" w:rsidRDefault="000F0635">
      <w:pPr>
        <w:pStyle w:val="Heading1"/>
      </w:pPr>
      <w:bookmarkStart w:id="6" w:name="_Toc216276552"/>
      <w:r>
        <w:t>2.0 Benefits and challenges of international operations</w:t>
      </w:r>
      <w:bookmarkEnd w:id="6"/>
    </w:p>
    <w:p w14:paraId="5C713912" w14:textId="77777777" w:rsidR="00DE4259" w:rsidRDefault="000F0635">
      <w:pPr>
        <w:pStyle w:val="Heading2"/>
      </w:pPr>
      <w:bookmarkStart w:id="7" w:name="_Toc216276553"/>
      <w:r>
        <w:t>a. Explaining why BP can be designated an MNC</w:t>
      </w:r>
      <w:bookmarkEnd w:id="7"/>
    </w:p>
    <w:p w14:paraId="7EA74831"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BP can be designated as a Multinational Corporation (MNC) for several reasons, such as its global presence and international business activities. Having activities on 6 different continents, BP has expanded to rank among the biggest energy firms across the world (</w:t>
      </w:r>
      <w:r>
        <w:rPr>
          <w:rFonts w:ascii="Times New Roman" w:eastAsia="Times New Roman" w:hAnsi="Times New Roman" w:cs="Times New Roman"/>
          <w:sz w:val="24"/>
          <w:szCs w:val="24"/>
          <w:highlight w:val="white"/>
        </w:rPr>
        <w:t>Bp.com, 2025</w:t>
      </w:r>
      <w:r>
        <w:rPr>
          <w:rFonts w:ascii="Times New Roman" w:eastAsia="Times New Roman" w:hAnsi="Times New Roman" w:cs="Times New Roman"/>
          <w:sz w:val="24"/>
          <w:szCs w:val="24"/>
        </w:rPr>
        <w:t xml:space="preserve">). The business is engaged in all facets of the oil and gas sector, including marketing, distribution, production, refining, and exploration. </w:t>
      </w:r>
    </w:p>
    <w:p w14:paraId="72898C24"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AU"/>
        </w:rPr>
        <w:drawing>
          <wp:inline distT="114300" distB="114300" distL="114300" distR="114300" wp14:anchorId="51B51765" wp14:editId="2B4F579B">
            <wp:extent cx="5731200" cy="4292600"/>
            <wp:effectExtent l="0" t="0" r="0" b="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4292600"/>
                    </a:xfrm>
                    <a:prstGeom prst="rect">
                      <a:avLst/>
                    </a:prstGeom>
                    <a:ln/>
                  </pic:spPr>
                </pic:pic>
              </a:graphicData>
            </a:graphic>
          </wp:inline>
        </w:drawing>
      </w:r>
    </w:p>
    <w:p w14:paraId="21D22329"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Figure 2: BP’s global presence and activities </w:t>
      </w:r>
    </w:p>
    <w:p w14:paraId="159BACE5" w14:textId="77777777" w:rsidR="00DE4259" w:rsidRDefault="000F063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(Source: </w:t>
      </w:r>
      <w:r>
        <w:rPr>
          <w:rFonts w:ascii="Times New Roman" w:eastAsia="Times New Roman" w:hAnsi="Times New Roman" w:cs="Times New Roman"/>
          <w:b/>
          <w:bCs/>
          <w:sz w:val="24"/>
          <w:szCs w:val="24"/>
          <w:highlight w:val="white"/>
        </w:rPr>
        <w:t>Bp.com, 2025)</w:t>
      </w:r>
    </w:p>
    <w:p w14:paraId="10448E3B" w14:textId="77777777" w:rsidR="00DE4259" w:rsidRDefault="000F0635">
      <w:pPr>
        <w:pStyle w:val="Heading2"/>
        <w:rPr>
          <w:color w:val="CC0000"/>
        </w:rPr>
      </w:pPr>
      <w:bookmarkStart w:id="8" w:name="_Toc216276554"/>
      <w:r>
        <w:rPr>
          <w:color w:val="CC0000"/>
        </w:rPr>
        <w:t>b. Introducing the concept of value chain, why it is considered important in cases of MNCs and listing down the benefits of value chain</w:t>
      </w:r>
      <w:bookmarkEnd w:id="8"/>
    </w:p>
    <w:p w14:paraId="31113A63" w14:textId="77777777" w:rsidR="00DE4259" w:rsidRDefault="000F0635">
      <w:pPr>
        <w:spacing w:line="360" w:lineRule="auto"/>
        <w:jc w:val="both"/>
        <w:rPr>
          <w:rFonts w:ascii="Times New Roman" w:eastAsia="Times New Roman" w:hAnsi="Times New Roman" w:cs="Times New Roman"/>
          <w:color w:val="CC0000"/>
          <w:sz w:val="24"/>
          <w:szCs w:val="24"/>
        </w:rPr>
      </w:pPr>
      <w:r>
        <w:rPr>
          <w:rFonts w:ascii="Times New Roman" w:eastAsia="Times New Roman" w:hAnsi="Times New Roman" w:cs="Times New Roman"/>
          <w:color w:val="CC0000"/>
          <w:sz w:val="24"/>
          <w:szCs w:val="24"/>
        </w:rPr>
        <w:t xml:space="preserve">The concept of value chain was introduced by Michael Porter who viewed any corporate operations as part of an interconnected system. The primary activities of the value chain should include inbound logistics, core operations, outbound logistics, marketing and sales services. The support activities that would be secondary in nature simultaneous with primary activities include human resource management, firm infrastructure, technology development (as required) and procurement strategies. </w:t>
      </w:r>
    </w:p>
    <w:p w14:paraId="7CF9B058" w14:textId="77777777" w:rsidR="00DE4259" w:rsidRDefault="000F0635">
      <w:pPr>
        <w:spacing w:line="360" w:lineRule="auto"/>
        <w:jc w:val="both"/>
        <w:rPr>
          <w:rFonts w:ascii="Times New Roman" w:eastAsia="Times New Roman" w:hAnsi="Times New Roman" w:cs="Times New Roman"/>
          <w:color w:val="CC0000"/>
          <w:sz w:val="24"/>
          <w:szCs w:val="24"/>
        </w:rPr>
      </w:pPr>
      <w:r>
        <w:rPr>
          <w:rFonts w:ascii="Times New Roman" w:eastAsia="Times New Roman" w:hAnsi="Times New Roman" w:cs="Times New Roman"/>
          <w:color w:val="CC0000"/>
          <w:sz w:val="24"/>
          <w:szCs w:val="24"/>
        </w:rPr>
        <w:t xml:space="preserve">For MNCs, such value chain analysis is important to identify best-possible locations for the company (in terms of offshoring/outsourcing) so that the company could get leverage of breaking down the entire process into different parts, putting it into different countries that would create more value in return. </w:t>
      </w:r>
    </w:p>
    <w:p w14:paraId="11EF0BA5" w14:textId="77777777" w:rsidR="00DE4259" w:rsidRDefault="000F0635">
      <w:pPr>
        <w:spacing w:line="360" w:lineRule="auto"/>
        <w:jc w:val="both"/>
        <w:rPr>
          <w:rFonts w:ascii="Times New Roman" w:eastAsia="Times New Roman" w:hAnsi="Times New Roman" w:cs="Times New Roman"/>
          <w:color w:val="CC0000"/>
          <w:sz w:val="24"/>
          <w:szCs w:val="24"/>
        </w:rPr>
      </w:pPr>
      <w:r>
        <w:rPr>
          <w:rFonts w:ascii="Times New Roman" w:eastAsia="Times New Roman" w:hAnsi="Times New Roman" w:cs="Times New Roman"/>
          <w:color w:val="CC0000"/>
          <w:sz w:val="24"/>
          <w:szCs w:val="24"/>
        </w:rPr>
        <w:t xml:space="preserve">The core benefit of value chain analysis lies within facilitating the flow of knowledge and expertise across countries that help firms manage complex networks of suppliers, producers and distributors. As a result, this develops more efficiency in regular activities which trims down any extra expenses. Additionally, the value chain improves product quality because it finds new ways to add value at each stage which are more focused on improving customer experience and create stronger market differentiation with benefits of cost leadership strategy to offer services at a reasonable market price. </w:t>
      </w:r>
    </w:p>
    <w:p w14:paraId="1A9E6D2B" w14:textId="77777777" w:rsidR="00DE4259" w:rsidRDefault="000F0635">
      <w:pPr>
        <w:pStyle w:val="Heading2"/>
        <w:rPr>
          <w:color w:val="CC0000"/>
        </w:rPr>
      </w:pPr>
      <w:bookmarkStart w:id="9" w:name="_Toc216276555"/>
      <w:r>
        <w:rPr>
          <w:color w:val="CC0000"/>
        </w:rPr>
        <w:t>c. Relevance of value chain aspects for British Petroleum</w:t>
      </w:r>
      <w:bookmarkEnd w:id="9"/>
      <w:r>
        <w:rPr>
          <w:color w:val="CC0000"/>
        </w:rPr>
        <w:t xml:space="preserve"> </w:t>
      </w:r>
    </w:p>
    <w:p w14:paraId="4ACED540"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CC0000"/>
          <w:sz w:val="24"/>
          <w:szCs w:val="24"/>
        </w:rPr>
        <w:t xml:space="preserve">The value chain analysis would be highly relevant for BP because it provides a more comprehensive and critical framework in identifiable areas such as operational efficiency, cost reduction and strategic differentiation. The company has historically been a vertically integrated company as this upstream movement (to be assessed in the framework) would be considered crucial to secure raw materials and manage resource risk more valuably. Moreover, the value chain analysis secures how BP can leverage advanced technologies such as seismic imaging and deepwater drilling capabilities to optimise its day-to-day operations more effectively. </w:t>
      </w:r>
    </w:p>
    <w:p w14:paraId="7BD7CECA" w14:textId="77777777" w:rsidR="00DE4259" w:rsidRDefault="000F0635">
      <w:pPr>
        <w:pStyle w:val="Heading2"/>
      </w:pPr>
      <w:bookmarkStart w:id="10" w:name="_Toc216276556"/>
      <w:r>
        <w:t>d. Summary of the nature of global operations of the company, focusing on value chain aspects</w:t>
      </w:r>
      <w:bookmarkEnd w:id="10"/>
    </w:p>
    <w:p w14:paraId="212513B8" w14:textId="77777777" w:rsidR="00DE4259" w:rsidRDefault="000F0635">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Porter's Value Chain Framework of BP</w:t>
      </w:r>
    </w:p>
    <w:p w14:paraId="267248E5" w14:textId="77777777" w:rsidR="00DE4259" w:rsidRDefault="000F0635">
      <w:pPr>
        <w:spacing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noProof/>
          <w:sz w:val="24"/>
          <w:szCs w:val="24"/>
          <w:lang w:val="en-AU"/>
        </w:rPr>
        <w:lastRenderedPageBreak/>
        <w:drawing>
          <wp:inline distT="114300" distB="114300" distL="114300" distR="114300" wp14:anchorId="1DE0ADF3" wp14:editId="4F7E188C">
            <wp:extent cx="5731200" cy="4597400"/>
            <wp:effectExtent l="0" t="0" r="0" b="0"/>
            <wp:docPr id="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4597400"/>
                    </a:xfrm>
                    <a:prstGeom prst="rect">
                      <a:avLst/>
                    </a:prstGeom>
                    <a:ln/>
                  </pic:spPr>
                </pic:pic>
              </a:graphicData>
            </a:graphic>
          </wp:inline>
        </w:drawing>
      </w:r>
    </w:p>
    <w:p w14:paraId="096344DF"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Porter’s value chain framework of BP</w:t>
      </w:r>
    </w:p>
    <w:p w14:paraId="4055E405"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Self-created)</w:t>
      </w:r>
    </w:p>
    <w:p w14:paraId="3A1978D2"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Analysis: </w:t>
      </w:r>
      <w:r>
        <w:rPr>
          <w:rFonts w:ascii="Times New Roman" w:eastAsia="Times New Roman" w:hAnsi="Times New Roman" w:cs="Times New Roman"/>
          <w:sz w:val="24"/>
          <w:szCs w:val="24"/>
        </w:rPr>
        <w:t>The aforementioned value chain makes it apparent that BP's global network is quite diverse and that the needs of the various operations at different stages vary greatly. In terms of primary activities, exploration, manufacturing, refining, distribution, and marketing are all areas of the oil and gas business in which the corporation is engaged. For example, having 21,200 retail locations globally as of 2024, BP has a substantial retail footprint. This network is the main means of reaching individual customers with gasoline and convenience products, and it is supplemented by 2,950 well-located convenience stores (Latterly.org, 2025). Since it moves toward lower-carbon power sources, BP's advertising and marketing plan is a dynamic combination of conventional technology along with digital tactics intended to increase brand recognition, draw in new clients, and cultivate customer loyalty. For example, BP's "</w:t>
      </w:r>
      <w:r>
        <w:rPr>
          <w:rFonts w:ascii="Times New Roman" w:eastAsia="Times New Roman" w:hAnsi="Times New Roman" w:cs="Times New Roman"/>
          <w:b/>
          <w:bCs/>
          <w:i/>
          <w:iCs/>
          <w:sz w:val="24"/>
          <w:szCs w:val="24"/>
        </w:rPr>
        <w:t>Reimagining Energy”</w:t>
      </w:r>
      <w:r>
        <w:rPr>
          <w:rFonts w:ascii="Times New Roman" w:eastAsia="Times New Roman" w:hAnsi="Times New Roman" w:cs="Times New Roman"/>
          <w:sz w:val="24"/>
          <w:szCs w:val="24"/>
        </w:rPr>
        <w:t xml:space="preserve"> initiative is a crucial element of its brand strategy, highlighting the organisation's resolve to change its business model from one that relies heavily on oil and gas to one that has a more varied energy portfolio (</w:t>
      </w:r>
      <w:r>
        <w:rPr>
          <w:rFonts w:ascii="Times New Roman" w:eastAsia="Times New Roman" w:hAnsi="Times New Roman" w:cs="Times New Roman"/>
          <w:sz w:val="24"/>
          <w:szCs w:val="24"/>
          <w:highlight w:val="white"/>
        </w:rPr>
        <w:t>Eustochos.com, 2024</w:t>
      </w:r>
      <w:r>
        <w:rPr>
          <w:rFonts w:ascii="Times New Roman" w:eastAsia="Times New Roman" w:hAnsi="Times New Roman" w:cs="Times New Roman"/>
          <w:sz w:val="24"/>
          <w:szCs w:val="24"/>
        </w:rPr>
        <w:t xml:space="preserve">). In terms of support activities, BP revealed intentions to invest up to £50 million, or about $60 </w:t>
      </w:r>
      <w:r>
        <w:rPr>
          <w:rFonts w:ascii="Times New Roman" w:eastAsia="Times New Roman" w:hAnsi="Times New Roman" w:cs="Times New Roman"/>
          <w:sz w:val="24"/>
          <w:szCs w:val="24"/>
        </w:rPr>
        <w:lastRenderedPageBreak/>
        <w:t>million, in a brand-new, cutting-edge analytical lab and test facility for EV batteries in the UK (</w:t>
      </w:r>
      <w:r>
        <w:rPr>
          <w:rFonts w:ascii="Times New Roman" w:eastAsia="Times New Roman" w:hAnsi="Times New Roman" w:cs="Times New Roman"/>
          <w:sz w:val="24"/>
          <w:szCs w:val="24"/>
          <w:highlight w:val="white"/>
        </w:rPr>
        <w:t>Bp.com, 2022</w:t>
      </w:r>
      <w:r>
        <w:rPr>
          <w:rFonts w:ascii="Times New Roman" w:eastAsia="Times New Roman" w:hAnsi="Times New Roman" w:cs="Times New Roman"/>
          <w:sz w:val="24"/>
          <w:szCs w:val="24"/>
        </w:rPr>
        <w:t>). Keeping with its earlier pledge to spend up to £18 bn across the UK's energy system by the end of 2030, the business party is demonstrating its dedication to the nation with this fresh investment.</w:t>
      </w:r>
    </w:p>
    <w:p w14:paraId="7E3CE46E" w14:textId="77777777" w:rsidR="00DE4259" w:rsidRDefault="000F0635">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Global research and development operations</w:t>
      </w:r>
    </w:p>
    <w:p w14:paraId="01144F7E"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global research and development operations of BP will be discussed using the chosen four key countries, which are the US, China, Brazil, and India. In terms of the US, approximately 40% of BP's global capital investment, or over $6 billion, had been invested throughout the United States during 2024 (</w:t>
      </w:r>
      <w:r>
        <w:rPr>
          <w:rFonts w:ascii="Times New Roman" w:eastAsia="Times New Roman" w:hAnsi="Times New Roman" w:cs="Times New Roman"/>
          <w:sz w:val="24"/>
          <w:szCs w:val="24"/>
          <w:highlight w:val="white"/>
        </w:rPr>
        <w:t>Bp.com, 2024</w:t>
      </w:r>
      <w:r>
        <w:rPr>
          <w:rFonts w:ascii="Times New Roman" w:eastAsia="Times New Roman" w:hAnsi="Times New Roman" w:cs="Times New Roman"/>
          <w:sz w:val="24"/>
          <w:szCs w:val="24"/>
        </w:rPr>
        <w:t>).</w:t>
      </w:r>
    </w:p>
    <w:p w14:paraId="033A4E3F" w14:textId="77777777" w:rsidR="00DE4259" w:rsidRDefault="000F063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AU"/>
        </w:rPr>
        <w:drawing>
          <wp:inline distT="114300" distB="114300" distL="114300" distR="114300" wp14:anchorId="33808176" wp14:editId="63F35419">
            <wp:extent cx="5005388" cy="2802019"/>
            <wp:effectExtent l="0" t="0" r="0" b="0"/>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005388" cy="2802019"/>
                    </a:xfrm>
                    <a:prstGeom prst="rect">
                      <a:avLst/>
                    </a:prstGeom>
                    <a:ln/>
                  </pic:spPr>
                </pic:pic>
              </a:graphicData>
            </a:graphic>
          </wp:inline>
        </w:drawing>
      </w:r>
    </w:p>
    <w:p w14:paraId="6ED88693"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BP's presence in the US</w:t>
      </w:r>
    </w:p>
    <w:p w14:paraId="03AFA9E1"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(Source: </w:t>
      </w:r>
      <w:r>
        <w:rPr>
          <w:rFonts w:ascii="Times New Roman" w:eastAsia="Times New Roman" w:hAnsi="Times New Roman" w:cs="Times New Roman"/>
          <w:b/>
          <w:bCs/>
          <w:sz w:val="24"/>
          <w:szCs w:val="24"/>
          <w:highlight w:val="white"/>
        </w:rPr>
        <w:t>Bp.com, 2024)</w:t>
      </w:r>
    </w:p>
    <w:p w14:paraId="0514DA42" w14:textId="77777777" w:rsidR="00DE4259" w:rsidRDefault="000F0635">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In the LNG sector in China, BP is the sole international cooperation partner. After establishing an alliance connection, BP &amp; China National Offshore Oil Company executed a number of projects, such as terminal and artery projects. It has been supplying fuel for aeroplanes at 23 airports in China. 800 joint venture gas stations have been set up in Zhejiang and Guangdong (</w:t>
      </w:r>
      <w:r>
        <w:rPr>
          <w:rFonts w:ascii="Times New Roman" w:eastAsia="Times New Roman" w:hAnsi="Times New Roman" w:cs="Times New Roman"/>
          <w:sz w:val="24"/>
          <w:szCs w:val="24"/>
          <w:highlight w:val="white"/>
        </w:rPr>
        <w:t>Pudong.gov.cn, 2020</w:t>
      </w:r>
      <w:r>
        <w:rPr>
          <w:rFonts w:ascii="Times New Roman" w:eastAsia="Times New Roman" w:hAnsi="Times New Roman" w:cs="Times New Roman"/>
          <w:sz w:val="24"/>
          <w:szCs w:val="24"/>
        </w:rPr>
        <w:t>). In terms of Brazil, the biggest hydrocarbon discovery in 25 years was recently revealed by BP. It is situated in the pre-salt geologic structure in the Santo River near the Brazilian seas. To win back investors' trust, along with boosting lagging stock, BP is working to increase the proportion of energy assets in its holding</w:t>
      </w:r>
      <w:r>
        <w:rPr>
          <w:rFonts w:ascii="Times New Roman" w:eastAsia="Times New Roman" w:hAnsi="Times New Roman" w:cs="Times New Roman"/>
        </w:rPr>
        <w:t>s (</w:t>
      </w:r>
      <w:r>
        <w:rPr>
          <w:rFonts w:ascii="Times New Roman" w:eastAsia="Times New Roman" w:hAnsi="Times New Roman" w:cs="Times New Roman"/>
          <w:highlight w:val="white"/>
        </w:rPr>
        <w:t>Reuters.com, 2025</w:t>
      </w:r>
      <w:r>
        <w:rPr>
          <w:rFonts w:ascii="Times New Roman" w:eastAsia="Times New Roman" w:hAnsi="Times New Roman" w:cs="Times New Roman"/>
        </w:rPr>
        <w:t>). I</w:t>
      </w:r>
      <w:r>
        <w:rPr>
          <w:rFonts w:ascii="Times New Roman" w:eastAsia="Times New Roman" w:hAnsi="Times New Roman" w:cs="Times New Roman"/>
          <w:sz w:val="24"/>
          <w:szCs w:val="24"/>
        </w:rPr>
        <w:t>n India, BP plans to build 4,000 commercial vehicle fuel outlets and develop compressed gas infrastructures over the course of the following four years (</w:t>
      </w:r>
      <w:r>
        <w:rPr>
          <w:rFonts w:ascii="Times New Roman" w:eastAsia="Times New Roman" w:hAnsi="Times New Roman" w:cs="Times New Roman"/>
          <w:sz w:val="24"/>
          <w:szCs w:val="24"/>
          <w:highlight w:val="white"/>
        </w:rPr>
        <w:t>Financialexpress.com, 2025</w:t>
      </w:r>
      <w:r>
        <w:rPr>
          <w:rFonts w:ascii="Times New Roman" w:eastAsia="Times New Roman" w:hAnsi="Times New Roman" w:cs="Times New Roman"/>
          <w:sz w:val="24"/>
          <w:szCs w:val="24"/>
        </w:rPr>
        <w:t>).</w:t>
      </w:r>
    </w:p>
    <w:p w14:paraId="0C05CE53" w14:textId="77777777" w:rsidR="00DE4259" w:rsidRDefault="000F0635">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i/>
          <w:iCs/>
          <w:sz w:val="24"/>
          <w:szCs w:val="24"/>
        </w:rPr>
        <w:t>Financial operations in the chosen international countries</w:t>
      </w:r>
    </w:p>
    <w:p w14:paraId="55C91068" w14:textId="77777777" w:rsidR="00DE4259" w:rsidRDefault="000F0635">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lastRenderedPageBreak/>
        <w:t>In India, BP has taken full ownership of Lightsource by purchasing the 50.03%  stake with a total of 400 million pounds ($518.00 million) plus 2.1 billion pounds in debt (</w:t>
      </w:r>
      <w:r>
        <w:rPr>
          <w:rFonts w:ascii="Times New Roman" w:eastAsia="Times New Roman" w:hAnsi="Times New Roman" w:cs="Times New Roman"/>
          <w:sz w:val="24"/>
          <w:szCs w:val="24"/>
          <w:highlight w:val="white"/>
        </w:rPr>
        <w:t>Timesofindia.in, 2024</w:t>
      </w:r>
      <w:r>
        <w:rPr>
          <w:rFonts w:ascii="Times New Roman" w:eastAsia="Times New Roman" w:hAnsi="Times New Roman" w:cs="Times New Roman"/>
          <w:sz w:val="24"/>
          <w:szCs w:val="24"/>
        </w:rPr>
        <w:t>). The purchase supports BP's efforts to increase the production of biofuel, along with renewable fuels, in fulfilment of the power transition plan. Across 240 acres, this 60 megawatt peak solar farm supplies clean power to almost 75,000 houses in India. In the USA, approximately 774,000 barrels of petroleum were produced on a daily basis in the United States during 2024, a level more than 30% higher than in 2022, through $160 billion capital expenditure and 300,00 job opportunities</w:t>
      </w:r>
      <w:r>
        <w:rPr>
          <w:rFonts w:ascii="Times New Roman" w:eastAsia="Times New Roman" w:hAnsi="Times New Roman" w:cs="Times New Roman"/>
        </w:rPr>
        <w:t xml:space="preserve"> (</w:t>
      </w:r>
      <w:r>
        <w:rPr>
          <w:rFonts w:ascii="Times New Roman" w:eastAsia="Times New Roman" w:hAnsi="Times New Roman" w:cs="Times New Roman"/>
          <w:highlight w:val="white"/>
        </w:rPr>
        <w:t>Bp.com, 2024)</w:t>
      </w:r>
      <w:r>
        <w:rPr>
          <w:rFonts w:ascii="Times New Roman" w:eastAsia="Times New Roman" w:hAnsi="Times New Roman" w:cs="Times New Roman"/>
        </w:rPr>
        <w:t xml:space="preserve">. </w:t>
      </w:r>
    </w:p>
    <w:p w14:paraId="1D873FD9" w14:textId="77777777" w:rsidR="00DE4259" w:rsidRDefault="000F063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AU"/>
        </w:rPr>
        <w:drawing>
          <wp:inline distT="114300" distB="114300" distL="114300" distR="114300" wp14:anchorId="08EE20D2" wp14:editId="326DD4AF">
            <wp:extent cx="4124325" cy="1352550"/>
            <wp:effectExtent l="0" t="0" r="0" b="0"/>
            <wp:docPr id="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124325" cy="1352550"/>
                    </a:xfrm>
                    <a:prstGeom prst="rect">
                      <a:avLst/>
                    </a:prstGeom>
                    <a:ln/>
                  </pic:spPr>
                </pic:pic>
              </a:graphicData>
            </a:graphic>
          </wp:inline>
        </w:drawing>
      </w:r>
    </w:p>
    <w:p w14:paraId="68A9280B" w14:textId="77777777" w:rsidR="00DE4259" w:rsidRDefault="000F0635">
      <w:pPr>
        <w:spacing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rPr>
        <w:t>Figure 5: Financial operation of BP in the US</w:t>
      </w:r>
    </w:p>
    <w:p w14:paraId="3C722163" w14:textId="77777777" w:rsidR="00DE4259" w:rsidRDefault="000F0635">
      <w:pPr>
        <w:spacing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rPr>
        <w:t xml:space="preserve">(Source: </w:t>
      </w:r>
      <w:r>
        <w:rPr>
          <w:rFonts w:ascii="Times New Roman" w:eastAsia="Times New Roman" w:hAnsi="Times New Roman" w:cs="Times New Roman"/>
          <w:b/>
          <w:bCs/>
          <w:sz w:val="24"/>
          <w:szCs w:val="24"/>
          <w:highlight w:val="white"/>
        </w:rPr>
        <w:t>Bp.com, 2024)</w:t>
      </w:r>
    </w:p>
    <w:p w14:paraId="0177A251" w14:textId="77777777" w:rsidR="00DE4259" w:rsidRDefault="000F0635">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highlight w:val="white"/>
        </w:rPr>
        <w:t>In China, BP's adjusted EBITDA for 2024 was $38 billion; operational cash flow reported $27.3 billion; and upstream output was 2.358 million barrels of oil equivalent per day in 2024, a 2.0% rise from the previous year (Bp.com.cn, 2024).</w:t>
      </w:r>
    </w:p>
    <w:p w14:paraId="659ABE9D" w14:textId="77777777" w:rsidR="00DE4259" w:rsidRDefault="000F0635">
      <w:pPr>
        <w:pStyle w:val="Heading2"/>
      </w:pPr>
      <w:bookmarkStart w:id="11" w:name="_Toc216276557"/>
      <w:r>
        <w:t>e. Identifying different entry modes used by BP in entering different international markets in which it has presence with dominant entry mode</w:t>
      </w:r>
      <w:bookmarkEnd w:id="11"/>
    </w:p>
    <w:p w14:paraId="7C8F67EC" w14:textId="77777777" w:rsidR="00DE4259" w:rsidRDefault="000F0635">
      <w:pPr>
        <w:spacing w:line="360" w:lineRule="auto"/>
        <w:jc w:val="both"/>
        <w:rPr>
          <w:rFonts w:ascii="Times New Roman" w:eastAsia="Times New Roman" w:hAnsi="Times New Roman" w:cs="Times New Roman"/>
          <w:b/>
          <w:bCs/>
          <w:i/>
          <w:iCs/>
          <w:color w:val="CC0000"/>
          <w:sz w:val="24"/>
          <w:szCs w:val="24"/>
        </w:rPr>
      </w:pPr>
      <w:r>
        <w:rPr>
          <w:rFonts w:ascii="Times New Roman" w:eastAsia="Times New Roman" w:hAnsi="Times New Roman" w:cs="Times New Roman"/>
          <w:b/>
          <w:bCs/>
          <w:i/>
          <w:iCs/>
          <w:color w:val="CC0000"/>
          <w:sz w:val="24"/>
          <w:szCs w:val="24"/>
        </w:rPr>
        <w:t xml:space="preserve">List of entry modes common in MNCs </w:t>
      </w:r>
    </w:p>
    <w:p w14:paraId="2492BAB4" w14:textId="77777777" w:rsidR="00DE4259" w:rsidRDefault="000F0635">
      <w:pPr>
        <w:spacing w:line="360" w:lineRule="auto"/>
        <w:jc w:val="both"/>
        <w:rPr>
          <w:rFonts w:ascii="Times New Roman" w:eastAsia="Times New Roman" w:hAnsi="Times New Roman" w:cs="Times New Roman"/>
          <w:color w:val="CC0000"/>
          <w:sz w:val="24"/>
          <w:szCs w:val="24"/>
        </w:rPr>
      </w:pPr>
      <w:r>
        <w:rPr>
          <w:rFonts w:ascii="Times New Roman" w:eastAsia="Times New Roman" w:hAnsi="Times New Roman" w:cs="Times New Roman"/>
          <w:color w:val="CC0000"/>
          <w:sz w:val="24"/>
          <w:szCs w:val="24"/>
        </w:rPr>
        <w:t xml:space="preserve">There are several spectrum of entry modes that MNCs typically have to rely on based on their strategic goals - </w:t>
      </w:r>
    </w:p>
    <w:p w14:paraId="2C114982" w14:textId="77777777" w:rsidR="00DE4259" w:rsidRDefault="000F0635">
      <w:pPr>
        <w:spacing w:line="360" w:lineRule="auto"/>
        <w:jc w:val="both"/>
        <w:rPr>
          <w:rFonts w:ascii="Times New Roman" w:eastAsia="Times New Roman" w:hAnsi="Times New Roman" w:cs="Times New Roman"/>
          <w:color w:val="CC0000"/>
          <w:sz w:val="24"/>
          <w:szCs w:val="24"/>
        </w:rPr>
      </w:pPr>
      <w:r>
        <w:rPr>
          <w:rFonts w:ascii="Times New Roman" w:eastAsia="Times New Roman" w:hAnsi="Times New Roman" w:cs="Times New Roman"/>
          <w:b/>
          <w:bCs/>
          <w:color w:val="CC0000"/>
          <w:sz w:val="24"/>
          <w:szCs w:val="24"/>
        </w:rPr>
        <w:t xml:space="preserve">Licensing and franchising: </w:t>
      </w:r>
      <w:r>
        <w:rPr>
          <w:rFonts w:ascii="Times New Roman" w:eastAsia="Times New Roman" w:hAnsi="Times New Roman" w:cs="Times New Roman"/>
          <w:color w:val="CC0000"/>
          <w:sz w:val="24"/>
          <w:szCs w:val="24"/>
        </w:rPr>
        <w:t xml:space="preserve">Licensing is a common form of entry mode that MNCs use in manufacturing to grant foreign entities the rights to use their intellectual property rights in exchange for royalties. Franchising is prevalent in the service and retail industry where granting the services include operating through product patents or brand name in foreign land for the exchange of a fixed amount. </w:t>
      </w:r>
    </w:p>
    <w:p w14:paraId="2E3DC9F5" w14:textId="77777777" w:rsidR="00DE4259" w:rsidRDefault="000F0635">
      <w:pPr>
        <w:spacing w:line="360" w:lineRule="auto"/>
        <w:jc w:val="both"/>
        <w:rPr>
          <w:rFonts w:ascii="Times New Roman" w:eastAsia="Times New Roman" w:hAnsi="Times New Roman" w:cs="Times New Roman"/>
          <w:color w:val="CC0000"/>
          <w:sz w:val="24"/>
          <w:szCs w:val="24"/>
        </w:rPr>
      </w:pPr>
      <w:r>
        <w:rPr>
          <w:rFonts w:ascii="Times New Roman" w:eastAsia="Times New Roman" w:hAnsi="Times New Roman" w:cs="Times New Roman"/>
          <w:b/>
          <w:bCs/>
          <w:color w:val="CC0000"/>
          <w:sz w:val="24"/>
          <w:szCs w:val="24"/>
        </w:rPr>
        <w:t xml:space="preserve">Outsourcing: </w:t>
      </w:r>
      <w:r>
        <w:rPr>
          <w:rFonts w:ascii="Times New Roman" w:eastAsia="Times New Roman" w:hAnsi="Times New Roman" w:cs="Times New Roman"/>
          <w:color w:val="CC0000"/>
          <w:sz w:val="24"/>
          <w:szCs w:val="24"/>
        </w:rPr>
        <w:t xml:space="preserve">This form of entry mode allows contracting foreign manufacturers to produce goods or components for the MNC which saves manufacturing costs and additional capital investment required in facilities for a foreign market. </w:t>
      </w:r>
    </w:p>
    <w:p w14:paraId="13798BA8" w14:textId="77777777" w:rsidR="00DE4259" w:rsidRDefault="000F0635">
      <w:pPr>
        <w:spacing w:line="360" w:lineRule="auto"/>
        <w:jc w:val="both"/>
        <w:rPr>
          <w:rFonts w:ascii="Times New Roman" w:eastAsia="Times New Roman" w:hAnsi="Times New Roman" w:cs="Times New Roman"/>
          <w:color w:val="CC0000"/>
          <w:sz w:val="24"/>
          <w:szCs w:val="24"/>
        </w:rPr>
      </w:pPr>
      <w:r>
        <w:rPr>
          <w:rFonts w:ascii="Times New Roman" w:eastAsia="Times New Roman" w:hAnsi="Times New Roman" w:cs="Times New Roman"/>
          <w:b/>
          <w:bCs/>
          <w:color w:val="CC0000"/>
          <w:sz w:val="24"/>
          <w:szCs w:val="24"/>
        </w:rPr>
        <w:lastRenderedPageBreak/>
        <w:t xml:space="preserve">Joint Ventures: </w:t>
      </w:r>
      <w:r>
        <w:rPr>
          <w:rFonts w:ascii="Times New Roman" w:eastAsia="Times New Roman" w:hAnsi="Times New Roman" w:cs="Times New Roman"/>
          <w:color w:val="CC0000"/>
          <w:sz w:val="24"/>
          <w:szCs w:val="24"/>
        </w:rPr>
        <w:t xml:space="preserve">Under this entry mode, MNCs typically have to collaborate with a local partner brand(s) to share resources equally and get access to local market knowledge to navigate through the complexities of government regulations in a foreign land. </w:t>
      </w:r>
    </w:p>
    <w:p w14:paraId="38EF62BB" w14:textId="77777777" w:rsidR="00DE4259" w:rsidRDefault="000F0635">
      <w:pPr>
        <w:spacing w:line="360" w:lineRule="auto"/>
        <w:jc w:val="both"/>
        <w:rPr>
          <w:rFonts w:ascii="Times New Roman" w:eastAsia="Times New Roman" w:hAnsi="Times New Roman" w:cs="Times New Roman"/>
          <w:color w:val="CC0000"/>
          <w:sz w:val="24"/>
          <w:szCs w:val="24"/>
        </w:rPr>
      </w:pPr>
      <w:r>
        <w:rPr>
          <w:rFonts w:ascii="Times New Roman" w:eastAsia="Times New Roman" w:hAnsi="Times New Roman" w:cs="Times New Roman"/>
          <w:b/>
          <w:bCs/>
          <w:color w:val="CC0000"/>
          <w:sz w:val="24"/>
          <w:szCs w:val="24"/>
        </w:rPr>
        <w:t xml:space="preserve">Wholly Owned Subsidiaries (WOS): </w:t>
      </w:r>
      <w:r>
        <w:rPr>
          <w:rFonts w:ascii="Times New Roman" w:eastAsia="Times New Roman" w:hAnsi="Times New Roman" w:cs="Times New Roman"/>
          <w:color w:val="CC0000"/>
          <w:sz w:val="24"/>
          <w:szCs w:val="24"/>
        </w:rPr>
        <w:t xml:space="preserve">This is another form of entry mode strategy where MNCs establish a fully-owned operation in a foreign land. This can occur either through building new facilities from scratch (called greenfield investment) or through buying an existing local company (called market acquisition). </w:t>
      </w:r>
    </w:p>
    <w:p w14:paraId="52AB6A56" w14:textId="77777777" w:rsidR="00DE4259" w:rsidRDefault="000F0635">
      <w:pPr>
        <w:spacing w:line="360" w:lineRule="auto"/>
        <w:jc w:val="both"/>
        <w:rPr>
          <w:rFonts w:ascii="Times New Roman" w:eastAsia="Times New Roman" w:hAnsi="Times New Roman" w:cs="Times New Roman"/>
          <w:b/>
          <w:bCs/>
          <w:i/>
          <w:iCs/>
          <w:color w:val="CC0000"/>
          <w:sz w:val="24"/>
          <w:szCs w:val="24"/>
        </w:rPr>
      </w:pPr>
      <w:r>
        <w:rPr>
          <w:rFonts w:ascii="Times New Roman" w:eastAsia="Times New Roman" w:hAnsi="Times New Roman" w:cs="Times New Roman"/>
          <w:b/>
          <w:bCs/>
          <w:i/>
          <w:iCs/>
          <w:color w:val="CC0000"/>
          <w:sz w:val="24"/>
          <w:szCs w:val="24"/>
        </w:rPr>
        <w:t>Introducing strategic choice of British Petroleum using different entry modes examples</w:t>
      </w:r>
    </w:p>
    <w:p w14:paraId="151B4D3F" w14:textId="77777777" w:rsidR="00DE4259" w:rsidRDefault="000F0635">
      <w:pPr>
        <w:spacing w:line="360" w:lineRule="auto"/>
        <w:jc w:val="both"/>
        <w:rPr>
          <w:rFonts w:ascii="Times New Roman" w:eastAsia="Times New Roman" w:hAnsi="Times New Roman" w:cs="Times New Roman"/>
          <w:color w:val="CC0000"/>
          <w:sz w:val="24"/>
          <w:szCs w:val="24"/>
        </w:rPr>
      </w:pPr>
      <w:r>
        <w:rPr>
          <w:rFonts w:ascii="Times New Roman" w:eastAsia="Times New Roman" w:hAnsi="Times New Roman" w:cs="Times New Roman"/>
          <w:color w:val="CC0000"/>
          <w:sz w:val="24"/>
          <w:szCs w:val="24"/>
        </w:rPr>
        <w:t xml:space="preserve">a) There are examples of BP considering market acquisition of the U.S. biogas company Archaea Energy in 2022, which was important for BP to expand into increasing its renewable natural gas supply volumes. </w:t>
      </w:r>
    </w:p>
    <w:p w14:paraId="536F21DB" w14:textId="77777777" w:rsidR="00DE4259" w:rsidRDefault="000F0635">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color w:val="CC0000"/>
          <w:sz w:val="24"/>
          <w:szCs w:val="24"/>
        </w:rPr>
        <w:t xml:space="preserve">b) Another example of joint venture mode would be a 2024 announcement of BP and JERA launching an offshore wind joint venture which was also significant to expand BP’s venture in wind projects in the region. </w:t>
      </w:r>
    </w:p>
    <w:p w14:paraId="6972C2B2" w14:textId="77777777" w:rsidR="00DE4259" w:rsidRDefault="000F0635">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Entry modes used by the chosen MNC in 4 specific global markets </w:t>
      </w:r>
    </w:p>
    <w:p w14:paraId="72A41555"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US- </w:t>
      </w:r>
      <w:r>
        <w:rPr>
          <w:rFonts w:ascii="Times New Roman" w:eastAsia="Times New Roman" w:hAnsi="Times New Roman" w:cs="Times New Roman"/>
          <w:sz w:val="24"/>
          <w:szCs w:val="24"/>
        </w:rPr>
        <w:t>To enter the US market, BP has used an acquisition mode of entry strategy. For example, BP has numerous affiliates and acquisitions, such as using $4.7 billion, BP purchased Burmah Castrol, a well-known lubricant company. A significant American oil corporation, Amoco, was purchased by BP for $48.2 billion (</w:t>
      </w:r>
      <w:r>
        <w:rPr>
          <w:rFonts w:ascii="Times New Roman" w:eastAsia="Times New Roman" w:hAnsi="Times New Roman" w:cs="Times New Roman"/>
          <w:sz w:val="24"/>
          <w:szCs w:val="24"/>
          <w:highlight w:val="white"/>
        </w:rPr>
        <w:t>Oil-gas.net, 2024</w:t>
      </w:r>
      <w:r>
        <w:rPr>
          <w:rFonts w:ascii="Times New Roman" w:eastAsia="Times New Roman" w:hAnsi="Times New Roman" w:cs="Times New Roman"/>
          <w:sz w:val="24"/>
          <w:szCs w:val="24"/>
        </w:rPr>
        <w:t xml:space="preserve">). BP's footprint in the US was greatly expanded by this transaction. </w:t>
      </w:r>
    </w:p>
    <w:p w14:paraId="1BD34296"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China- </w:t>
      </w:r>
      <w:r>
        <w:rPr>
          <w:rFonts w:ascii="Times New Roman" w:eastAsia="Times New Roman" w:hAnsi="Times New Roman" w:cs="Times New Roman"/>
          <w:sz w:val="24"/>
          <w:szCs w:val="24"/>
        </w:rPr>
        <w:t>To enter the market of China, BP has used the joint venture mode of entry strategy. For example, “China Southern Petroleum Exploration and Development of PetroChina” and the Chinese subsidiary of BP have inked a Memorandum of Understanding to collaborate on CCUS projects onshore in Hainan, according to Upstream (</w:t>
      </w:r>
      <w:r>
        <w:rPr>
          <w:rFonts w:ascii="Times New Roman" w:eastAsia="Times New Roman" w:hAnsi="Times New Roman" w:cs="Times New Roman"/>
          <w:sz w:val="24"/>
          <w:szCs w:val="24"/>
          <w:highlight w:val="white"/>
        </w:rPr>
        <w:t>Ccus-expo.com, 2025</w:t>
      </w:r>
      <w:r>
        <w:rPr>
          <w:rFonts w:ascii="Times New Roman" w:eastAsia="Times New Roman" w:hAnsi="Times New Roman" w:cs="Times New Roman"/>
          <w:sz w:val="24"/>
          <w:szCs w:val="24"/>
        </w:rPr>
        <w:t>). By signing this agreement, the companies want to further their cooperation on global initiatives.</w:t>
      </w:r>
    </w:p>
    <w:p w14:paraId="12AE2CC4" w14:textId="77777777" w:rsidR="00DE4259" w:rsidRDefault="000F0635">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Brazil- </w:t>
      </w:r>
      <w:r>
        <w:rPr>
          <w:rFonts w:ascii="Times New Roman" w:eastAsia="Times New Roman" w:hAnsi="Times New Roman" w:cs="Times New Roman"/>
          <w:sz w:val="24"/>
          <w:szCs w:val="24"/>
        </w:rPr>
        <w:t>To enter the market of Brazil, BP has used a joint venture and partnership mode of entry strategy. For example, to capitalise upon the increasing need for low-carbon biofuels, BP has agreed to pay $1.4 bn to acquire grain dealer Bunge's 50% share in the Brazilian sugar-ethanol joint venture BP Bunge Bioenergia (</w:t>
      </w:r>
      <w:r>
        <w:rPr>
          <w:rFonts w:ascii="Times New Roman" w:eastAsia="Times New Roman" w:hAnsi="Times New Roman" w:cs="Times New Roman"/>
          <w:sz w:val="24"/>
          <w:szCs w:val="24"/>
          <w:highlight w:val="white"/>
        </w:rPr>
        <w:t>Reuters.com, 2024</w:t>
      </w:r>
      <w:r>
        <w:rPr>
          <w:rFonts w:ascii="Times New Roman" w:eastAsia="Times New Roman" w:hAnsi="Times New Roman" w:cs="Times New Roman"/>
          <w:sz w:val="24"/>
          <w:szCs w:val="24"/>
        </w:rPr>
        <w:t>).</w:t>
      </w:r>
    </w:p>
    <w:p w14:paraId="3EF81E7D" w14:textId="77777777" w:rsidR="00DE4259" w:rsidRDefault="000F0635">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 xml:space="preserve">India - </w:t>
      </w:r>
      <w:r>
        <w:rPr>
          <w:rFonts w:ascii="Times New Roman" w:eastAsia="Times New Roman" w:hAnsi="Times New Roman" w:cs="Times New Roman"/>
          <w:sz w:val="24"/>
          <w:szCs w:val="24"/>
        </w:rPr>
        <w:t>To enter the Indian market, BP has focused on strategic partnerships as a mode of entry. For example, BP continues to operate in India until its exclusive term has finished by forming a strategic alliance with Reliance Industries Ltd (</w:t>
      </w:r>
      <w:r>
        <w:rPr>
          <w:rFonts w:ascii="Times New Roman" w:eastAsia="Times New Roman" w:hAnsi="Times New Roman" w:cs="Times New Roman"/>
          <w:sz w:val="24"/>
          <w:szCs w:val="24"/>
          <w:highlight w:val="white"/>
        </w:rPr>
        <w:t>Timesofindia, 2024</w:t>
      </w:r>
      <w:r>
        <w:rPr>
          <w:rFonts w:ascii="Times New Roman" w:eastAsia="Times New Roman" w:hAnsi="Times New Roman" w:cs="Times New Roman"/>
          <w:sz w:val="24"/>
          <w:szCs w:val="24"/>
        </w:rPr>
        <w:t>). Over $12 billion has been committed in projects such as the KG-D6 block, and the companies have plans to invest more in transportation, renewable energy, lubricants, and hydrocarbons.</w:t>
      </w:r>
    </w:p>
    <w:p w14:paraId="4FB67F98" w14:textId="77777777" w:rsidR="00DE4259" w:rsidRDefault="000F0635">
      <w:pPr>
        <w:spacing w:line="360" w:lineRule="auto"/>
        <w:jc w:val="both"/>
        <w:rPr>
          <w:rFonts w:ascii="Times New Roman" w:eastAsia="Times New Roman" w:hAnsi="Times New Roman" w:cs="Times New Roman"/>
          <w:b/>
          <w:bCs/>
          <w:i/>
          <w:iCs/>
          <w:color w:val="CC0000"/>
          <w:sz w:val="24"/>
          <w:szCs w:val="24"/>
        </w:rPr>
      </w:pPr>
      <w:r>
        <w:rPr>
          <w:rFonts w:ascii="Times New Roman" w:eastAsia="Times New Roman" w:hAnsi="Times New Roman" w:cs="Times New Roman"/>
          <w:b/>
          <w:bCs/>
          <w:i/>
          <w:iCs/>
          <w:color w:val="CC0000"/>
          <w:sz w:val="24"/>
          <w:szCs w:val="24"/>
        </w:rPr>
        <w:lastRenderedPageBreak/>
        <w:t>Justifying why joint ventures would be the most suitable entry mode for British Petroleum</w:t>
      </w:r>
    </w:p>
    <w:p w14:paraId="2749D06C" w14:textId="77777777" w:rsidR="00DE4259" w:rsidRDefault="000F0635">
      <w:pPr>
        <w:spacing w:line="360" w:lineRule="auto"/>
        <w:jc w:val="both"/>
        <w:rPr>
          <w:rFonts w:ascii="Times New Roman" w:eastAsia="Times New Roman" w:hAnsi="Times New Roman" w:cs="Times New Roman"/>
          <w:b/>
          <w:bCs/>
          <w:color w:val="CC0000"/>
          <w:sz w:val="24"/>
          <w:szCs w:val="24"/>
        </w:rPr>
      </w:pPr>
      <w:r>
        <w:rPr>
          <w:rFonts w:ascii="Times New Roman" w:eastAsia="Times New Roman" w:hAnsi="Times New Roman" w:cs="Times New Roman"/>
          <w:sz w:val="24"/>
          <w:szCs w:val="24"/>
        </w:rPr>
        <w:t xml:space="preserve">Based on the above discussion on different entry modes in countries, </w:t>
      </w:r>
      <w:r>
        <w:rPr>
          <w:rFonts w:ascii="Times New Roman" w:eastAsia="Times New Roman" w:hAnsi="Times New Roman" w:cs="Times New Roman"/>
          <w:b/>
          <w:bCs/>
          <w:i/>
          <w:iCs/>
          <w:sz w:val="24"/>
          <w:szCs w:val="24"/>
        </w:rPr>
        <w:t>joint ventures</w:t>
      </w:r>
      <w:r>
        <w:rPr>
          <w:rFonts w:ascii="Times New Roman" w:eastAsia="Times New Roman" w:hAnsi="Times New Roman" w:cs="Times New Roman"/>
          <w:sz w:val="24"/>
          <w:szCs w:val="24"/>
        </w:rPr>
        <w:t xml:space="preserve"> appear to be the dominant entry mode for BP, allowing it to leverage local expertise and share profits and risks. This launch of JERA Nex bp has been designed to provide accessibility for affordable funding and hasten growth through a pooled pipeline. In support of this, both parties have decided to contribute up to $5.8 billion in capital funds for initiatives made until the completion of 2030 (</w:t>
      </w:r>
      <w:r>
        <w:rPr>
          <w:rFonts w:ascii="Times New Roman" w:eastAsia="Times New Roman" w:hAnsi="Times New Roman" w:cs="Times New Roman"/>
          <w:sz w:val="24"/>
          <w:szCs w:val="24"/>
          <w:highlight w:val="white"/>
        </w:rPr>
        <w:t>Jera.co.jp, 2024</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CC0000"/>
          <w:sz w:val="24"/>
          <w:szCs w:val="24"/>
        </w:rPr>
        <w:t xml:space="preserve">BP gets to operate with accessibility to local expertise which is important in this matter because partnering with local companies provides a better understanding of consumer behaviour, leverages established distribution networks and takes advantage of supply chains in the geographical markets. </w:t>
      </w:r>
    </w:p>
    <w:p w14:paraId="55CD8FC8" w14:textId="77777777" w:rsidR="00DE4259" w:rsidRDefault="000F0635">
      <w:pPr>
        <w:pStyle w:val="Heading2"/>
      </w:pPr>
      <w:bookmarkStart w:id="12" w:name="_Toc216276558"/>
      <w:r>
        <w:t>f. Explaining key benefits obtained by the chosen company from its international operations in four countries</w:t>
      </w:r>
      <w:bookmarkEnd w:id="12"/>
    </w:p>
    <w:p w14:paraId="4A11CF9C" w14:textId="77777777" w:rsidR="00DE4259" w:rsidRDefault="000F0635">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Key benefits achieved from internationalising in 4 countries</w:t>
      </w:r>
    </w:p>
    <w:p w14:paraId="2856795A"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Increased market value and capitalisation:</w:t>
      </w:r>
      <w:r>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The business is worth $145.28 billion. BP's market capitalization is $85.56 billion USD according to Oct 2025. Based on data, BP scored the 249th highest-value business in the globe with a market value (</w:t>
      </w:r>
      <w:r>
        <w:rPr>
          <w:rFonts w:ascii="Times New Roman" w:eastAsia="Times New Roman" w:hAnsi="Times New Roman" w:cs="Times New Roman"/>
          <w:sz w:val="24"/>
          <w:szCs w:val="24"/>
          <w:highlight w:val="white"/>
        </w:rPr>
        <w:t>Companiesmarketcap.com, 2025</w:t>
      </w:r>
      <w:r>
        <w:rPr>
          <w:rFonts w:ascii="Times New Roman" w:eastAsia="Times New Roman" w:hAnsi="Times New Roman" w:cs="Times New Roman"/>
          <w:sz w:val="24"/>
          <w:szCs w:val="24"/>
        </w:rPr>
        <w:t xml:space="preserve">). </w:t>
      </w:r>
    </w:p>
    <w:p w14:paraId="187A37D5" w14:textId="77777777" w:rsidR="00DE4259" w:rsidRDefault="000F063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AU"/>
        </w:rPr>
        <w:drawing>
          <wp:inline distT="114300" distB="114300" distL="114300" distR="114300" wp14:anchorId="3A85007C" wp14:editId="1B7076C2">
            <wp:extent cx="4610100" cy="2828925"/>
            <wp:effectExtent l="0" t="0" r="0" b="0"/>
            <wp:docPr id="1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610100" cy="2828925"/>
                    </a:xfrm>
                    <a:prstGeom prst="rect">
                      <a:avLst/>
                    </a:prstGeom>
                    <a:ln/>
                  </pic:spPr>
                </pic:pic>
              </a:graphicData>
            </a:graphic>
          </wp:inline>
        </w:drawing>
      </w:r>
    </w:p>
    <w:p w14:paraId="23BC9A75"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6: BP’s rank and market capitalisation</w:t>
      </w:r>
    </w:p>
    <w:p w14:paraId="157E3733"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(Source: </w:t>
      </w:r>
      <w:r>
        <w:rPr>
          <w:rFonts w:ascii="Times New Roman" w:eastAsia="Times New Roman" w:hAnsi="Times New Roman" w:cs="Times New Roman"/>
          <w:b/>
          <w:bCs/>
          <w:sz w:val="24"/>
          <w:szCs w:val="24"/>
          <w:highlight w:val="white"/>
        </w:rPr>
        <w:t>Companiesmarketcap.com, 2025)</w:t>
      </w:r>
    </w:p>
    <w:p w14:paraId="261857F3"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of 2017, BP is ranked 36th among the largest corporations in the world by Forbes Global 2000, with sales of $251.9 billion as well as earnings of $4.3 billion. Earlier in 2018, the overall value of BP was at $152.6 billion.</w:t>
      </w:r>
    </w:p>
    <w:p w14:paraId="0EF2D681" w14:textId="77777777" w:rsidR="00DE4259" w:rsidRDefault="000F0635">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Increased stock and financial performance:</w:t>
      </w:r>
      <w:r>
        <w:rPr>
          <w:rFonts w:ascii="Times New Roman" w:eastAsia="Times New Roman" w:hAnsi="Times New Roman" w:cs="Times New Roman"/>
          <w:sz w:val="24"/>
          <w:szCs w:val="24"/>
        </w:rPr>
        <w:t xml:space="preserve"> The stock price of BP is $5.55 as of October 14, 2025 (</w:t>
      </w:r>
      <w:r>
        <w:rPr>
          <w:rFonts w:ascii="Times New Roman" w:eastAsia="Times New Roman" w:hAnsi="Times New Roman" w:cs="Times New Roman"/>
          <w:sz w:val="24"/>
          <w:szCs w:val="24"/>
          <w:highlight w:val="white"/>
        </w:rPr>
        <w:t>Pitchbook.com, 2025</w:t>
      </w:r>
      <w:r>
        <w:rPr>
          <w:rFonts w:ascii="Times New Roman" w:eastAsia="Times New Roman" w:hAnsi="Times New Roman" w:cs="Times New Roman"/>
          <w:sz w:val="24"/>
          <w:szCs w:val="24"/>
        </w:rPr>
        <w:t>). The quarter's operating cash flow was $6.8 billion. This comprises a $1.4 bn operating capital outflow (following reporting for additional scheduling implications, holdings of stock losses, and accurate values accounting effects) (</w:t>
      </w:r>
      <w:r>
        <w:rPr>
          <w:rFonts w:ascii="Times New Roman" w:eastAsia="Times New Roman" w:hAnsi="Times New Roman" w:cs="Times New Roman"/>
          <w:sz w:val="24"/>
          <w:szCs w:val="24"/>
          <w:highlight w:val="white"/>
        </w:rPr>
        <w:t>Bp.com, 2025</w:t>
      </w:r>
      <w:r>
        <w:rPr>
          <w:rFonts w:ascii="Times New Roman" w:eastAsia="Times New Roman" w:hAnsi="Times New Roman" w:cs="Times New Roman"/>
          <w:sz w:val="24"/>
          <w:szCs w:val="24"/>
        </w:rPr>
        <w:t xml:space="preserve">). </w:t>
      </w:r>
    </w:p>
    <w:p w14:paraId="151BC272" w14:textId="77777777" w:rsidR="00DE4259" w:rsidRDefault="000F0635">
      <w:pPr>
        <w:pStyle w:val="Heading1"/>
      </w:pPr>
      <w:bookmarkStart w:id="13" w:name="_Toc216276559"/>
      <w:r>
        <w:t>3.0 OLI factors discussion and its impact on the international market entry mode for the chosen company</w:t>
      </w:r>
      <w:bookmarkEnd w:id="13"/>
    </w:p>
    <w:p w14:paraId="64FF5000" w14:textId="77777777" w:rsidR="00DE4259" w:rsidRDefault="000F0635">
      <w:pPr>
        <w:pStyle w:val="Heading2"/>
        <w:rPr>
          <w:color w:val="CC0000"/>
        </w:rPr>
      </w:pPr>
      <w:bookmarkStart w:id="14" w:name="_Toc216276560"/>
      <w:r>
        <w:rPr>
          <w:color w:val="CC0000"/>
        </w:rPr>
        <w:t>3.1 Defining OLI Factors and addressing why these factors matter for market expansion</w:t>
      </w:r>
      <w:bookmarkEnd w:id="14"/>
    </w:p>
    <w:p w14:paraId="31ACFFDE" w14:textId="77777777" w:rsidR="00DE4259" w:rsidRDefault="000F0635">
      <w:pPr>
        <w:spacing w:line="360" w:lineRule="auto"/>
        <w:jc w:val="both"/>
        <w:rPr>
          <w:rFonts w:ascii="Times New Roman" w:eastAsia="Times New Roman" w:hAnsi="Times New Roman" w:cs="Times New Roman"/>
          <w:color w:val="CC0000"/>
          <w:sz w:val="24"/>
          <w:szCs w:val="24"/>
        </w:rPr>
      </w:pPr>
      <w:r>
        <w:rPr>
          <w:rFonts w:ascii="Times New Roman" w:eastAsia="Times New Roman" w:hAnsi="Times New Roman" w:cs="Times New Roman"/>
          <w:color w:val="CC0000"/>
          <w:sz w:val="24"/>
          <w:szCs w:val="24"/>
        </w:rPr>
        <w:t xml:space="preserve">The OLI (Ownership, Location, Internationalization) framework offers a model over whether the MNC should expand internationally via foreign direct investment or not. </w:t>
      </w:r>
    </w:p>
    <w:p w14:paraId="54E0C8C1" w14:textId="77777777" w:rsidR="00DE4259" w:rsidRDefault="000F0635">
      <w:pPr>
        <w:spacing w:line="360" w:lineRule="auto"/>
        <w:jc w:val="both"/>
        <w:rPr>
          <w:rFonts w:ascii="Times New Roman" w:eastAsia="Times New Roman" w:hAnsi="Times New Roman" w:cs="Times New Roman"/>
          <w:color w:val="CC0000"/>
          <w:sz w:val="24"/>
          <w:szCs w:val="24"/>
        </w:rPr>
      </w:pPr>
      <w:r>
        <w:rPr>
          <w:rFonts w:ascii="Times New Roman" w:eastAsia="Times New Roman" w:hAnsi="Times New Roman" w:cs="Times New Roman"/>
          <w:b/>
          <w:bCs/>
          <w:color w:val="CC0000"/>
          <w:sz w:val="24"/>
          <w:szCs w:val="24"/>
        </w:rPr>
        <w:t xml:space="preserve">Ownership (O) Advantages: </w:t>
      </w:r>
      <w:r>
        <w:rPr>
          <w:rFonts w:ascii="Times New Roman" w:eastAsia="Times New Roman" w:hAnsi="Times New Roman" w:cs="Times New Roman"/>
          <w:color w:val="CC0000"/>
          <w:sz w:val="24"/>
          <w:szCs w:val="24"/>
        </w:rPr>
        <w:t xml:space="preserve">This provides firm-specific assets or competitive advantages, typically through proprietary technology, patents, and new innovations which can be leveraged with strong brand reputation and international recognition to increase market scope. </w:t>
      </w:r>
    </w:p>
    <w:p w14:paraId="4E827D89" w14:textId="77777777" w:rsidR="00DE4259" w:rsidRDefault="000F0635">
      <w:pPr>
        <w:spacing w:line="360" w:lineRule="auto"/>
        <w:jc w:val="both"/>
        <w:rPr>
          <w:rFonts w:ascii="Times New Roman" w:eastAsia="Times New Roman" w:hAnsi="Times New Roman" w:cs="Times New Roman"/>
          <w:color w:val="CC0000"/>
          <w:sz w:val="24"/>
          <w:szCs w:val="24"/>
        </w:rPr>
      </w:pPr>
      <w:r>
        <w:rPr>
          <w:rFonts w:ascii="Times New Roman" w:eastAsia="Times New Roman" w:hAnsi="Times New Roman" w:cs="Times New Roman"/>
          <w:b/>
          <w:bCs/>
          <w:color w:val="CC0000"/>
          <w:sz w:val="24"/>
          <w:szCs w:val="24"/>
        </w:rPr>
        <w:t xml:space="preserve">Location (L) Advantages: </w:t>
      </w:r>
      <w:r>
        <w:rPr>
          <w:rFonts w:ascii="Times New Roman" w:eastAsia="Times New Roman" w:hAnsi="Times New Roman" w:cs="Times New Roman"/>
          <w:color w:val="CC0000"/>
          <w:sz w:val="24"/>
          <w:szCs w:val="24"/>
        </w:rPr>
        <w:t xml:space="preserve">This provides benefits specific to any foreign market to find what could be an attractive place for investment. For example, it can be accessibility to raw materials extracted through abundance of natural resources in the country or lower labour costs or favourable government regulations that can provide business stability. </w:t>
      </w:r>
    </w:p>
    <w:p w14:paraId="7F16E069" w14:textId="77777777" w:rsidR="00DE4259" w:rsidRDefault="000F0635">
      <w:pPr>
        <w:spacing w:line="360" w:lineRule="auto"/>
        <w:jc w:val="both"/>
        <w:rPr>
          <w:rFonts w:ascii="Times New Roman" w:eastAsia="Times New Roman" w:hAnsi="Times New Roman" w:cs="Times New Roman"/>
          <w:color w:val="CC0000"/>
          <w:sz w:val="24"/>
          <w:szCs w:val="24"/>
        </w:rPr>
      </w:pPr>
      <w:r>
        <w:rPr>
          <w:rFonts w:ascii="Times New Roman" w:eastAsia="Times New Roman" w:hAnsi="Times New Roman" w:cs="Times New Roman"/>
          <w:b/>
          <w:bCs/>
          <w:color w:val="CC0000"/>
          <w:sz w:val="24"/>
          <w:szCs w:val="24"/>
        </w:rPr>
        <w:t xml:space="preserve">Internalization (I) Advantages: </w:t>
      </w:r>
      <w:r>
        <w:rPr>
          <w:rFonts w:ascii="Times New Roman" w:eastAsia="Times New Roman" w:hAnsi="Times New Roman" w:cs="Times New Roman"/>
          <w:color w:val="CC0000"/>
          <w:sz w:val="24"/>
          <w:szCs w:val="24"/>
        </w:rPr>
        <w:t xml:space="preserve">This refers to the benefits MNCs can gain from keeping control of its operations in-house (internalizing) rather than licensing its assets. For instance, it could be maintaining quality control and consistent products standards in a foreign market while protecting intellectual property rights, which can eventually be important to build strategic decisions of expanding operations abroad. </w:t>
      </w:r>
    </w:p>
    <w:p w14:paraId="2BAC0EB6" w14:textId="77777777" w:rsidR="00DE4259" w:rsidRDefault="000F0635">
      <w:pPr>
        <w:spacing w:line="360" w:lineRule="auto"/>
        <w:jc w:val="both"/>
        <w:rPr>
          <w:color w:val="CC0000"/>
        </w:rPr>
      </w:pPr>
      <w:r>
        <w:rPr>
          <w:rFonts w:ascii="Times New Roman" w:eastAsia="Times New Roman" w:hAnsi="Times New Roman" w:cs="Times New Roman"/>
          <w:color w:val="CC0000"/>
          <w:sz w:val="24"/>
          <w:szCs w:val="24"/>
        </w:rPr>
        <w:t xml:space="preserve">OLI factors would mostly be important to help the company determine what could be the most cost-effective and beneficial mode of entry. It is important to understand that a company without strong OLI advantages can struggle to fully leverage its unique strengths. This is where the framework provides a comprehensive understanding of justifying the investment potential that can be analysed based on potential market risks and evaluation of local advantages that can lead to eventually maximizing profitability and increased efficiency. </w:t>
      </w:r>
    </w:p>
    <w:p w14:paraId="02BD2B9F" w14:textId="77777777" w:rsidR="00DE4259" w:rsidRDefault="000F0635">
      <w:pPr>
        <w:pStyle w:val="Heading2"/>
      </w:pPr>
      <w:bookmarkStart w:id="15" w:name="_Toc216276561"/>
      <w:r>
        <w:lastRenderedPageBreak/>
        <w:t>3.2 OLI analysis on international market entry mode for MNCs in  emerging economy countries</w:t>
      </w:r>
      <w:bookmarkEnd w:id="15"/>
    </w:p>
    <w:p w14:paraId="2E3F1B86"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Ownership advantages: </w:t>
      </w:r>
      <w:r>
        <w:rPr>
          <w:rFonts w:ascii="Times New Roman" w:eastAsia="Times New Roman" w:hAnsi="Times New Roman" w:cs="Times New Roman"/>
          <w:sz w:val="24"/>
          <w:szCs w:val="24"/>
        </w:rPr>
        <w:t xml:space="preserve">BP's strong and effective brand reputation, as well as expertise in the energy industry, leveraged a competitive edge in the emerging economies like India, China and Brazil. </w:t>
      </w:r>
    </w:p>
    <w:p w14:paraId="460FB654" w14:textId="77777777" w:rsidR="00DE4259" w:rsidRDefault="000F063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AU"/>
        </w:rPr>
        <w:drawing>
          <wp:inline distT="114300" distB="114300" distL="114300" distR="114300" wp14:anchorId="44889E8F" wp14:editId="4837A2A0">
            <wp:extent cx="3038475" cy="3514725"/>
            <wp:effectExtent l="0" t="0" r="0" b="0"/>
            <wp:docPr id="1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3038475" cy="3514725"/>
                    </a:xfrm>
                    <a:prstGeom prst="rect">
                      <a:avLst/>
                    </a:prstGeom>
                    <a:ln/>
                  </pic:spPr>
                </pic:pic>
              </a:graphicData>
            </a:graphic>
          </wp:inline>
        </w:drawing>
      </w:r>
    </w:p>
    <w:p w14:paraId="63D28C68"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7: BP Ranking in the sector and among competitors</w:t>
      </w:r>
    </w:p>
    <w:p w14:paraId="1F614E18"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(Source: </w:t>
      </w:r>
      <w:r>
        <w:rPr>
          <w:rFonts w:ascii="Times New Roman" w:eastAsia="Times New Roman" w:hAnsi="Times New Roman" w:cs="Times New Roman"/>
          <w:b/>
          <w:bCs/>
          <w:sz w:val="24"/>
          <w:szCs w:val="24"/>
          <w:highlight w:val="white"/>
        </w:rPr>
        <w:t>Comparably.com, 2025)</w:t>
      </w:r>
    </w:p>
    <w:p w14:paraId="72FDC02A"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this, the strong technological advancement of the company in oil and gas exploration, refining and production has been used to drive growth in these markets. For example, "the Centre for High-Performance Computing" is a vital component of BP's main petroleum and gas business, acting as an international hub for the processing and administration of geophysics information related to BP's world portfolio (</w:t>
      </w:r>
      <w:r>
        <w:rPr>
          <w:rFonts w:ascii="Times New Roman" w:eastAsia="Times New Roman" w:hAnsi="Times New Roman" w:cs="Times New Roman"/>
          <w:sz w:val="24"/>
          <w:szCs w:val="24"/>
          <w:highlight w:val="white"/>
        </w:rPr>
        <w:t>Bp.com, 2025</w:t>
      </w:r>
      <w:r>
        <w:rPr>
          <w:rFonts w:ascii="Times New Roman" w:eastAsia="Times New Roman" w:hAnsi="Times New Roman" w:cs="Times New Roman"/>
          <w:sz w:val="24"/>
          <w:szCs w:val="24"/>
        </w:rPr>
        <w:t>).</w:t>
      </w:r>
    </w:p>
    <w:p w14:paraId="0BC1F61C"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Location advantages: </w:t>
      </w:r>
      <w:r>
        <w:rPr>
          <w:rFonts w:ascii="Times New Roman" w:eastAsia="Times New Roman" w:hAnsi="Times New Roman" w:cs="Times New Roman"/>
          <w:sz w:val="24"/>
          <w:szCs w:val="24"/>
        </w:rPr>
        <w:t>Emerging economies like India and China offer vast and growing markets for energy products, eventually the value of the Indian Energy Industry is anticipated with a compound annual growth rate, or CAGR, of 16.10 % 2025 to 2030, from 237.17 gigawatts in 2025 to 500.23 gigawatts by 2030 (</w:t>
      </w:r>
      <w:r>
        <w:rPr>
          <w:rFonts w:ascii="Times New Roman" w:eastAsia="Times New Roman" w:hAnsi="Times New Roman" w:cs="Times New Roman"/>
          <w:sz w:val="24"/>
          <w:szCs w:val="24"/>
          <w:highlight w:val="white"/>
        </w:rPr>
        <w:t>Mordorintelligence.com, 2025)</w:t>
      </w:r>
      <w:r>
        <w:rPr>
          <w:rFonts w:ascii="Times New Roman" w:eastAsia="Times New Roman" w:hAnsi="Times New Roman" w:cs="Times New Roman"/>
          <w:sz w:val="24"/>
          <w:szCs w:val="24"/>
        </w:rPr>
        <w:t xml:space="preserve">. </w:t>
      </w:r>
    </w:p>
    <w:p w14:paraId="2B0B448C" w14:textId="77777777" w:rsidR="00DE4259" w:rsidRDefault="000F063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AU"/>
        </w:rPr>
        <w:lastRenderedPageBreak/>
        <w:drawing>
          <wp:inline distT="114300" distB="114300" distL="114300" distR="114300" wp14:anchorId="1966A354" wp14:editId="119480C5">
            <wp:extent cx="2833688" cy="3474793"/>
            <wp:effectExtent l="0" t="0" r="0" b="0"/>
            <wp:docPr id="2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2833688" cy="3474793"/>
                    </a:xfrm>
                    <a:prstGeom prst="rect">
                      <a:avLst/>
                    </a:prstGeom>
                    <a:ln/>
                  </pic:spPr>
                </pic:pic>
              </a:graphicData>
            </a:graphic>
          </wp:inline>
        </w:drawing>
      </w:r>
    </w:p>
    <w:p w14:paraId="6A51876C"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8: Growing energy industry of India</w:t>
      </w:r>
    </w:p>
    <w:p w14:paraId="54C52EE6"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(Source: </w:t>
      </w:r>
      <w:r>
        <w:rPr>
          <w:rFonts w:ascii="Times New Roman" w:eastAsia="Times New Roman" w:hAnsi="Times New Roman" w:cs="Times New Roman"/>
          <w:b/>
          <w:bCs/>
          <w:sz w:val="24"/>
          <w:szCs w:val="24"/>
          <w:highlight w:val="white"/>
        </w:rPr>
        <w:t>Mordorintelligence.com, 2025)</w:t>
      </w:r>
    </w:p>
    <w:p w14:paraId="2BA50047"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Similarly, at a compound annual growth rate (CAGR) of 13.30%, the size of the Chinese energy industry is anticipated to increase from 2.25 thousand gigawatts in 2025 to 4.20 thousand gigawatts by 2030 (</w:t>
      </w:r>
      <w:r>
        <w:rPr>
          <w:rFonts w:ascii="Times New Roman" w:eastAsia="Times New Roman" w:hAnsi="Times New Roman" w:cs="Times New Roman"/>
          <w:sz w:val="24"/>
          <w:szCs w:val="24"/>
          <w:highlight w:val="white"/>
        </w:rPr>
        <w:t>Mordorintelligence.com, 2025</w:t>
      </w:r>
      <w:r>
        <w:rPr>
          <w:rFonts w:ascii="Times New Roman" w:eastAsia="Times New Roman" w:hAnsi="Times New Roman" w:cs="Times New Roman"/>
          <w:sz w:val="24"/>
          <w:szCs w:val="24"/>
        </w:rPr>
        <w:t>). However, the regulatory environment for corporate activities in China consists of stringent customs processes, for example,</w:t>
      </w:r>
      <w:r>
        <w:rPr>
          <w:rFonts w:ascii="Times New Roman" w:eastAsia="Times New Roman" w:hAnsi="Times New Roman" w:cs="Times New Roman"/>
          <w:b/>
          <w:bCs/>
          <w:i/>
          <w:iCs/>
          <w:sz w:val="24"/>
          <w:szCs w:val="24"/>
        </w:rPr>
        <w:t xml:space="preserve"> “the Environmental Protection Law 2014”</w:t>
      </w:r>
      <w:r>
        <w:rPr>
          <w:rFonts w:ascii="Times New Roman" w:eastAsia="Times New Roman" w:hAnsi="Times New Roman" w:cs="Times New Roman"/>
          <w:sz w:val="24"/>
          <w:szCs w:val="24"/>
        </w:rPr>
        <w:t xml:space="preserve"> mandates stringent limits on pollutants, including nitrogen oxides, sulfur dioxide, and particulate matter, which are critical for oil and gas operations (</w:t>
      </w:r>
      <w:r>
        <w:rPr>
          <w:rFonts w:ascii="Times New Roman" w:eastAsia="Times New Roman" w:hAnsi="Times New Roman" w:cs="Times New Roman"/>
          <w:sz w:val="24"/>
          <w:szCs w:val="24"/>
          <w:highlight w:val="white"/>
        </w:rPr>
        <w:t>Chinalegalexperts.com, 2024)</w:t>
      </w:r>
      <w:r>
        <w:rPr>
          <w:rFonts w:ascii="Times New Roman" w:eastAsia="Times New Roman" w:hAnsi="Times New Roman" w:cs="Times New Roman"/>
          <w:sz w:val="24"/>
          <w:szCs w:val="24"/>
        </w:rPr>
        <w:t xml:space="preserve">. </w:t>
      </w:r>
    </w:p>
    <w:p w14:paraId="74086BA5"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Internalisation advantages: </w:t>
      </w:r>
      <w:r>
        <w:rPr>
          <w:rFonts w:ascii="Times New Roman" w:eastAsia="Times New Roman" w:hAnsi="Times New Roman" w:cs="Times New Roman"/>
          <w:sz w:val="24"/>
          <w:szCs w:val="24"/>
        </w:rPr>
        <w:t>By internalisation operations, BP effectively protected its intellectual property. For example, BP holds 10068 patents worldwide, 3785 of which are currently issued. Over 49 per cent of the 10068 trademarks in this list are currently in use. The most patents have been submitted by BP, followed by China (690) and India (500) (</w:t>
      </w:r>
      <w:r>
        <w:rPr>
          <w:rFonts w:ascii="Times New Roman" w:eastAsia="Times New Roman" w:hAnsi="Times New Roman" w:cs="Times New Roman"/>
          <w:sz w:val="24"/>
          <w:szCs w:val="24"/>
          <w:highlight w:val="white"/>
        </w:rPr>
        <w:t>Insights.greyb.com, 2025</w:t>
      </w:r>
      <w:r>
        <w:rPr>
          <w:rFonts w:ascii="Times New Roman" w:eastAsia="Times New Roman" w:hAnsi="Times New Roman" w:cs="Times New Roman"/>
          <w:sz w:val="24"/>
          <w:szCs w:val="24"/>
        </w:rPr>
        <w:t>). The highest valued patent in BP's portfolio is "US20060130891A1." To date, it has been cited 346 times by firms such as SunPower, Tesla, LG, and Applied Materials.</w:t>
      </w:r>
    </w:p>
    <w:p w14:paraId="0216A091" w14:textId="77777777" w:rsidR="00DE4259" w:rsidRDefault="000F063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AU"/>
        </w:rPr>
        <w:lastRenderedPageBreak/>
        <w:drawing>
          <wp:inline distT="114300" distB="114300" distL="114300" distR="114300" wp14:anchorId="091CC256" wp14:editId="2F581CA2">
            <wp:extent cx="5731200" cy="3060700"/>
            <wp:effectExtent l="0" t="0" r="0" b="0"/>
            <wp:docPr id="2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731200" cy="3060700"/>
                    </a:xfrm>
                    <a:prstGeom prst="rect">
                      <a:avLst/>
                    </a:prstGeom>
                    <a:ln/>
                  </pic:spPr>
                </pic:pic>
              </a:graphicData>
            </a:graphic>
          </wp:inline>
        </w:drawing>
      </w:r>
    </w:p>
    <w:p w14:paraId="391A8576"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9: BP Patent portfolio </w:t>
      </w:r>
    </w:p>
    <w:p w14:paraId="497ECED8"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(Source: </w:t>
      </w:r>
      <w:r>
        <w:rPr>
          <w:rFonts w:ascii="Times New Roman" w:eastAsia="Times New Roman" w:hAnsi="Times New Roman" w:cs="Times New Roman"/>
          <w:b/>
          <w:bCs/>
          <w:sz w:val="24"/>
          <w:szCs w:val="24"/>
          <w:highlight w:val="white"/>
        </w:rPr>
        <w:t>Insights.greyb.com, 2025)</w:t>
      </w:r>
    </w:p>
    <w:p w14:paraId="20D2102F" w14:textId="77777777" w:rsidR="00DE4259" w:rsidRDefault="000F0635">
      <w:pPr>
        <w:pStyle w:val="Heading2"/>
      </w:pPr>
      <w:bookmarkStart w:id="16" w:name="_Toc216276562"/>
      <w:r>
        <w:t>3.3 Critical discussion on the identified analysis of OLI impact on global entry modes used by MNC in 4 countries, including two emerging economies</w:t>
      </w:r>
      <w:bookmarkEnd w:id="16"/>
      <w:r>
        <w:t xml:space="preserve"> </w:t>
      </w:r>
    </w:p>
    <w:p w14:paraId="35C39B24" w14:textId="77777777" w:rsidR="00DE4259" w:rsidRDefault="000F0635">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The OLI framework provides an effective and valuable framework as the company hopes to improve both the sustainability and effectiveness of its petrochemical and power activities in countries like India, China, Brazil and the US. The organisation is delivering value through the expansion of oil, along with targeted low-carbon power portfolios, as well as through a worldwide network of non-operated joint ventures and strategic partnerships with important customers (</w:t>
      </w:r>
      <w:r>
        <w:rPr>
          <w:rFonts w:ascii="Times New Roman" w:eastAsia="Times New Roman" w:hAnsi="Times New Roman" w:cs="Times New Roman"/>
          <w:sz w:val="24"/>
          <w:szCs w:val="24"/>
          <w:highlight w:val="white"/>
        </w:rPr>
        <w:t>Bp.com, 2025</w:t>
      </w:r>
      <w:r>
        <w:rPr>
          <w:rFonts w:ascii="Times New Roman" w:eastAsia="Times New Roman" w:hAnsi="Times New Roman" w:cs="Times New Roman"/>
          <w:sz w:val="24"/>
          <w:szCs w:val="24"/>
        </w:rPr>
        <w:t xml:space="preserve">). In the US and China, BP additionally integrates and oversees BP-wide operations. However, national petroleum corporations, global petroleum along with natural gas giants, up-and-coming green power businesses, and online businesses bringing fresh ideas to the power industry are all fierce rivals of BP among countries like India, China and others. </w:t>
      </w:r>
    </w:p>
    <w:p w14:paraId="2C23732B" w14:textId="77777777" w:rsidR="00DE4259" w:rsidRDefault="000F0635">
      <w:pPr>
        <w:pStyle w:val="Heading1"/>
      </w:pPr>
      <w:bookmarkStart w:id="17" w:name="_Toc216276563"/>
      <w:r>
        <w:t>4.0 Evaluation of how cultural differences between the home country of BP and the chosen emerging economy impact market entry strategy &amp; success</w:t>
      </w:r>
      <w:bookmarkEnd w:id="17"/>
      <w:r>
        <w:t xml:space="preserve"> </w:t>
      </w:r>
    </w:p>
    <w:p w14:paraId="67061036" w14:textId="77777777" w:rsidR="00DE4259" w:rsidRDefault="000F0635">
      <w:pPr>
        <w:pStyle w:val="Heading2"/>
      </w:pPr>
      <w:bookmarkStart w:id="18" w:name="_Toc216276564"/>
      <w:r>
        <w:t>4.1 Hofstede’s cultural dimensions on identifying cultural differences between the home country and the chosen emerging two economies</w:t>
      </w:r>
      <w:bookmarkEnd w:id="18"/>
    </w:p>
    <w:p w14:paraId="6EA8CE6B" w14:textId="77777777" w:rsidR="00DE4259" w:rsidRDefault="000F0635">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India and the UK</w:t>
      </w:r>
    </w:p>
    <w:p w14:paraId="5D03C0CD"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AU"/>
        </w:rPr>
        <w:lastRenderedPageBreak/>
        <w:drawing>
          <wp:inline distT="114300" distB="114300" distL="114300" distR="114300" wp14:anchorId="624F3FF3" wp14:editId="155549F6">
            <wp:extent cx="5731200" cy="3911600"/>
            <wp:effectExtent l="0" t="0" r="0" b="0"/>
            <wp:docPr id="2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5731200" cy="3911600"/>
                    </a:xfrm>
                    <a:prstGeom prst="rect">
                      <a:avLst/>
                    </a:prstGeom>
                    <a:ln/>
                  </pic:spPr>
                </pic:pic>
              </a:graphicData>
            </a:graphic>
          </wp:inline>
        </w:drawing>
      </w:r>
    </w:p>
    <w:p w14:paraId="740861E5"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10: Hofstede cultural differences identified between India and the UK</w:t>
      </w:r>
    </w:p>
    <w:p w14:paraId="00A07DD7" w14:textId="77777777" w:rsidR="00DE4259" w:rsidRDefault="000F063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Hofstede Insights, 2025)</w:t>
      </w:r>
    </w:p>
    <w:p w14:paraId="28084719"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Hofstede cultural differences have yielded results where the power distance index for the UK is 33, and for India is 77. India has scored higher due to its larger population and a hierarchical structure that maintains unequal power distribution. Furthermore, India scores 24 in individualism, compared to the UK, which scores 76, indicating that India follows group loyalty and community demonstration (Hofstede Insights, 2025). The motivational score for India is 56, which is low, and the UK scored 66; this reflects the degree of competitiveness and achievement valued in both countries. Under the cultural value of achievements and success, the UK has a higher score compared to India, which provides more access to competitive performances. </w:t>
      </w:r>
    </w:p>
    <w:p w14:paraId="609C4114" w14:textId="77777777" w:rsidR="00DE4259" w:rsidRDefault="000F0635">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Brazil and the UK</w:t>
      </w:r>
    </w:p>
    <w:p w14:paraId="65798E0B"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AU"/>
        </w:rPr>
        <w:lastRenderedPageBreak/>
        <w:drawing>
          <wp:inline distT="114300" distB="114300" distL="114300" distR="114300" wp14:anchorId="04031F70" wp14:editId="06D9C097">
            <wp:extent cx="5731200" cy="4178300"/>
            <wp:effectExtent l="0" t="0" r="0" b="0"/>
            <wp:docPr id="2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731200" cy="4178300"/>
                    </a:xfrm>
                    <a:prstGeom prst="rect">
                      <a:avLst/>
                    </a:prstGeom>
                    <a:ln/>
                  </pic:spPr>
                </pic:pic>
              </a:graphicData>
            </a:graphic>
          </wp:inline>
        </w:drawing>
      </w:r>
    </w:p>
    <w:p w14:paraId="034B2234"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11: Hofstede cultural differences identified between Brazil and the UK</w:t>
      </w:r>
    </w:p>
    <w:p w14:paraId="746BCF13" w14:textId="77777777" w:rsidR="00DE4259" w:rsidRDefault="000F063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Theculturefactor.com, 2025)</w:t>
      </w:r>
    </w:p>
    <w:p w14:paraId="66F3EFDB"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score of 69 achieved by Brazil in PDI reflects that the society considered hierarchical structures, which are more respected and shows inequalities among the people (Theculturefactor.com, 2025). This evaluates that Brazil is associated with collectivism, and the UK still follows individualism, which is associated with personal freedom, self-reliance and autonomy values. The motivational scores in Brazil are 49, which recognise the balanced orientation on valuing the achievements, whereas the UK scores 66, which emphasises the competitive approaches linked to the achievement. </w:t>
      </w:r>
    </w:p>
    <w:p w14:paraId="3745A151" w14:textId="77777777" w:rsidR="00DE4259" w:rsidRDefault="000F0635">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China and the UK</w:t>
      </w:r>
    </w:p>
    <w:p w14:paraId="054A6477"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AU"/>
        </w:rPr>
        <w:lastRenderedPageBreak/>
        <w:drawing>
          <wp:inline distT="114300" distB="114300" distL="114300" distR="114300" wp14:anchorId="6ABE1D78" wp14:editId="1A7D82C7">
            <wp:extent cx="5731200" cy="4038600"/>
            <wp:effectExtent l="0" t="0" r="0" b="0"/>
            <wp:docPr id="2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5731200" cy="4038600"/>
                    </a:xfrm>
                    <a:prstGeom prst="rect">
                      <a:avLst/>
                    </a:prstGeom>
                    <a:ln/>
                  </pic:spPr>
                </pic:pic>
              </a:graphicData>
            </a:graphic>
          </wp:inline>
        </w:drawing>
      </w:r>
    </w:p>
    <w:p w14:paraId="11FCDA03" w14:textId="77777777" w:rsidR="00DE4259" w:rsidRDefault="000F063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12: Hofstede cultural differences identified between China and the UK</w:t>
      </w:r>
    </w:p>
    <w:p w14:paraId="2C446215" w14:textId="77777777" w:rsidR="00DE4259" w:rsidRDefault="000F063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Theculturefactor.com, 2025)</w:t>
      </w:r>
    </w:p>
    <w:p w14:paraId="567393EC"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Analysing the individualism scores, China reached 43, which also indicates that the developing country that focuses on collectivism tends to value group harmony. Under the evaluation of the Motivation towards achievement and success, China scores 66, which is equal to the UK. This directs the rules flexibility and the innovation approaches are followed by China, as well as the UK. Long-term orientation in China is 77, and the UK is 60, as China is associated with future orientation approaches, which follow proper planning and technological adaptation. </w:t>
      </w:r>
    </w:p>
    <w:p w14:paraId="2AFEABD6" w14:textId="77777777" w:rsidR="00DE4259" w:rsidRDefault="000F0635">
      <w:pPr>
        <w:pStyle w:val="Heading2"/>
      </w:pPr>
      <w:bookmarkStart w:id="19" w:name="_Toc216276565"/>
      <w:r>
        <w:t>4.2 Based on cultural analysis, how cultural differences impact global market entry strategy &amp; success of British Petroleum in China, India &amp; Brazil</w:t>
      </w:r>
      <w:bookmarkEnd w:id="19"/>
    </w:p>
    <w:p w14:paraId="07130830"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impact of the high power distance culture in companies helps to access the joint ventures or partnering with the local organisation, which helps to evaluate proper access to maintain law and regulation to enter into the target country (Li, 2023). For instance, BP has partnered with Reliance Industries (RIL), which initiated a focus on oil and gas exploration and manufacturing, and future under a broader alliance called Jio-BP accessed for fuel, mobility services and more with a 50% joint venture named India Gas Solution (BP India, 2019). </w:t>
      </w:r>
    </w:p>
    <w:p w14:paraId="002DCBF2"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marketing and branding are connected with the indulgence and masculinity vs femininity, as developing countries such as India or Brazil emphasise masculine culture, which is associated with highlighting performances and ambitiousness. In India, male employment in relation to population is 73.9% in 2024 (Pib.gov.in, 2024). Brazil is also entitled to the male employment forces with a participation rate of 72.9% in 2024 (World Bank Group, 2024). Hence, BP requires an equal opportunity to a male and female-oriented work culture, which leads the companies to empathise with a better quality of life, care and better relationships necessary to encourage the locals to work in the organisation, which is accessed with equality and inclusiveness.   </w:t>
      </w:r>
    </w:p>
    <w:p w14:paraId="77F5A05C" w14:textId="77777777" w:rsidR="00DE4259" w:rsidRDefault="000F0635">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India</w:t>
      </w:r>
    </w:p>
    <w:p w14:paraId="2515D206"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 the evaluation of the Hofstede cultural differences, India is associated with high power distance and strong collectivism approaches, with an access score of 77 and 26 in individualism. Hence, it has been determined that complex bureaucracy on corruption risk and policy shifts are available in the geographical region in India (Sneha et al., 2021).  </w:t>
      </w:r>
    </w:p>
    <w:p w14:paraId="512707EC" w14:textId="77777777" w:rsidR="00DE4259" w:rsidRDefault="000F0635">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Brazil</w:t>
      </w:r>
    </w:p>
    <w:p w14:paraId="6167B71C"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Hofstede cultural outcomes have analysed a high rate of uncertainty avoidance, which scores 76, and high power distance, which scores 69. This significantly indicated that Brazil prefers prediction; however, due to rising geopolitical issues, BP requires access with risk mitigation strategies, strong legal compliance and transparency in the operation in order to manage the risk factors (BP global, 2024). </w:t>
      </w:r>
    </w:p>
    <w:p w14:paraId="62E886DC" w14:textId="77777777" w:rsidR="00DE4259" w:rsidRDefault="000F0635">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China</w:t>
      </w:r>
    </w:p>
    <w:p w14:paraId="0D8A9006"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China accessed the long-term orientation score and PDI score, which are 77 and 80, respectively. China is associated with collectivist values, where BP needs to evaluate state-owned enterprise partnerships in terms of accessing proper business in the country. BP needs to focus on the top-level government relationship, which helps to respect the formal process rather than presenting the individualist initiation. </w:t>
      </w:r>
    </w:p>
    <w:p w14:paraId="17C3F173" w14:textId="77777777" w:rsidR="00DE4259" w:rsidRDefault="000F0635">
      <w:pPr>
        <w:pStyle w:val="Heading1"/>
      </w:pPr>
      <w:bookmarkStart w:id="20" w:name="_Toc216276566"/>
      <w:r>
        <w:t>5.0 Recommendation of 3 major adjustments for the chosen company</w:t>
      </w:r>
      <w:bookmarkEnd w:id="20"/>
      <w:r>
        <w:t xml:space="preserve"> </w:t>
      </w:r>
    </w:p>
    <w:p w14:paraId="53129641" w14:textId="77777777" w:rsidR="00DE4259" w:rsidRDefault="000F0635">
      <w:pPr>
        <w:pStyle w:val="Heading2"/>
      </w:pPr>
      <w:bookmarkStart w:id="21" w:name="_Toc216276567"/>
      <w:r>
        <w:t>5.1 Recommended three major adjustments for BP to ensure their SOPs for successful internationalisation in China, India and Brazil</w:t>
      </w:r>
      <w:bookmarkEnd w:id="21"/>
    </w:p>
    <w:p w14:paraId="0B1B0E6A"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Standard Operating Procedures (SOPs) are accessed with step-by-step writing instructions to ensure quality and safety in the organisation. BP’s Code of Conduct accessed under “Control of Work Procedure" document, version 5, guidance on supporting ethical decisions, emphasising safety and directing speaking up are necessary while working in the company (BP, 2019). </w:t>
      </w:r>
    </w:p>
    <w:p w14:paraId="2804A0F9" w14:textId="77777777" w:rsidR="00DE4259" w:rsidRDefault="000F0635">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Relation-based partnership</w:t>
      </w:r>
    </w:p>
    <w:p w14:paraId="54A0273B"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 the evaluation of the cultural dimension, it has been assessed that India, Brazil and China focus on collectivist culture, which prioritises the group goals rather than individuals. Zappos accessed with the relation-based partnership initiative, which ensures that under the ten Zappos Family core values, including better service delivery, creating fun, adventurous, open-minded and more, directs the company to be acquired under the umbrella of Amazon (Pelletier and Mujtaba, 2015). Moreover, BP follows “Who we are”, which determines the fundamental code which is accessed as a company and as individuals (BP, 2023). In order to elaborate proper internationalisation success for BP in China, it is essential to undergo cross-cultural training, which helps to determine misreading of local intentions, access proper cultural understanding and manage delayed agreements, as the restriction to FDI by the Catalogue of Industries for Guiding Foreign Investments regulated under the NDRC (Chemanalyst.com, 2024). </w:t>
      </w:r>
    </w:p>
    <w:p w14:paraId="1F0DD3CF"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Regulatory Compliances</w:t>
      </w:r>
    </w:p>
    <w:p w14:paraId="708369B6"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 the geopolitical issues between China and the US, it directly affects the UK business to sustain in the Chinese market. BP also deals with the trading issues, as the US and UK have lower traffic rates due to their better political relationship, which dynamically affects BP to manage proper business demonstration, especially in China. Hence, it is important for BP to deliver proper regulatory compliance with SOPs to reduce the chances of business disruption in the emerging countries. For instance, India is governed by the Energy Conservation Act (amended 2022), under Act 2022, no. 19, which introduces the scheme of carbon credit trading approaches (CTS) (powermin.gov.in, 2022). This regulatory change in India directs the foreign investors and companies to adopt carbon pricing activities, which are necessary in order to manage the environmental degradation due to the manufacturing of fuels and gas. </w:t>
      </w:r>
    </w:p>
    <w:p w14:paraId="7C7B7030" w14:textId="77777777" w:rsidR="00DE4259" w:rsidRDefault="000F0635">
      <w:pPr>
        <w:pStyle w:val="Heading2"/>
      </w:pPr>
      <w:bookmarkStart w:id="22" w:name="_Toc216276568"/>
      <w:r>
        <w:rPr>
          <w:color w:val="CC0000"/>
        </w:rPr>
        <w:t>5.2 Recommended adjustments aligned with OLI analysis &amp; cultural factors between the country of origin of BP and the chosen emerging economic countries</w:t>
      </w:r>
      <w:bookmarkEnd w:id="22"/>
    </w:p>
    <w:p w14:paraId="268BD20E" w14:textId="77777777" w:rsidR="00DE4259" w:rsidRDefault="000F0635">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Connected with Regulatory Compliance for consumer protection</w:t>
      </w:r>
    </w:p>
    <w:p w14:paraId="5D063D39"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 the benchmark of the complex rules and regulations identified in China, for instance, the Personal Information Protection Law (PIPL) determines to protect the Chinese consumer's access to data rights and impose strict penalties for violating, which also includes the penalty of 5% of the annual revenue generated by the company (ey.com, 2022).</w:t>
      </w:r>
      <w:r>
        <w:rPr>
          <w:rFonts w:ascii="Times New Roman" w:eastAsia="Times New Roman" w:hAnsi="Times New Roman" w:cs="Times New Roman"/>
          <w:color w:val="CC0000"/>
          <w:sz w:val="24"/>
          <w:szCs w:val="24"/>
        </w:rPr>
        <w:t xml:space="preserve"> Focusing on the ownership advantages, the unique assets required to be determined by BP, for instance, better technological support and financial support.</w:t>
      </w:r>
      <w:r>
        <w:rPr>
          <w:rFonts w:ascii="Times New Roman" w:eastAsia="Times New Roman" w:hAnsi="Times New Roman" w:cs="Times New Roman"/>
          <w:sz w:val="24"/>
          <w:szCs w:val="24"/>
        </w:rPr>
        <w:t xml:space="preserve"> Integration of the Chinese-specific product safety and control mechanism on products such as fuels, lubricants and more. Partnering with </w:t>
      </w:r>
      <w:r>
        <w:rPr>
          <w:rFonts w:ascii="Times New Roman" w:eastAsia="Times New Roman" w:hAnsi="Times New Roman" w:cs="Times New Roman"/>
          <w:sz w:val="24"/>
          <w:szCs w:val="24"/>
        </w:rPr>
        <w:lastRenderedPageBreak/>
        <w:t xml:space="preserve">the local certified testing organisation helps to enforce proper quality checks before entering into the distributors and retailers in China (Zhao et al., 2024). </w:t>
      </w:r>
    </w:p>
    <w:p w14:paraId="5367A140" w14:textId="77777777" w:rsidR="00DE4259" w:rsidRDefault="000F0635">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Sustainable partnership</w:t>
      </w:r>
    </w:p>
    <w:p w14:paraId="49A20385" w14:textId="77777777" w:rsidR="00DE4259" w:rsidRDefault="000F0635">
      <w:pPr>
        <w:spacing w:line="360" w:lineRule="auto"/>
        <w:jc w:val="both"/>
        <w:rPr>
          <w:rFonts w:ascii="Times New Roman" w:eastAsia="Times New Roman" w:hAnsi="Times New Roman" w:cs="Times New Roman"/>
          <w:color w:val="CC0000"/>
          <w:sz w:val="24"/>
          <w:szCs w:val="24"/>
        </w:rPr>
      </w:pPr>
      <w:r>
        <w:rPr>
          <w:rFonts w:ascii="Times New Roman" w:eastAsia="Times New Roman" w:hAnsi="Times New Roman" w:cs="Times New Roman"/>
          <w:sz w:val="24"/>
          <w:szCs w:val="24"/>
        </w:rPr>
        <w:t xml:space="preserve">Positioning BP as the sustainable preferred brand and partnering with the sustainable firm while producing energy supply helps to gain brand positioning and better recognition. For instance, Brazil accessed the National Environmental Policy Act of Lei da Politica Nacional do Meio Ambiente (PNMA) (Law No. 6938/81), which requires it to undergo environmental impact assessment before launching any organisation or project in Brazil (academic.oup.com, 2025). </w:t>
      </w:r>
      <w:r>
        <w:rPr>
          <w:rFonts w:ascii="Times New Roman" w:eastAsia="Times New Roman" w:hAnsi="Times New Roman" w:cs="Times New Roman"/>
          <w:color w:val="CC0000"/>
          <w:sz w:val="24"/>
          <w:szCs w:val="24"/>
        </w:rPr>
        <w:t xml:space="preserve">BP requires access to the net-zero commitments and more investments in bioenergy, which helps to meet the environmental protection policies and allows the connection with the Paris agreement building through joint ventures. </w:t>
      </w:r>
    </w:p>
    <w:p w14:paraId="676DD50A" w14:textId="77777777" w:rsidR="00DE4259" w:rsidRDefault="000F0635">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Adaptation of the cultural norms </w:t>
      </w:r>
    </w:p>
    <w:p w14:paraId="7B92C4A9"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rising population determines the need for employment, and providing job security dynamically helps to incur positive employee retention levels for the brands. Moreover, under the adjustment of the role clarity and hierarchical growth initiative program for India, China, and Brazil, evaluate enriching the community engagement as well as the workplace flexibility. Under the requirement of the legal approaches and the local customs, it is necessary for the HR policies to be customized with the inclusion of the diversity, inclusion and equitable initiatives relevant to accessing cross-cultural training and efficient feedback. These aspects are reliable for the BP to enhance proper international expansion. </w:t>
      </w:r>
    </w:p>
    <w:p w14:paraId="488F740A" w14:textId="77777777" w:rsidR="00DE4259" w:rsidRDefault="000F0635">
      <w:pPr>
        <w:pStyle w:val="Heading1"/>
      </w:pPr>
      <w:bookmarkStart w:id="23" w:name="_Toc216276569"/>
      <w:r>
        <w:t>6.0 Conclusion</w:t>
      </w:r>
      <w:bookmarkEnd w:id="23"/>
    </w:p>
    <w:p w14:paraId="42638C28"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has examined the global expansion approaches used by British Petroleum (BP), which is a UK-based organisation that comes under the MNC. The organisation operates in different diverse countries, which have been analysed using different market strategies in order to evaluate proper brand strength, value chain and competitiveness. Porter’s value chain has determined that BP uses Reimagining Energy, which helps to formulate better business models and a portfolio. The USA and BP accessed the partnership with Amoco, whereas China endorsed the partnership with CCUS. Under the market entry model, BP entered into a joint venture with Japanese JERA, which led to the launch of JERA Nex BP. The application of the OLI framework determines the strategic entry of BP in China, India and Brazil; furthermore, the potential usage of Hofstede Cultural Dimension helped to access an overview of the dynamic cultural differences in the three countries, which are highly different from the UK. The assignment has ended with the proper recommendation on focusing and </w:t>
      </w:r>
      <w:r>
        <w:rPr>
          <w:rFonts w:ascii="Times New Roman" w:eastAsia="Times New Roman" w:hAnsi="Times New Roman" w:cs="Times New Roman"/>
          <w:sz w:val="24"/>
          <w:szCs w:val="24"/>
        </w:rPr>
        <w:lastRenderedPageBreak/>
        <w:t xml:space="preserve">connecting with the separate policies endorsed by China, India and Brazil, which are relevant to mitigate the legal obligation rises that disrupt the business. </w:t>
      </w:r>
    </w:p>
    <w:p w14:paraId="0004C349" w14:textId="77777777" w:rsidR="00DE4259" w:rsidRDefault="00DE4259">
      <w:pPr>
        <w:spacing w:line="360" w:lineRule="auto"/>
        <w:jc w:val="both"/>
        <w:rPr>
          <w:rFonts w:ascii="Times New Roman" w:eastAsia="Times New Roman" w:hAnsi="Times New Roman" w:cs="Times New Roman"/>
          <w:sz w:val="24"/>
          <w:szCs w:val="24"/>
        </w:rPr>
      </w:pPr>
    </w:p>
    <w:p w14:paraId="51C47872" w14:textId="77777777" w:rsidR="00DE4259" w:rsidRDefault="00DE4259">
      <w:pPr>
        <w:spacing w:line="360" w:lineRule="auto"/>
        <w:jc w:val="both"/>
        <w:rPr>
          <w:rFonts w:ascii="Times New Roman" w:eastAsia="Times New Roman" w:hAnsi="Times New Roman" w:cs="Times New Roman"/>
          <w:sz w:val="24"/>
          <w:szCs w:val="24"/>
        </w:rPr>
      </w:pPr>
    </w:p>
    <w:p w14:paraId="794D9EB4" w14:textId="77777777" w:rsidR="00DE4259" w:rsidRDefault="000F0635">
      <w:pPr>
        <w:spacing w:line="360" w:lineRule="auto"/>
        <w:jc w:val="both"/>
        <w:rPr>
          <w:rFonts w:ascii="Times New Roman" w:eastAsia="Times New Roman" w:hAnsi="Times New Roman" w:cs="Times New Roman"/>
          <w:b/>
          <w:bCs/>
          <w:sz w:val="24"/>
          <w:szCs w:val="24"/>
        </w:rPr>
      </w:pPr>
      <w:r>
        <w:br w:type="page"/>
      </w:r>
    </w:p>
    <w:p w14:paraId="31CE5FAB" w14:textId="77777777" w:rsidR="00DE4259" w:rsidRDefault="000F0635">
      <w:pPr>
        <w:pStyle w:val="Heading1"/>
      </w:pPr>
      <w:bookmarkStart w:id="24" w:name="_Toc216276570"/>
      <w:r>
        <w:lastRenderedPageBreak/>
        <w:t>References</w:t>
      </w:r>
      <w:bookmarkEnd w:id="24"/>
      <w:r>
        <w:t xml:space="preserve"> </w:t>
      </w:r>
    </w:p>
    <w:p w14:paraId="5538FBC3" w14:textId="77777777" w:rsidR="00DE4259" w:rsidRDefault="000F063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academic.oup.com, (2025). </w:t>
      </w:r>
      <w:r>
        <w:rPr>
          <w:rFonts w:ascii="Times New Roman" w:eastAsia="Times New Roman" w:hAnsi="Times New Roman" w:cs="Times New Roman"/>
          <w:i/>
          <w:iCs/>
          <w:sz w:val="24"/>
          <w:szCs w:val="24"/>
        </w:rPr>
        <w:t>OUP</w:t>
      </w:r>
      <w:r>
        <w:rPr>
          <w:rFonts w:ascii="Times New Roman" w:eastAsia="Times New Roman" w:hAnsi="Times New Roman" w:cs="Times New Roman"/>
          <w:sz w:val="24"/>
          <w:szCs w:val="24"/>
        </w:rPr>
        <w:t>. Available at:</w:t>
      </w:r>
      <w:hyperlink r:id="rId19">
        <w:r>
          <w:rPr>
            <w:rFonts w:ascii="Times New Roman" w:eastAsia="Times New Roman" w:hAnsi="Times New Roman" w:cs="Times New Roman"/>
            <w:sz w:val="24"/>
            <w:szCs w:val="24"/>
          </w:rPr>
          <w:t xml:space="preserve"> </w:t>
        </w:r>
      </w:hyperlink>
      <w:hyperlink r:id="rId20">
        <w:r>
          <w:rPr>
            <w:rFonts w:ascii="Times New Roman" w:eastAsia="Times New Roman" w:hAnsi="Times New Roman" w:cs="Times New Roman"/>
            <w:color w:val="1155CC"/>
            <w:sz w:val="24"/>
            <w:szCs w:val="24"/>
            <w:u w:val="single"/>
          </w:rPr>
          <w:t>https://academic.oup.com/edited-volume/41304/chapter/352053816</w:t>
        </w:r>
      </w:hyperlink>
      <w:r>
        <w:rPr>
          <w:rFonts w:ascii="Times New Roman" w:eastAsia="Times New Roman" w:hAnsi="Times New Roman" w:cs="Times New Roman"/>
          <w:sz w:val="24"/>
          <w:szCs w:val="24"/>
        </w:rPr>
        <w:t xml:space="preserve">  (Accessed: 16 October 2025).</w:t>
      </w:r>
    </w:p>
    <w:p w14:paraId="061F3D1D" w14:textId="77777777" w:rsidR="00DE4259" w:rsidRDefault="000F063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BP (2023). </w:t>
      </w:r>
      <w:r>
        <w:rPr>
          <w:rFonts w:ascii="Times New Roman" w:eastAsia="Times New Roman" w:hAnsi="Times New Roman" w:cs="Times New Roman"/>
          <w:i/>
          <w:iCs/>
          <w:sz w:val="24"/>
          <w:szCs w:val="24"/>
        </w:rPr>
        <w:t>Our beliefs and code of conduct | Who we are | Home</w:t>
      </w:r>
      <w:r>
        <w:rPr>
          <w:rFonts w:ascii="Times New Roman" w:eastAsia="Times New Roman" w:hAnsi="Times New Roman" w:cs="Times New Roman"/>
          <w:sz w:val="24"/>
          <w:szCs w:val="24"/>
        </w:rPr>
        <w:t>. [online] bp global. Available at:</w:t>
      </w:r>
      <w:hyperlink r:id="rId21">
        <w:r>
          <w:rPr>
            <w:rFonts w:ascii="Times New Roman" w:eastAsia="Times New Roman" w:hAnsi="Times New Roman" w:cs="Times New Roman"/>
            <w:sz w:val="24"/>
            <w:szCs w:val="24"/>
          </w:rPr>
          <w:t xml:space="preserve"> </w:t>
        </w:r>
      </w:hyperlink>
      <w:hyperlink r:id="rId22">
        <w:r>
          <w:rPr>
            <w:rFonts w:ascii="Times New Roman" w:eastAsia="Times New Roman" w:hAnsi="Times New Roman" w:cs="Times New Roman"/>
            <w:color w:val="1155CC"/>
            <w:sz w:val="24"/>
            <w:szCs w:val="24"/>
            <w:u w:val="single"/>
          </w:rPr>
          <w:t>https://www.bp.com/en/global/corporate/who-we-are/our-beliefs-and-code-of-conduct.html</w:t>
        </w:r>
      </w:hyperlink>
      <w:r>
        <w:rPr>
          <w:rFonts w:ascii="Times New Roman" w:eastAsia="Times New Roman" w:hAnsi="Times New Roman" w:cs="Times New Roman"/>
          <w:sz w:val="24"/>
          <w:szCs w:val="24"/>
        </w:rPr>
        <w:t>.</w:t>
      </w:r>
    </w:p>
    <w:p w14:paraId="777829C5" w14:textId="77777777" w:rsidR="00DE4259" w:rsidRDefault="000F063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BP global (2024). </w:t>
      </w:r>
      <w:r>
        <w:rPr>
          <w:rFonts w:ascii="Times New Roman" w:eastAsia="Times New Roman" w:hAnsi="Times New Roman" w:cs="Times New Roman"/>
          <w:i/>
          <w:iCs/>
          <w:sz w:val="24"/>
          <w:szCs w:val="24"/>
        </w:rPr>
        <w:t>bp global</w:t>
      </w:r>
      <w:r>
        <w:rPr>
          <w:rFonts w:ascii="Times New Roman" w:eastAsia="Times New Roman" w:hAnsi="Times New Roman" w:cs="Times New Roman"/>
          <w:sz w:val="24"/>
          <w:szCs w:val="24"/>
        </w:rPr>
        <w:t>. [online] bp global. Available at:</w:t>
      </w:r>
      <w:hyperlink r:id="rId23">
        <w:r>
          <w:rPr>
            <w:rFonts w:ascii="Times New Roman" w:eastAsia="Times New Roman" w:hAnsi="Times New Roman" w:cs="Times New Roman"/>
            <w:sz w:val="24"/>
            <w:szCs w:val="24"/>
          </w:rPr>
          <w:t xml:space="preserve"> </w:t>
        </w:r>
      </w:hyperlink>
      <w:hyperlink r:id="rId24">
        <w:r>
          <w:rPr>
            <w:rFonts w:ascii="Times New Roman" w:eastAsia="Times New Roman" w:hAnsi="Times New Roman" w:cs="Times New Roman"/>
            <w:color w:val="1155CC"/>
            <w:sz w:val="24"/>
            <w:szCs w:val="24"/>
            <w:u w:val="single"/>
          </w:rPr>
          <w:t>https://www.bp.com/en/global/corporate/news-and-insights/press-releases/bp-announces-hydrocarbon-discovery-at-bumerangue-exploration-well-offshore-brazil.html</w:t>
        </w:r>
      </w:hyperlink>
      <w:r>
        <w:rPr>
          <w:rFonts w:ascii="Times New Roman" w:eastAsia="Times New Roman" w:hAnsi="Times New Roman" w:cs="Times New Roman"/>
          <w:sz w:val="24"/>
          <w:szCs w:val="24"/>
        </w:rPr>
        <w:t>.</w:t>
      </w:r>
    </w:p>
    <w:p w14:paraId="57E75929" w14:textId="77777777" w:rsidR="00DE4259" w:rsidRDefault="000F063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BP India (2019). </w:t>
      </w:r>
      <w:r>
        <w:rPr>
          <w:rFonts w:ascii="Times New Roman" w:eastAsia="Times New Roman" w:hAnsi="Times New Roman" w:cs="Times New Roman"/>
          <w:i/>
          <w:iCs/>
          <w:sz w:val="24"/>
          <w:szCs w:val="24"/>
        </w:rPr>
        <w:t>bp India</w:t>
      </w:r>
      <w:r>
        <w:rPr>
          <w:rFonts w:ascii="Times New Roman" w:eastAsia="Times New Roman" w:hAnsi="Times New Roman" w:cs="Times New Roman"/>
          <w:sz w:val="24"/>
          <w:szCs w:val="24"/>
        </w:rPr>
        <w:t xml:space="preserve">. [online] India. Available at: </w:t>
      </w:r>
      <w:hyperlink r:id="rId25">
        <w:r>
          <w:rPr>
            <w:rFonts w:ascii="Times New Roman" w:eastAsia="Times New Roman" w:hAnsi="Times New Roman" w:cs="Times New Roman"/>
            <w:color w:val="1155CC"/>
            <w:sz w:val="24"/>
            <w:szCs w:val="24"/>
            <w:u w:val="single"/>
          </w:rPr>
          <w:t>https://www.bp.com/en_in/india/home/news/press/reliance-and-bp-to-create-major-world-class-fuels-partnership-for-Indias-fast-growing-market.html</w:t>
        </w:r>
      </w:hyperlink>
      <w:r>
        <w:rPr>
          <w:rFonts w:ascii="Times New Roman" w:eastAsia="Times New Roman" w:hAnsi="Times New Roman" w:cs="Times New Roman"/>
          <w:sz w:val="24"/>
          <w:szCs w:val="24"/>
        </w:rPr>
        <w:t xml:space="preserve">  [Accessed 16 Oct. 2025].</w:t>
      </w:r>
    </w:p>
    <w:p w14:paraId="615457A1" w14:textId="77777777" w:rsidR="00DE4259" w:rsidRDefault="000F063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BP, (2019). Control of Work Procedure Document Owner: Bill Kruesi HSSE Manager -Asset Mgt HSSE Manager -Asset Mgt. (n.d.). Available at: </w:t>
      </w:r>
      <w:hyperlink r:id="rId26">
        <w:r>
          <w:rPr>
            <w:rFonts w:ascii="Times New Roman" w:eastAsia="Times New Roman" w:hAnsi="Times New Roman" w:cs="Times New Roman"/>
            <w:color w:val="1155CC"/>
            <w:sz w:val="24"/>
            <w:szCs w:val="24"/>
            <w:u w:val="single"/>
          </w:rPr>
          <w:t>https://www.bp.com/content/dam/bp/country-sites/en_au/australia/home/who-we-are/control-of-work/pro-4-5-0001-0-01-control-of-work.pdf</w:t>
        </w:r>
      </w:hyperlink>
      <w:r>
        <w:rPr>
          <w:rFonts w:ascii="Times New Roman" w:eastAsia="Times New Roman" w:hAnsi="Times New Roman" w:cs="Times New Roman"/>
          <w:sz w:val="24"/>
          <w:szCs w:val="24"/>
        </w:rPr>
        <w:t xml:space="preserve"> [Accessed 16 Oct. 2025].</w:t>
      </w:r>
    </w:p>
    <w:p w14:paraId="7BB29E3E"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Bp.com, (2025). </w:t>
      </w:r>
      <w:r>
        <w:rPr>
          <w:rFonts w:ascii="Times New Roman" w:eastAsia="Times New Roman" w:hAnsi="Times New Roman" w:cs="Times New Roman"/>
          <w:sz w:val="24"/>
          <w:szCs w:val="24"/>
        </w:rPr>
        <w:t xml:space="preserve">bp's third quarter 2025 results | Investors | Home. Available at: </w:t>
      </w:r>
      <w:hyperlink r:id="rId27">
        <w:r>
          <w:rPr>
            <w:rFonts w:ascii="Times New Roman" w:eastAsia="Times New Roman" w:hAnsi="Times New Roman" w:cs="Times New Roman"/>
            <w:color w:val="1155CC"/>
            <w:sz w:val="24"/>
            <w:szCs w:val="24"/>
            <w:u w:val="single"/>
          </w:rPr>
          <w:t>https://www.bp.com/en/global/corporate/investors/results-reporting-and-presentations/quarterly-results-and-webcast.html</w:t>
        </w:r>
      </w:hyperlink>
    </w:p>
    <w:p w14:paraId="0E6D99CD"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Bp.com, (2025). </w:t>
      </w:r>
      <w:r>
        <w:rPr>
          <w:rFonts w:ascii="Times New Roman" w:eastAsia="Times New Roman" w:hAnsi="Times New Roman" w:cs="Times New Roman"/>
          <w:sz w:val="24"/>
          <w:szCs w:val="24"/>
        </w:rPr>
        <w:t xml:space="preserve">Center for High-Performance Computing | What we do | bp America. Available at: </w:t>
      </w:r>
      <w:hyperlink r:id="rId28">
        <w:r>
          <w:rPr>
            <w:rFonts w:ascii="Times New Roman" w:eastAsia="Times New Roman" w:hAnsi="Times New Roman" w:cs="Times New Roman"/>
            <w:color w:val="1155CC"/>
            <w:sz w:val="24"/>
            <w:szCs w:val="24"/>
            <w:u w:val="single"/>
          </w:rPr>
          <w:t>https://www.bp.com/en_us/united-states/home/what-we-do/technology/center-for-high-performance-computing.html</w:t>
        </w:r>
      </w:hyperlink>
    </w:p>
    <w:p w14:paraId="1DB208E5"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Bp.com, (2025). </w:t>
      </w:r>
      <w:r>
        <w:rPr>
          <w:rFonts w:ascii="Times New Roman" w:eastAsia="Times New Roman" w:hAnsi="Times New Roman" w:cs="Times New Roman"/>
          <w:sz w:val="24"/>
          <w:szCs w:val="24"/>
        </w:rPr>
        <w:t xml:space="preserve">Gas &amp; low carbon energy | Who we are | Home. Available at: </w:t>
      </w:r>
      <w:hyperlink r:id="rId29">
        <w:r>
          <w:rPr>
            <w:rFonts w:ascii="Times New Roman" w:eastAsia="Times New Roman" w:hAnsi="Times New Roman" w:cs="Times New Roman"/>
            <w:color w:val="1155CC"/>
            <w:sz w:val="24"/>
            <w:szCs w:val="24"/>
            <w:u w:val="single"/>
          </w:rPr>
          <w:t>https://www.bp.com/en/global/corporate/who-we-are/our-organization/gas-and-low-carbon-energy.html</w:t>
        </w:r>
      </w:hyperlink>
    </w:p>
    <w:p w14:paraId="520BEE3D"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Bp.com.cn, (2024</w:t>
      </w:r>
      <w:r>
        <w:rPr>
          <w:rFonts w:ascii="Times New Roman" w:eastAsia="Times New Roman" w:hAnsi="Times New Roman" w:cs="Times New Roman"/>
          <w:color w:val="3C4043"/>
          <w:sz w:val="24"/>
          <w:szCs w:val="24"/>
          <w:highlight w:val="white"/>
        </w:rPr>
        <w:t xml:space="preserve">). </w:t>
      </w:r>
      <w:r>
        <w:rPr>
          <w:rFonts w:ascii="Times New Roman" w:eastAsia="Times New Roman" w:hAnsi="Times New Roman" w:cs="Times New Roman"/>
          <w:color w:val="3C4043"/>
          <w:sz w:val="24"/>
          <w:szCs w:val="24"/>
        </w:rPr>
        <w:t>Full Year and Fourth Quarter 2024 Results | News | bp China</w:t>
      </w:r>
      <w:r>
        <w:rPr>
          <w:rFonts w:ascii="Times New Roman" w:eastAsia="Times New Roman" w:hAnsi="Times New Roman" w:cs="Times New Roman"/>
          <w:sz w:val="24"/>
          <w:szCs w:val="24"/>
        </w:rPr>
        <w:t xml:space="preserve">. Available at: </w:t>
      </w:r>
      <w:hyperlink r:id="rId30">
        <w:r>
          <w:rPr>
            <w:rFonts w:ascii="Times New Roman" w:eastAsia="Times New Roman" w:hAnsi="Times New Roman" w:cs="Times New Roman"/>
            <w:color w:val="1155CC"/>
            <w:sz w:val="24"/>
            <w:szCs w:val="24"/>
            <w:u w:val="single"/>
          </w:rPr>
          <w:t>https://www.bp.com.cn/zh_cn/china/home/news/press-releases/full-year-and-4q-2024-financial-results.html</w:t>
        </w:r>
      </w:hyperlink>
    </w:p>
    <w:p w14:paraId="2EBF8B14"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Ccus-expo.com, (2025). </w:t>
      </w:r>
      <w:r>
        <w:rPr>
          <w:rFonts w:ascii="Times New Roman" w:eastAsia="Times New Roman" w:hAnsi="Times New Roman" w:cs="Times New Roman"/>
          <w:sz w:val="24"/>
          <w:szCs w:val="24"/>
        </w:rPr>
        <w:t xml:space="preserve">BP Partners with PetroChina to Develop CCUS Cluster in Southern China. Available at: </w:t>
      </w:r>
      <w:hyperlink r:id="rId31" w:anchor=":~:text=British%20supermajor%20BP%E2%80%99s%20Chinese%20arm%20has%20signed%20an,to%20advance%20the%20firms%E2%80%99%20collaboration%20on%20international%20projects">
        <w:r>
          <w:rPr>
            <w:rFonts w:ascii="Times New Roman" w:eastAsia="Times New Roman" w:hAnsi="Times New Roman" w:cs="Times New Roman"/>
            <w:color w:val="1155CC"/>
            <w:sz w:val="24"/>
            <w:szCs w:val="24"/>
            <w:u w:val="single"/>
          </w:rPr>
          <w:t>https://www.ccus-expo.com/industry-news/bp-partners-petrochina-</w:t>
        </w:r>
        <w:r>
          <w:rPr>
            <w:rFonts w:ascii="Times New Roman" w:eastAsia="Times New Roman" w:hAnsi="Times New Roman" w:cs="Times New Roman"/>
            <w:color w:val="1155CC"/>
            <w:sz w:val="24"/>
            <w:szCs w:val="24"/>
            <w:u w:val="single"/>
          </w:rPr>
          <w:lastRenderedPageBreak/>
          <w:t>develop-ccus-cluster-southern-china#:~:text=British%20supermajor%20BP%E2%80%99s%20Chinese%20arm%20has%20signed%20an,to%20advance%20the%20firms%E2%80%99%20collaboration%20on%20international%20projects</w:t>
        </w:r>
      </w:hyperlink>
      <w:r>
        <w:rPr>
          <w:rFonts w:ascii="Times New Roman" w:eastAsia="Times New Roman" w:hAnsi="Times New Roman" w:cs="Times New Roman"/>
          <w:sz w:val="24"/>
          <w:szCs w:val="24"/>
        </w:rPr>
        <w:t>.</w:t>
      </w:r>
    </w:p>
    <w:p w14:paraId="05474DD8" w14:textId="77777777" w:rsidR="00DE4259" w:rsidRDefault="000F063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Chemanalyst.com. (2024). </w:t>
      </w:r>
      <w:r>
        <w:rPr>
          <w:rFonts w:ascii="Times New Roman" w:eastAsia="Times New Roman" w:hAnsi="Times New Roman" w:cs="Times New Roman"/>
          <w:i/>
          <w:iCs/>
          <w:sz w:val="24"/>
          <w:szCs w:val="24"/>
        </w:rPr>
        <w:t>Sinopec, BP Boost Partnership with Strategic Accord in Fuel Sales</w:t>
      </w:r>
      <w:r>
        <w:rPr>
          <w:rFonts w:ascii="Times New Roman" w:eastAsia="Times New Roman" w:hAnsi="Times New Roman" w:cs="Times New Roman"/>
          <w:sz w:val="24"/>
          <w:szCs w:val="24"/>
        </w:rPr>
        <w:t xml:space="preserve">. [online] Available at: </w:t>
      </w:r>
      <w:hyperlink r:id="rId32">
        <w:r>
          <w:rPr>
            <w:rFonts w:ascii="Times New Roman" w:eastAsia="Times New Roman" w:hAnsi="Times New Roman" w:cs="Times New Roman"/>
            <w:color w:val="1155CC"/>
            <w:sz w:val="24"/>
            <w:szCs w:val="24"/>
            <w:u w:val="single"/>
          </w:rPr>
          <w:t>https://www.chemanalyst.com/NewsAndDeals/NewsDetails/sinopec-bp-boost-partnership-with-strategic-accord-in-fuel-sales-24647</w:t>
        </w:r>
      </w:hyperlink>
      <w:r>
        <w:rPr>
          <w:rFonts w:ascii="Times New Roman" w:eastAsia="Times New Roman" w:hAnsi="Times New Roman" w:cs="Times New Roman"/>
          <w:sz w:val="24"/>
          <w:szCs w:val="24"/>
        </w:rPr>
        <w:t xml:space="preserve">  [Accessed 16 Oct. 2025].</w:t>
      </w:r>
    </w:p>
    <w:p w14:paraId="1B820733"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Chinalegalexperts.com, (2024). </w:t>
      </w:r>
      <w:r>
        <w:rPr>
          <w:rFonts w:ascii="Times New Roman" w:eastAsia="Times New Roman" w:hAnsi="Times New Roman" w:cs="Times New Roman"/>
          <w:sz w:val="24"/>
          <w:szCs w:val="24"/>
        </w:rPr>
        <w:t xml:space="preserve">China Environmental Protection Law: Overview and Latest News. Available at: </w:t>
      </w:r>
      <w:hyperlink r:id="rId33" w:anchor=":~:text=The%20Environmental%20Protection%20Law%20%28EPL%29%20of%202014%20is,pollution%2C%20water%20pollution%2C%20waste%20management%2C%20and%20soil%20contamination">
        <w:r>
          <w:rPr>
            <w:rFonts w:ascii="Times New Roman" w:eastAsia="Times New Roman" w:hAnsi="Times New Roman" w:cs="Times New Roman"/>
            <w:color w:val="1155CC"/>
            <w:sz w:val="24"/>
            <w:szCs w:val="24"/>
            <w:u w:val="single"/>
          </w:rPr>
          <w:t>https://www.chinalegalexperts.com/news/china-environmental-protection-law#:~:text=The%20Environmental%20Protection%20Law%20%28EPL%29%20of%202014%20is,pollution%2C%20water%20pollution%2C%20waste%20management%2C%20and%20soil%20contamination</w:t>
        </w:r>
      </w:hyperlink>
      <w:r>
        <w:rPr>
          <w:rFonts w:ascii="Times New Roman" w:eastAsia="Times New Roman" w:hAnsi="Times New Roman" w:cs="Times New Roman"/>
          <w:sz w:val="24"/>
          <w:szCs w:val="24"/>
        </w:rPr>
        <w:t>.</w:t>
      </w:r>
    </w:p>
    <w:p w14:paraId="665AFE0D"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Companiesmarketcap.com, (2025). </w:t>
      </w:r>
      <w:r>
        <w:rPr>
          <w:rFonts w:ascii="Times New Roman" w:eastAsia="Times New Roman" w:hAnsi="Times New Roman" w:cs="Times New Roman"/>
          <w:sz w:val="24"/>
          <w:szCs w:val="24"/>
        </w:rPr>
        <w:t xml:space="preserve">BP (BP) - Market capitalization. Available at: </w:t>
      </w:r>
      <w:hyperlink r:id="rId34">
        <w:r>
          <w:rPr>
            <w:rFonts w:ascii="Times New Roman" w:eastAsia="Times New Roman" w:hAnsi="Times New Roman" w:cs="Times New Roman"/>
            <w:color w:val="1155CC"/>
            <w:sz w:val="24"/>
            <w:szCs w:val="24"/>
            <w:u w:val="single"/>
          </w:rPr>
          <w:t>https://companiesmarketcap.com/bp/marketcap/</w:t>
        </w:r>
      </w:hyperlink>
    </w:p>
    <w:p w14:paraId="4BD12059" w14:textId="77777777" w:rsidR="00DE4259" w:rsidRDefault="000F063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ey.com. (2022). </w:t>
      </w:r>
      <w:r>
        <w:rPr>
          <w:rFonts w:ascii="Times New Roman" w:eastAsia="Times New Roman" w:hAnsi="Times New Roman" w:cs="Times New Roman"/>
          <w:i/>
          <w:iCs/>
          <w:sz w:val="24"/>
          <w:szCs w:val="24"/>
        </w:rPr>
        <w:t>China data laws could impact global businesses</w:t>
      </w:r>
      <w:r>
        <w:rPr>
          <w:rFonts w:ascii="Times New Roman" w:eastAsia="Times New Roman" w:hAnsi="Times New Roman" w:cs="Times New Roman"/>
          <w:sz w:val="24"/>
          <w:szCs w:val="24"/>
        </w:rPr>
        <w:t>. [online] Available at:</w:t>
      </w:r>
      <w:hyperlink r:id="rId35">
        <w:r>
          <w:rPr>
            <w:rFonts w:ascii="Times New Roman" w:eastAsia="Times New Roman" w:hAnsi="Times New Roman" w:cs="Times New Roman"/>
            <w:sz w:val="24"/>
            <w:szCs w:val="24"/>
          </w:rPr>
          <w:t xml:space="preserve"> </w:t>
        </w:r>
      </w:hyperlink>
      <w:hyperlink r:id="rId36">
        <w:r>
          <w:rPr>
            <w:rFonts w:ascii="Times New Roman" w:eastAsia="Times New Roman" w:hAnsi="Times New Roman" w:cs="Times New Roman"/>
            <w:color w:val="1155CC"/>
            <w:sz w:val="24"/>
            <w:szCs w:val="24"/>
            <w:u w:val="single"/>
          </w:rPr>
          <w:t>https://www.ey.com/en_gl/insights/forensic-integrity-services/how-chinas-data-privacy-and-security-rules-could-impact-your-business</w:t>
        </w:r>
      </w:hyperlink>
      <w:r>
        <w:rPr>
          <w:rFonts w:ascii="Times New Roman" w:eastAsia="Times New Roman" w:hAnsi="Times New Roman" w:cs="Times New Roman"/>
          <w:sz w:val="24"/>
          <w:szCs w:val="24"/>
        </w:rPr>
        <w:t>.</w:t>
      </w:r>
    </w:p>
    <w:p w14:paraId="30D2D831" w14:textId="77777777" w:rsidR="00DE4259" w:rsidRDefault="000F063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Hofstede Insights (2025). </w:t>
      </w:r>
      <w:r>
        <w:rPr>
          <w:rFonts w:ascii="Times New Roman" w:eastAsia="Times New Roman" w:hAnsi="Times New Roman" w:cs="Times New Roman"/>
          <w:i/>
          <w:iCs/>
          <w:sz w:val="24"/>
          <w:szCs w:val="24"/>
        </w:rPr>
        <w:t>Country Comparison Tool</w:t>
      </w:r>
      <w:r>
        <w:rPr>
          <w:rFonts w:ascii="Times New Roman" w:eastAsia="Times New Roman" w:hAnsi="Times New Roman" w:cs="Times New Roman"/>
          <w:sz w:val="24"/>
          <w:szCs w:val="24"/>
        </w:rPr>
        <w:t>. [online] Theculturefactor.com. Available at:</w:t>
      </w:r>
      <w:hyperlink r:id="rId37">
        <w:r>
          <w:rPr>
            <w:rFonts w:ascii="Times New Roman" w:eastAsia="Times New Roman" w:hAnsi="Times New Roman" w:cs="Times New Roman"/>
            <w:sz w:val="24"/>
            <w:szCs w:val="24"/>
          </w:rPr>
          <w:t xml:space="preserve"> </w:t>
        </w:r>
      </w:hyperlink>
      <w:hyperlink r:id="rId38">
        <w:r>
          <w:rPr>
            <w:rFonts w:ascii="Times New Roman" w:eastAsia="Times New Roman" w:hAnsi="Times New Roman" w:cs="Times New Roman"/>
            <w:color w:val="1155CC"/>
            <w:sz w:val="24"/>
            <w:szCs w:val="24"/>
            <w:u w:val="single"/>
          </w:rPr>
          <w:t>https://www.theculturefactor.com/country-comparison-tool?countries=india%2Cunited+kingdom</w:t>
        </w:r>
      </w:hyperlink>
      <w:r>
        <w:rPr>
          <w:rFonts w:ascii="Times New Roman" w:eastAsia="Times New Roman" w:hAnsi="Times New Roman" w:cs="Times New Roman"/>
          <w:sz w:val="24"/>
          <w:szCs w:val="24"/>
        </w:rPr>
        <w:t>.</w:t>
      </w:r>
    </w:p>
    <w:p w14:paraId="23BC8BD2"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Insights.greyb.com, (2025). </w:t>
      </w:r>
      <w:r>
        <w:rPr>
          <w:rFonts w:ascii="Times New Roman" w:eastAsia="Times New Roman" w:hAnsi="Times New Roman" w:cs="Times New Roman"/>
          <w:sz w:val="24"/>
          <w:szCs w:val="24"/>
        </w:rPr>
        <w:t xml:space="preserve">BP Patents Key Insights &amp; Stats - Insights;Gate. Available at: </w:t>
      </w:r>
      <w:hyperlink r:id="rId39">
        <w:r>
          <w:rPr>
            <w:rFonts w:ascii="Times New Roman" w:eastAsia="Times New Roman" w:hAnsi="Times New Roman" w:cs="Times New Roman"/>
            <w:color w:val="1155CC"/>
            <w:sz w:val="24"/>
            <w:szCs w:val="24"/>
            <w:u w:val="single"/>
          </w:rPr>
          <w:t>https://insights.greyb.com/bp-patents/</w:t>
        </w:r>
      </w:hyperlink>
    </w:p>
    <w:p w14:paraId="134CBDBA"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Jera.co.jp, (2024). </w:t>
      </w:r>
      <w:r>
        <w:rPr>
          <w:rFonts w:ascii="Times New Roman" w:eastAsia="Times New Roman" w:hAnsi="Times New Roman" w:cs="Times New Roman"/>
          <w:sz w:val="24"/>
          <w:szCs w:val="24"/>
        </w:rPr>
        <w:t xml:space="preserve">bp and JERA joining forces to create top-tier global offshore wind joint venture | Press Release(2024) | JERA. Available at: </w:t>
      </w:r>
      <w:hyperlink r:id="rId40">
        <w:r>
          <w:rPr>
            <w:rFonts w:ascii="Times New Roman" w:eastAsia="Times New Roman" w:hAnsi="Times New Roman" w:cs="Times New Roman"/>
            <w:color w:val="1155CC"/>
            <w:sz w:val="24"/>
            <w:szCs w:val="24"/>
            <w:u w:val="single"/>
          </w:rPr>
          <w:t>https://www.jera.co.jp/en/news/information/20241209_2074</w:t>
        </w:r>
      </w:hyperlink>
    </w:p>
    <w:p w14:paraId="02173229" w14:textId="77777777" w:rsidR="00DE4259" w:rsidRDefault="000F0635">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Li, C., (2023). Cultural friction in international joint ventures: Whose cultural distance affects market reactions?. </w:t>
      </w:r>
      <w:r>
        <w:rPr>
          <w:rFonts w:ascii="Times New Roman" w:eastAsia="Times New Roman" w:hAnsi="Times New Roman" w:cs="Times New Roman"/>
          <w:i/>
          <w:iCs/>
          <w:sz w:val="24"/>
          <w:szCs w:val="24"/>
        </w:rPr>
        <w:t>Journal of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49</w:t>
      </w:r>
      <w:r>
        <w:rPr>
          <w:rFonts w:ascii="Times New Roman" w:eastAsia="Times New Roman" w:hAnsi="Times New Roman" w:cs="Times New Roman"/>
          <w:sz w:val="24"/>
          <w:szCs w:val="24"/>
        </w:rPr>
        <w:t>(7), pp.2288-2317.</w:t>
      </w:r>
      <w:hyperlink r:id="rId41">
        <w:r>
          <w:rPr>
            <w:rFonts w:ascii="Times New Roman" w:eastAsia="Times New Roman" w:hAnsi="Times New Roman" w:cs="Times New Roman"/>
            <w:sz w:val="24"/>
            <w:szCs w:val="24"/>
          </w:rPr>
          <w:t xml:space="preserve"> </w:t>
        </w:r>
      </w:hyperlink>
      <w:hyperlink r:id="rId42">
        <w:r>
          <w:rPr>
            <w:rFonts w:ascii="Times New Roman" w:eastAsia="Times New Roman" w:hAnsi="Times New Roman" w:cs="Times New Roman"/>
            <w:color w:val="1155CC"/>
            <w:sz w:val="24"/>
            <w:szCs w:val="24"/>
            <w:u w:val="single"/>
          </w:rPr>
          <w:t>https://journals.sagepub.com/doi/pdf/10.1177/01492063221104030</w:t>
        </w:r>
      </w:hyperlink>
    </w:p>
    <w:p w14:paraId="4EEBFB1A"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Mordorintelligence.com, (2025). </w:t>
      </w:r>
      <w:r>
        <w:rPr>
          <w:rFonts w:ascii="Times New Roman" w:eastAsia="Times New Roman" w:hAnsi="Times New Roman" w:cs="Times New Roman"/>
          <w:sz w:val="24"/>
          <w:szCs w:val="24"/>
        </w:rPr>
        <w:t xml:space="preserve">China Renewable Energy Market Size &amp; Share Report 2025-2030. Available at: </w:t>
      </w:r>
      <w:hyperlink r:id="rId43">
        <w:r>
          <w:rPr>
            <w:rFonts w:ascii="Times New Roman" w:eastAsia="Times New Roman" w:hAnsi="Times New Roman" w:cs="Times New Roman"/>
            <w:color w:val="1155CC"/>
            <w:sz w:val="24"/>
            <w:szCs w:val="24"/>
            <w:u w:val="single"/>
          </w:rPr>
          <w:t>https://www.mordorintelligence.com/industry-reports/china-renewable-energy-market</w:t>
        </w:r>
      </w:hyperlink>
    </w:p>
    <w:p w14:paraId="4E0CF4BB"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Mordorintelligence.com, (2025). </w:t>
      </w:r>
      <w:r>
        <w:rPr>
          <w:rFonts w:ascii="Times New Roman" w:eastAsia="Times New Roman" w:hAnsi="Times New Roman" w:cs="Times New Roman"/>
          <w:sz w:val="24"/>
          <w:szCs w:val="24"/>
        </w:rPr>
        <w:t xml:space="preserve">India Renewable Energy Market Size, Growth &amp; Trend Analysis, 2030. Available at: </w:t>
      </w:r>
      <w:hyperlink r:id="rId44">
        <w:r>
          <w:rPr>
            <w:rFonts w:ascii="Times New Roman" w:eastAsia="Times New Roman" w:hAnsi="Times New Roman" w:cs="Times New Roman"/>
            <w:color w:val="1155CC"/>
            <w:sz w:val="24"/>
            <w:szCs w:val="24"/>
            <w:u w:val="single"/>
          </w:rPr>
          <w:t>https://www.mordorintelligence.com/industry-reports/india-renewable-energy-market</w:t>
        </w:r>
      </w:hyperlink>
    </w:p>
    <w:p w14:paraId="62158412" w14:textId="77777777" w:rsidR="00DE4259" w:rsidRDefault="000F0635">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Pelletier, R.A. and Mujtaba, B., (2015). Maximizing employee happiness and well-being: An examination of value creation and competitive advantage at Zappos. </w:t>
      </w:r>
      <w:r>
        <w:rPr>
          <w:rFonts w:ascii="Times New Roman" w:eastAsia="Times New Roman" w:hAnsi="Times New Roman" w:cs="Times New Roman"/>
          <w:i/>
          <w:iCs/>
          <w:sz w:val="24"/>
          <w:szCs w:val="24"/>
        </w:rPr>
        <w:t>Advances in Social Sciences Research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(4). DOI:</w:t>
      </w:r>
      <w:hyperlink r:id="rId45">
        <w:r>
          <w:rPr>
            <w:rFonts w:ascii="Times New Roman" w:eastAsia="Times New Roman" w:hAnsi="Times New Roman" w:cs="Times New Roman"/>
            <w:sz w:val="24"/>
            <w:szCs w:val="24"/>
          </w:rPr>
          <w:t xml:space="preserve"> </w:t>
        </w:r>
      </w:hyperlink>
      <w:hyperlink r:id="rId46">
        <w:r>
          <w:rPr>
            <w:rFonts w:ascii="Times New Roman" w:eastAsia="Times New Roman" w:hAnsi="Times New Roman" w:cs="Times New Roman"/>
            <w:color w:val="1155CC"/>
            <w:sz w:val="24"/>
            <w:szCs w:val="24"/>
            <w:u w:val="single"/>
          </w:rPr>
          <w:t>https://doi.org/10.14738/assrj.24.1164</w:t>
        </w:r>
      </w:hyperlink>
    </w:p>
    <w:p w14:paraId="6E789415" w14:textId="77777777" w:rsidR="00DE4259" w:rsidRDefault="000F063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Pib.gov.in. (2024). </w:t>
      </w:r>
      <w:r>
        <w:rPr>
          <w:rFonts w:ascii="Times New Roman" w:eastAsia="Times New Roman" w:hAnsi="Times New Roman" w:cs="Times New Roman"/>
          <w:i/>
          <w:iCs/>
          <w:sz w:val="24"/>
          <w:szCs w:val="24"/>
        </w:rPr>
        <w:t>Periodic Labour Force Survey (PLFS) – Key Employment Unemployment Indicators for 2024</w:t>
      </w:r>
      <w:r>
        <w:rPr>
          <w:rFonts w:ascii="Times New Roman" w:eastAsia="Times New Roman" w:hAnsi="Times New Roman" w:cs="Times New Roman"/>
          <w:sz w:val="24"/>
          <w:szCs w:val="24"/>
        </w:rPr>
        <w:t>. [online] Available at:</w:t>
      </w:r>
      <w:hyperlink r:id="rId47">
        <w:r>
          <w:rPr>
            <w:rFonts w:ascii="Times New Roman" w:eastAsia="Times New Roman" w:hAnsi="Times New Roman" w:cs="Times New Roman"/>
            <w:sz w:val="24"/>
            <w:szCs w:val="24"/>
          </w:rPr>
          <w:t xml:space="preserve"> </w:t>
        </w:r>
      </w:hyperlink>
      <w:hyperlink r:id="rId48">
        <w:r>
          <w:rPr>
            <w:rFonts w:ascii="Times New Roman" w:eastAsia="Times New Roman" w:hAnsi="Times New Roman" w:cs="Times New Roman"/>
            <w:color w:val="1155CC"/>
            <w:sz w:val="24"/>
            <w:szCs w:val="24"/>
            <w:u w:val="single"/>
          </w:rPr>
          <w:t>https://www.pib.gov.in/PressReleaseIframePage.aspx?PRID=2120359</w:t>
        </w:r>
      </w:hyperlink>
      <w:r>
        <w:rPr>
          <w:rFonts w:ascii="Times New Roman" w:eastAsia="Times New Roman" w:hAnsi="Times New Roman" w:cs="Times New Roman"/>
          <w:sz w:val="24"/>
          <w:szCs w:val="24"/>
        </w:rPr>
        <w:t>.</w:t>
      </w:r>
    </w:p>
    <w:p w14:paraId="22D5D8E6"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Pitchbook.com, (2025). </w:t>
      </w:r>
      <w:r>
        <w:rPr>
          <w:rFonts w:ascii="Times New Roman" w:eastAsia="Times New Roman" w:hAnsi="Times New Roman" w:cs="Times New Roman"/>
          <w:sz w:val="24"/>
          <w:szCs w:val="24"/>
        </w:rPr>
        <w:t xml:space="preserve">BP 2025 Company Profile: Stock Performance &amp; Earnings | PitchBook. Available at: </w:t>
      </w:r>
      <w:hyperlink r:id="rId49" w:anchor="stock">
        <w:r>
          <w:rPr>
            <w:rFonts w:ascii="Times New Roman" w:eastAsia="Times New Roman" w:hAnsi="Times New Roman" w:cs="Times New Roman"/>
            <w:color w:val="1155CC"/>
            <w:sz w:val="24"/>
            <w:szCs w:val="24"/>
            <w:u w:val="single"/>
          </w:rPr>
          <w:t>https://pitchbook.com/profiles/company/11491-12#stock</w:t>
        </w:r>
      </w:hyperlink>
    </w:p>
    <w:p w14:paraId="00EEBF5C" w14:textId="77777777" w:rsidR="00DE4259" w:rsidRDefault="000F063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powermin.gov.in, (2022) </w:t>
      </w:r>
      <w:r>
        <w:rPr>
          <w:rFonts w:ascii="Times New Roman" w:eastAsia="Times New Roman" w:hAnsi="Times New Roman" w:cs="Times New Roman"/>
          <w:i/>
          <w:iCs/>
          <w:sz w:val="24"/>
          <w:szCs w:val="24"/>
        </w:rPr>
        <w:t>The Energy Conservation (Amendment) Act, 2022 no. 19 of 2022</w:t>
      </w:r>
      <w:r>
        <w:rPr>
          <w:rFonts w:ascii="Times New Roman" w:eastAsia="Times New Roman" w:hAnsi="Times New Roman" w:cs="Times New Roman"/>
          <w:sz w:val="24"/>
          <w:szCs w:val="24"/>
        </w:rPr>
        <w:t xml:space="preserve">. Available at: </w:t>
      </w:r>
      <w:hyperlink r:id="rId50">
        <w:r>
          <w:rPr>
            <w:rFonts w:ascii="Times New Roman" w:eastAsia="Times New Roman" w:hAnsi="Times New Roman" w:cs="Times New Roman"/>
            <w:color w:val="1155CC"/>
            <w:sz w:val="24"/>
            <w:szCs w:val="24"/>
            <w:u w:val="single"/>
          </w:rPr>
          <w:t>https://powermin.gov.in/sites/default/files/The_Energy_Conservation_Amendment_Act_2022_0.pdf</w:t>
        </w:r>
      </w:hyperlink>
      <w:r>
        <w:rPr>
          <w:rFonts w:ascii="Times New Roman" w:eastAsia="Times New Roman" w:hAnsi="Times New Roman" w:cs="Times New Roman"/>
          <w:sz w:val="24"/>
          <w:szCs w:val="24"/>
        </w:rPr>
        <w:t xml:space="preserve">  (Accessed: 16 October 2025).</w:t>
      </w:r>
    </w:p>
    <w:p w14:paraId="622FCAB1"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Reuters.com, (2024). </w:t>
      </w:r>
      <w:r>
        <w:rPr>
          <w:rFonts w:ascii="Times New Roman" w:eastAsia="Times New Roman" w:hAnsi="Times New Roman" w:cs="Times New Roman"/>
          <w:sz w:val="24"/>
          <w:szCs w:val="24"/>
        </w:rPr>
        <w:t xml:space="preserve">BP to buy out Bunge's stake in Brazilian biofuels JV in $1.4 bln deal | Reuters.Available at: </w:t>
      </w:r>
      <w:hyperlink r:id="rId51">
        <w:r>
          <w:rPr>
            <w:rFonts w:ascii="Times New Roman" w:eastAsia="Times New Roman" w:hAnsi="Times New Roman" w:cs="Times New Roman"/>
            <w:color w:val="1155CC"/>
            <w:sz w:val="24"/>
            <w:szCs w:val="24"/>
            <w:u w:val="single"/>
          </w:rPr>
          <w:t>https://www.reuters.com/markets/deals/bp-buy-out-bunges-stake-brazilian-biofuels-jv-14-bln-deal-2024-06-20/</w:t>
        </w:r>
      </w:hyperlink>
    </w:p>
    <w:p w14:paraId="5E7FD0D3" w14:textId="77777777" w:rsidR="00DE4259" w:rsidRDefault="000F0635">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Sneha, P., Sinha, N., Varghese, A., Durani, A. and Patel, A., (2021). Bureaucratic indecision and risk aversion in India. </w:t>
      </w:r>
      <w:r>
        <w:rPr>
          <w:rFonts w:ascii="Times New Roman" w:eastAsia="Times New Roman" w:hAnsi="Times New Roman" w:cs="Times New Roman"/>
          <w:i/>
          <w:iCs/>
          <w:sz w:val="24"/>
          <w:szCs w:val="24"/>
        </w:rPr>
        <w:t>Indian Public Policy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(6 (Nov-Dec)), pp.55-87.</w:t>
      </w:r>
      <w:hyperlink r:id="rId52">
        <w:r>
          <w:rPr>
            <w:rFonts w:ascii="Times New Roman" w:eastAsia="Times New Roman" w:hAnsi="Times New Roman" w:cs="Times New Roman"/>
            <w:sz w:val="24"/>
            <w:szCs w:val="24"/>
          </w:rPr>
          <w:t xml:space="preserve"> </w:t>
        </w:r>
      </w:hyperlink>
      <w:hyperlink r:id="rId53">
        <w:r>
          <w:rPr>
            <w:rFonts w:ascii="Times New Roman" w:eastAsia="Times New Roman" w:hAnsi="Times New Roman" w:cs="Times New Roman"/>
            <w:color w:val="1155CC"/>
            <w:sz w:val="24"/>
            <w:szCs w:val="24"/>
            <w:u w:val="single"/>
          </w:rPr>
          <w:t>https://www.ippr.in/index.php/ippr/article/download/84/42</w:t>
        </w:r>
      </w:hyperlink>
    </w:p>
    <w:p w14:paraId="687B22DD" w14:textId="77777777" w:rsidR="00DE4259" w:rsidRDefault="000F063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Theculturefactor.com. (2025). </w:t>
      </w:r>
      <w:r>
        <w:rPr>
          <w:rFonts w:ascii="Times New Roman" w:eastAsia="Times New Roman" w:hAnsi="Times New Roman" w:cs="Times New Roman"/>
          <w:i/>
          <w:iCs/>
          <w:sz w:val="24"/>
          <w:szCs w:val="24"/>
        </w:rPr>
        <w:t>Country comparison tool</w:t>
      </w:r>
      <w:r>
        <w:rPr>
          <w:rFonts w:ascii="Times New Roman" w:eastAsia="Times New Roman" w:hAnsi="Times New Roman" w:cs="Times New Roman"/>
          <w:sz w:val="24"/>
          <w:szCs w:val="24"/>
        </w:rPr>
        <w:t>. [online] Available at:</w:t>
      </w:r>
      <w:hyperlink r:id="rId54">
        <w:r>
          <w:rPr>
            <w:rFonts w:ascii="Times New Roman" w:eastAsia="Times New Roman" w:hAnsi="Times New Roman" w:cs="Times New Roman"/>
            <w:sz w:val="24"/>
            <w:szCs w:val="24"/>
          </w:rPr>
          <w:t xml:space="preserve"> </w:t>
        </w:r>
      </w:hyperlink>
      <w:hyperlink r:id="rId55">
        <w:r>
          <w:rPr>
            <w:rFonts w:ascii="Times New Roman" w:eastAsia="Times New Roman" w:hAnsi="Times New Roman" w:cs="Times New Roman"/>
            <w:color w:val="1155CC"/>
            <w:sz w:val="24"/>
            <w:szCs w:val="24"/>
            <w:u w:val="single"/>
          </w:rPr>
          <w:t>https://www.theculturefactor.com/country-comparison-tool?countries=brazil%2Cunited+kingdom</w:t>
        </w:r>
      </w:hyperlink>
      <w:r>
        <w:rPr>
          <w:rFonts w:ascii="Times New Roman" w:eastAsia="Times New Roman" w:hAnsi="Times New Roman" w:cs="Times New Roman"/>
          <w:sz w:val="24"/>
          <w:szCs w:val="24"/>
        </w:rPr>
        <w:t>.</w:t>
      </w:r>
    </w:p>
    <w:p w14:paraId="56F56DEC" w14:textId="77777777" w:rsidR="00DE4259" w:rsidRDefault="000F063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Theculturefactor.com. (2025). </w:t>
      </w:r>
      <w:r>
        <w:rPr>
          <w:rFonts w:ascii="Times New Roman" w:eastAsia="Times New Roman" w:hAnsi="Times New Roman" w:cs="Times New Roman"/>
          <w:i/>
          <w:iCs/>
          <w:sz w:val="24"/>
          <w:szCs w:val="24"/>
        </w:rPr>
        <w:t>Country comparison tool</w:t>
      </w:r>
      <w:r>
        <w:rPr>
          <w:rFonts w:ascii="Times New Roman" w:eastAsia="Times New Roman" w:hAnsi="Times New Roman" w:cs="Times New Roman"/>
          <w:sz w:val="24"/>
          <w:szCs w:val="24"/>
        </w:rPr>
        <w:t>. [online] Available at:</w:t>
      </w:r>
      <w:hyperlink r:id="rId56">
        <w:r>
          <w:rPr>
            <w:rFonts w:ascii="Times New Roman" w:eastAsia="Times New Roman" w:hAnsi="Times New Roman" w:cs="Times New Roman"/>
            <w:sz w:val="24"/>
            <w:szCs w:val="24"/>
          </w:rPr>
          <w:t xml:space="preserve"> </w:t>
        </w:r>
      </w:hyperlink>
      <w:hyperlink r:id="rId57">
        <w:r>
          <w:rPr>
            <w:rFonts w:ascii="Times New Roman" w:eastAsia="Times New Roman" w:hAnsi="Times New Roman" w:cs="Times New Roman"/>
            <w:color w:val="1155CC"/>
            <w:sz w:val="24"/>
            <w:szCs w:val="24"/>
            <w:u w:val="single"/>
          </w:rPr>
          <w:t>https://www.theculturefactor.com/country-comparison-tool?countries=china%2Cunited+kingdom</w:t>
        </w:r>
      </w:hyperlink>
      <w:r>
        <w:rPr>
          <w:rFonts w:ascii="Times New Roman" w:eastAsia="Times New Roman" w:hAnsi="Times New Roman" w:cs="Times New Roman"/>
          <w:sz w:val="24"/>
          <w:szCs w:val="24"/>
        </w:rPr>
        <w:t>.</w:t>
      </w:r>
    </w:p>
    <w:p w14:paraId="2086D752" w14:textId="77777777" w:rsidR="00DE4259" w:rsidRDefault="000F0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Timesofindia, (2024). </w:t>
      </w:r>
      <w:r>
        <w:rPr>
          <w:rFonts w:ascii="Times New Roman" w:eastAsia="Times New Roman" w:hAnsi="Times New Roman" w:cs="Times New Roman"/>
          <w:sz w:val="24"/>
          <w:szCs w:val="24"/>
        </w:rPr>
        <w:t xml:space="preserve">Reliance, BP to continue strategic partnership despite end of exclusivity - Times of India. Available at: </w:t>
      </w:r>
      <w:hyperlink r:id="rId58" w:anchor=":~:text=BP%20plc%20continues%20to%20function%20in%20India%20through,future%20investments%20in%20hydrocarbons%2C%20lubricants%2C%20mobility%2C%20and%20renewables">
        <w:r>
          <w:rPr>
            <w:rFonts w:ascii="Times New Roman" w:eastAsia="Times New Roman" w:hAnsi="Times New Roman" w:cs="Times New Roman"/>
            <w:color w:val="1155CC"/>
            <w:sz w:val="24"/>
            <w:szCs w:val="24"/>
            <w:u w:val="single"/>
          </w:rPr>
          <w:t>https://timesofindia.indiatimes.com/business/india-business/reliance-bp-to-continue-strategic-partnership-despite-end-of-exclusivity/articleshow/113876345.cms#:~:text=BP%20plc%20continues%20to%20function%20in%20India%20through,future%20investments%20in%20hydrocarbons%2C%20lubricants%2C%20mobility%2C%20and%20renewables</w:t>
        </w:r>
      </w:hyperlink>
      <w:r>
        <w:rPr>
          <w:rFonts w:ascii="Times New Roman" w:eastAsia="Times New Roman" w:hAnsi="Times New Roman" w:cs="Times New Roman"/>
          <w:sz w:val="24"/>
          <w:szCs w:val="24"/>
        </w:rPr>
        <w:t>.</w:t>
      </w:r>
    </w:p>
    <w:p w14:paraId="6FFF1D6F" w14:textId="77777777" w:rsidR="00DE4259" w:rsidRDefault="000F063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World Bank Group (2024). </w:t>
      </w:r>
      <w:r>
        <w:rPr>
          <w:rFonts w:ascii="Times New Roman" w:eastAsia="Times New Roman" w:hAnsi="Times New Roman" w:cs="Times New Roman"/>
          <w:i/>
          <w:iCs/>
          <w:sz w:val="24"/>
          <w:szCs w:val="24"/>
        </w:rPr>
        <w:t>Brazil | World Bank Gender Data Portal</w:t>
      </w:r>
      <w:r>
        <w:rPr>
          <w:rFonts w:ascii="Times New Roman" w:eastAsia="Times New Roman" w:hAnsi="Times New Roman" w:cs="Times New Roman"/>
          <w:sz w:val="24"/>
          <w:szCs w:val="24"/>
        </w:rPr>
        <w:t>. [online] World Bank Gender Data Portal. Available at:</w:t>
      </w:r>
      <w:hyperlink r:id="rId59">
        <w:r>
          <w:rPr>
            <w:rFonts w:ascii="Times New Roman" w:eastAsia="Times New Roman" w:hAnsi="Times New Roman" w:cs="Times New Roman"/>
            <w:sz w:val="24"/>
            <w:szCs w:val="24"/>
          </w:rPr>
          <w:t xml:space="preserve"> </w:t>
        </w:r>
      </w:hyperlink>
      <w:hyperlink r:id="rId60">
        <w:r>
          <w:rPr>
            <w:rFonts w:ascii="Times New Roman" w:eastAsia="Times New Roman" w:hAnsi="Times New Roman" w:cs="Times New Roman"/>
            <w:color w:val="1155CC"/>
            <w:sz w:val="24"/>
            <w:szCs w:val="24"/>
            <w:u w:val="single"/>
          </w:rPr>
          <w:t>https://genderdata.worldbank.org/en/economies/brazil</w:t>
        </w:r>
      </w:hyperlink>
      <w:r>
        <w:rPr>
          <w:rFonts w:ascii="Times New Roman" w:eastAsia="Times New Roman" w:hAnsi="Times New Roman" w:cs="Times New Roman"/>
          <w:sz w:val="24"/>
          <w:szCs w:val="24"/>
        </w:rPr>
        <w:t>.</w:t>
      </w:r>
    </w:p>
    <w:p w14:paraId="29191174" w14:textId="77777777" w:rsidR="00DE4259" w:rsidRDefault="000F0635">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Zhao, G., Vazquez‐Noguerol, M., Liu, S. and Prado‐Prado, J.C., (2024). Agri‐food supply chain resilience strategies for preparing, responding, recovering, and adapting in relation to unexpected crisis: A cross‐country comparative analysis from the COVID‐19 pandemic. </w:t>
      </w:r>
      <w:r>
        <w:rPr>
          <w:rFonts w:ascii="Times New Roman" w:eastAsia="Times New Roman" w:hAnsi="Times New Roman" w:cs="Times New Roman"/>
          <w:i/>
          <w:iCs/>
          <w:sz w:val="24"/>
          <w:szCs w:val="24"/>
        </w:rPr>
        <w:t>Journal of Business Logistics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45</w:t>
      </w:r>
      <w:r>
        <w:rPr>
          <w:rFonts w:ascii="Times New Roman" w:eastAsia="Times New Roman" w:hAnsi="Times New Roman" w:cs="Times New Roman"/>
          <w:sz w:val="24"/>
          <w:szCs w:val="24"/>
        </w:rPr>
        <w:t>(1), p.e12361.</w:t>
      </w:r>
      <w:hyperlink r:id="rId61">
        <w:r>
          <w:rPr>
            <w:rFonts w:ascii="Times New Roman" w:eastAsia="Times New Roman" w:hAnsi="Times New Roman" w:cs="Times New Roman"/>
            <w:sz w:val="24"/>
            <w:szCs w:val="24"/>
          </w:rPr>
          <w:t xml:space="preserve"> </w:t>
        </w:r>
      </w:hyperlink>
      <w:hyperlink r:id="rId62">
        <w:r>
          <w:rPr>
            <w:rFonts w:ascii="Times New Roman" w:eastAsia="Times New Roman" w:hAnsi="Times New Roman" w:cs="Times New Roman"/>
            <w:color w:val="1155CC"/>
            <w:sz w:val="24"/>
            <w:szCs w:val="24"/>
            <w:u w:val="single"/>
          </w:rPr>
          <w:t>https://link.springer.com/article/10.1007/s00779-021-01588-3</w:t>
        </w:r>
      </w:hyperlink>
    </w:p>
    <w:p w14:paraId="41BF58CC" w14:textId="77777777" w:rsidR="00DE4259" w:rsidRDefault="00DE4259">
      <w:pPr>
        <w:spacing w:line="360" w:lineRule="auto"/>
        <w:jc w:val="both"/>
        <w:rPr>
          <w:rFonts w:ascii="Times New Roman" w:eastAsia="Times New Roman" w:hAnsi="Times New Roman" w:cs="Times New Roman"/>
          <w:sz w:val="24"/>
          <w:szCs w:val="24"/>
        </w:rPr>
      </w:pPr>
    </w:p>
    <w:p w14:paraId="64BE52CA" w14:textId="77777777" w:rsidR="00DE4259" w:rsidRDefault="00DE4259">
      <w:pPr>
        <w:spacing w:line="360" w:lineRule="auto"/>
        <w:jc w:val="both"/>
        <w:rPr>
          <w:rFonts w:ascii="Times New Roman" w:eastAsia="Times New Roman" w:hAnsi="Times New Roman" w:cs="Times New Roman"/>
          <w:b/>
          <w:bCs/>
          <w:sz w:val="24"/>
          <w:szCs w:val="24"/>
        </w:rPr>
      </w:pPr>
    </w:p>
    <w:p w14:paraId="747AF090" w14:textId="77777777" w:rsidR="00DE4259" w:rsidRDefault="00DE4259">
      <w:pPr>
        <w:spacing w:line="360" w:lineRule="auto"/>
        <w:jc w:val="both"/>
        <w:rPr>
          <w:rFonts w:ascii="Times New Roman" w:eastAsia="Times New Roman" w:hAnsi="Times New Roman" w:cs="Times New Roman"/>
          <w:b/>
          <w:bCs/>
          <w:sz w:val="24"/>
          <w:szCs w:val="24"/>
        </w:rPr>
      </w:pPr>
    </w:p>
    <w:p w14:paraId="2B6BB4B5" w14:textId="77777777" w:rsidR="00DE4259" w:rsidRDefault="00DE4259">
      <w:pPr>
        <w:spacing w:line="360" w:lineRule="auto"/>
        <w:rPr>
          <w:rFonts w:ascii="Times New Roman" w:eastAsia="Times New Roman" w:hAnsi="Times New Roman" w:cs="Times New Roman"/>
          <w:b/>
          <w:bCs/>
          <w:sz w:val="24"/>
          <w:szCs w:val="24"/>
        </w:rPr>
      </w:pPr>
    </w:p>
    <w:sectPr w:rsidR="00DE4259">
      <w:footerReference w:type="default" r:id="rId63"/>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03BFB3" w14:textId="77777777" w:rsidR="00B277A5" w:rsidRDefault="00B277A5">
      <w:pPr>
        <w:spacing w:line="240" w:lineRule="auto"/>
      </w:pPr>
      <w:r>
        <w:separator/>
      </w:r>
    </w:p>
  </w:endnote>
  <w:endnote w:type="continuationSeparator" w:id="0">
    <w:p w14:paraId="74EAF41C" w14:textId="77777777" w:rsidR="00B277A5" w:rsidRDefault="00B277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56CAAD4A-4F93-40FE-A576-689CE9E10A70}"/>
  </w:font>
  <w:font w:name="Cambria">
    <w:panose1 w:val="02040503050406030204"/>
    <w:charset w:val="00"/>
    <w:family w:val="roman"/>
    <w:pitch w:val="variable"/>
    <w:sig w:usb0="E00006FF" w:usb1="420024FF" w:usb2="02000000" w:usb3="00000000" w:csb0="0000019F" w:csb1="00000000"/>
    <w:embedRegular r:id="rId2" w:fontKey="{A4EC0202-2F8D-4276-BB75-3034BD3AF7F6}"/>
  </w:font>
  <w:font w:name="Calibri">
    <w:panose1 w:val="020F0502020204030204"/>
    <w:charset w:val="00"/>
    <w:family w:val="swiss"/>
    <w:pitch w:val="variable"/>
    <w:sig w:usb0="E4002EFF" w:usb1="C200247B" w:usb2="00000009" w:usb3="00000000" w:csb0="000001FF" w:csb1="00000000"/>
    <w:embedRegular r:id="rId3" w:fontKey="{46880C22-56B9-4B68-9D89-9C7CCDC32E1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7AA3BF" w14:textId="77777777" w:rsidR="00DE4259" w:rsidRDefault="000F0635">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296F8C">
      <w:rPr>
        <w:rFonts w:ascii="Times New Roman" w:eastAsia="Times New Roman" w:hAnsi="Times New Roman" w:cs="Times New Roman"/>
        <w:noProof/>
        <w:color w:val="000000"/>
        <w:sz w:val="20"/>
        <w:szCs w:val="20"/>
      </w:rPr>
      <w:t>25</w:t>
    </w:r>
    <w:r>
      <w:rPr>
        <w:rFonts w:ascii="Times New Roman" w:eastAsia="Times New Roman" w:hAnsi="Times New Roman" w:cs="Times New Roman"/>
        <w:color w:val="000000"/>
        <w:sz w:val="20"/>
        <w:szCs w:val="20"/>
      </w:rPr>
      <w:fldChar w:fldCharType="end"/>
    </w:r>
  </w:p>
  <w:p w14:paraId="2BE8C402" w14:textId="77777777" w:rsidR="00DE4259" w:rsidRDefault="00DE4259">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8663D8" w14:textId="77777777" w:rsidR="00B277A5" w:rsidRDefault="00B277A5">
      <w:pPr>
        <w:spacing w:line="240" w:lineRule="auto"/>
      </w:pPr>
      <w:r>
        <w:separator/>
      </w:r>
    </w:p>
  </w:footnote>
  <w:footnote w:type="continuationSeparator" w:id="0">
    <w:p w14:paraId="24A4D011" w14:textId="77777777" w:rsidR="00B277A5" w:rsidRDefault="00B277A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DE4259"/>
    <w:rsid w:val="000F0635"/>
    <w:rsid w:val="00233019"/>
    <w:rsid w:val="00296F8C"/>
    <w:rsid w:val="007E676F"/>
    <w:rsid w:val="00B277A5"/>
    <w:rsid w:val="00DE4259"/>
  </w:rsids>
  <m:mathPr>
    <m:mathFont m:val="Cambria Math"/>
    <m:brkBin m:val="before"/>
    <m:brkBinSub m:val="--"/>
    <m:smallFrac m:val="0"/>
    <m:dispDef/>
    <m:lMargin m:val="0"/>
    <m:rMargin m:val="0"/>
    <m:defJc m:val="centerGroup"/>
    <m:wrapIndent m:val="1440"/>
    <m:intLim m:val="subSup"/>
    <m:naryLim m:val="undOvr"/>
  </m:mathPr>
  <w:themeFontLang w:val="en-A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DEDBF"/>
  <w15:docId w15:val="{1148BAB1-56A3-4A2A-A2F8-7533C2087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A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TOC1">
    <w:name w:val="toc 1"/>
    <w:basedOn w:val="Normal"/>
    <w:next w:val="Normal"/>
    <w:autoRedefine/>
    <w:uiPriority w:val="39"/>
    <w:unhideWhenUsed/>
    <w:rsid w:val="00AA0A8F"/>
    <w:pPr>
      <w:spacing w:after="100"/>
    </w:pPr>
  </w:style>
  <w:style w:type="paragraph" w:styleId="TOC2">
    <w:name w:val="toc 2"/>
    <w:basedOn w:val="Normal"/>
    <w:next w:val="Normal"/>
    <w:autoRedefine/>
    <w:uiPriority w:val="39"/>
    <w:unhideWhenUsed/>
    <w:rsid w:val="00AA0A8F"/>
    <w:pPr>
      <w:spacing w:after="100"/>
      <w:ind w:left="220"/>
    </w:pPr>
  </w:style>
  <w:style w:type="character" w:styleId="Hyperlink">
    <w:name w:val="Hyperlink"/>
    <w:basedOn w:val="DefaultParagraphFont"/>
    <w:uiPriority w:val="99"/>
    <w:unhideWhenUsed/>
    <w:rsid w:val="00AA0A8F"/>
    <w:rPr>
      <w:color w:val="0000FF" w:themeColor="hyperlink"/>
      <w:u w:val="single"/>
    </w:rPr>
  </w:style>
  <w:style w:type="paragraph" w:styleId="Header">
    <w:name w:val="header"/>
    <w:basedOn w:val="Normal"/>
    <w:link w:val="HeaderChar"/>
    <w:uiPriority w:val="99"/>
    <w:unhideWhenUsed/>
    <w:rsid w:val="00E751E6"/>
    <w:pPr>
      <w:tabs>
        <w:tab w:val="center" w:pos="4513"/>
        <w:tab w:val="right" w:pos="9026"/>
      </w:tabs>
      <w:spacing w:line="240" w:lineRule="auto"/>
    </w:pPr>
  </w:style>
  <w:style w:type="character" w:customStyle="1" w:styleId="HeaderChar">
    <w:name w:val="Header Char"/>
    <w:basedOn w:val="DefaultParagraphFont"/>
    <w:link w:val="Header"/>
    <w:uiPriority w:val="99"/>
    <w:rsid w:val="00E751E6"/>
  </w:style>
  <w:style w:type="paragraph" w:styleId="Footer">
    <w:name w:val="footer"/>
    <w:basedOn w:val="Normal"/>
    <w:link w:val="FooterChar"/>
    <w:uiPriority w:val="99"/>
    <w:unhideWhenUsed/>
    <w:rsid w:val="00E751E6"/>
    <w:pPr>
      <w:tabs>
        <w:tab w:val="center" w:pos="4513"/>
        <w:tab w:val="right" w:pos="9026"/>
      </w:tabs>
      <w:spacing w:line="240" w:lineRule="auto"/>
    </w:pPr>
  </w:style>
  <w:style w:type="character" w:customStyle="1" w:styleId="FooterChar">
    <w:name w:val="Footer Char"/>
    <w:basedOn w:val="DefaultParagraphFont"/>
    <w:link w:val="Footer"/>
    <w:uiPriority w:val="99"/>
    <w:rsid w:val="00E751E6"/>
  </w:style>
  <w:style w:type="paragraph" w:styleId="BalloonText">
    <w:name w:val="Balloon Text"/>
    <w:basedOn w:val="Normal"/>
    <w:link w:val="BalloonTextChar"/>
    <w:uiPriority w:val="99"/>
    <w:semiHidden/>
    <w:unhideWhenUsed/>
    <w:rsid w:val="00582D6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2D6B"/>
    <w:rPr>
      <w:rFonts w:ascii="Tahoma" w:hAnsi="Tahoma" w:cs="Tahoma"/>
      <w:sz w:val="16"/>
      <w:szCs w:val="16"/>
    </w:rPr>
  </w:style>
  <w:style w:type="paragraph" w:styleId="Subtitle">
    <w:name w:val="Subtitle"/>
    <w:basedOn w:val="Normal"/>
    <w:next w:val="Normal"/>
    <w:pPr>
      <w:keepNext/>
      <w:keepLines/>
      <w:spacing w:after="320"/>
    </w:pPr>
    <w:rPr>
      <w:color w:val="666666"/>
      <w:sz w:val="30"/>
      <w:szCs w:val="30"/>
    </w:rPr>
  </w:style>
  <w:style w:type="paragraph" w:styleId="NoSpacing">
    <w:name w:val="No Spacing"/>
    <w:link w:val="NoSpacingChar"/>
    <w:uiPriority w:val="1"/>
    <w:qFormat/>
    <w:rsid w:val="007E676F"/>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7E676F"/>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p.com/content/dam/bp/country-sites/en_au/australia/home/who-we-are/control-of-work/pro-4-5-0001-0-01-control-of-work.pdf" TargetMode="External"/><Relationship Id="rId21" Type="http://schemas.openxmlformats.org/officeDocument/2006/relationships/hyperlink" Target="https://www.bp.com/en/global/corporate/who-we-are/our-beliefs-and-code-of-conduct.html" TargetMode="External"/><Relationship Id="rId34" Type="http://schemas.openxmlformats.org/officeDocument/2006/relationships/hyperlink" Target="https://companiesmarketcap.com/bp/marketcap/" TargetMode="External"/><Relationship Id="rId42" Type="http://schemas.openxmlformats.org/officeDocument/2006/relationships/hyperlink" Target="https://journals.sagepub.com/doi/pdf/10.1177/01492063221104030" TargetMode="External"/><Relationship Id="rId47" Type="http://schemas.openxmlformats.org/officeDocument/2006/relationships/hyperlink" Target="https://www.pib.gov.in/PressReleaseIframePage.aspx?PRID=2120359" TargetMode="External"/><Relationship Id="rId50" Type="http://schemas.openxmlformats.org/officeDocument/2006/relationships/hyperlink" Target="https://powermin.gov.in/sites/default/files/The_Energy_Conservation_Amendment_Act_2022_0.pdf" TargetMode="External"/><Relationship Id="rId55" Type="http://schemas.openxmlformats.org/officeDocument/2006/relationships/hyperlink" Target="https://www.theculturefactor.com/country-comparison-tool?countries=brazil%2Cunited+kingdom" TargetMode="External"/><Relationship Id="rId63"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bp.com/en/global/corporate/who-we-are/our-organization/gas-and-low-carbon-energy.html" TargetMode="External"/><Relationship Id="rId11" Type="http://schemas.openxmlformats.org/officeDocument/2006/relationships/image" Target="media/image5.png"/><Relationship Id="rId24" Type="http://schemas.openxmlformats.org/officeDocument/2006/relationships/hyperlink" Target="https://www.bp.com/en/global/corporate/news-and-insights/press-releases/bp-announces-hydrocarbon-discovery-at-bumerangue-exploration-well-offshore-brazil.html" TargetMode="External"/><Relationship Id="rId32" Type="http://schemas.openxmlformats.org/officeDocument/2006/relationships/hyperlink" Target="https://www.chemanalyst.com/NewsAndDeals/NewsDetails/sinopec-bp-boost-partnership-with-strategic-accord-in-fuel-sales-24647" TargetMode="External"/><Relationship Id="rId37" Type="http://schemas.openxmlformats.org/officeDocument/2006/relationships/hyperlink" Target="https://www.theculturefactor.com/country-comparison-tool?countries=india%2Cunited+kingdom" TargetMode="External"/><Relationship Id="rId40" Type="http://schemas.openxmlformats.org/officeDocument/2006/relationships/hyperlink" Target="https://www.jera.co.jp/en/news/information/20241209_2074" TargetMode="External"/><Relationship Id="rId45" Type="http://schemas.openxmlformats.org/officeDocument/2006/relationships/hyperlink" Target="https://doi.org/10.14738/assrj.24.1164" TargetMode="External"/><Relationship Id="rId53" Type="http://schemas.openxmlformats.org/officeDocument/2006/relationships/hyperlink" Target="https://www.ippr.in/index.php/ippr/article/download/84/42" TargetMode="External"/><Relationship Id="rId58" Type="http://schemas.openxmlformats.org/officeDocument/2006/relationships/hyperlink" Target="https://timesofindia.indiatimes.com/business/india-business/reliance-bp-to-continue-strategic-partnership-despite-end-of-exclusivity/articleshow/113876345.cms" TargetMode="External"/><Relationship Id="rId5" Type="http://schemas.openxmlformats.org/officeDocument/2006/relationships/footnotes" Target="footnotes.xml"/><Relationship Id="rId61" Type="http://schemas.openxmlformats.org/officeDocument/2006/relationships/hyperlink" Target="https://link.springer.com/article/10.1007/s00779-021-01588-3" TargetMode="External"/><Relationship Id="rId19" Type="http://schemas.openxmlformats.org/officeDocument/2006/relationships/hyperlink" Target="https://academic.oup.com/edited-volume/41304/chapter/352053816" TargetMode="External"/><Relationship Id="rId14" Type="http://schemas.openxmlformats.org/officeDocument/2006/relationships/image" Target="media/image8.png"/><Relationship Id="rId22" Type="http://schemas.openxmlformats.org/officeDocument/2006/relationships/hyperlink" Target="https://www.bp.com/en/global/corporate/who-we-are/our-beliefs-and-code-of-conduct.html" TargetMode="External"/><Relationship Id="rId27" Type="http://schemas.openxmlformats.org/officeDocument/2006/relationships/hyperlink" Target="https://www.bp.com/en/global/corporate/investors/results-reporting-and-presentations/quarterly-results-and-webcast.html" TargetMode="External"/><Relationship Id="rId30" Type="http://schemas.openxmlformats.org/officeDocument/2006/relationships/hyperlink" Target="https://www.bp.com.cn/zh_cn/china/home/news/press-releases/full-year-and-4q-2024-financial-results.html" TargetMode="External"/><Relationship Id="rId35" Type="http://schemas.openxmlformats.org/officeDocument/2006/relationships/hyperlink" Target="https://www.ey.com/en_gl/insights/forensic-integrity-services/how-chinas-data-privacy-and-security-rules-could-impact-your-business" TargetMode="External"/><Relationship Id="rId43" Type="http://schemas.openxmlformats.org/officeDocument/2006/relationships/hyperlink" Target="https://www.mordorintelligence.com/industry-reports/china-renewable-energy-market" TargetMode="External"/><Relationship Id="rId48" Type="http://schemas.openxmlformats.org/officeDocument/2006/relationships/hyperlink" Target="https://www.pib.gov.in/PressReleaseIframePage.aspx?PRID=2120359" TargetMode="External"/><Relationship Id="rId56" Type="http://schemas.openxmlformats.org/officeDocument/2006/relationships/hyperlink" Target="https://www.theculturefactor.com/country-comparison-tool?countries=china%2Cunited+kingdom" TargetMode="External"/><Relationship Id="rId64"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reuters.com/markets/deals/bp-buy-out-bunges-stake-brazilian-biofuels-jv-14-bln-deal-2024-06-20/"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bp.com/en_in/india/home/news/press/reliance-and-bp-to-create-major-world-class-fuels-partnership-for-Indias-fast-growing-market.html" TargetMode="External"/><Relationship Id="rId33" Type="http://schemas.openxmlformats.org/officeDocument/2006/relationships/hyperlink" Target="https://www.chinalegalexperts.com/news/china-environmental-protection-law" TargetMode="External"/><Relationship Id="rId38" Type="http://schemas.openxmlformats.org/officeDocument/2006/relationships/hyperlink" Target="https://www.theculturefactor.com/country-comparison-tool?countries=india%2Cunited+kingdom" TargetMode="External"/><Relationship Id="rId46" Type="http://schemas.openxmlformats.org/officeDocument/2006/relationships/hyperlink" Target="https://doi.org/10.14738/assrj.24.1164" TargetMode="External"/><Relationship Id="rId59" Type="http://schemas.openxmlformats.org/officeDocument/2006/relationships/hyperlink" Target="https://genderdata.worldbank.org/en/economies/brazil" TargetMode="External"/><Relationship Id="rId20" Type="http://schemas.openxmlformats.org/officeDocument/2006/relationships/hyperlink" Target="https://academic.oup.com/edited-volume/41304/chapter/352053816" TargetMode="External"/><Relationship Id="rId41" Type="http://schemas.openxmlformats.org/officeDocument/2006/relationships/hyperlink" Target="https://journals.sagepub.com/doi/pdf/10.1177/01492063221104030" TargetMode="External"/><Relationship Id="rId54" Type="http://schemas.openxmlformats.org/officeDocument/2006/relationships/hyperlink" Target="https://www.theculturefactor.com/country-comparison-tool?countries=brazil%2Cunited+kingdom" TargetMode="External"/><Relationship Id="rId62" Type="http://schemas.openxmlformats.org/officeDocument/2006/relationships/hyperlink" Target="https://link.springer.com/article/10.1007/s00779-021-01588-3"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bp.com/en/global/corporate/news-and-insights/press-releases/bp-announces-hydrocarbon-discovery-at-bumerangue-exploration-well-offshore-brazil.html" TargetMode="External"/><Relationship Id="rId28" Type="http://schemas.openxmlformats.org/officeDocument/2006/relationships/hyperlink" Target="https://www.bp.com/en_us/united-states/home/what-we-do/technology/center-for-high-performance-computing.html" TargetMode="External"/><Relationship Id="rId36" Type="http://schemas.openxmlformats.org/officeDocument/2006/relationships/hyperlink" Target="https://www.ey.com/en_gl/insights/forensic-integrity-services/how-chinas-data-privacy-and-security-rules-could-impact-your-business" TargetMode="External"/><Relationship Id="rId49" Type="http://schemas.openxmlformats.org/officeDocument/2006/relationships/hyperlink" Target="https://pitchbook.com/profiles/company/11491-12" TargetMode="External"/><Relationship Id="rId57" Type="http://schemas.openxmlformats.org/officeDocument/2006/relationships/hyperlink" Target="https://www.theculturefactor.com/country-comparison-tool?countries=china%2Cunited+kingdom" TargetMode="External"/><Relationship Id="rId10" Type="http://schemas.openxmlformats.org/officeDocument/2006/relationships/image" Target="media/image4.png"/><Relationship Id="rId31" Type="http://schemas.openxmlformats.org/officeDocument/2006/relationships/hyperlink" Target="https://www.ccus-expo.com/industry-news/bp-partners-petrochina-develop-ccus-cluster-southern-china" TargetMode="External"/><Relationship Id="rId44" Type="http://schemas.openxmlformats.org/officeDocument/2006/relationships/hyperlink" Target="https://www.mordorintelligence.com/industry-reports/india-renewable-energy-market" TargetMode="External"/><Relationship Id="rId52" Type="http://schemas.openxmlformats.org/officeDocument/2006/relationships/hyperlink" Target="https://www.ippr.in/index.php/ippr/article/download/84/42" TargetMode="External"/><Relationship Id="rId60" Type="http://schemas.openxmlformats.org/officeDocument/2006/relationships/hyperlink" Target="https://genderdata.worldbank.org/en/economies/brazil"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insights.greyb.com/bp-patent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CnzSqdkbbNoWznE25ErB48Rynw==">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7009</Words>
  <Characters>39952</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Neesha Shah</cp:lastModifiedBy>
  <cp:revision>3</cp:revision>
  <dcterms:created xsi:type="dcterms:W3CDTF">2025-12-10T11:00:00Z</dcterms:created>
  <dcterms:modified xsi:type="dcterms:W3CDTF">2025-12-13T21:48:00Z</dcterms:modified>
</cp:coreProperties>
</file>