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9210C" w14:textId="77777777" w:rsidR="00E30F7A" w:rsidRDefault="00E30F7A" w:rsidP="002579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FA0770" w14:textId="10445DE7" w:rsidR="00E30F7A" w:rsidRPr="00374660" w:rsidRDefault="00374660" w:rsidP="0025793E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74660">
        <w:rPr>
          <w:rFonts w:ascii="Times New Roman" w:hAnsi="Times New Roman" w:cs="Times New Roman"/>
          <w:b/>
          <w:bCs/>
          <w:sz w:val="40"/>
          <w:szCs w:val="40"/>
        </w:rPr>
        <w:t>Report</w:t>
      </w:r>
    </w:p>
    <w:p w14:paraId="3F437E8C" w14:textId="77777777" w:rsidR="00E30F7A" w:rsidRDefault="00E30F7A" w:rsidP="002579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B4704D" w14:textId="77777777" w:rsidR="00E30F7A" w:rsidRDefault="00E30F7A" w:rsidP="002579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511107" w14:textId="77777777" w:rsidR="00E30F7A" w:rsidRDefault="00E30F7A" w:rsidP="002579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B14B23" w14:textId="77777777" w:rsidR="00E30F7A" w:rsidRDefault="00E30F7A" w:rsidP="002579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451ADB" w14:textId="77777777" w:rsidR="00E30F7A" w:rsidRDefault="00E30F7A" w:rsidP="002579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77E709" w14:textId="77777777" w:rsidR="00E30F7A" w:rsidRDefault="00E30F7A" w:rsidP="002579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89F73C" w14:textId="77777777" w:rsidR="00E30F7A" w:rsidRDefault="00E30F7A" w:rsidP="002579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A8BB20" w14:textId="77777777" w:rsidR="00E30F7A" w:rsidRDefault="00E30F7A" w:rsidP="002579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371B57" w14:textId="3C058E68" w:rsidR="007B5585" w:rsidRDefault="007B5585" w:rsidP="003746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16EB92" w14:textId="77777777" w:rsidR="00374660" w:rsidRDefault="00374660" w:rsidP="003746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B1E0BE" w14:textId="77777777" w:rsidR="00374660" w:rsidRDefault="00374660" w:rsidP="003746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32E157" w14:textId="77777777" w:rsidR="00374660" w:rsidRDefault="00374660" w:rsidP="003746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AA7211" w14:textId="77777777" w:rsidR="00374660" w:rsidRDefault="00374660" w:rsidP="003746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D2FD24" w14:textId="77777777" w:rsidR="00374660" w:rsidRDefault="00374660" w:rsidP="003746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C73723" w14:textId="7BE38C16" w:rsidR="007B5585" w:rsidRDefault="007B5585" w:rsidP="0037466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Student Name</w:t>
      </w:r>
      <w:r w:rsidR="00374660">
        <w:rPr>
          <w:rFonts w:ascii="Times New Roman" w:hAnsi="Times New Roman" w:cs="Times New Roman"/>
          <w:b/>
          <w:bCs/>
          <w:sz w:val="28"/>
          <w:szCs w:val="28"/>
        </w:rPr>
        <w:t>: Lavinia – Mariana Apostol</w:t>
      </w:r>
    </w:p>
    <w:p w14:paraId="1E4CDE66" w14:textId="48CF35C3" w:rsidR="007B5585" w:rsidRDefault="007B5585" w:rsidP="0037466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Student Number</w:t>
      </w:r>
      <w:r w:rsidR="00374660">
        <w:rPr>
          <w:rFonts w:ascii="Times New Roman" w:hAnsi="Times New Roman" w:cs="Times New Roman"/>
          <w:b/>
          <w:bCs/>
          <w:sz w:val="28"/>
          <w:szCs w:val="28"/>
        </w:rPr>
        <w:t>: 2131344</w:t>
      </w:r>
    </w:p>
    <w:p w14:paraId="66B0DA1B" w14:textId="41DEE60B" w:rsidR="00374660" w:rsidRDefault="00374660" w:rsidP="0037466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Module Title: Sustainable Hospitality &amp; Tourism Management</w:t>
      </w:r>
    </w:p>
    <w:p w14:paraId="75ABD87A" w14:textId="68768180" w:rsidR="00374660" w:rsidRDefault="00374660" w:rsidP="0037466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Module Code: BMIH5006</w:t>
      </w:r>
    </w:p>
    <w:p w14:paraId="7CB89849" w14:textId="0E0A316D" w:rsidR="00374660" w:rsidRDefault="00374660" w:rsidP="0037466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Lecturer’ s Name: Kathryn Roberts</w:t>
      </w:r>
    </w:p>
    <w:p w14:paraId="682F4341" w14:textId="77777777" w:rsidR="008D3A88" w:rsidRDefault="008D3A8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sdt>
      <w:sdtPr>
        <w:rPr>
          <w:rFonts w:ascii="Times New Roman" w:eastAsiaTheme="minorHAnsi" w:hAnsi="Times New Roman" w:cs="Times New Roman"/>
          <w:b/>
          <w:bCs/>
          <w:color w:val="0D0D0D" w:themeColor="text1" w:themeTint="F2"/>
          <w:kern w:val="2"/>
          <w:sz w:val="28"/>
          <w:szCs w:val="28"/>
          <w:lang w:val="en-IN"/>
          <w14:ligatures w14:val="standardContextual"/>
        </w:rPr>
        <w:id w:val="664142231"/>
        <w:docPartObj>
          <w:docPartGallery w:val="Table of Contents"/>
          <w:docPartUnique/>
        </w:docPartObj>
      </w:sdtPr>
      <w:sdtEndPr>
        <w:rPr>
          <w:noProof/>
          <w:color w:val="auto"/>
          <w:sz w:val="24"/>
          <w:szCs w:val="24"/>
        </w:rPr>
      </w:sdtEndPr>
      <w:sdtContent>
        <w:p w14:paraId="7D75465E" w14:textId="4D983F0C" w:rsidR="006C3E6A" w:rsidRPr="006C3E6A" w:rsidRDefault="006C3E6A" w:rsidP="006C3E6A">
          <w:pPr>
            <w:pStyle w:val="TOCHeading"/>
            <w:jc w:val="center"/>
            <w:rPr>
              <w:rFonts w:ascii="Times New Roman" w:hAnsi="Times New Roman" w:cs="Times New Roman"/>
              <w:b/>
              <w:bCs/>
              <w:color w:val="0D0D0D" w:themeColor="text1" w:themeTint="F2"/>
              <w:sz w:val="28"/>
              <w:szCs w:val="28"/>
            </w:rPr>
          </w:pPr>
          <w:r w:rsidRPr="006C3E6A">
            <w:rPr>
              <w:rFonts w:ascii="Times New Roman" w:hAnsi="Times New Roman" w:cs="Times New Roman"/>
              <w:b/>
              <w:bCs/>
              <w:color w:val="0D0D0D" w:themeColor="text1" w:themeTint="F2"/>
              <w:sz w:val="28"/>
              <w:szCs w:val="28"/>
            </w:rPr>
            <w:t>Table of Contents</w:t>
          </w:r>
        </w:p>
        <w:p w14:paraId="1DF0247C" w14:textId="49FD2F59" w:rsidR="006C3E6A" w:rsidRPr="006C3E6A" w:rsidRDefault="006C3E6A" w:rsidP="006C3E6A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6C3E6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6C3E6A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6C3E6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59072310" w:history="1">
            <w:r w:rsidRPr="006C3E6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Introduction</w:t>
            </w:r>
            <w:r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_Toc159072310 \h </w:instrText>
            </w:r>
            <w:r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1C7386E" w14:textId="60867AFE" w:rsidR="006C3E6A" w:rsidRPr="006C3E6A" w:rsidRDefault="00000000" w:rsidP="006C3E6A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59072312" w:history="1">
            <w:r w:rsidR="006C3E6A" w:rsidRPr="006C3E6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Have the hotel been accused of greenwashing?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_Toc159072312 \h </w:instrTex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CCAF3A" w14:textId="2916C480" w:rsidR="006C3E6A" w:rsidRPr="006C3E6A" w:rsidRDefault="00000000" w:rsidP="006C3E6A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59072313" w:history="1">
            <w:r w:rsidR="006C3E6A" w:rsidRPr="006C3E6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Are there areas where it could be construed that they are greenwashing (not washing towels daily for example – this is an ongoing debate).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_Toc159072313 \h </w:instrTex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6B00B0" w14:textId="23D4BE59" w:rsidR="006C3E6A" w:rsidRPr="006C3E6A" w:rsidRDefault="00000000" w:rsidP="006C3E6A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59072314" w:history="1">
            <w:r w:rsidR="006C3E6A" w:rsidRPr="006C3E6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Do they self-evaluate?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_Toc159072314 \h </w:instrTex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10637C2" w14:textId="1BE96B86" w:rsidR="006C3E6A" w:rsidRPr="006C3E6A" w:rsidRDefault="00000000" w:rsidP="006C3E6A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59072315" w:history="1">
            <w:r w:rsidR="006C3E6A" w:rsidRPr="006C3E6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Why do companies self-evaluate?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_Toc159072315 \h </w:instrTex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695BC75" w14:textId="5EA60419" w:rsidR="006C3E6A" w:rsidRPr="006C3E6A" w:rsidRDefault="00000000" w:rsidP="006C3E6A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59072316" w:history="1">
            <w:r w:rsidR="006C3E6A" w:rsidRPr="006C3E6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Is ‘Green’ technology being used and is it more sustainable?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_Toc159072316 \h </w:instrTex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96BAA13" w14:textId="2D4D7D34" w:rsidR="006C3E6A" w:rsidRPr="006C3E6A" w:rsidRDefault="00000000" w:rsidP="006C3E6A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59072317" w:history="1">
            <w:r w:rsidR="006C3E6A" w:rsidRPr="006C3E6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What could they do instead of self-evaluating?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_Toc159072317 \h </w:instrTex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685F04" w14:textId="52E1F1B8" w:rsidR="006C3E6A" w:rsidRPr="006C3E6A" w:rsidRDefault="00000000" w:rsidP="006C3E6A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59072318" w:history="1">
            <w:r w:rsidR="006C3E6A" w:rsidRPr="006C3E6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Conclusion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_Toc159072318 \h </w:instrTex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911D434" w14:textId="0E9ACB65" w:rsidR="006C3E6A" w:rsidRPr="006C3E6A" w:rsidRDefault="00000000" w:rsidP="006C3E6A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59072319" w:history="1">
            <w:r w:rsidR="006C3E6A" w:rsidRPr="006C3E6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_Toc159072319 \h </w:instrTex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6C3E6A" w:rsidRPr="006C3E6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197A03" w14:textId="6379AABF" w:rsidR="006C3E6A" w:rsidRPr="006C3E6A" w:rsidRDefault="006C3E6A" w:rsidP="006C3E6A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6C3E6A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2CAF0AC0" w14:textId="77777777" w:rsidR="00641079" w:rsidRDefault="00641079" w:rsidP="008D3A8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C9E8E5F" w14:textId="77777777" w:rsidR="00641079" w:rsidRDefault="0064107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70FDC549" w14:textId="6D26B236" w:rsidR="00B365B1" w:rsidRDefault="0092574C" w:rsidP="00CA3E0B">
      <w:pPr>
        <w:pStyle w:val="Heading1"/>
      </w:pPr>
      <w:bookmarkStart w:id="0" w:name="_Toc159072310"/>
      <w:r>
        <w:lastRenderedPageBreak/>
        <w:t>Introduction</w:t>
      </w:r>
      <w:bookmarkEnd w:id="0"/>
    </w:p>
    <w:p w14:paraId="4FE125EC" w14:textId="5F23747E" w:rsidR="0051740A" w:rsidRPr="00FF3F88" w:rsidRDefault="008450F1" w:rsidP="00FF3F8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cs/>
        </w:rPr>
      </w:pPr>
      <w:bookmarkStart w:id="1" w:name="_Toc159072311"/>
      <w:r w:rsidRPr="00FF3F88">
        <w:rPr>
          <w:rFonts w:ascii="Times New Roman" w:hAnsi="Times New Roman" w:cs="Times New Roman"/>
          <w:sz w:val="24"/>
          <w:szCs w:val="24"/>
        </w:rPr>
        <w:t xml:space="preserve">As of late, the neighborliness business has seen a flood in the gathering of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 xml:space="preserve">environmentally very much arranged practices, with lodgings readily showing their green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 xml:space="preserve">certifications as an exhibition of their commitment to viability (Abdou et al., 2020).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 xml:space="preserve">However, a closer evaluation of these affirmations reveals a potential opening among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 xml:space="preserve">rhetoric and reality. This report dives into the muddled scene of green affirmations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 xml:space="preserve">within the housing business, with a specific focus on Accor, an unquestionable player in the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 xml:space="preserve">hospitality region. The examination researches whether Accor has defied charges of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 xml:space="preserve">greenwashing, dissecting areas where the housing's practicality cases may probably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 xml:space="preserve">scrutiny, for instance, practices like towel reuse. Furthermore, the report explores accepting Accor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 xml:space="preserve">relies on self-appraisal, examining the manners of thinking behind associations picking this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 xml:space="preserve">approach and researching whether 'green' advancement is truly adding to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>sustainability</w:t>
      </w:r>
      <w:r w:rsidR="009A3659" w:rsidRPr="00FF3F8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A3659" w:rsidRPr="00FF3F88">
        <w:rPr>
          <w:rFonts w:ascii="Times New Roman" w:hAnsi="Times New Roman" w:cs="Times New Roman"/>
          <w:sz w:val="24"/>
          <w:szCs w:val="24"/>
        </w:rPr>
        <w:t>Elkhwesky et al., 202</w:t>
      </w:r>
      <w:r w:rsidR="002F64F8" w:rsidRPr="00FF3F88">
        <w:rPr>
          <w:rFonts w:ascii="Times New Roman" w:hAnsi="Times New Roman" w:cs="Times New Roman"/>
          <w:sz w:val="24"/>
          <w:szCs w:val="24"/>
        </w:rPr>
        <w:t>4</w:t>
      </w:r>
      <w:r w:rsidR="009A3659" w:rsidRPr="00FF3F88">
        <w:rPr>
          <w:rFonts w:ascii="Times New Roman" w:hAnsi="Times New Roman" w:cs="Times New Roman"/>
          <w:b/>
          <w:sz w:val="24"/>
          <w:szCs w:val="24"/>
        </w:rPr>
        <w:t>)</w:t>
      </w:r>
      <w:r w:rsidRPr="00FF3F88">
        <w:rPr>
          <w:rFonts w:ascii="Times New Roman" w:hAnsi="Times New Roman" w:cs="Times New Roman"/>
          <w:sz w:val="24"/>
          <w:szCs w:val="24"/>
        </w:rPr>
        <w:t xml:space="preserve">. As we investigate through these solicitations, we furthermore consider elective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 xml:space="preserve">strategies that motels like Accor could take on to ensure more direct and generous 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r w:rsidRPr="00FF3F88">
        <w:rPr>
          <w:rFonts w:ascii="Times New Roman" w:hAnsi="Times New Roman" w:cs="Times New Roman"/>
          <w:sz w:val="24"/>
          <w:szCs w:val="24"/>
        </w:rPr>
        <w:t>sustainability practices.</w:t>
      </w:r>
      <w:r w:rsidRPr="00FF3F88">
        <w:rPr>
          <w:rFonts w:ascii="Times New Roman" w:hAnsi="Times New Roman" w:cs="Times New Roman"/>
          <w:sz w:val="24"/>
          <w:szCs w:val="24"/>
          <w:cs/>
        </w:rPr>
        <w:t>‎</w:t>
      </w:r>
      <w:bookmarkEnd w:id="1"/>
    </w:p>
    <w:p w14:paraId="37D4670C" w14:textId="77777777" w:rsidR="007B5585" w:rsidRDefault="007B5585">
      <w:pPr>
        <w:rPr>
          <w:rFonts w:ascii="Times New Roman" w:eastAsiaTheme="majorEastAsia" w:hAnsi="Times New Roman" w:cstheme="majorBidi"/>
          <w:b/>
          <w:color w:val="0D0D0D" w:themeColor="text1" w:themeTint="F2"/>
          <w:sz w:val="28"/>
          <w:szCs w:val="32"/>
        </w:rPr>
      </w:pPr>
      <w:bookmarkStart w:id="2" w:name="_Toc159072312"/>
      <w:r>
        <w:br w:type="page"/>
      </w:r>
    </w:p>
    <w:p w14:paraId="7B24C171" w14:textId="1FF93E36" w:rsidR="00A70E04" w:rsidRPr="005F4415" w:rsidRDefault="00A70E04" w:rsidP="00CA3E0B">
      <w:pPr>
        <w:pStyle w:val="Heading1"/>
      </w:pPr>
      <w:r w:rsidRPr="00A70E04">
        <w:lastRenderedPageBreak/>
        <w:t>Have the hotel been accused of greenwashing?</w:t>
      </w:r>
      <w:bookmarkEnd w:id="2"/>
    </w:p>
    <w:p w14:paraId="2819143F" w14:textId="63DD680C" w:rsidR="00C417BF" w:rsidRPr="00C417BF" w:rsidRDefault="00C417BF" w:rsidP="00C417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7BF">
        <w:rPr>
          <w:rFonts w:ascii="Times New Roman" w:hAnsi="Times New Roman" w:cs="Times New Roman"/>
          <w:sz w:val="24"/>
          <w:szCs w:val="24"/>
        </w:rPr>
        <w:t xml:space="preserve">It is imperative for note that observations and charges in the area of corporate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responsibility can change for a really long time. Greenwashing charges regularly arise when a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company exaggerates or twists its commitment to biological practices. Accor,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like various other gigantic motel organizations, has executed legitimacy drives and gotten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various licenses. These consolidate projects like "Serve 360: Achieving something advantageous in Every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Direction," which approaches the association's social and natural targets. Accor has furthermore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committed to reducing its environmental impact through drives like energy efficiency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and waste abatement. In any case, the ampleness of these drives can be researched, especially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if they are fundamentally self-definite or need outside affirmation (Ahmed et al., 2021). It is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crucial for clients and accomplices to remain cautious and promoter for straightforwardness in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sustainability claims inside the hotel business. Standard updates from trustworthy sources or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official explanations from Accor would give the most reliable and current information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>regarding any claims of greenwashing or changes in their reasonability practices</w:t>
      </w:r>
      <w:r w:rsidR="00AE5DE4">
        <w:rPr>
          <w:rFonts w:ascii="Times New Roman" w:hAnsi="Times New Roman" w:cs="Times New Roman"/>
          <w:sz w:val="24"/>
          <w:szCs w:val="24"/>
        </w:rPr>
        <w:t xml:space="preserve"> (</w:t>
      </w:r>
      <w:r w:rsidR="00AE5DE4" w:rsidRPr="009A3659">
        <w:rPr>
          <w:rFonts w:ascii="Times New Roman" w:hAnsi="Times New Roman" w:cs="Times New Roman"/>
          <w:sz w:val="24"/>
          <w:szCs w:val="24"/>
        </w:rPr>
        <w:t>Fatima and Elbanna, 2020</w:t>
      </w:r>
      <w:r w:rsidR="00AE5DE4">
        <w:rPr>
          <w:rFonts w:ascii="Times New Roman" w:hAnsi="Times New Roman" w:cs="Times New Roman"/>
          <w:sz w:val="24"/>
          <w:szCs w:val="24"/>
        </w:rPr>
        <w:t>)</w:t>
      </w:r>
      <w:r w:rsidRPr="00C417BF">
        <w:rPr>
          <w:rFonts w:ascii="Times New Roman" w:hAnsi="Times New Roman" w:cs="Times New Roman"/>
          <w:sz w:val="24"/>
          <w:szCs w:val="24"/>
        </w:rPr>
        <w:t>.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</w:p>
    <w:p w14:paraId="3A618708" w14:textId="2E0AF6D0" w:rsidR="008A29D3" w:rsidRDefault="00C417BF" w:rsidP="00C417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7BF">
        <w:rPr>
          <w:rFonts w:ascii="Times New Roman" w:hAnsi="Times New Roman" w:cs="Times New Roman"/>
          <w:sz w:val="24"/>
          <w:szCs w:val="24"/>
        </w:rPr>
        <w:t xml:space="preserve">One perspective every now and again researched is Accor's exceptional materials, which include eco-obliging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initiatives yet may require intensive nuances or untouchable check. Chan et al.,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C417BF">
        <w:rPr>
          <w:rFonts w:ascii="Times New Roman" w:hAnsi="Times New Roman" w:cs="Times New Roman"/>
          <w:sz w:val="24"/>
          <w:szCs w:val="24"/>
        </w:rPr>
        <w:t xml:space="preserve">2020) battle that this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ambiguity clears the path for anticipated twisting or deceiving information, contributing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to the perspective on greenwashing. Additionally, there have been situations where Accor's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sustainability tries have been tried, examining the significance of their obligation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beyond shallow changes (Chan et al., 2020). As broad society ends up being more knowing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about corporate regular commitment, such claims of greenwashing brief a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 xml:space="preserve">closer evaluation of Accor's practices to figure out how much their legitimacy 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  <w:r w:rsidRPr="00C417BF">
        <w:rPr>
          <w:rFonts w:ascii="Times New Roman" w:hAnsi="Times New Roman" w:cs="Times New Roman"/>
          <w:sz w:val="24"/>
          <w:szCs w:val="24"/>
        </w:rPr>
        <w:t>initiatives line up with their advanced image.</w:t>
      </w:r>
      <w:r w:rsidRPr="00C417BF">
        <w:rPr>
          <w:rFonts w:ascii="Times New Roman" w:hAnsi="Times New Roman" w:cs="Times New Roman"/>
          <w:sz w:val="24"/>
          <w:szCs w:val="24"/>
          <w:cs/>
        </w:rPr>
        <w:t>‎</w:t>
      </w:r>
    </w:p>
    <w:p w14:paraId="1AE622AF" w14:textId="77777777" w:rsidR="007B5585" w:rsidRDefault="007B5585">
      <w:pPr>
        <w:rPr>
          <w:rFonts w:ascii="Times New Roman" w:eastAsiaTheme="majorEastAsia" w:hAnsi="Times New Roman" w:cstheme="majorBidi"/>
          <w:b/>
          <w:color w:val="0D0D0D" w:themeColor="text1" w:themeTint="F2"/>
          <w:sz w:val="28"/>
          <w:szCs w:val="32"/>
        </w:rPr>
      </w:pPr>
      <w:bookmarkStart w:id="3" w:name="_Toc159072313"/>
      <w:r>
        <w:br w:type="page"/>
      </w:r>
    </w:p>
    <w:p w14:paraId="056ACFDC" w14:textId="6A82117F" w:rsidR="00A622AA" w:rsidRPr="00A622AA" w:rsidRDefault="00A622AA" w:rsidP="00CA3E0B">
      <w:pPr>
        <w:pStyle w:val="Heading1"/>
      </w:pPr>
      <w:r w:rsidRPr="00A622AA">
        <w:lastRenderedPageBreak/>
        <w:t>Are there areas where it could be construed that they are greenwashing (not washing towels daily for example – this is an ongoing debate).</w:t>
      </w:r>
      <w:bookmarkEnd w:id="3"/>
    </w:p>
    <w:p w14:paraId="400147B2" w14:textId="28C53118" w:rsidR="00BF086D" w:rsidRPr="00BF086D" w:rsidRDefault="00BF086D" w:rsidP="00BF08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86D">
        <w:rPr>
          <w:rFonts w:ascii="Times New Roman" w:hAnsi="Times New Roman" w:cs="Times New Roman"/>
          <w:sz w:val="24"/>
          <w:szCs w:val="24"/>
        </w:rPr>
        <w:t xml:space="preserve">Accor, likewise as various lodgings, has done towel reuse programs as a piece of their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sustainability drives, where visitors are urged to incorporate their towels for more than one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day to decrease water and energy utilization related with washing. While this getting ready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aligns with more noteworthy industry attempts to limit ordinary effect, it has besides changed into a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>focal point for the steady discussion integrating potential greenwashing</w:t>
      </w:r>
      <w:r w:rsidR="00F62777">
        <w:rPr>
          <w:rFonts w:ascii="Times New Roman" w:hAnsi="Times New Roman" w:cs="Times New Roman"/>
          <w:sz w:val="24"/>
          <w:szCs w:val="24"/>
        </w:rPr>
        <w:t xml:space="preserve"> (</w:t>
      </w:r>
      <w:r w:rsidR="00F62777" w:rsidRPr="009A3659">
        <w:rPr>
          <w:rFonts w:ascii="Times New Roman" w:hAnsi="Times New Roman" w:cs="Times New Roman"/>
          <w:sz w:val="24"/>
          <w:szCs w:val="24"/>
        </w:rPr>
        <w:t>Achmad and Yulianah, 2022</w:t>
      </w:r>
      <w:r w:rsidR="00F62777">
        <w:rPr>
          <w:rFonts w:ascii="Times New Roman" w:hAnsi="Times New Roman" w:cs="Times New Roman"/>
          <w:sz w:val="24"/>
          <w:szCs w:val="24"/>
        </w:rPr>
        <w:t>)</w:t>
      </w:r>
      <w:r w:rsidRPr="00BF086D">
        <w:rPr>
          <w:rFonts w:ascii="Times New Roman" w:hAnsi="Times New Roman" w:cs="Times New Roman"/>
          <w:sz w:val="24"/>
          <w:szCs w:val="24"/>
        </w:rPr>
        <w:t xml:space="preserve">. The towel reuse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program, evidently, shows up as a model step towards reasonableness, outlined as a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simple move that visitors can make to add to ordinary protection during their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stay. Notwithstanding, intellectuals fight that this obviously eco-obliging practice could be a sort of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greenwashing expecting it clouds more massive customary worries on the other hand in the event that it isn't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accompanied by far showing up at authenticity measures commonly through the lodging (Floričić, </w:t>
      </w:r>
      <w:r w:rsidRPr="00BF086D">
        <w:rPr>
          <w:rFonts w:ascii="Times New Roman" w:hAnsi="Times New Roman" w:cs="Times New Roman"/>
          <w:sz w:val="24"/>
          <w:szCs w:val="24"/>
          <w:cs/>
        </w:rPr>
        <w:t>‎‎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2020).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</w:p>
    <w:p w14:paraId="2C8868D4" w14:textId="28861D66" w:rsidR="00A622AA" w:rsidRDefault="00BF086D" w:rsidP="00BF08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86D">
        <w:rPr>
          <w:rFonts w:ascii="Times New Roman" w:hAnsi="Times New Roman" w:cs="Times New Roman"/>
          <w:sz w:val="24"/>
          <w:szCs w:val="24"/>
        </w:rPr>
        <w:t xml:space="preserve">In unambiguous occasions, lodgings may excitedly impel towel reuse drives as a fundamental piece of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their typical commitment while minimizing extra gigantic issues like energy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consumption, squander the board, or store network authenticity. This particular accentuation on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a single, effectively implementable activity could give the impression of a more essential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commitment to reasonableness than what is really cleaned. In like manner, in the event that the towel reuse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>program is</w:t>
      </w:r>
      <w:r w:rsidR="007B5585">
        <w:rPr>
          <w:rFonts w:ascii="Times New Roman" w:hAnsi="Times New Roman" w:cs="Times New Roman"/>
          <w:sz w:val="24"/>
          <w:szCs w:val="24"/>
        </w:rPr>
        <w:t xml:space="preserve"> no</w:t>
      </w:r>
      <w:r w:rsidRPr="00BF086D">
        <w:rPr>
          <w:rFonts w:ascii="Times New Roman" w:hAnsi="Times New Roman" w:cs="Times New Roman"/>
          <w:sz w:val="24"/>
          <w:szCs w:val="24"/>
        </w:rPr>
        <w:t xml:space="preserve">t critical for a more noteworthy and clear suitability reasoning, it very well may be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construed as a shallow development pointed more at mollifying naturally knowing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>consumers than spreading out colossal change</w:t>
      </w:r>
      <w:r w:rsidR="00BC7C8B">
        <w:rPr>
          <w:rFonts w:ascii="Times New Roman" w:hAnsi="Times New Roman" w:cs="Times New Roman"/>
          <w:sz w:val="24"/>
          <w:szCs w:val="24"/>
        </w:rPr>
        <w:t xml:space="preserve"> (</w:t>
      </w:r>
      <w:r w:rsidR="00BC7C8B" w:rsidRPr="009A3659">
        <w:rPr>
          <w:rFonts w:ascii="Times New Roman" w:hAnsi="Times New Roman" w:cs="Times New Roman"/>
          <w:sz w:val="24"/>
          <w:szCs w:val="24"/>
        </w:rPr>
        <w:t>Han, 2021</w:t>
      </w:r>
      <w:r w:rsidR="00BC7C8B">
        <w:rPr>
          <w:rFonts w:ascii="Times New Roman" w:hAnsi="Times New Roman" w:cs="Times New Roman"/>
          <w:sz w:val="24"/>
          <w:szCs w:val="24"/>
        </w:rPr>
        <w:t>)</w:t>
      </w:r>
      <w:r w:rsidRPr="00BF086D">
        <w:rPr>
          <w:rFonts w:ascii="Times New Roman" w:hAnsi="Times New Roman" w:cs="Times New Roman"/>
          <w:sz w:val="24"/>
          <w:szCs w:val="24"/>
        </w:rPr>
        <w:t xml:space="preserve">. Persuading common sense practices ought to relax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beyond emblematically empowering visitors to reuse towels, incorporating a complete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approach that merges energy-skilled foundation, solid getting, squander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reduction, and direct organizing. Generally, while towel reuse drives can be a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positive step, they ought to be crucial for a more comprehensive and genuinely feasible technique for overseeing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avoid being considered to be a clear delegate sign or greenwashing methodology. As the glow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industry faces developing evaluation concerning its natural cases, guaranteeing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transparency and an assurance to wide sensibility rehearses are central 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  <w:r w:rsidRPr="00BF086D">
        <w:rPr>
          <w:rFonts w:ascii="Times New Roman" w:hAnsi="Times New Roman" w:cs="Times New Roman"/>
          <w:sz w:val="24"/>
          <w:szCs w:val="24"/>
        </w:rPr>
        <w:t xml:space="preserve">for lodgings like Accor to remain mindful of authenticity in their green drives (Gunduz Songur et al., </w:t>
      </w:r>
      <w:r w:rsidRPr="00BF086D">
        <w:rPr>
          <w:rFonts w:ascii="Times New Roman" w:hAnsi="Times New Roman" w:cs="Times New Roman"/>
          <w:sz w:val="24"/>
          <w:szCs w:val="24"/>
          <w:cs/>
        </w:rPr>
        <w:t>‎‎</w:t>
      </w:r>
      <w:r w:rsidRPr="00BF086D">
        <w:rPr>
          <w:rFonts w:ascii="Times New Roman" w:hAnsi="Times New Roman" w:cs="Times New Roman"/>
          <w:sz w:val="24"/>
          <w:szCs w:val="24"/>
        </w:rPr>
        <w:t>2023).</w:t>
      </w:r>
      <w:r w:rsidRPr="00BF086D">
        <w:rPr>
          <w:rFonts w:ascii="Times New Roman" w:hAnsi="Times New Roman" w:cs="Times New Roman"/>
          <w:sz w:val="24"/>
          <w:szCs w:val="24"/>
          <w:cs/>
        </w:rPr>
        <w:t>‎</w:t>
      </w:r>
    </w:p>
    <w:p w14:paraId="318934B1" w14:textId="77777777" w:rsidR="007B5585" w:rsidRDefault="007B5585">
      <w:pPr>
        <w:rPr>
          <w:rFonts w:ascii="Times New Roman" w:eastAsiaTheme="majorEastAsia" w:hAnsi="Times New Roman" w:cstheme="majorBidi"/>
          <w:b/>
          <w:color w:val="0D0D0D" w:themeColor="text1" w:themeTint="F2"/>
          <w:sz w:val="28"/>
          <w:szCs w:val="32"/>
        </w:rPr>
      </w:pPr>
      <w:bookmarkStart w:id="4" w:name="_Toc159072314"/>
      <w:r>
        <w:br w:type="page"/>
      </w:r>
    </w:p>
    <w:p w14:paraId="508243DA" w14:textId="2AA90749" w:rsidR="00A622AA" w:rsidRDefault="00AB6E72" w:rsidP="00CA3E0B">
      <w:pPr>
        <w:pStyle w:val="Heading1"/>
      </w:pPr>
      <w:r w:rsidRPr="00AB6E72">
        <w:lastRenderedPageBreak/>
        <w:t>Do they self-evaluate?</w:t>
      </w:r>
      <w:bookmarkEnd w:id="4"/>
    </w:p>
    <w:p w14:paraId="5BF72FFC" w14:textId="227D4D0F" w:rsidR="00E11B07" w:rsidRPr="00E11B07" w:rsidRDefault="00E11B07" w:rsidP="00E11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B07">
        <w:rPr>
          <w:rFonts w:ascii="Times New Roman" w:hAnsi="Times New Roman" w:cs="Times New Roman"/>
          <w:sz w:val="24"/>
          <w:szCs w:val="24"/>
        </w:rPr>
        <w:t xml:space="preserve">Accor, a central part in the kindness business, takes part in self-assessment as a part of its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sustainability rehearses</w:t>
      </w:r>
      <w:r w:rsidR="00226F99">
        <w:rPr>
          <w:rFonts w:ascii="Times New Roman" w:hAnsi="Times New Roman" w:cs="Times New Roman"/>
          <w:sz w:val="24"/>
          <w:szCs w:val="24"/>
        </w:rPr>
        <w:t xml:space="preserve"> (</w:t>
      </w:r>
      <w:r w:rsidR="00226F99" w:rsidRPr="009A3659">
        <w:rPr>
          <w:rFonts w:ascii="Times New Roman" w:hAnsi="Times New Roman" w:cs="Times New Roman"/>
          <w:sz w:val="24"/>
          <w:szCs w:val="24"/>
        </w:rPr>
        <w:t>Mzembe</w:t>
      </w:r>
      <w:r w:rsidR="00226F99">
        <w:rPr>
          <w:rFonts w:ascii="Times New Roman" w:hAnsi="Times New Roman" w:cs="Times New Roman"/>
          <w:sz w:val="24"/>
          <w:szCs w:val="24"/>
        </w:rPr>
        <w:t xml:space="preserve"> et al., 2020)</w:t>
      </w:r>
      <w:r w:rsidRPr="00E11B07">
        <w:rPr>
          <w:rFonts w:ascii="Times New Roman" w:hAnsi="Times New Roman" w:cs="Times New Roman"/>
          <w:sz w:val="24"/>
          <w:szCs w:val="24"/>
        </w:rPr>
        <w:t xml:space="preserve">. Self-assessment consolidates internal assessments and seeing to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measure the ordinary effect of the affiliation's tasks and the adequacy of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implemented green drives. This approach licenses Accor to follow progress, see regions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for improvement, and show a promise to reasonableness. Accor's self-assessment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processes cover different bits of organic responsibility, including energy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efficiency, water protection, squander the bosses, and social effect. By driving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internal assessments, the affiliation gets snippets of data into its asset use, nursery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gas overflows, and </w:t>
      </w:r>
      <w:r w:rsidR="007B5585" w:rsidRPr="00E11B07">
        <w:rPr>
          <w:rFonts w:ascii="Times New Roman" w:hAnsi="Times New Roman" w:cs="Times New Roman"/>
          <w:sz w:val="24"/>
          <w:szCs w:val="24"/>
        </w:rPr>
        <w:t>all-around</w:t>
      </w:r>
      <w:r w:rsidRPr="00E11B07">
        <w:rPr>
          <w:rFonts w:ascii="Times New Roman" w:hAnsi="Times New Roman" w:cs="Times New Roman"/>
          <w:sz w:val="24"/>
          <w:szCs w:val="24"/>
        </w:rPr>
        <w:t xml:space="preserve"> reasonableness execution (Kim et al., 2020). This data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serves as a defense behind portraying objectives, executing doled out upgrades, and changing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business practices to normal objectives.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</w:p>
    <w:p w14:paraId="247209C4" w14:textId="6D235AAC" w:rsidR="006874F2" w:rsidRDefault="00E11B07" w:rsidP="00E11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B07">
        <w:rPr>
          <w:rFonts w:ascii="Times New Roman" w:hAnsi="Times New Roman" w:cs="Times New Roman"/>
          <w:sz w:val="24"/>
          <w:szCs w:val="24"/>
        </w:rPr>
        <w:t xml:space="preserve">While self-assessment is a generally ordinary practice in the business, it goes with the two benefits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and challenges. On the positive side, it draws in Accor to outline and further foster its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sustainability attempts dependably. The affiliation can oblige its drives to unequivocal difficulties inside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each property or region, fostering a more adaptable and responsive strategy for overseeing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environmental stewardship</w:t>
      </w:r>
      <w:r w:rsidR="000E5DAC">
        <w:rPr>
          <w:rFonts w:ascii="Times New Roman" w:hAnsi="Times New Roman" w:cs="Times New Roman"/>
          <w:sz w:val="24"/>
          <w:szCs w:val="24"/>
        </w:rPr>
        <w:t xml:space="preserve"> (</w:t>
      </w:r>
      <w:r w:rsidR="000E5DAC" w:rsidRPr="009A3659">
        <w:rPr>
          <w:rFonts w:ascii="Times New Roman" w:hAnsi="Times New Roman" w:cs="Times New Roman"/>
          <w:sz w:val="24"/>
          <w:szCs w:val="24"/>
        </w:rPr>
        <w:t>Koch</w:t>
      </w:r>
      <w:r w:rsidR="000E5DAC">
        <w:rPr>
          <w:rFonts w:ascii="Times New Roman" w:hAnsi="Times New Roman" w:cs="Times New Roman"/>
          <w:sz w:val="24"/>
          <w:szCs w:val="24"/>
        </w:rPr>
        <w:t xml:space="preserve"> et al., 2020)</w:t>
      </w:r>
      <w:r w:rsidRPr="00E11B07">
        <w:rPr>
          <w:rFonts w:ascii="Times New Roman" w:hAnsi="Times New Roman" w:cs="Times New Roman"/>
          <w:sz w:val="24"/>
          <w:szCs w:val="24"/>
        </w:rPr>
        <w:t xml:space="preserve">. Anyway, the dependence on self-examination raises worries about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objectivity and straightforwardness. Without outside underwriting, there is a wagered of likely tendency in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reporting, as affiliations might be leaned to feature wins while restricting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shortcomings. This deficit of free certification can incite vulnerability from clients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and associates, especially in a period where greenwashing is a making concern. To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bolster authenticity and straightforwardness, affiliations like Accor could consider improving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self-examination with pariah evaluations. Outside certifications and overviews composed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by good affiliations give a fair and normalized assessment of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sustainability manages, offering demand to the public that the affiliation's natural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claims are totally supported (Sun et al., 2022). Finding some kind of friendliness between interior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assessment and outside support can develop Accor's reasonableness account and create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greater trust among regularly mindful consumers.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</w:p>
    <w:p w14:paraId="025F15CD" w14:textId="77777777" w:rsidR="007B5585" w:rsidRDefault="007B5585">
      <w:pPr>
        <w:rPr>
          <w:rFonts w:ascii="Times New Roman" w:eastAsiaTheme="majorEastAsia" w:hAnsi="Times New Roman" w:cstheme="majorBidi"/>
          <w:b/>
          <w:color w:val="0D0D0D" w:themeColor="text1" w:themeTint="F2"/>
          <w:sz w:val="28"/>
          <w:szCs w:val="32"/>
        </w:rPr>
      </w:pPr>
      <w:bookmarkStart w:id="5" w:name="_Toc159072315"/>
      <w:r>
        <w:br w:type="page"/>
      </w:r>
    </w:p>
    <w:p w14:paraId="0ABA0062" w14:textId="25672E11" w:rsidR="00BE5840" w:rsidRDefault="004235EC" w:rsidP="00CA3E0B">
      <w:pPr>
        <w:pStyle w:val="Heading1"/>
      </w:pPr>
      <w:r w:rsidRPr="004235EC">
        <w:lastRenderedPageBreak/>
        <w:t>Why do companies self-evaluate?</w:t>
      </w:r>
      <w:bookmarkEnd w:id="5"/>
    </w:p>
    <w:p w14:paraId="56A5A48E" w14:textId="77777777" w:rsidR="00E11B07" w:rsidRPr="00E11B07" w:rsidRDefault="00E11B07" w:rsidP="00E11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B07">
        <w:rPr>
          <w:rFonts w:ascii="Times New Roman" w:hAnsi="Times New Roman" w:cs="Times New Roman"/>
          <w:sz w:val="24"/>
          <w:szCs w:val="24"/>
        </w:rPr>
        <w:t xml:space="preserve">Associations take part in self-evaluation due to various variables, particularly in the space of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sustainability, where assessing regular impact and adherence to green practices has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become a fundamental piece of corporate commitment. Coming up next are a couple of key inspirations driving why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companies, including kind disposition goliaths like Accor, pick self-evaluation: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</w:p>
    <w:p w14:paraId="2BA6C2EA" w14:textId="77777777" w:rsidR="00E11B07" w:rsidRPr="00E11B07" w:rsidRDefault="00E11B07" w:rsidP="00E11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1.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ab/>
        <w:t xml:space="preserve">Continuous Improvement: Self-evaluation licenses associations to endlessly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monitor and overview their viability execution. By regularly keeping an eye on their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environmental practices, associations can recognize areas of progress, do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corrective measures, and refine their approaches after some time (TM et al., 2021). This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iterative connection adds to ceaseless progression and the improvement of more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effective legitimacy initiatives.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</w:p>
    <w:p w14:paraId="379050FE" w14:textId="5FD6E667" w:rsidR="00E11B07" w:rsidRPr="00E11B07" w:rsidRDefault="00E11B07" w:rsidP="00E11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2.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ab/>
        <w:t xml:space="preserve">Goal Setting and Following: Associations set forth unambiguous acceptability goals changed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with their regular targets. Self-evaluation engages them to follow progress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toward these goals, giving a quantifiable design to assess the result of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implemented drives. Checking key execution pointers grants associations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to stay dependable to their obligations and make data driven decisions for future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improvements</w:t>
      </w:r>
      <w:r w:rsidR="009A3754">
        <w:rPr>
          <w:rFonts w:ascii="Times New Roman" w:hAnsi="Times New Roman" w:cs="Times New Roman"/>
          <w:sz w:val="24"/>
          <w:szCs w:val="24"/>
        </w:rPr>
        <w:t xml:space="preserve"> (</w:t>
      </w:r>
      <w:r w:rsidR="009A3754" w:rsidRPr="009A3659">
        <w:rPr>
          <w:rFonts w:ascii="Times New Roman" w:hAnsi="Times New Roman" w:cs="Times New Roman"/>
          <w:sz w:val="24"/>
          <w:szCs w:val="24"/>
        </w:rPr>
        <w:t>Modica</w:t>
      </w:r>
      <w:r w:rsidR="009A3754">
        <w:rPr>
          <w:rFonts w:ascii="Times New Roman" w:hAnsi="Times New Roman" w:cs="Times New Roman"/>
          <w:sz w:val="24"/>
          <w:szCs w:val="24"/>
        </w:rPr>
        <w:t xml:space="preserve"> et al., 2020)</w:t>
      </w:r>
      <w:r w:rsidRPr="00E11B07">
        <w:rPr>
          <w:rFonts w:ascii="Times New Roman" w:hAnsi="Times New Roman" w:cs="Times New Roman"/>
          <w:sz w:val="24"/>
          <w:szCs w:val="24"/>
        </w:rPr>
        <w:t>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</w:p>
    <w:p w14:paraId="367FECC7" w14:textId="77777777" w:rsidR="00E11B07" w:rsidRPr="00E11B07" w:rsidRDefault="00E11B07" w:rsidP="00E11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3.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ab/>
        <w:t xml:space="preserve">Resource Capability: Self-evaluation helps associations with propelling resource use,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whether it be energy, water, or crude parts. By analyzing use plans and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identifying deficiencies, associations can execute measures to decrease waste,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conserve resources, and work on practical efficiency, provoking expense hold assets in the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long run (Zdravković and Peković, 2020).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</w:p>
    <w:p w14:paraId="64AB533A" w14:textId="77777777" w:rsidR="00E11B07" w:rsidRPr="00E11B07" w:rsidRDefault="00E11B07" w:rsidP="00E11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4.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ab/>
        <w:t xml:space="preserve">Risk Organization: Understanding and surveying biological perils related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with business exercises is fundamental. Associations use self-appraisal to assess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potential biological impacts, ensuring consistence with rules, directing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risks, and proactively settling issues that could arise. This approach helps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companies with avoiding legitimate and reputational challenges related with regular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non-compliance.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</w:p>
    <w:p w14:paraId="1BA4B61C" w14:textId="77777777" w:rsidR="00E11B07" w:rsidRPr="00E11B07" w:rsidRDefault="00E11B07" w:rsidP="00E11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5.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ab/>
        <w:t xml:space="preserve">Stakeholder Responsibility and Straightforwardness: Accomplices, including buyers,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investors, and managerial bodies, continuously demand straightforwardness concerning a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company's environmental practices. Self-appraisal licenses associations to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communicate their reasonability attempts clearly, sharing encounters into their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environmental execution, goals, and the means taken to ease their normal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footprint (Zhang et al., 2020).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</w:p>
    <w:p w14:paraId="2C3699F4" w14:textId="6754D8A8" w:rsidR="00B977E7" w:rsidRPr="00B977E7" w:rsidRDefault="00E11B07" w:rsidP="00E11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B07">
        <w:rPr>
          <w:rFonts w:ascii="Times New Roman" w:hAnsi="Times New Roman" w:cs="Times New Roman"/>
          <w:sz w:val="24"/>
          <w:szCs w:val="24"/>
        </w:rPr>
        <w:t xml:space="preserve">While self-evaluation is a critical inside gadget for associations zeroed in on legitimacy,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the fuse of outside assessments and testaments from good pariah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organizations can update </w:t>
      </w:r>
      <w:r w:rsidRPr="00E11B07">
        <w:rPr>
          <w:rFonts w:ascii="Times New Roman" w:hAnsi="Times New Roman" w:cs="Times New Roman"/>
          <w:sz w:val="24"/>
          <w:szCs w:val="24"/>
        </w:rPr>
        <w:lastRenderedPageBreak/>
        <w:t xml:space="preserve">legitimacy and straightforwardness. This twofold philosophy upholds a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 xml:space="preserve">company's commitment to genuine environmental stewardship and gives accomplices 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  <w:r w:rsidRPr="00E11B07">
        <w:rPr>
          <w:rFonts w:ascii="Times New Roman" w:hAnsi="Times New Roman" w:cs="Times New Roman"/>
          <w:sz w:val="24"/>
          <w:szCs w:val="24"/>
        </w:rPr>
        <w:t>with additional affirmation that reasonability claims are uninhibitedly verified</w:t>
      </w:r>
      <w:r w:rsidR="00F73511">
        <w:rPr>
          <w:rFonts w:ascii="Times New Roman" w:hAnsi="Times New Roman" w:cs="Times New Roman"/>
          <w:sz w:val="24"/>
          <w:szCs w:val="24"/>
        </w:rPr>
        <w:t xml:space="preserve"> (</w:t>
      </w:r>
      <w:r w:rsidR="00F73511" w:rsidRPr="009A3659">
        <w:rPr>
          <w:rFonts w:ascii="Times New Roman" w:hAnsi="Times New Roman" w:cs="Times New Roman"/>
          <w:sz w:val="24"/>
          <w:szCs w:val="24"/>
        </w:rPr>
        <w:t>Sobaih</w:t>
      </w:r>
      <w:r w:rsidR="00F73511">
        <w:rPr>
          <w:rFonts w:ascii="Times New Roman" w:hAnsi="Times New Roman" w:cs="Times New Roman"/>
          <w:sz w:val="24"/>
          <w:szCs w:val="24"/>
        </w:rPr>
        <w:t xml:space="preserve"> et al., 2021)</w:t>
      </w:r>
      <w:r w:rsidRPr="00E11B07">
        <w:rPr>
          <w:rFonts w:ascii="Times New Roman" w:hAnsi="Times New Roman" w:cs="Times New Roman"/>
          <w:sz w:val="24"/>
          <w:szCs w:val="24"/>
        </w:rPr>
        <w:t>.</w:t>
      </w:r>
      <w:r w:rsidRPr="00E11B07">
        <w:rPr>
          <w:rFonts w:ascii="Times New Roman" w:hAnsi="Times New Roman" w:cs="Times New Roman"/>
          <w:sz w:val="24"/>
          <w:szCs w:val="24"/>
          <w:cs/>
        </w:rPr>
        <w:t>‎</w:t>
      </w:r>
    </w:p>
    <w:p w14:paraId="24582B18" w14:textId="77777777" w:rsidR="007B5585" w:rsidRDefault="007B55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5BCF690" w14:textId="14D401DD" w:rsidR="00B977E7" w:rsidRPr="00B977E7" w:rsidRDefault="00B977E7" w:rsidP="00B977E7">
      <w:pPr>
        <w:spacing w:line="36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B977E7">
        <w:rPr>
          <w:rFonts w:ascii="Times New Roman" w:hAnsi="Times New Roman" w:cs="Times New Roman"/>
          <w:vanish/>
          <w:sz w:val="24"/>
          <w:szCs w:val="24"/>
        </w:rPr>
        <w:lastRenderedPageBreak/>
        <w:t>Top of Form</w:t>
      </w:r>
    </w:p>
    <w:p w14:paraId="2EE1A700" w14:textId="7BCB2FB6" w:rsidR="00664C93" w:rsidRDefault="00781705" w:rsidP="00CA3E0B">
      <w:pPr>
        <w:pStyle w:val="Heading1"/>
      </w:pPr>
      <w:bookmarkStart w:id="6" w:name="_Toc159072316"/>
      <w:r w:rsidRPr="00781705">
        <w:t>Is ‘Green’ technology being used and is it more sustainable?</w:t>
      </w:r>
      <w:bookmarkEnd w:id="6"/>
    </w:p>
    <w:p w14:paraId="70500B25" w14:textId="696A0F80" w:rsidR="009B59E4" w:rsidRPr="009B59E4" w:rsidRDefault="009B59E4" w:rsidP="009B59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9E4">
        <w:rPr>
          <w:rFonts w:ascii="Times New Roman" w:hAnsi="Times New Roman" w:cs="Times New Roman"/>
          <w:sz w:val="24"/>
          <w:szCs w:val="24"/>
        </w:rPr>
        <w:t xml:space="preserve">Accor, similarly as other moderate associations, has logically coordinated 'Green'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technology into its undertakings as an element of its commitment to viability. 'Green'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technology insinuates progressions and practices planned to restrict biological impact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and resource use. With respect to the warmth business, this can encompass a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range of drives highlighted reducing energy use, water use, and waste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>generation</w:t>
      </w:r>
      <w:r w:rsidR="00541F64">
        <w:rPr>
          <w:rFonts w:ascii="Times New Roman" w:hAnsi="Times New Roman" w:cs="Times New Roman"/>
          <w:sz w:val="24"/>
          <w:szCs w:val="24"/>
        </w:rPr>
        <w:t xml:space="preserve"> (</w:t>
      </w:r>
      <w:r w:rsidR="00541F64" w:rsidRPr="009A3659">
        <w:rPr>
          <w:rFonts w:ascii="Times New Roman" w:hAnsi="Times New Roman" w:cs="Times New Roman"/>
          <w:sz w:val="24"/>
          <w:szCs w:val="24"/>
        </w:rPr>
        <w:t>dos Santos</w:t>
      </w:r>
      <w:r w:rsidR="00541F64">
        <w:rPr>
          <w:rFonts w:ascii="Times New Roman" w:hAnsi="Times New Roman" w:cs="Times New Roman"/>
          <w:sz w:val="24"/>
          <w:szCs w:val="24"/>
        </w:rPr>
        <w:t xml:space="preserve"> et al., 2020)</w:t>
      </w:r>
      <w:r w:rsidRPr="009B59E4">
        <w:rPr>
          <w:rFonts w:ascii="Times New Roman" w:hAnsi="Times New Roman" w:cs="Times New Roman"/>
          <w:sz w:val="24"/>
          <w:szCs w:val="24"/>
        </w:rPr>
        <w:t xml:space="preserve">. One famous locale where 'Green' development is regularly done in lodgings,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including Accor, is energy adequacy. The usage of energy-compelling machines, </w:t>
      </w:r>
      <w:r w:rsidR="007B5585" w:rsidRPr="009B59E4">
        <w:rPr>
          <w:rFonts w:ascii="Times New Roman" w:hAnsi="Times New Roman" w:cs="Times New Roman"/>
          <w:sz w:val="24"/>
          <w:szCs w:val="24"/>
        </w:rPr>
        <w:t>drove</w:t>
      </w:r>
      <w:r w:rsidRPr="009B59E4">
        <w:rPr>
          <w:rFonts w:ascii="Times New Roman" w:hAnsi="Times New Roman" w:cs="Times New Roman"/>
          <w:sz w:val="24"/>
          <w:szCs w:val="24"/>
        </w:rPr>
        <w:t xml:space="preserve"> lighting,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smart building the </w:t>
      </w:r>
      <w:r w:rsidR="007B5585" w:rsidRPr="009B59E4">
        <w:rPr>
          <w:rFonts w:ascii="Times New Roman" w:hAnsi="Times New Roman" w:cs="Times New Roman"/>
          <w:sz w:val="24"/>
          <w:szCs w:val="24"/>
        </w:rPr>
        <w:t>chief’s</w:t>
      </w:r>
      <w:r w:rsidRPr="009B59E4">
        <w:rPr>
          <w:rFonts w:ascii="Times New Roman" w:hAnsi="Times New Roman" w:cs="Times New Roman"/>
          <w:sz w:val="24"/>
          <w:szCs w:val="24"/>
        </w:rPr>
        <w:t xml:space="preserve"> structures, and supportable power sources adds to a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significant decline in everyday energy use (Zhang et al., 2020). These headways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not simply lower utilitarian costs for the housing yet furthermore decline the carbon impression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>associated with energy use, making the business even more environmentally sustainable.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</w:p>
    <w:p w14:paraId="1EDACA2B" w14:textId="38B7DD4B" w:rsidR="00B95047" w:rsidRDefault="009B59E4" w:rsidP="009B59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9E4">
        <w:rPr>
          <w:rFonts w:ascii="Times New Roman" w:hAnsi="Times New Roman" w:cs="Times New Roman"/>
          <w:sz w:val="24"/>
          <w:szCs w:val="24"/>
        </w:rPr>
        <w:t xml:space="preserve">Water insurance is another middle locale where 'Green' development expects a basic part.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Accor, among other hotel organizations, regularly embraces water-capable establishments, wise water framework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systems, and wastewater reusing propels. These improvements add to huge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reductions in water usage, watching out for an essential piece of normal legitimacy in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>regions defying water deficiency</w:t>
      </w:r>
      <w:r w:rsidR="005E1D75">
        <w:rPr>
          <w:rFonts w:ascii="Times New Roman" w:hAnsi="Times New Roman" w:cs="Times New Roman"/>
          <w:sz w:val="24"/>
          <w:szCs w:val="24"/>
        </w:rPr>
        <w:t xml:space="preserve"> (</w:t>
      </w:r>
      <w:r w:rsidR="005E1D75" w:rsidRPr="009A3659">
        <w:rPr>
          <w:rFonts w:ascii="Times New Roman" w:hAnsi="Times New Roman" w:cs="Times New Roman"/>
          <w:sz w:val="24"/>
          <w:szCs w:val="24"/>
        </w:rPr>
        <w:t>Uyar</w:t>
      </w:r>
      <w:r w:rsidR="005E1D75">
        <w:rPr>
          <w:rFonts w:ascii="Times New Roman" w:hAnsi="Times New Roman" w:cs="Times New Roman"/>
          <w:sz w:val="24"/>
          <w:szCs w:val="24"/>
        </w:rPr>
        <w:t xml:space="preserve"> et al., 2020)</w:t>
      </w:r>
      <w:r w:rsidRPr="009B59E4">
        <w:rPr>
          <w:rFonts w:ascii="Times New Roman" w:hAnsi="Times New Roman" w:cs="Times New Roman"/>
          <w:sz w:val="24"/>
          <w:szCs w:val="24"/>
        </w:rPr>
        <w:t xml:space="preserve">. Moreover, waste the board headways are used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to overhaul reusing processes and lessen the volume of waste sent off landfills. Drives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such as treating the dirt projects, waste to-energy structures, and the usage of sensible materials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 xml:space="preserve">in improvement and errands are illustrative of an assurance to more careful waste 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  <w:r w:rsidRPr="009B59E4">
        <w:rPr>
          <w:rFonts w:ascii="Times New Roman" w:hAnsi="Times New Roman" w:cs="Times New Roman"/>
          <w:sz w:val="24"/>
          <w:szCs w:val="24"/>
        </w:rPr>
        <w:t>practices (TM et al., 2021).</w:t>
      </w:r>
      <w:r w:rsidRPr="009B59E4">
        <w:rPr>
          <w:rFonts w:ascii="Times New Roman" w:hAnsi="Times New Roman" w:cs="Times New Roman"/>
          <w:sz w:val="24"/>
          <w:szCs w:val="24"/>
          <w:cs/>
        </w:rPr>
        <w:t>‎</w:t>
      </w:r>
    </w:p>
    <w:p w14:paraId="63FC8696" w14:textId="77777777" w:rsidR="007B5585" w:rsidRDefault="007B5585">
      <w:pPr>
        <w:rPr>
          <w:rFonts w:ascii="Times New Roman" w:eastAsiaTheme="majorEastAsia" w:hAnsi="Times New Roman" w:cstheme="majorBidi"/>
          <w:b/>
          <w:color w:val="0D0D0D" w:themeColor="text1" w:themeTint="F2"/>
          <w:sz w:val="28"/>
          <w:szCs w:val="32"/>
        </w:rPr>
      </w:pPr>
      <w:bookmarkStart w:id="7" w:name="_Toc159072317"/>
      <w:r>
        <w:br w:type="page"/>
      </w:r>
    </w:p>
    <w:p w14:paraId="45CFFB6D" w14:textId="51667DFF" w:rsidR="00B95047" w:rsidRDefault="005016F6" w:rsidP="00CA3E0B">
      <w:pPr>
        <w:pStyle w:val="Heading1"/>
      </w:pPr>
      <w:r w:rsidRPr="005016F6">
        <w:lastRenderedPageBreak/>
        <w:t>What could they do instead of self-evaluating?</w:t>
      </w:r>
      <w:bookmarkEnd w:id="7"/>
    </w:p>
    <w:p w14:paraId="59CA1065" w14:textId="77777777" w:rsidR="006763F4" w:rsidRPr="006763F4" w:rsidRDefault="006763F4" w:rsidP="00676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3F4">
        <w:rPr>
          <w:rFonts w:ascii="Times New Roman" w:hAnsi="Times New Roman" w:cs="Times New Roman"/>
          <w:sz w:val="24"/>
          <w:szCs w:val="24"/>
        </w:rPr>
        <w:t xml:space="preserve">Rather than depending totally upon self-assessment, affiliations like Accor could take an even more great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and clear strategy for overseeing guarantee the authenticity of their reasonableness claims. Here are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>several decisions and contrasting strategies: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</w:p>
    <w:p w14:paraId="37E3D6A6" w14:textId="77777777" w:rsidR="006763F4" w:rsidRPr="006763F4" w:rsidRDefault="006763F4" w:rsidP="00676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>1.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ab/>
        <w:t xml:space="preserve">Third-Party Reviews and Affirmations: Affiliations can draw in free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organizations to lead untouchable reviews and licenses of their authenticity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practices. Outer attestation adds dependability, furnishing assistants with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assurance that the affiliation's typical cases are upheld by fair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experts. Certifications like LEED (Master in Energy and Normal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Design) or ISO 14001 show an affirmation to all around saw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>standards (Chan et al., 2020).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</w:p>
    <w:p w14:paraId="3AAE5D9F" w14:textId="6F0A708C" w:rsidR="006763F4" w:rsidRPr="006763F4" w:rsidRDefault="006763F4" w:rsidP="00676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>2.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ab/>
        <w:t xml:space="preserve">Collaboration with Ordinary NGOs: Working together with genuine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environmental non-definitive affiliations (NGOs) can offer an extra layer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of support. NGOs a significant part of the time have skill in assessing normal practices and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can give an outer point of view, dealing with the worthiness of an affiliation's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>sustainability efforts</w:t>
      </w:r>
      <w:r w:rsidR="00A87AAA">
        <w:rPr>
          <w:rFonts w:ascii="Times New Roman" w:hAnsi="Times New Roman" w:cs="Times New Roman"/>
          <w:sz w:val="24"/>
          <w:szCs w:val="24"/>
        </w:rPr>
        <w:t xml:space="preserve"> (</w:t>
      </w:r>
      <w:r w:rsidR="00A87AAA" w:rsidRPr="009A3659">
        <w:rPr>
          <w:rFonts w:ascii="Times New Roman" w:hAnsi="Times New Roman" w:cs="Times New Roman"/>
          <w:sz w:val="24"/>
          <w:szCs w:val="24"/>
        </w:rPr>
        <w:t>Legrand</w:t>
      </w:r>
      <w:r w:rsidR="00A87AAA">
        <w:rPr>
          <w:rFonts w:ascii="Times New Roman" w:hAnsi="Times New Roman" w:cs="Times New Roman"/>
          <w:sz w:val="24"/>
          <w:szCs w:val="24"/>
        </w:rPr>
        <w:t xml:space="preserve"> et al., 2022)</w:t>
      </w:r>
      <w:r w:rsidRPr="006763F4">
        <w:rPr>
          <w:rFonts w:ascii="Times New Roman" w:hAnsi="Times New Roman" w:cs="Times New Roman"/>
          <w:sz w:val="24"/>
          <w:szCs w:val="24"/>
        </w:rPr>
        <w:t>.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</w:p>
    <w:p w14:paraId="4E4A62E5" w14:textId="77777777" w:rsidR="006763F4" w:rsidRPr="006763F4" w:rsidRDefault="006763F4" w:rsidP="00676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>3.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ab/>
        <w:t xml:space="preserve">Transparent Determining: Affiliations ought to embrace clear and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comprehensive revealing of their typical show (Floričić, 2020). This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involves uncovering no fuss information on key adequacy assessments, objectives, and progress.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Transparent uncovering creates trust among assistants and contemplates assessment and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>accountability.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</w:p>
    <w:p w14:paraId="16C0C5A2" w14:textId="77777777" w:rsidR="006763F4" w:rsidRPr="006763F4" w:rsidRDefault="006763F4" w:rsidP="00676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>4.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ab/>
        <w:t xml:space="preserve">Stakeholder Obligation: Drawing in with associates, including clients,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investors, and neighborhood associations, sets out open entrances for examination and outside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input. Affiliations can really look for input from associates to acquire different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perspectives on their worthiness drives, creating straightforwardness and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>accountability.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</w:p>
    <w:p w14:paraId="7C6A948A" w14:textId="77777777" w:rsidR="006763F4" w:rsidRPr="006763F4" w:rsidRDefault="006763F4" w:rsidP="00676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>5.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ab/>
        <w:t xml:space="preserve">Industry Joint undertakings: Support with industry mates and moving in broad drives or sensibility plans can show a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commitment to add up to typical responsibility (Ahmed et al., 2021). This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approach urges relationship to concur with best practices and benchmarks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>established by the more prominent industry.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</w:p>
    <w:p w14:paraId="168657EA" w14:textId="6D5DB1A9" w:rsidR="00682539" w:rsidRDefault="006763F4" w:rsidP="00676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3F4">
        <w:rPr>
          <w:rFonts w:ascii="Times New Roman" w:hAnsi="Times New Roman" w:cs="Times New Roman"/>
          <w:sz w:val="24"/>
          <w:szCs w:val="24"/>
        </w:rPr>
        <w:t xml:space="preserve">By combining these various decisions, affiliations move past the potential tendencies related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with self-assessment and show a veritable obligation to straightforwardness and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accountability in their authenticity rehearses. These frameworks update the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 xml:space="preserve">credibility of ecological cases as well as add to a more aggregate and feasible 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  <w:r w:rsidRPr="006763F4">
        <w:rPr>
          <w:rFonts w:ascii="Times New Roman" w:hAnsi="Times New Roman" w:cs="Times New Roman"/>
          <w:sz w:val="24"/>
          <w:szCs w:val="24"/>
        </w:rPr>
        <w:t>approach to looking out for generally speaking reasonableness challenges</w:t>
      </w:r>
      <w:r w:rsidR="009116D0">
        <w:rPr>
          <w:rFonts w:ascii="Times New Roman" w:hAnsi="Times New Roman" w:cs="Times New Roman"/>
          <w:sz w:val="24"/>
          <w:szCs w:val="24"/>
        </w:rPr>
        <w:t xml:space="preserve"> (</w:t>
      </w:r>
      <w:r w:rsidR="009116D0" w:rsidRPr="009A3659">
        <w:rPr>
          <w:rFonts w:ascii="Times New Roman" w:hAnsi="Times New Roman" w:cs="Times New Roman"/>
          <w:sz w:val="24"/>
          <w:szCs w:val="24"/>
        </w:rPr>
        <w:t>Lv</w:t>
      </w:r>
      <w:r w:rsidR="009116D0">
        <w:rPr>
          <w:rFonts w:ascii="Times New Roman" w:hAnsi="Times New Roman" w:cs="Times New Roman"/>
          <w:sz w:val="24"/>
          <w:szCs w:val="24"/>
        </w:rPr>
        <w:t xml:space="preserve"> et al., 2022)</w:t>
      </w:r>
      <w:r w:rsidRPr="006763F4">
        <w:rPr>
          <w:rFonts w:ascii="Times New Roman" w:hAnsi="Times New Roman" w:cs="Times New Roman"/>
          <w:sz w:val="24"/>
          <w:szCs w:val="24"/>
        </w:rPr>
        <w:t>.</w:t>
      </w:r>
      <w:r w:rsidRPr="006763F4">
        <w:rPr>
          <w:rFonts w:ascii="Times New Roman" w:hAnsi="Times New Roman" w:cs="Times New Roman"/>
          <w:sz w:val="24"/>
          <w:szCs w:val="24"/>
          <w:cs/>
        </w:rPr>
        <w:t>‎</w:t>
      </w:r>
    </w:p>
    <w:p w14:paraId="08A95130" w14:textId="63E52D2F" w:rsidR="0059043A" w:rsidRDefault="0059043A" w:rsidP="00CA3E0B">
      <w:pPr>
        <w:pStyle w:val="Heading1"/>
      </w:pPr>
      <w:bookmarkStart w:id="8" w:name="_Toc159072318"/>
      <w:r>
        <w:lastRenderedPageBreak/>
        <w:t>Conclusion</w:t>
      </w:r>
      <w:bookmarkEnd w:id="8"/>
    </w:p>
    <w:p w14:paraId="51B63AB0" w14:textId="2A91E94C" w:rsidR="009D7688" w:rsidRPr="009D7688" w:rsidRDefault="009D7688" w:rsidP="009D76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688">
        <w:rPr>
          <w:rFonts w:ascii="Times New Roman" w:hAnsi="Times New Roman" w:cs="Times New Roman"/>
          <w:sz w:val="24"/>
          <w:szCs w:val="24"/>
        </w:rPr>
        <w:t xml:space="preserve">In conclusion, </w:t>
      </w:r>
      <w:r w:rsidR="00243A7F" w:rsidRPr="00243A7F">
        <w:rPr>
          <w:rFonts w:ascii="Times New Roman" w:hAnsi="Times New Roman" w:cs="Times New Roman"/>
          <w:sz w:val="24"/>
          <w:szCs w:val="24"/>
        </w:rPr>
        <w:t xml:space="preserve">while Accor and comparative affiliations partake in self-evaluation for </w:t>
      </w:r>
      <w:r w:rsidR="00243A7F" w:rsidRPr="00243A7F">
        <w:rPr>
          <w:rFonts w:ascii="Times New Roman" w:hAnsi="Times New Roman" w:cs="Times New Roman"/>
          <w:sz w:val="24"/>
          <w:szCs w:val="24"/>
          <w:cs/>
        </w:rPr>
        <w:t>‎</w:t>
      </w:r>
      <w:r w:rsidR="00243A7F" w:rsidRPr="00243A7F">
        <w:rPr>
          <w:rFonts w:ascii="Times New Roman" w:hAnsi="Times New Roman" w:cs="Times New Roman"/>
          <w:sz w:val="24"/>
          <w:szCs w:val="24"/>
        </w:rPr>
        <w:t xml:space="preserve">sustainability, the potential for tendency and cases of greenwashing highlights the </w:t>
      </w:r>
      <w:r w:rsidR="00243A7F" w:rsidRPr="00243A7F">
        <w:rPr>
          <w:rFonts w:ascii="Times New Roman" w:hAnsi="Times New Roman" w:cs="Times New Roman"/>
          <w:sz w:val="24"/>
          <w:szCs w:val="24"/>
          <w:cs/>
        </w:rPr>
        <w:t>‎</w:t>
      </w:r>
      <w:r w:rsidR="00243A7F" w:rsidRPr="00243A7F">
        <w:rPr>
          <w:rFonts w:ascii="Times New Roman" w:hAnsi="Times New Roman" w:cs="Times New Roman"/>
          <w:sz w:val="24"/>
          <w:szCs w:val="24"/>
        </w:rPr>
        <w:t xml:space="preserve">importance of embracing outside assertion and straightforwardness. Outcast reviews, </w:t>
      </w:r>
      <w:r w:rsidR="00243A7F" w:rsidRPr="00243A7F">
        <w:rPr>
          <w:rFonts w:ascii="Times New Roman" w:hAnsi="Times New Roman" w:cs="Times New Roman"/>
          <w:sz w:val="24"/>
          <w:szCs w:val="24"/>
          <w:cs/>
        </w:rPr>
        <w:t>‎</w:t>
      </w:r>
      <w:r w:rsidR="00243A7F" w:rsidRPr="00243A7F">
        <w:rPr>
          <w:rFonts w:ascii="Times New Roman" w:hAnsi="Times New Roman" w:cs="Times New Roman"/>
          <w:sz w:val="24"/>
          <w:szCs w:val="24"/>
        </w:rPr>
        <w:t xml:space="preserve">certifications, and joint effort with free affiliations can reinforce the </w:t>
      </w:r>
      <w:r w:rsidR="00243A7F" w:rsidRPr="00243A7F">
        <w:rPr>
          <w:rFonts w:ascii="Times New Roman" w:hAnsi="Times New Roman" w:cs="Times New Roman"/>
          <w:sz w:val="24"/>
          <w:szCs w:val="24"/>
          <w:cs/>
        </w:rPr>
        <w:t>‎</w:t>
      </w:r>
      <w:r w:rsidR="00243A7F" w:rsidRPr="00243A7F">
        <w:rPr>
          <w:rFonts w:ascii="Times New Roman" w:hAnsi="Times New Roman" w:cs="Times New Roman"/>
          <w:sz w:val="24"/>
          <w:szCs w:val="24"/>
        </w:rPr>
        <w:t xml:space="preserve">credibility of ordinary cases. By taking on a more careful and fairly upheld </w:t>
      </w:r>
      <w:r w:rsidR="00243A7F" w:rsidRPr="00243A7F">
        <w:rPr>
          <w:rFonts w:ascii="Times New Roman" w:hAnsi="Times New Roman" w:cs="Times New Roman"/>
          <w:sz w:val="24"/>
          <w:szCs w:val="24"/>
          <w:cs/>
        </w:rPr>
        <w:t>‎</w:t>
      </w:r>
      <w:r w:rsidR="00243A7F" w:rsidRPr="00243A7F">
        <w:rPr>
          <w:rFonts w:ascii="Times New Roman" w:hAnsi="Times New Roman" w:cs="Times New Roman"/>
          <w:sz w:val="24"/>
          <w:szCs w:val="24"/>
        </w:rPr>
        <w:t xml:space="preserve">approach, affiliations can construct trust, </w:t>
      </w:r>
      <w:r w:rsidR="00BD54E5" w:rsidRPr="00243A7F">
        <w:rPr>
          <w:rFonts w:ascii="Times New Roman" w:hAnsi="Times New Roman" w:cs="Times New Roman"/>
          <w:sz w:val="24"/>
          <w:szCs w:val="24"/>
        </w:rPr>
        <w:t>fulfil</w:t>
      </w:r>
      <w:r w:rsidR="00243A7F" w:rsidRPr="00243A7F">
        <w:rPr>
          <w:rFonts w:ascii="Times New Roman" w:hAnsi="Times New Roman" w:cs="Times New Roman"/>
          <w:sz w:val="24"/>
          <w:szCs w:val="24"/>
        </w:rPr>
        <w:t xml:space="preserve"> in general reasonableness controls, and contribute </w:t>
      </w:r>
      <w:r w:rsidR="00243A7F" w:rsidRPr="00243A7F">
        <w:rPr>
          <w:rFonts w:ascii="Times New Roman" w:hAnsi="Times New Roman" w:cs="Times New Roman"/>
          <w:sz w:val="24"/>
          <w:szCs w:val="24"/>
          <w:cs/>
        </w:rPr>
        <w:t>‎</w:t>
      </w:r>
      <w:r w:rsidR="00243A7F" w:rsidRPr="00243A7F">
        <w:rPr>
          <w:rFonts w:ascii="Times New Roman" w:hAnsi="Times New Roman" w:cs="Times New Roman"/>
          <w:sz w:val="24"/>
          <w:szCs w:val="24"/>
        </w:rPr>
        <w:t xml:space="preserve">genuinely to standard stewardship, fostering a helpful future for the friendliness </w:t>
      </w:r>
      <w:r w:rsidR="00243A7F" w:rsidRPr="00243A7F">
        <w:rPr>
          <w:rFonts w:ascii="Times New Roman" w:hAnsi="Times New Roman" w:cs="Times New Roman"/>
          <w:sz w:val="24"/>
          <w:szCs w:val="24"/>
          <w:cs/>
        </w:rPr>
        <w:t>‎</w:t>
      </w:r>
      <w:r w:rsidR="00243A7F" w:rsidRPr="00243A7F">
        <w:rPr>
          <w:rFonts w:ascii="Times New Roman" w:hAnsi="Times New Roman" w:cs="Times New Roman"/>
          <w:sz w:val="24"/>
          <w:szCs w:val="24"/>
        </w:rPr>
        <w:t>industry</w:t>
      </w:r>
      <w:r w:rsidRPr="009D7688">
        <w:rPr>
          <w:rFonts w:ascii="Times New Roman" w:hAnsi="Times New Roman" w:cs="Times New Roman"/>
          <w:sz w:val="24"/>
          <w:szCs w:val="24"/>
        </w:rPr>
        <w:t>.</w:t>
      </w:r>
    </w:p>
    <w:p w14:paraId="37C65D3E" w14:textId="77777777" w:rsidR="00C00299" w:rsidRDefault="00C0029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6F64E06" w14:textId="5EDDAAC5" w:rsidR="009D7688" w:rsidRDefault="0054656C" w:rsidP="00CA3E0B">
      <w:pPr>
        <w:pStyle w:val="Heading1"/>
      </w:pPr>
      <w:bookmarkStart w:id="9" w:name="_Toc159072319"/>
      <w:r>
        <w:lastRenderedPageBreak/>
        <w:t>References</w:t>
      </w:r>
      <w:bookmarkEnd w:id="9"/>
    </w:p>
    <w:p w14:paraId="34B05995" w14:textId="77777777" w:rsidR="00C36046" w:rsidRDefault="00C36046" w:rsidP="004D38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892">
        <w:rPr>
          <w:rFonts w:ascii="Times New Roman" w:hAnsi="Times New Roman" w:cs="Times New Roman"/>
          <w:sz w:val="24"/>
          <w:szCs w:val="24"/>
        </w:rPr>
        <w:t xml:space="preserve">Abdou, A.H., Hassan, T.H. and El Dief, M.M.,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D3892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D3892">
        <w:rPr>
          <w:rFonts w:ascii="Times New Roman" w:hAnsi="Times New Roman" w:cs="Times New Roman"/>
          <w:sz w:val="24"/>
          <w:szCs w:val="24"/>
        </w:rPr>
        <w:t>. A description of green hotel practices and their role in achieving sustainable development. </w:t>
      </w:r>
      <w:r w:rsidRPr="004D3892">
        <w:rPr>
          <w:rFonts w:ascii="Times New Roman" w:hAnsi="Times New Roman" w:cs="Times New Roman"/>
          <w:i/>
          <w:iCs/>
          <w:sz w:val="24"/>
          <w:szCs w:val="24"/>
        </w:rPr>
        <w:t>Sustainability</w:t>
      </w:r>
      <w:r w:rsidRPr="004D3892">
        <w:rPr>
          <w:rFonts w:ascii="Times New Roman" w:hAnsi="Times New Roman" w:cs="Times New Roman"/>
          <w:sz w:val="24"/>
          <w:szCs w:val="24"/>
        </w:rPr>
        <w:t>, </w:t>
      </w:r>
      <w:r w:rsidRPr="004D3892">
        <w:rPr>
          <w:rFonts w:ascii="Times New Roman" w:hAnsi="Times New Roman" w:cs="Times New Roman"/>
          <w:i/>
          <w:iCs/>
          <w:sz w:val="24"/>
          <w:szCs w:val="24"/>
        </w:rPr>
        <w:t>12</w:t>
      </w:r>
      <w:r w:rsidRPr="004D3892">
        <w:rPr>
          <w:rFonts w:ascii="Times New Roman" w:hAnsi="Times New Roman" w:cs="Times New Roman"/>
          <w:sz w:val="24"/>
          <w:szCs w:val="24"/>
        </w:rPr>
        <w:t>(22), p.9624.</w:t>
      </w:r>
    </w:p>
    <w:p w14:paraId="6C697E3F" w14:textId="77777777" w:rsidR="00C36046" w:rsidRDefault="00C36046" w:rsidP="009A3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659">
        <w:rPr>
          <w:rFonts w:ascii="Times New Roman" w:hAnsi="Times New Roman" w:cs="Times New Roman"/>
          <w:sz w:val="24"/>
          <w:szCs w:val="24"/>
        </w:rPr>
        <w:t>Achmad, W. and Yulianah, Y., 2022. Corporate social responsibility of the hospitality industry in realizing sustainable tourism development.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Enrichment: Journal of Management</w:t>
      </w:r>
      <w:r w:rsidRPr="009A3659">
        <w:rPr>
          <w:rFonts w:ascii="Times New Roman" w:hAnsi="Times New Roman" w:cs="Times New Roman"/>
          <w:sz w:val="24"/>
          <w:szCs w:val="24"/>
        </w:rPr>
        <w:t>,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12</w:t>
      </w:r>
      <w:r w:rsidRPr="009A3659">
        <w:rPr>
          <w:rFonts w:ascii="Times New Roman" w:hAnsi="Times New Roman" w:cs="Times New Roman"/>
          <w:sz w:val="24"/>
          <w:szCs w:val="24"/>
        </w:rPr>
        <w:t>(2), pp.1610-1616.</w:t>
      </w:r>
    </w:p>
    <w:p w14:paraId="261D1DEA" w14:textId="77777777" w:rsidR="00C36046" w:rsidRDefault="00C36046" w:rsidP="00164F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F59">
        <w:rPr>
          <w:rFonts w:ascii="Times New Roman" w:hAnsi="Times New Roman" w:cs="Times New Roman"/>
          <w:sz w:val="24"/>
          <w:szCs w:val="24"/>
        </w:rPr>
        <w:t xml:space="preserve">Ahmed, M.F., Mokhtar, M.B., Lim, C.K., Hooi, A.W.K. and Lee, K.E.,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64F59">
        <w:rPr>
          <w:rFonts w:ascii="Times New Roman" w:hAnsi="Times New Roman" w:cs="Times New Roman"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64F59">
        <w:rPr>
          <w:rFonts w:ascii="Times New Roman" w:hAnsi="Times New Roman" w:cs="Times New Roman"/>
          <w:sz w:val="24"/>
          <w:szCs w:val="24"/>
        </w:rPr>
        <w:t>. Leadership roles for sustainable development: The case of a Malaysian green hotel. </w:t>
      </w:r>
      <w:r w:rsidRPr="00164F59">
        <w:rPr>
          <w:rFonts w:ascii="Times New Roman" w:hAnsi="Times New Roman" w:cs="Times New Roman"/>
          <w:i/>
          <w:iCs/>
          <w:sz w:val="24"/>
          <w:szCs w:val="24"/>
        </w:rPr>
        <w:t>Sustainability</w:t>
      </w:r>
      <w:r w:rsidRPr="00164F59">
        <w:rPr>
          <w:rFonts w:ascii="Times New Roman" w:hAnsi="Times New Roman" w:cs="Times New Roman"/>
          <w:sz w:val="24"/>
          <w:szCs w:val="24"/>
        </w:rPr>
        <w:t>, </w:t>
      </w:r>
      <w:r w:rsidRPr="00164F59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Pr="00164F59">
        <w:rPr>
          <w:rFonts w:ascii="Times New Roman" w:hAnsi="Times New Roman" w:cs="Times New Roman"/>
          <w:sz w:val="24"/>
          <w:szCs w:val="24"/>
        </w:rPr>
        <w:t>(18), p.10260.</w:t>
      </w:r>
    </w:p>
    <w:p w14:paraId="46116A8E" w14:textId="77777777" w:rsidR="00C36046" w:rsidRDefault="00C36046" w:rsidP="004D38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892">
        <w:rPr>
          <w:rFonts w:ascii="Times New Roman" w:hAnsi="Times New Roman" w:cs="Times New Roman"/>
          <w:sz w:val="24"/>
          <w:szCs w:val="24"/>
        </w:rPr>
        <w:t xml:space="preserve">Chan, E.S., Okumus, F. and Chan, W.,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D3892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D3892">
        <w:rPr>
          <w:rFonts w:ascii="Times New Roman" w:hAnsi="Times New Roman" w:cs="Times New Roman"/>
          <w:sz w:val="24"/>
          <w:szCs w:val="24"/>
        </w:rPr>
        <w:t>. What hinders hotels’ adoption of environmental technologies: A quantitative study. </w:t>
      </w:r>
      <w:r w:rsidRPr="004D3892">
        <w:rPr>
          <w:rFonts w:ascii="Times New Roman" w:hAnsi="Times New Roman" w:cs="Times New Roman"/>
          <w:i/>
          <w:iCs/>
          <w:sz w:val="24"/>
          <w:szCs w:val="24"/>
        </w:rPr>
        <w:t>International Journal of Hospitality Management</w:t>
      </w:r>
      <w:r w:rsidRPr="004D3892">
        <w:rPr>
          <w:rFonts w:ascii="Times New Roman" w:hAnsi="Times New Roman" w:cs="Times New Roman"/>
          <w:sz w:val="24"/>
          <w:szCs w:val="24"/>
        </w:rPr>
        <w:t>, </w:t>
      </w:r>
      <w:r w:rsidRPr="004D3892">
        <w:rPr>
          <w:rFonts w:ascii="Times New Roman" w:hAnsi="Times New Roman" w:cs="Times New Roman"/>
          <w:i/>
          <w:iCs/>
          <w:sz w:val="24"/>
          <w:szCs w:val="24"/>
        </w:rPr>
        <w:t>84</w:t>
      </w:r>
      <w:r w:rsidRPr="004D3892">
        <w:rPr>
          <w:rFonts w:ascii="Times New Roman" w:hAnsi="Times New Roman" w:cs="Times New Roman"/>
          <w:sz w:val="24"/>
          <w:szCs w:val="24"/>
        </w:rPr>
        <w:t>, p.102324.</w:t>
      </w:r>
    </w:p>
    <w:p w14:paraId="2531AD8B" w14:textId="77777777" w:rsidR="00C36046" w:rsidRDefault="00C36046" w:rsidP="009A3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659">
        <w:rPr>
          <w:rFonts w:ascii="Times New Roman" w:hAnsi="Times New Roman" w:cs="Times New Roman"/>
          <w:sz w:val="24"/>
          <w:szCs w:val="24"/>
        </w:rPr>
        <w:t>dos Santos, R.A., Méxas, M.P., Meirino, M.J., Sampaio, M.C. and Costa, H.G., 2020. Criteria for assessing a sustainable hotel business.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Journal of Cleaner Production</w:t>
      </w:r>
      <w:r w:rsidRPr="009A3659">
        <w:rPr>
          <w:rFonts w:ascii="Times New Roman" w:hAnsi="Times New Roman" w:cs="Times New Roman"/>
          <w:sz w:val="24"/>
          <w:szCs w:val="24"/>
        </w:rPr>
        <w:t>,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262</w:t>
      </w:r>
      <w:r w:rsidRPr="009A3659">
        <w:rPr>
          <w:rFonts w:ascii="Times New Roman" w:hAnsi="Times New Roman" w:cs="Times New Roman"/>
          <w:sz w:val="24"/>
          <w:szCs w:val="24"/>
        </w:rPr>
        <w:t>, p.121347.</w:t>
      </w:r>
    </w:p>
    <w:p w14:paraId="7DDB6CCF" w14:textId="77777777" w:rsidR="00C36046" w:rsidRDefault="00C36046" w:rsidP="009A3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659">
        <w:rPr>
          <w:rFonts w:ascii="Times New Roman" w:hAnsi="Times New Roman" w:cs="Times New Roman"/>
          <w:sz w:val="24"/>
          <w:szCs w:val="24"/>
        </w:rPr>
        <w:t>Elkhwesky, Z., El Manzani, Y. and Elbayoumi Salem, I., 2024. Driving hospitality and tourism to foster sustainable innovation: A systematic review of COVID-19-related studies and practical implications in the digital era.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Tourism and Hospitality Research</w:t>
      </w:r>
      <w:r w:rsidRPr="009A3659">
        <w:rPr>
          <w:rFonts w:ascii="Times New Roman" w:hAnsi="Times New Roman" w:cs="Times New Roman"/>
          <w:sz w:val="24"/>
          <w:szCs w:val="24"/>
        </w:rPr>
        <w:t>,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24</w:t>
      </w:r>
      <w:r w:rsidRPr="009A3659">
        <w:rPr>
          <w:rFonts w:ascii="Times New Roman" w:hAnsi="Times New Roman" w:cs="Times New Roman"/>
          <w:sz w:val="24"/>
          <w:szCs w:val="24"/>
        </w:rPr>
        <w:t>(1), pp.115-133.</w:t>
      </w:r>
    </w:p>
    <w:p w14:paraId="65EA2DB2" w14:textId="77777777" w:rsidR="00C36046" w:rsidRDefault="00C36046" w:rsidP="009A3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659">
        <w:rPr>
          <w:rFonts w:ascii="Times New Roman" w:hAnsi="Times New Roman" w:cs="Times New Roman"/>
          <w:sz w:val="24"/>
          <w:szCs w:val="24"/>
        </w:rPr>
        <w:t>Fatima, T. and Elbanna, S., 2020. Balanced scorecard in the hospitality and tourism industry: Past, present and future.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International Journal of hospitality management</w:t>
      </w:r>
      <w:r w:rsidRPr="009A3659">
        <w:rPr>
          <w:rFonts w:ascii="Times New Roman" w:hAnsi="Times New Roman" w:cs="Times New Roman"/>
          <w:sz w:val="24"/>
          <w:szCs w:val="24"/>
        </w:rPr>
        <w:t>,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91</w:t>
      </w:r>
      <w:r w:rsidRPr="009A3659">
        <w:rPr>
          <w:rFonts w:ascii="Times New Roman" w:hAnsi="Times New Roman" w:cs="Times New Roman"/>
          <w:sz w:val="24"/>
          <w:szCs w:val="24"/>
        </w:rPr>
        <w:t>, p.102656.</w:t>
      </w:r>
    </w:p>
    <w:p w14:paraId="63E7E01A" w14:textId="77777777" w:rsidR="00C36046" w:rsidRDefault="00C36046" w:rsidP="00F04A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C1">
        <w:rPr>
          <w:rFonts w:ascii="Times New Roman" w:hAnsi="Times New Roman" w:cs="Times New Roman"/>
          <w:sz w:val="24"/>
          <w:szCs w:val="24"/>
        </w:rPr>
        <w:t xml:space="preserve">Floričić, T.,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04AC1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04AC1">
        <w:rPr>
          <w:rFonts w:ascii="Times New Roman" w:hAnsi="Times New Roman" w:cs="Times New Roman"/>
          <w:sz w:val="24"/>
          <w:szCs w:val="24"/>
        </w:rPr>
        <w:t>. Sustainable solutions in the hospitality industry and competitiveness context of “green hotels”. Civil Engineering Journal, 6(6), pp.1104-1113.</w:t>
      </w:r>
    </w:p>
    <w:p w14:paraId="518D2880" w14:textId="77777777" w:rsidR="00C36046" w:rsidRDefault="00C36046" w:rsidP="00F04A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C1">
        <w:rPr>
          <w:rFonts w:ascii="Times New Roman" w:hAnsi="Times New Roman" w:cs="Times New Roman"/>
          <w:sz w:val="24"/>
          <w:szCs w:val="24"/>
        </w:rPr>
        <w:t xml:space="preserve">Gunduz Songur, A., Turktarhan, G. and Cobanoglu, C.,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04AC1">
        <w:rPr>
          <w:rFonts w:ascii="Times New Roman" w:hAnsi="Times New Roman" w:cs="Times New Roman"/>
          <w:sz w:val="24"/>
          <w:szCs w:val="24"/>
        </w:rPr>
        <w:t>2023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04AC1">
        <w:rPr>
          <w:rFonts w:ascii="Times New Roman" w:hAnsi="Times New Roman" w:cs="Times New Roman"/>
          <w:sz w:val="24"/>
          <w:szCs w:val="24"/>
        </w:rPr>
        <w:t>. Progress on green technology research in hotels: a literature review. </w:t>
      </w:r>
      <w:r w:rsidRPr="00F04AC1">
        <w:rPr>
          <w:rFonts w:ascii="Times New Roman" w:hAnsi="Times New Roman" w:cs="Times New Roman"/>
          <w:i/>
          <w:iCs/>
          <w:sz w:val="24"/>
          <w:szCs w:val="24"/>
        </w:rPr>
        <w:t>Journal of Hospitality and Tourism Insights</w:t>
      </w:r>
      <w:r w:rsidRPr="00F04AC1">
        <w:rPr>
          <w:rFonts w:ascii="Times New Roman" w:hAnsi="Times New Roman" w:cs="Times New Roman"/>
          <w:sz w:val="24"/>
          <w:szCs w:val="24"/>
        </w:rPr>
        <w:t>, </w:t>
      </w:r>
      <w:r w:rsidRPr="00F04AC1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F04AC1">
        <w:rPr>
          <w:rFonts w:ascii="Times New Roman" w:hAnsi="Times New Roman" w:cs="Times New Roman"/>
          <w:sz w:val="24"/>
          <w:szCs w:val="24"/>
        </w:rPr>
        <w:t>(5), pp.2052-2072.</w:t>
      </w:r>
    </w:p>
    <w:p w14:paraId="2F579549" w14:textId="77777777" w:rsidR="00C36046" w:rsidRDefault="00C36046" w:rsidP="009A3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659">
        <w:rPr>
          <w:rFonts w:ascii="Times New Roman" w:hAnsi="Times New Roman" w:cs="Times New Roman"/>
          <w:sz w:val="24"/>
          <w:szCs w:val="24"/>
        </w:rPr>
        <w:t>Han, H., 2021. Consumer behavior and environmental sustainability in tourism and hospitality: A review of theories, concepts, and latest research.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Journal of Sustainable Tourism</w:t>
      </w:r>
      <w:r w:rsidRPr="009A3659">
        <w:rPr>
          <w:rFonts w:ascii="Times New Roman" w:hAnsi="Times New Roman" w:cs="Times New Roman"/>
          <w:sz w:val="24"/>
          <w:szCs w:val="24"/>
        </w:rPr>
        <w:t>,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29</w:t>
      </w:r>
      <w:r w:rsidRPr="009A3659">
        <w:rPr>
          <w:rFonts w:ascii="Times New Roman" w:hAnsi="Times New Roman" w:cs="Times New Roman"/>
          <w:sz w:val="24"/>
          <w:szCs w:val="24"/>
        </w:rPr>
        <w:t>(7), pp.1021-1042.</w:t>
      </w:r>
    </w:p>
    <w:p w14:paraId="4E06E2BE" w14:textId="77777777" w:rsidR="00C36046" w:rsidRDefault="00C36046" w:rsidP="004D38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892">
        <w:rPr>
          <w:rFonts w:ascii="Times New Roman" w:hAnsi="Times New Roman" w:cs="Times New Roman"/>
          <w:sz w:val="24"/>
          <w:szCs w:val="24"/>
        </w:rPr>
        <w:t xml:space="preserve">Kim, J.J., Lee, M.J. and Han, H.,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D3892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D3892">
        <w:rPr>
          <w:rFonts w:ascii="Times New Roman" w:hAnsi="Times New Roman" w:cs="Times New Roman"/>
          <w:sz w:val="24"/>
          <w:szCs w:val="24"/>
        </w:rPr>
        <w:t>. Smart hotels and sustainable consumer behavior: Testing the effect of perceived performance, attitude, and technology readiness on word-of-mouth. </w:t>
      </w:r>
      <w:r w:rsidRPr="004D3892">
        <w:rPr>
          <w:rFonts w:ascii="Times New Roman" w:hAnsi="Times New Roman" w:cs="Times New Roman"/>
          <w:i/>
          <w:iCs/>
          <w:sz w:val="24"/>
          <w:szCs w:val="24"/>
        </w:rPr>
        <w:t>International Journal of Environmental Research and Public Health</w:t>
      </w:r>
      <w:r w:rsidRPr="004D3892">
        <w:rPr>
          <w:rFonts w:ascii="Times New Roman" w:hAnsi="Times New Roman" w:cs="Times New Roman"/>
          <w:sz w:val="24"/>
          <w:szCs w:val="24"/>
        </w:rPr>
        <w:t>, </w:t>
      </w:r>
      <w:r w:rsidRPr="004D3892">
        <w:rPr>
          <w:rFonts w:ascii="Times New Roman" w:hAnsi="Times New Roman" w:cs="Times New Roman"/>
          <w:i/>
          <w:iCs/>
          <w:sz w:val="24"/>
          <w:szCs w:val="24"/>
        </w:rPr>
        <w:t>17</w:t>
      </w:r>
      <w:r w:rsidRPr="004D3892">
        <w:rPr>
          <w:rFonts w:ascii="Times New Roman" w:hAnsi="Times New Roman" w:cs="Times New Roman"/>
          <w:sz w:val="24"/>
          <w:szCs w:val="24"/>
        </w:rPr>
        <w:t>(20), p.7455.</w:t>
      </w:r>
    </w:p>
    <w:p w14:paraId="793568F7" w14:textId="77777777" w:rsidR="00C36046" w:rsidRDefault="00C36046" w:rsidP="009A3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659">
        <w:rPr>
          <w:rFonts w:ascii="Times New Roman" w:hAnsi="Times New Roman" w:cs="Times New Roman"/>
          <w:sz w:val="24"/>
          <w:szCs w:val="24"/>
        </w:rPr>
        <w:lastRenderedPageBreak/>
        <w:t>Koch, J., Gerdt, S.O. and Schewe, G., 2020. Determinants of sustainable behavior of firms and the consequences for customer satisfaction in hospitality.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International Journal of Hospitality Management</w:t>
      </w:r>
      <w:r w:rsidRPr="009A3659">
        <w:rPr>
          <w:rFonts w:ascii="Times New Roman" w:hAnsi="Times New Roman" w:cs="Times New Roman"/>
          <w:sz w:val="24"/>
          <w:szCs w:val="24"/>
        </w:rPr>
        <w:t>,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89</w:t>
      </w:r>
      <w:r w:rsidRPr="009A3659">
        <w:rPr>
          <w:rFonts w:ascii="Times New Roman" w:hAnsi="Times New Roman" w:cs="Times New Roman"/>
          <w:sz w:val="24"/>
          <w:szCs w:val="24"/>
        </w:rPr>
        <w:t>, p.102515.</w:t>
      </w:r>
    </w:p>
    <w:p w14:paraId="1108B2AF" w14:textId="77777777" w:rsidR="00C36046" w:rsidRDefault="00C36046" w:rsidP="009A3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659">
        <w:rPr>
          <w:rFonts w:ascii="Times New Roman" w:hAnsi="Times New Roman" w:cs="Times New Roman"/>
          <w:sz w:val="24"/>
          <w:szCs w:val="24"/>
        </w:rPr>
        <w:t>Legrand, W., Chen, J.S. and Laeis, G.C., 2022.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Sustainability in the hospitality industry: Principles of sustainable operations</w:t>
      </w:r>
      <w:r w:rsidRPr="009A3659">
        <w:rPr>
          <w:rFonts w:ascii="Times New Roman" w:hAnsi="Times New Roman" w:cs="Times New Roman"/>
          <w:sz w:val="24"/>
          <w:szCs w:val="24"/>
        </w:rPr>
        <w:t>. Taylor &amp; Francis.</w:t>
      </w:r>
    </w:p>
    <w:p w14:paraId="15BBAD3B" w14:textId="77777777" w:rsidR="00C36046" w:rsidRPr="009D7688" w:rsidRDefault="00C36046" w:rsidP="009A3659">
      <w:pPr>
        <w:spacing w:line="36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9A3659">
        <w:rPr>
          <w:rFonts w:ascii="Times New Roman" w:hAnsi="Times New Roman" w:cs="Times New Roman"/>
          <w:sz w:val="24"/>
          <w:szCs w:val="24"/>
        </w:rPr>
        <w:t>Lv, H., Shi, S. and Gursoy, D., 2022. A look back and a leap forward: a review and synthesis of big data and artificial intelligence literature in hospitality and tourism.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Journal of Hospitality Marketing &amp; Management</w:t>
      </w:r>
      <w:r w:rsidRPr="009A3659">
        <w:rPr>
          <w:rFonts w:ascii="Times New Roman" w:hAnsi="Times New Roman" w:cs="Times New Roman"/>
          <w:sz w:val="24"/>
          <w:szCs w:val="24"/>
        </w:rPr>
        <w:t>,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31</w:t>
      </w:r>
      <w:r w:rsidRPr="009A3659">
        <w:rPr>
          <w:rFonts w:ascii="Times New Roman" w:hAnsi="Times New Roman" w:cs="Times New Roman"/>
          <w:sz w:val="24"/>
          <w:szCs w:val="24"/>
        </w:rPr>
        <w:t>(2), pp.145-175.</w:t>
      </w:r>
    </w:p>
    <w:p w14:paraId="5BF1791D" w14:textId="77777777" w:rsidR="00C36046" w:rsidRDefault="00C36046" w:rsidP="009A3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659">
        <w:rPr>
          <w:rFonts w:ascii="Times New Roman" w:hAnsi="Times New Roman" w:cs="Times New Roman"/>
          <w:sz w:val="24"/>
          <w:szCs w:val="24"/>
        </w:rPr>
        <w:t>Modica, P.D., Altinay, L., Farmaki, A., Gursoy, D. and Zenga, M., 2020. Consumer perceptions towards sustainable supply chain practices in the hospitality industry.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Current Issues in Tourism</w:t>
      </w:r>
      <w:r w:rsidRPr="009A3659">
        <w:rPr>
          <w:rFonts w:ascii="Times New Roman" w:hAnsi="Times New Roman" w:cs="Times New Roman"/>
          <w:sz w:val="24"/>
          <w:szCs w:val="24"/>
        </w:rPr>
        <w:t>,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23</w:t>
      </w:r>
      <w:r w:rsidRPr="009A3659">
        <w:rPr>
          <w:rFonts w:ascii="Times New Roman" w:hAnsi="Times New Roman" w:cs="Times New Roman"/>
          <w:sz w:val="24"/>
          <w:szCs w:val="24"/>
        </w:rPr>
        <w:t>(3), pp.358-375.</w:t>
      </w:r>
    </w:p>
    <w:p w14:paraId="59C02EB7" w14:textId="77777777" w:rsidR="00C36046" w:rsidRDefault="00C36046" w:rsidP="009A3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659">
        <w:rPr>
          <w:rFonts w:ascii="Times New Roman" w:hAnsi="Times New Roman" w:cs="Times New Roman"/>
          <w:sz w:val="24"/>
          <w:szCs w:val="24"/>
        </w:rPr>
        <w:t>Mzembe, A.N., Lindgreen, A., Idemudia, U. and Melissen, F., 2020. A club perspective of sustainability certification schemes in the tourism and hospitality industry.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Journal of Sustainable Tourism</w:t>
      </w:r>
      <w:r w:rsidRPr="009A3659">
        <w:rPr>
          <w:rFonts w:ascii="Times New Roman" w:hAnsi="Times New Roman" w:cs="Times New Roman"/>
          <w:sz w:val="24"/>
          <w:szCs w:val="24"/>
        </w:rPr>
        <w:t>,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28</w:t>
      </w:r>
      <w:r w:rsidRPr="009A3659">
        <w:rPr>
          <w:rFonts w:ascii="Times New Roman" w:hAnsi="Times New Roman" w:cs="Times New Roman"/>
          <w:sz w:val="24"/>
          <w:szCs w:val="24"/>
        </w:rPr>
        <w:t>(9), pp.1332-1350.</w:t>
      </w:r>
    </w:p>
    <w:p w14:paraId="3CCD12E0" w14:textId="77777777" w:rsidR="00C36046" w:rsidRDefault="00C36046" w:rsidP="009A3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659">
        <w:rPr>
          <w:rFonts w:ascii="Times New Roman" w:hAnsi="Times New Roman" w:cs="Times New Roman"/>
          <w:sz w:val="24"/>
          <w:szCs w:val="24"/>
        </w:rPr>
        <w:t>Sobaih, A.E.E., Elshaer, I., Hasanein, A.M. and Abdelaziz, A.S., 2021. Responses to COVID-19: The role of performance in the relationship between small hospitality enterprises’ resilience and sustainable tourism development.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International Journal of Hospitality Management</w:t>
      </w:r>
      <w:r w:rsidRPr="009A3659">
        <w:rPr>
          <w:rFonts w:ascii="Times New Roman" w:hAnsi="Times New Roman" w:cs="Times New Roman"/>
          <w:sz w:val="24"/>
          <w:szCs w:val="24"/>
        </w:rPr>
        <w:t>,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94</w:t>
      </w:r>
      <w:r w:rsidRPr="009A3659">
        <w:rPr>
          <w:rFonts w:ascii="Times New Roman" w:hAnsi="Times New Roman" w:cs="Times New Roman"/>
          <w:sz w:val="24"/>
          <w:szCs w:val="24"/>
        </w:rPr>
        <w:t>, p.102824.</w:t>
      </w:r>
    </w:p>
    <w:p w14:paraId="2259E089" w14:textId="77777777" w:rsidR="00C36046" w:rsidRDefault="00C36046" w:rsidP="004D38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892">
        <w:rPr>
          <w:rFonts w:ascii="Times New Roman" w:hAnsi="Times New Roman" w:cs="Times New Roman"/>
          <w:sz w:val="24"/>
          <w:szCs w:val="24"/>
        </w:rPr>
        <w:t xml:space="preserve">Sun, H., Samad, S., Rehman, S.U. and Usman, M.,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D3892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D3892">
        <w:rPr>
          <w:rFonts w:ascii="Times New Roman" w:hAnsi="Times New Roman" w:cs="Times New Roman"/>
          <w:sz w:val="24"/>
          <w:szCs w:val="24"/>
        </w:rPr>
        <w:t>. Clean and green: the relevance of hotels' website quality and environmental management initiatives for green customer loyalty. </w:t>
      </w:r>
      <w:r w:rsidRPr="004D3892">
        <w:rPr>
          <w:rFonts w:ascii="Times New Roman" w:hAnsi="Times New Roman" w:cs="Times New Roman"/>
          <w:i/>
          <w:iCs/>
          <w:sz w:val="24"/>
          <w:szCs w:val="24"/>
        </w:rPr>
        <w:t>British Food Journal</w:t>
      </w:r>
      <w:r w:rsidRPr="004D3892">
        <w:rPr>
          <w:rFonts w:ascii="Times New Roman" w:hAnsi="Times New Roman" w:cs="Times New Roman"/>
          <w:sz w:val="24"/>
          <w:szCs w:val="24"/>
        </w:rPr>
        <w:t>, </w:t>
      </w:r>
      <w:r w:rsidRPr="004D3892">
        <w:rPr>
          <w:rFonts w:ascii="Times New Roman" w:hAnsi="Times New Roman" w:cs="Times New Roman"/>
          <w:i/>
          <w:iCs/>
          <w:sz w:val="24"/>
          <w:szCs w:val="24"/>
        </w:rPr>
        <w:t>124</w:t>
      </w:r>
      <w:r w:rsidRPr="004D3892">
        <w:rPr>
          <w:rFonts w:ascii="Times New Roman" w:hAnsi="Times New Roman" w:cs="Times New Roman"/>
          <w:sz w:val="24"/>
          <w:szCs w:val="24"/>
        </w:rPr>
        <w:t>(12), pp.4266-4285.</w:t>
      </w:r>
    </w:p>
    <w:p w14:paraId="6D07B458" w14:textId="77777777" w:rsidR="00C36046" w:rsidRDefault="00C36046" w:rsidP="004D38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892">
        <w:rPr>
          <w:rFonts w:ascii="Times New Roman" w:hAnsi="Times New Roman" w:cs="Times New Roman"/>
          <w:sz w:val="24"/>
          <w:szCs w:val="24"/>
        </w:rPr>
        <w:t xml:space="preserve">TM, A., Kaur, P., Bresciani, S. and Dhir, A.,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D3892">
        <w:rPr>
          <w:rFonts w:ascii="Times New Roman" w:hAnsi="Times New Roman" w:cs="Times New Roman"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D3892">
        <w:rPr>
          <w:rFonts w:ascii="Times New Roman" w:hAnsi="Times New Roman" w:cs="Times New Roman"/>
          <w:sz w:val="24"/>
          <w:szCs w:val="24"/>
        </w:rPr>
        <w:t>. What drives the adoption and consumption of green hotel products and services? A systematic literature review of past achievement and future promises. </w:t>
      </w:r>
      <w:r w:rsidRPr="004D3892">
        <w:rPr>
          <w:rFonts w:ascii="Times New Roman" w:hAnsi="Times New Roman" w:cs="Times New Roman"/>
          <w:i/>
          <w:iCs/>
          <w:sz w:val="24"/>
          <w:szCs w:val="24"/>
        </w:rPr>
        <w:t>Business Strategy and the Environment</w:t>
      </w:r>
      <w:r w:rsidRPr="004D3892">
        <w:rPr>
          <w:rFonts w:ascii="Times New Roman" w:hAnsi="Times New Roman" w:cs="Times New Roman"/>
          <w:sz w:val="24"/>
          <w:szCs w:val="24"/>
        </w:rPr>
        <w:t>, </w:t>
      </w:r>
      <w:r w:rsidRPr="004D3892">
        <w:rPr>
          <w:rFonts w:ascii="Times New Roman" w:hAnsi="Times New Roman" w:cs="Times New Roman"/>
          <w:i/>
          <w:iCs/>
          <w:sz w:val="24"/>
          <w:szCs w:val="24"/>
        </w:rPr>
        <w:t>30</w:t>
      </w:r>
      <w:r w:rsidRPr="004D3892">
        <w:rPr>
          <w:rFonts w:ascii="Times New Roman" w:hAnsi="Times New Roman" w:cs="Times New Roman"/>
          <w:sz w:val="24"/>
          <w:szCs w:val="24"/>
        </w:rPr>
        <w:t>(5), pp.2637-2655.</w:t>
      </w:r>
    </w:p>
    <w:p w14:paraId="5B9E863C" w14:textId="77777777" w:rsidR="00C36046" w:rsidRDefault="00C36046" w:rsidP="009A3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659">
        <w:rPr>
          <w:rFonts w:ascii="Times New Roman" w:hAnsi="Times New Roman" w:cs="Times New Roman"/>
          <w:sz w:val="24"/>
          <w:szCs w:val="24"/>
        </w:rPr>
        <w:t>Uyar, A., Kilic, M., Koseoglu, M.A., Kuzey, C. and Karaman, A.S., 2020. The link among board characteristics, corporate social responsibility performance, and financial performance: Evidence from the hospitality and tourism industry.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Tourism Management Perspectives</w:t>
      </w:r>
      <w:r w:rsidRPr="009A3659">
        <w:rPr>
          <w:rFonts w:ascii="Times New Roman" w:hAnsi="Times New Roman" w:cs="Times New Roman"/>
          <w:sz w:val="24"/>
          <w:szCs w:val="24"/>
        </w:rPr>
        <w:t>, </w:t>
      </w:r>
      <w:r w:rsidRPr="009A3659">
        <w:rPr>
          <w:rFonts w:ascii="Times New Roman" w:hAnsi="Times New Roman" w:cs="Times New Roman"/>
          <w:i/>
          <w:iCs/>
          <w:sz w:val="24"/>
          <w:szCs w:val="24"/>
        </w:rPr>
        <w:t>35</w:t>
      </w:r>
      <w:r w:rsidRPr="009A3659">
        <w:rPr>
          <w:rFonts w:ascii="Times New Roman" w:hAnsi="Times New Roman" w:cs="Times New Roman"/>
          <w:sz w:val="24"/>
          <w:szCs w:val="24"/>
        </w:rPr>
        <w:t>, p.100714.</w:t>
      </w:r>
    </w:p>
    <w:p w14:paraId="6B9085C9" w14:textId="77777777" w:rsidR="00C36046" w:rsidRDefault="00C36046" w:rsidP="004D38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892">
        <w:rPr>
          <w:rFonts w:ascii="Times New Roman" w:hAnsi="Times New Roman" w:cs="Times New Roman"/>
          <w:sz w:val="24"/>
          <w:szCs w:val="24"/>
        </w:rPr>
        <w:t xml:space="preserve">Zdravković, S. and Peković, J.,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D3892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D3892">
        <w:rPr>
          <w:rFonts w:ascii="Times New Roman" w:hAnsi="Times New Roman" w:cs="Times New Roman"/>
          <w:sz w:val="24"/>
          <w:szCs w:val="24"/>
        </w:rPr>
        <w:t>. The analysis of factors influencing tourists’ choice of green hotels. </w:t>
      </w:r>
      <w:r w:rsidRPr="004D3892">
        <w:rPr>
          <w:rFonts w:ascii="Times New Roman" w:hAnsi="Times New Roman" w:cs="Times New Roman"/>
          <w:i/>
          <w:iCs/>
          <w:sz w:val="24"/>
          <w:szCs w:val="24"/>
        </w:rPr>
        <w:t>Менаџмент у хотелијерству и туризму</w:t>
      </w:r>
      <w:r w:rsidRPr="004D3892">
        <w:rPr>
          <w:rFonts w:ascii="Times New Roman" w:hAnsi="Times New Roman" w:cs="Times New Roman"/>
          <w:sz w:val="24"/>
          <w:szCs w:val="24"/>
        </w:rPr>
        <w:t>, </w:t>
      </w:r>
      <w:r w:rsidRPr="004D3892">
        <w:rPr>
          <w:rFonts w:ascii="Times New Roman" w:hAnsi="Times New Roman" w:cs="Times New Roman"/>
          <w:i/>
          <w:iCs/>
          <w:sz w:val="24"/>
          <w:szCs w:val="24"/>
        </w:rPr>
        <w:t>8</w:t>
      </w:r>
      <w:r w:rsidRPr="004D3892">
        <w:rPr>
          <w:rFonts w:ascii="Times New Roman" w:hAnsi="Times New Roman" w:cs="Times New Roman"/>
          <w:sz w:val="24"/>
          <w:szCs w:val="24"/>
        </w:rPr>
        <w:t>(1), pp.69-78.</w:t>
      </w:r>
    </w:p>
    <w:p w14:paraId="22694FA1" w14:textId="77777777" w:rsidR="00C36046" w:rsidRDefault="00C36046" w:rsidP="00164F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F59">
        <w:rPr>
          <w:rFonts w:ascii="Times New Roman" w:hAnsi="Times New Roman" w:cs="Times New Roman"/>
          <w:sz w:val="24"/>
          <w:szCs w:val="24"/>
        </w:rPr>
        <w:lastRenderedPageBreak/>
        <w:t xml:space="preserve">Zhang, L., Wu, J., Liu, H. and Zhang, X.,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64F59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64F59">
        <w:rPr>
          <w:rFonts w:ascii="Times New Roman" w:hAnsi="Times New Roman" w:cs="Times New Roman"/>
          <w:sz w:val="24"/>
          <w:szCs w:val="24"/>
        </w:rPr>
        <w:t>. The value of going green in the hotel industry: evidence from Beijing. </w:t>
      </w:r>
      <w:r w:rsidRPr="00164F59">
        <w:rPr>
          <w:rFonts w:ascii="Times New Roman" w:hAnsi="Times New Roman" w:cs="Times New Roman"/>
          <w:i/>
          <w:iCs/>
          <w:sz w:val="24"/>
          <w:szCs w:val="24"/>
        </w:rPr>
        <w:t>Real Estate Economics</w:t>
      </w:r>
      <w:r w:rsidRPr="00164F59">
        <w:rPr>
          <w:rFonts w:ascii="Times New Roman" w:hAnsi="Times New Roman" w:cs="Times New Roman"/>
          <w:sz w:val="24"/>
          <w:szCs w:val="24"/>
        </w:rPr>
        <w:t>, </w:t>
      </w:r>
      <w:r w:rsidRPr="00164F59">
        <w:rPr>
          <w:rFonts w:ascii="Times New Roman" w:hAnsi="Times New Roman" w:cs="Times New Roman"/>
          <w:i/>
          <w:iCs/>
          <w:sz w:val="24"/>
          <w:szCs w:val="24"/>
        </w:rPr>
        <w:t>48</w:t>
      </w:r>
      <w:r w:rsidRPr="00164F59">
        <w:rPr>
          <w:rFonts w:ascii="Times New Roman" w:hAnsi="Times New Roman" w:cs="Times New Roman"/>
          <w:sz w:val="24"/>
          <w:szCs w:val="24"/>
        </w:rPr>
        <w:t>(1), pp.174-199.</w:t>
      </w:r>
    </w:p>
    <w:p w14:paraId="3AE76E52" w14:textId="77777777" w:rsidR="00682539" w:rsidRPr="00682539" w:rsidRDefault="00682539" w:rsidP="006825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0" w:name="_Hlk160116465"/>
    </w:p>
    <w:bookmarkEnd w:id="10"/>
    <w:p w14:paraId="48BE69EB" w14:textId="77777777" w:rsidR="00CE37D8" w:rsidRPr="00B95047" w:rsidRDefault="00CE37D8" w:rsidP="005016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ED5CEC" w14:textId="77777777" w:rsidR="006874F2" w:rsidRPr="006874F2" w:rsidRDefault="006874F2" w:rsidP="006874F2">
      <w:pPr>
        <w:spacing w:line="36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6874F2">
        <w:rPr>
          <w:rFonts w:ascii="Times New Roman" w:hAnsi="Times New Roman" w:cs="Times New Roman"/>
          <w:vanish/>
          <w:sz w:val="24"/>
          <w:szCs w:val="24"/>
        </w:rPr>
        <w:t>Top of Form</w:t>
      </w:r>
    </w:p>
    <w:p w14:paraId="082A5D0B" w14:textId="77777777" w:rsidR="00A622AA" w:rsidRPr="00A622AA" w:rsidRDefault="00A622AA" w:rsidP="00A622AA">
      <w:pPr>
        <w:spacing w:line="36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A622AA">
        <w:rPr>
          <w:rFonts w:ascii="Times New Roman" w:hAnsi="Times New Roman" w:cs="Times New Roman"/>
          <w:vanish/>
          <w:sz w:val="24"/>
          <w:szCs w:val="24"/>
        </w:rPr>
        <w:t>Top of Form</w:t>
      </w:r>
    </w:p>
    <w:p w14:paraId="617FF6DA" w14:textId="77777777" w:rsidR="005F4415" w:rsidRPr="005F4415" w:rsidRDefault="005F4415" w:rsidP="005F4415">
      <w:pPr>
        <w:rPr>
          <w:rFonts w:ascii="Times New Roman" w:hAnsi="Times New Roman" w:cs="Times New Roman"/>
          <w:vanish/>
          <w:sz w:val="24"/>
          <w:szCs w:val="24"/>
        </w:rPr>
      </w:pPr>
      <w:r w:rsidRPr="005F4415">
        <w:rPr>
          <w:rFonts w:ascii="Times New Roman" w:hAnsi="Times New Roman" w:cs="Times New Roman"/>
          <w:vanish/>
          <w:sz w:val="24"/>
          <w:szCs w:val="24"/>
        </w:rPr>
        <w:t>Top of Form</w:t>
      </w:r>
    </w:p>
    <w:p w14:paraId="220EF4E0" w14:textId="77777777" w:rsidR="0092574C" w:rsidRPr="00ED1DEC" w:rsidRDefault="0092574C" w:rsidP="00641079">
      <w:pPr>
        <w:rPr>
          <w:rFonts w:ascii="Times New Roman" w:hAnsi="Times New Roman" w:cs="Times New Roman"/>
          <w:sz w:val="24"/>
          <w:szCs w:val="24"/>
        </w:rPr>
      </w:pPr>
    </w:p>
    <w:sectPr w:rsidR="0092574C" w:rsidRPr="00ED1DEC" w:rsidSect="00824008"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30906" w14:textId="77777777" w:rsidR="00824008" w:rsidRDefault="00824008" w:rsidP="007B5585">
      <w:pPr>
        <w:spacing w:after="0" w:line="240" w:lineRule="auto"/>
      </w:pPr>
      <w:r>
        <w:separator/>
      </w:r>
    </w:p>
  </w:endnote>
  <w:endnote w:type="continuationSeparator" w:id="0">
    <w:p w14:paraId="217F0755" w14:textId="77777777" w:rsidR="00824008" w:rsidRDefault="00824008" w:rsidP="007B5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340368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40D6D47" w14:textId="47A72F0C" w:rsidR="007B5585" w:rsidRDefault="007B5585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E2608B2" w14:textId="77777777" w:rsidR="007B5585" w:rsidRDefault="007B55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6FC06" w14:textId="77777777" w:rsidR="00824008" w:rsidRDefault="00824008" w:rsidP="007B5585">
      <w:pPr>
        <w:spacing w:after="0" w:line="240" w:lineRule="auto"/>
      </w:pPr>
      <w:r>
        <w:separator/>
      </w:r>
    </w:p>
  </w:footnote>
  <w:footnote w:type="continuationSeparator" w:id="0">
    <w:p w14:paraId="2FC8678A" w14:textId="77777777" w:rsidR="00824008" w:rsidRDefault="00824008" w:rsidP="007B55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14511"/>
    <w:multiLevelType w:val="multilevel"/>
    <w:tmpl w:val="9F40D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314A22"/>
    <w:multiLevelType w:val="multilevel"/>
    <w:tmpl w:val="60040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4526342">
    <w:abstractNumId w:val="1"/>
  </w:num>
  <w:num w:numId="2" w16cid:durableId="760494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5B1"/>
    <w:rsid w:val="00046D67"/>
    <w:rsid w:val="000E5DAC"/>
    <w:rsid w:val="000F10C8"/>
    <w:rsid w:val="0011601A"/>
    <w:rsid w:val="00140748"/>
    <w:rsid w:val="00164F59"/>
    <w:rsid w:val="001721FA"/>
    <w:rsid w:val="00201F32"/>
    <w:rsid w:val="00220D44"/>
    <w:rsid w:val="00226F99"/>
    <w:rsid w:val="00231D9C"/>
    <w:rsid w:val="00243A7F"/>
    <w:rsid w:val="0025793E"/>
    <w:rsid w:val="00277A49"/>
    <w:rsid w:val="002C61F1"/>
    <w:rsid w:val="002F64F8"/>
    <w:rsid w:val="00301D4C"/>
    <w:rsid w:val="00312773"/>
    <w:rsid w:val="00335859"/>
    <w:rsid w:val="00374660"/>
    <w:rsid w:val="004235EC"/>
    <w:rsid w:val="00426607"/>
    <w:rsid w:val="004832CB"/>
    <w:rsid w:val="00497C94"/>
    <w:rsid w:val="004D3892"/>
    <w:rsid w:val="005016F6"/>
    <w:rsid w:val="0050797F"/>
    <w:rsid w:val="0051740A"/>
    <w:rsid w:val="00541F64"/>
    <w:rsid w:val="0054656C"/>
    <w:rsid w:val="00552FAE"/>
    <w:rsid w:val="005653A7"/>
    <w:rsid w:val="0059043A"/>
    <w:rsid w:val="005A7025"/>
    <w:rsid w:val="005E1D75"/>
    <w:rsid w:val="005F4415"/>
    <w:rsid w:val="00641079"/>
    <w:rsid w:val="00664C93"/>
    <w:rsid w:val="006706FB"/>
    <w:rsid w:val="006708AB"/>
    <w:rsid w:val="006763F4"/>
    <w:rsid w:val="00682539"/>
    <w:rsid w:val="006874F2"/>
    <w:rsid w:val="006C3E6A"/>
    <w:rsid w:val="00745AA1"/>
    <w:rsid w:val="00746728"/>
    <w:rsid w:val="00757D77"/>
    <w:rsid w:val="00781705"/>
    <w:rsid w:val="007B5585"/>
    <w:rsid w:val="00824008"/>
    <w:rsid w:val="008450F1"/>
    <w:rsid w:val="00846D29"/>
    <w:rsid w:val="008A29D3"/>
    <w:rsid w:val="008D3A88"/>
    <w:rsid w:val="008E087D"/>
    <w:rsid w:val="009116D0"/>
    <w:rsid w:val="0092574C"/>
    <w:rsid w:val="0098291D"/>
    <w:rsid w:val="009A3659"/>
    <w:rsid w:val="009A3754"/>
    <w:rsid w:val="009B59E4"/>
    <w:rsid w:val="009D6D74"/>
    <w:rsid w:val="009D7688"/>
    <w:rsid w:val="00A622AA"/>
    <w:rsid w:val="00A70E04"/>
    <w:rsid w:val="00A87AAA"/>
    <w:rsid w:val="00AA62D6"/>
    <w:rsid w:val="00AB56E8"/>
    <w:rsid w:val="00AB6E72"/>
    <w:rsid w:val="00AE4CF3"/>
    <w:rsid w:val="00AE5DE4"/>
    <w:rsid w:val="00AF0EDA"/>
    <w:rsid w:val="00B15673"/>
    <w:rsid w:val="00B365B1"/>
    <w:rsid w:val="00B95047"/>
    <w:rsid w:val="00B977E7"/>
    <w:rsid w:val="00BC7C8B"/>
    <w:rsid w:val="00BD54E5"/>
    <w:rsid w:val="00BE5840"/>
    <w:rsid w:val="00BF086D"/>
    <w:rsid w:val="00BF635D"/>
    <w:rsid w:val="00C00299"/>
    <w:rsid w:val="00C25B4E"/>
    <w:rsid w:val="00C36046"/>
    <w:rsid w:val="00C417BF"/>
    <w:rsid w:val="00CA3E0B"/>
    <w:rsid w:val="00CE37D8"/>
    <w:rsid w:val="00D0137A"/>
    <w:rsid w:val="00D05063"/>
    <w:rsid w:val="00D72990"/>
    <w:rsid w:val="00DA19F9"/>
    <w:rsid w:val="00DC71EE"/>
    <w:rsid w:val="00E11B07"/>
    <w:rsid w:val="00E131BE"/>
    <w:rsid w:val="00E30F7A"/>
    <w:rsid w:val="00E31548"/>
    <w:rsid w:val="00E41832"/>
    <w:rsid w:val="00ED1DEC"/>
    <w:rsid w:val="00ED4291"/>
    <w:rsid w:val="00F04AC1"/>
    <w:rsid w:val="00F62777"/>
    <w:rsid w:val="00F73511"/>
    <w:rsid w:val="00F97F99"/>
    <w:rsid w:val="00FF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DD40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3E0B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b/>
      <w:color w:val="0D0D0D" w:themeColor="text1" w:themeTint="F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89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A3E0B"/>
    <w:rPr>
      <w:rFonts w:ascii="Times New Roman" w:eastAsiaTheme="majorEastAsia" w:hAnsi="Times New Roman" w:cstheme="majorBidi"/>
      <w:b/>
      <w:color w:val="0D0D0D" w:themeColor="text1" w:themeTint="F2"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C3E6A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C3E6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C3E6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B5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585"/>
  </w:style>
  <w:style w:type="paragraph" w:styleId="Footer">
    <w:name w:val="footer"/>
    <w:basedOn w:val="Normal"/>
    <w:link w:val="FooterChar"/>
    <w:uiPriority w:val="99"/>
    <w:unhideWhenUsed/>
    <w:rsid w:val="007B5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5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0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358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1849241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256796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4776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7520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5106737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282690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5212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5320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84092818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0980213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9024457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0706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34159027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57211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780413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34559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947619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456025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695623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0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8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943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4801773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791940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498090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2168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99741599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778531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8902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73096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72681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702904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952079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304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8589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82766860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506328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0022004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27984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4671640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786853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98865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571040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704864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422989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47621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453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940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48878774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974671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595686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34882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7839522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4439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65693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56936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86173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719621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518467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87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2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4196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34840800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41576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6612273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51599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07650836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073773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33137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63374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565875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535168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812625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69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4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60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6370091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98806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992041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62909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1431521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823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53386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973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851526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619264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037505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95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1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4772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0257026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351673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5085261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2839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50786553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33163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43357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726685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57727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770806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673724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51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9690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40896858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119192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9289239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8150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8863256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61169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2946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140343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02401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19039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422996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7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19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12988454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323531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3864908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583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23905102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99559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449593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614941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092460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349913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00278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994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00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9912812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452250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472620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81260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372589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514806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5041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08014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477603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647589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896357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4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9390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2393982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75696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8953184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985890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4359075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62464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83190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47446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377661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010330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416122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29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53063-E05C-498D-9A6F-B4C20BF10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3297</Words>
  <Characters>18796</Characters>
  <Application>Microsoft Office Word</Application>
  <DocSecurity>0</DocSecurity>
  <Lines>156</Lines>
  <Paragraphs>44</Paragraphs>
  <ScaleCrop>false</ScaleCrop>
  <Company/>
  <LinksUpToDate>false</LinksUpToDate>
  <CharactersWithSpaces>22049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2024-03-01T06:59:00Z</dcterms:created>
  <dcterms:modified xsi:type="dcterms:W3CDTF">2024-03-01T06:59:00Z</dcterms:modified>
</cp:coreProperties>
</file>