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3BD692" w14:textId="77777777" w:rsidR="00077113" w:rsidRDefault="00000000">
      <w:pPr>
        <w:spacing w:after="60"/>
      </w:pPr>
      <w:r>
        <w:rPr>
          <w:b/>
          <w:bCs/>
          <w:color w:val="1F3864"/>
          <w:sz w:val="40"/>
          <w:szCs w:val="40"/>
        </w:rPr>
        <w:t>InterContinental Hotels Group (IHG)</w:t>
      </w:r>
    </w:p>
    <w:p w14:paraId="20A37FB3" w14:textId="77777777" w:rsidR="00077113" w:rsidRDefault="00000000">
      <w:pPr>
        <w:spacing w:after="40"/>
      </w:pPr>
      <w:r>
        <w:rPr>
          <w:b/>
          <w:bCs/>
          <w:color w:val="404040"/>
          <w:sz w:val="30"/>
          <w:szCs w:val="30"/>
        </w:rPr>
        <w:t>Financial Ratio Analysis — FY2020 to FY2024</w:t>
      </w:r>
    </w:p>
    <w:p w14:paraId="3B66B5A4" w14:textId="77777777" w:rsidR="00077113" w:rsidRDefault="00000000">
      <w:pPr>
        <w:spacing w:after="300"/>
      </w:pPr>
      <w:r>
        <w:rPr>
          <w:i/>
          <w:iCs/>
          <w:color w:val="595959"/>
        </w:rPr>
        <w:t>Based on IHG Annual Reports and Form 20-F, FY2020–FY2024 (NYSE: IHG)</w:t>
      </w:r>
    </w:p>
    <w:p w14:paraId="6E533695" w14:textId="77777777" w:rsidR="00077113" w:rsidRDefault="00077113">
      <w:pPr>
        <w:pBdr>
          <w:bottom w:val="single" w:sz="12" w:space="4" w:color="1F3864"/>
        </w:pBdr>
        <w:spacing w:after="200"/>
      </w:pPr>
    </w:p>
    <w:p w14:paraId="0961E273" w14:textId="77777777" w:rsidR="00077113" w:rsidRDefault="00000000">
      <w:pPr>
        <w:pStyle w:val="Heading2"/>
        <w:spacing w:before="240" w:after="120"/>
      </w:pPr>
      <w:r>
        <w:rPr>
          <w:b/>
          <w:bCs/>
          <w:color w:val="1F3864"/>
          <w:sz w:val="24"/>
          <w:szCs w:val="24"/>
        </w:rPr>
        <w:t>A note on IHG's balance sheet structure</w:t>
      </w:r>
    </w:p>
    <w:p w14:paraId="0B39140C" w14:textId="77777777" w:rsidR="00077113" w:rsidRDefault="00000000">
      <w:pPr>
        <w:spacing w:after="160" w:line="276" w:lineRule="auto"/>
      </w:pPr>
      <w:r>
        <w:rPr>
          <w:sz w:val="22"/>
          <w:szCs w:val="22"/>
        </w:rPr>
        <w:t>IHG has reported negative total shareholders' equity in every year of this period — from $(</w:t>
      </w:r>
      <w:proofErr w:type="gramStart"/>
      <w:r>
        <w:rPr>
          <w:sz w:val="22"/>
          <w:szCs w:val="22"/>
        </w:rPr>
        <w:t>1,857)m</w:t>
      </w:r>
      <w:proofErr w:type="gramEnd"/>
      <w:r>
        <w:rPr>
          <w:sz w:val="22"/>
          <w:szCs w:val="22"/>
        </w:rPr>
        <w:t xml:space="preserve"> in 2020 to $(</w:t>
      </w:r>
      <w:proofErr w:type="gramStart"/>
      <w:r>
        <w:rPr>
          <w:sz w:val="22"/>
          <w:szCs w:val="22"/>
        </w:rPr>
        <w:t>2,312)m</w:t>
      </w:r>
      <w:proofErr w:type="gramEnd"/>
      <w:r>
        <w:rPr>
          <w:sz w:val="22"/>
          <w:szCs w:val="22"/>
        </w:rPr>
        <w:t xml:space="preserve"> in 2024 — because years of debt-funded share buybacks have exceeded retained earnings. This is confirmed across the Group statements of financial position in the 2020–2024 Annual Reports. As a result, Return on Equity and Debt/Equity are mathematically distorted (dividing by a negative denominator) and are not used below. Return on Assets, Debt/Total Assets and Total Liabilities/Total Assets are used instead, as they remain meaningful with a negative-equity capital structure.</w:t>
      </w:r>
    </w:p>
    <w:p w14:paraId="27C2C1AA" w14:textId="77777777" w:rsidR="00077113" w:rsidRDefault="00000000">
      <w:pPr>
        <w:pStyle w:val="Heading1"/>
        <w:spacing w:before="320" w:after="160"/>
      </w:pPr>
      <w:r>
        <w:rPr>
          <w:b/>
          <w:bCs/>
          <w:color w:val="1F3864"/>
          <w:sz w:val="28"/>
          <w:szCs w:val="28"/>
        </w:rPr>
        <w:t>1. Profitability Ratios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1240"/>
        <w:gridCol w:w="1240"/>
        <w:gridCol w:w="1240"/>
        <w:gridCol w:w="1240"/>
        <w:gridCol w:w="1240"/>
      </w:tblGrid>
      <w:tr w:rsidR="00077113" w14:paraId="6792B130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40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58C5E29" w14:textId="77777777" w:rsidR="00077113" w:rsidRDefault="00000000"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5054F12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7B728E6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A8E4B6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25AD5D5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1CA43AB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077113" w14:paraId="27EBE001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1A475E1" w14:textId="77777777" w:rsidR="00077113" w:rsidRDefault="00000000">
            <w:r>
              <w:rPr>
                <w:color w:val="000000"/>
              </w:rPr>
              <w:t>Operating margin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D4ADA62" w14:textId="77777777" w:rsidR="00077113" w:rsidRDefault="00000000">
            <w:pPr>
              <w:jc w:val="center"/>
            </w:pPr>
            <w:r>
              <w:rPr>
                <w:color w:val="000000"/>
              </w:rPr>
              <w:t>-6.4%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BA8AA6F" w14:textId="77777777" w:rsidR="00077113" w:rsidRDefault="00000000">
            <w:pPr>
              <w:jc w:val="center"/>
            </w:pPr>
            <w:r>
              <w:rPr>
                <w:color w:val="000000"/>
              </w:rPr>
              <w:t>17.0%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09F3894" w14:textId="77777777" w:rsidR="00077113" w:rsidRDefault="00000000">
            <w:pPr>
              <w:jc w:val="center"/>
            </w:pPr>
            <w:r>
              <w:rPr>
                <w:color w:val="000000"/>
              </w:rPr>
              <w:t>16.1%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74A7C9B" w14:textId="77777777" w:rsidR="00077113" w:rsidRDefault="00000000">
            <w:pPr>
              <w:jc w:val="center"/>
            </w:pPr>
            <w:r>
              <w:rPr>
                <w:color w:val="000000"/>
              </w:rPr>
              <w:t>23.1%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F9AFD14" w14:textId="77777777" w:rsidR="00077113" w:rsidRDefault="00000000">
            <w:pPr>
              <w:jc w:val="center"/>
            </w:pPr>
            <w:r>
              <w:rPr>
                <w:color w:val="000000"/>
              </w:rPr>
              <w:t>21.1%</w:t>
            </w:r>
          </w:p>
        </w:tc>
      </w:tr>
      <w:tr w:rsidR="00077113" w14:paraId="3891C374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EFD4408" w14:textId="77777777" w:rsidR="00077113" w:rsidRDefault="00000000">
            <w:r>
              <w:rPr>
                <w:color w:val="000000"/>
              </w:rPr>
              <w:t>Adjusted operating margin*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527AD30" w14:textId="77777777" w:rsidR="00077113" w:rsidRDefault="00000000">
            <w:pPr>
              <w:jc w:val="center"/>
            </w:pPr>
            <w:r>
              <w:rPr>
                <w:color w:val="000000"/>
              </w:rPr>
              <w:t>9.1%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E2BF2D1" w14:textId="77777777" w:rsidR="00077113" w:rsidRDefault="00000000">
            <w:pPr>
              <w:jc w:val="center"/>
            </w:pPr>
            <w:r>
              <w:rPr>
                <w:color w:val="000000"/>
              </w:rPr>
              <w:t>18.4%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70EF073" w14:textId="77777777" w:rsidR="00077113" w:rsidRDefault="00000000">
            <w:pPr>
              <w:jc w:val="center"/>
            </w:pPr>
            <w:r>
              <w:rPr>
                <w:color w:val="000000"/>
              </w:rPr>
              <w:t>21.3%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32B5248" w14:textId="77777777" w:rsidR="00077113" w:rsidRDefault="00000000">
            <w:pPr>
              <w:jc w:val="center"/>
            </w:pPr>
            <w:r>
              <w:rPr>
                <w:color w:val="000000"/>
              </w:rPr>
              <w:t>22.0%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0005A37" w14:textId="77777777" w:rsidR="00077113" w:rsidRDefault="00000000">
            <w:pPr>
              <w:jc w:val="center"/>
            </w:pPr>
            <w:r>
              <w:rPr>
                <w:color w:val="000000"/>
              </w:rPr>
              <w:t>22.8%</w:t>
            </w:r>
          </w:p>
        </w:tc>
      </w:tr>
      <w:tr w:rsidR="00077113" w14:paraId="0B8BD944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B03F9F4" w14:textId="77777777" w:rsidR="00077113" w:rsidRDefault="00000000">
            <w:r>
              <w:rPr>
                <w:color w:val="000000"/>
              </w:rPr>
              <w:t>Net margin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298E40C" w14:textId="77777777" w:rsidR="00077113" w:rsidRDefault="00000000">
            <w:pPr>
              <w:jc w:val="center"/>
            </w:pPr>
            <w:r>
              <w:rPr>
                <w:color w:val="000000"/>
              </w:rPr>
              <w:t>-10.9%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E719B77" w14:textId="77777777" w:rsidR="00077113" w:rsidRDefault="00000000">
            <w:pPr>
              <w:jc w:val="center"/>
            </w:pPr>
            <w:r>
              <w:rPr>
                <w:color w:val="000000"/>
              </w:rPr>
              <w:t>9.1%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7660EDB" w14:textId="77777777" w:rsidR="00077113" w:rsidRDefault="00000000">
            <w:pPr>
              <w:jc w:val="center"/>
            </w:pPr>
            <w:r>
              <w:rPr>
                <w:color w:val="000000"/>
              </w:rPr>
              <w:t>9.7%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154AD51" w14:textId="77777777" w:rsidR="00077113" w:rsidRDefault="00000000">
            <w:pPr>
              <w:jc w:val="center"/>
            </w:pPr>
            <w:r>
              <w:rPr>
                <w:color w:val="000000"/>
              </w:rPr>
              <w:t>16.2%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889DA62" w14:textId="77777777" w:rsidR="00077113" w:rsidRDefault="00000000">
            <w:pPr>
              <w:jc w:val="center"/>
            </w:pPr>
            <w:r>
              <w:rPr>
                <w:color w:val="000000"/>
              </w:rPr>
              <w:t>12.8%</w:t>
            </w:r>
          </w:p>
        </w:tc>
      </w:tr>
      <w:tr w:rsidR="00077113" w14:paraId="6F1D4411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F1ABC41" w14:textId="77777777" w:rsidR="00077113" w:rsidRDefault="00000000">
            <w:r>
              <w:rPr>
                <w:color w:val="000000"/>
              </w:rPr>
              <w:t>Return on Assets (ROA)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FB4C615" w14:textId="77777777" w:rsidR="00077113" w:rsidRDefault="00000000">
            <w:pPr>
              <w:jc w:val="center"/>
            </w:pPr>
            <w:r>
              <w:rPr>
                <w:color w:val="000000"/>
              </w:rPr>
              <w:t>-5.2%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51FDD83" w14:textId="77777777" w:rsidR="00077113" w:rsidRDefault="00000000">
            <w:pPr>
              <w:jc w:val="center"/>
            </w:pPr>
            <w:r>
              <w:rPr>
                <w:color w:val="000000"/>
              </w:rPr>
              <w:t>5.6%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281A1D0" w14:textId="77777777" w:rsidR="00077113" w:rsidRDefault="00000000">
            <w:pPr>
              <w:jc w:val="center"/>
            </w:pPr>
            <w:r>
              <w:rPr>
                <w:color w:val="000000"/>
              </w:rPr>
              <w:t>8.9%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2297D61" w14:textId="77777777" w:rsidR="00077113" w:rsidRDefault="00000000">
            <w:pPr>
              <w:jc w:val="center"/>
            </w:pPr>
            <w:r>
              <w:rPr>
                <w:color w:val="000000"/>
              </w:rPr>
              <w:t>15.6%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CBBE3C2" w14:textId="77777777" w:rsidR="00077113" w:rsidRDefault="00000000">
            <w:pPr>
              <w:jc w:val="center"/>
            </w:pPr>
            <w:r>
              <w:rPr>
                <w:color w:val="000000"/>
              </w:rPr>
              <w:t>13.2%</w:t>
            </w:r>
          </w:p>
        </w:tc>
      </w:tr>
    </w:tbl>
    <w:p w14:paraId="50C94207" w14:textId="77777777" w:rsidR="00077113" w:rsidRDefault="00000000">
      <w:pPr>
        <w:spacing w:before="100" w:after="200"/>
      </w:pPr>
      <w:r>
        <w:rPr>
          <w:i/>
          <w:iCs/>
          <w:color w:val="595959"/>
        </w:rPr>
        <w:t>*Excludes System Fund pass-through revenue/expenses and exceptional items — IHG's own key adjusted performance measure.</w:t>
      </w:r>
    </w:p>
    <w:p w14:paraId="53F6D824" w14:textId="77777777" w:rsidR="00077113" w:rsidRDefault="00000000">
      <w:pPr>
        <w:pStyle w:val="Heading2"/>
        <w:spacing w:before="240" w:after="120"/>
      </w:pPr>
      <w:r>
        <w:rPr>
          <w:b/>
          <w:bCs/>
          <w:color w:val="1F3864"/>
          <w:sz w:val="24"/>
          <w:szCs w:val="24"/>
        </w:rPr>
        <w:t>Key changes and explanations</w:t>
      </w:r>
    </w:p>
    <w:p w14:paraId="3FCEAF80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2020 – loss year: </w:t>
      </w:r>
      <w:r>
        <w:rPr>
          <w:sz w:val="22"/>
          <w:szCs w:val="22"/>
        </w:rPr>
        <w:t xml:space="preserve">IHG swung to an operating loss and a net margin of -10.9% as RevPAR fell at an unprecedented rate due to Covid-19, with Canada RevPAR down 62.2% and Mexico down 57.2%, led by occupancy declines. </w:t>
      </w:r>
      <w:r>
        <w:rPr>
          <w:i/>
          <w:iCs/>
          <w:color w:val="595959"/>
        </w:rPr>
        <w:t>(Source: 2020 Annual Report)</w:t>
      </w:r>
    </w:p>
    <w:p w14:paraId="772F93D8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2021–2022 – recovery: </w:t>
      </w:r>
      <w:r>
        <w:rPr>
          <w:sz w:val="22"/>
          <w:szCs w:val="22"/>
        </w:rPr>
        <w:t xml:space="preserve">Margins rebounded sharply as travel resumed and revenue nearly doubled; adjusted operating margin rose from 9.1% to 21.3%. </w:t>
      </w:r>
      <w:r>
        <w:rPr>
          <w:i/>
          <w:iCs/>
          <w:color w:val="595959"/>
        </w:rPr>
        <w:t>(Source: 2021 and 2022 Annual Reports)</w:t>
      </w:r>
    </w:p>
    <w:p w14:paraId="7747B735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2023 – peak net margin: </w:t>
      </w:r>
      <w:r>
        <w:rPr>
          <w:sz w:val="22"/>
          <w:szCs w:val="22"/>
        </w:rPr>
        <w:t xml:space="preserve">Net margin reached 16.2%, the strongest in the period, driven by record fee revenue and strong operating leverage (total revenue of $4,624m against cost of sales of only $742m). </w:t>
      </w:r>
      <w:r>
        <w:rPr>
          <w:i/>
          <w:iCs/>
          <w:color w:val="595959"/>
        </w:rPr>
        <w:t>(Source: 2023 Annual Report)</w:t>
      </w:r>
    </w:p>
    <w:p w14:paraId="154C6245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2024 – margin dips despite record revenue: </w:t>
      </w:r>
      <w:r>
        <w:rPr>
          <w:sz w:val="22"/>
          <w:szCs w:val="22"/>
        </w:rPr>
        <w:t xml:space="preserve">Operating and adjusted operating margins held near record levels, but net margin fell to 12.8% because net financial expenses increased to $140m from $52m, driven by higher interest costs on public bonds ($123m vs $78m in 2023) and a swing from FX gains to FX losses. </w:t>
      </w:r>
      <w:r>
        <w:rPr>
          <w:i/>
          <w:iCs/>
          <w:color w:val="595959"/>
        </w:rPr>
        <w:t>(Source: 2024 Annual Report)</w:t>
      </w:r>
    </w:p>
    <w:p w14:paraId="2E62A7D7" w14:textId="77777777" w:rsidR="00077113" w:rsidRDefault="00000000">
      <w:pPr>
        <w:pStyle w:val="Heading1"/>
        <w:spacing w:before="320" w:after="160"/>
      </w:pPr>
      <w:r>
        <w:rPr>
          <w:b/>
          <w:bCs/>
          <w:color w:val="1F3864"/>
          <w:sz w:val="28"/>
          <w:szCs w:val="28"/>
        </w:rPr>
        <w:lastRenderedPageBreak/>
        <w:t>2. Liquidity Ratios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1240"/>
        <w:gridCol w:w="1240"/>
        <w:gridCol w:w="1240"/>
        <w:gridCol w:w="1240"/>
        <w:gridCol w:w="1240"/>
      </w:tblGrid>
      <w:tr w:rsidR="00077113" w14:paraId="0B72C2BA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40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9CDB47B" w14:textId="77777777" w:rsidR="00077113" w:rsidRDefault="00000000"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3919034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255D33E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195956A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291DD93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0EE279F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077113" w14:paraId="1457FA3D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CA50361" w14:textId="77777777" w:rsidR="00077113" w:rsidRDefault="00000000">
            <w:r>
              <w:rPr>
                <w:color w:val="000000"/>
              </w:rPr>
              <w:t>Current ratio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17F87B6" w14:textId="77777777" w:rsidR="00077113" w:rsidRDefault="00000000">
            <w:pPr>
              <w:jc w:val="center"/>
            </w:pPr>
            <w:r>
              <w:rPr>
                <w:color w:val="000000"/>
              </w:rPr>
              <w:t>1.20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4864B66" w14:textId="77777777" w:rsidR="00077113" w:rsidRDefault="00000000">
            <w:pPr>
              <w:jc w:val="center"/>
            </w:pPr>
            <w:r>
              <w:rPr>
                <w:color w:val="000000"/>
              </w:rPr>
              <w:t>1.27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F0772AD" w14:textId="77777777" w:rsidR="00077113" w:rsidRDefault="00000000">
            <w:pPr>
              <w:jc w:val="center"/>
            </w:pPr>
            <w:r>
              <w:rPr>
                <w:color w:val="000000"/>
              </w:rPr>
              <w:t>1.09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BC742E6" w14:textId="77777777" w:rsidR="00077113" w:rsidRDefault="00000000">
            <w:pPr>
              <w:jc w:val="center"/>
            </w:pPr>
            <w:r>
              <w:rPr>
                <w:color w:val="000000"/>
              </w:rPr>
              <w:t>0.97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65E2254" w14:textId="77777777" w:rsidR="00077113" w:rsidRDefault="00000000">
            <w:pPr>
              <w:jc w:val="center"/>
            </w:pPr>
            <w:r>
              <w:rPr>
                <w:color w:val="000000"/>
              </w:rPr>
              <w:t>0.97</w:t>
            </w:r>
          </w:p>
        </w:tc>
      </w:tr>
      <w:tr w:rsidR="00077113" w14:paraId="2F5FFE0B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E27A43F" w14:textId="77777777" w:rsidR="00077113" w:rsidRDefault="00000000">
            <w:r>
              <w:rPr>
                <w:color w:val="000000"/>
              </w:rPr>
              <w:t>Quick ratio (cash + receivables / CL)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1D4AD33" w14:textId="77777777" w:rsidR="00077113" w:rsidRDefault="00000000">
            <w:pPr>
              <w:jc w:val="center"/>
            </w:pPr>
            <w:r>
              <w:rPr>
                <w:color w:val="000000"/>
              </w:rPr>
              <w:t>1.17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7054CB9" w14:textId="77777777" w:rsidR="00077113" w:rsidRDefault="00000000">
            <w:pPr>
              <w:jc w:val="center"/>
            </w:pPr>
            <w:r>
              <w:rPr>
                <w:color w:val="000000"/>
              </w:rPr>
              <w:t>1.25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15D5530" w14:textId="77777777" w:rsidR="00077113" w:rsidRDefault="00000000">
            <w:pPr>
              <w:jc w:val="center"/>
            </w:pPr>
            <w:r>
              <w:rPr>
                <w:color w:val="000000"/>
              </w:rPr>
              <w:t>1.05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499CF35" w14:textId="77777777" w:rsidR="00077113" w:rsidRDefault="00000000">
            <w:pPr>
              <w:jc w:val="center"/>
            </w:pPr>
            <w:r>
              <w:rPr>
                <w:color w:val="000000"/>
              </w:rPr>
              <w:t>0.94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BAEE3A4" w14:textId="77777777" w:rsidR="00077113" w:rsidRDefault="00000000">
            <w:pPr>
              <w:jc w:val="center"/>
            </w:pPr>
            <w:r>
              <w:rPr>
                <w:color w:val="000000"/>
              </w:rPr>
              <w:t>0.93</w:t>
            </w:r>
          </w:p>
        </w:tc>
      </w:tr>
      <w:tr w:rsidR="00077113" w14:paraId="6ED0B309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0A1C264" w14:textId="77777777" w:rsidR="00077113" w:rsidRDefault="00000000">
            <w:r>
              <w:rPr>
                <w:color w:val="000000"/>
              </w:rPr>
              <w:t>Cash ratio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8AB3A5D" w14:textId="77777777" w:rsidR="00077113" w:rsidRDefault="00000000">
            <w:pPr>
              <w:jc w:val="center"/>
            </w:pPr>
            <w:r>
              <w:rPr>
                <w:color w:val="000000"/>
              </w:rPr>
              <w:t>0.90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BEAD8ED" w14:textId="77777777" w:rsidR="00077113" w:rsidRDefault="00000000">
            <w:pPr>
              <w:jc w:val="center"/>
            </w:pPr>
            <w:r>
              <w:rPr>
                <w:color w:val="000000"/>
              </w:rPr>
              <w:t>0.89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B90DF75" w14:textId="77777777" w:rsidR="00077113" w:rsidRDefault="00000000">
            <w:pPr>
              <w:jc w:val="center"/>
            </w:pPr>
            <w:r>
              <w:rPr>
                <w:color w:val="000000"/>
              </w:rPr>
              <w:t>0.63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FD9396F" w14:textId="77777777" w:rsidR="00077113" w:rsidRDefault="00000000">
            <w:pPr>
              <w:jc w:val="center"/>
            </w:pPr>
            <w:r>
              <w:rPr>
                <w:color w:val="000000"/>
              </w:rPr>
              <w:t>0.60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B7D3E6D" w14:textId="77777777" w:rsidR="00077113" w:rsidRDefault="00000000">
            <w:pPr>
              <w:jc w:val="center"/>
            </w:pPr>
            <w:r>
              <w:rPr>
                <w:color w:val="000000"/>
              </w:rPr>
              <w:t>0.52</w:t>
            </w:r>
          </w:p>
        </w:tc>
      </w:tr>
    </w:tbl>
    <w:p w14:paraId="57715F7F" w14:textId="77777777" w:rsidR="00077113" w:rsidRDefault="00000000">
      <w:pPr>
        <w:pStyle w:val="Heading2"/>
        <w:spacing w:before="240" w:after="120"/>
      </w:pPr>
      <w:r>
        <w:rPr>
          <w:b/>
          <w:bCs/>
          <w:color w:val="1F3864"/>
          <w:sz w:val="24"/>
          <w:szCs w:val="24"/>
        </w:rPr>
        <w:t>Key changes and explanations</w:t>
      </w:r>
    </w:p>
    <w:p w14:paraId="33697576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2020–2021 – defensive cash build: </w:t>
      </w:r>
      <w:r>
        <w:rPr>
          <w:sz w:val="22"/>
          <w:szCs w:val="22"/>
        </w:rPr>
        <w:t xml:space="preserve">Liquidity was strongest here, as IHG deliberately built a large cash buffer for resilience; cash rose to $1,675m in 2020, and net cash and cash equivalents (net of overdrafts and restricted cash) reached $1,575m versus just $86m in 2019. </w:t>
      </w:r>
      <w:r>
        <w:rPr>
          <w:i/>
          <w:iCs/>
          <w:color w:val="595959"/>
        </w:rPr>
        <w:t>(Source: 2020 Annual Report)</w:t>
      </w:r>
    </w:p>
    <w:p w14:paraId="6FCC000A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2022–2024 – ratios fall below 1.0x: </w:t>
      </w:r>
      <w:r>
        <w:rPr>
          <w:sz w:val="22"/>
          <w:szCs w:val="22"/>
        </w:rPr>
        <w:t xml:space="preserve">Current and cash ratios steadily declined, not from operating weakness but because cash was redeployed into large share buybacks ($482m in 2022, $790m in 2023, $804m in 2024) rather than retained. Cash fell from $1,675m (2020) to $1,008m (2024) even as revenue grew, reflecting IHG's asset-light model, which is backed by undrawn facilities rather than a large cash balance — total liquidity of $2,319m at end-2024 comprised $1,350m of undrawn bank facilities plus $969m of net cash. </w:t>
      </w:r>
      <w:r>
        <w:rPr>
          <w:i/>
          <w:iCs/>
          <w:color w:val="595959"/>
        </w:rPr>
        <w:t>(Source: 2022, 2023 and 2024 Annual Reports)</w:t>
      </w:r>
    </w:p>
    <w:p w14:paraId="002A671D" w14:textId="77777777" w:rsidR="00077113" w:rsidRDefault="00000000">
      <w:pPr>
        <w:pStyle w:val="Heading1"/>
        <w:spacing w:before="320" w:after="160"/>
      </w:pPr>
      <w:r>
        <w:rPr>
          <w:b/>
          <w:bCs/>
          <w:color w:val="1F3864"/>
          <w:sz w:val="28"/>
          <w:szCs w:val="28"/>
        </w:rPr>
        <w:t>3. Efficiency Ratios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1240"/>
        <w:gridCol w:w="1240"/>
        <w:gridCol w:w="1240"/>
        <w:gridCol w:w="1240"/>
        <w:gridCol w:w="1240"/>
      </w:tblGrid>
      <w:tr w:rsidR="00077113" w14:paraId="5D611256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40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5C2712A" w14:textId="77777777" w:rsidR="00077113" w:rsidRDefault="00000000"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F7C49DA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E2A0025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C545E03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BA7795F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2E81B03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077113" w14:paraId="0E504B25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0095BAF" w14:textId="77777777" w:rsidR="00077113" w:rsidRDefault="00000000">
            <w:r>
              <w:rPr>
                <w:color w:val="000000"/>
              </w:rPr>
              <w:t>Asset turnover (Revenue / Assets)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20F3EBD" w14:textId="77777777" w:rsidR="00077113" w:rsidRDefault="00000000">
            <w:pPr>
              <w:jc w:val="center"/>
            </w:pPr>
            <w:r>
              <w:rPr>
                <w:color w:val="000000"/>
              </w:rPr>
              <w:t>0.48x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DE69D5F" w14:textId="77777777" w:rsidR="00077113" w:rsidRDefault="00000000">
            <w:pPr>
              <w:jc w:val="center"/>
            </w:pPr>
            <w:r>
              <w:rPr>
                <w:color w:val="000000"/>
              </w:rPr>
              <w:t>0.62x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3300EA4" w14:textId="77777777" w:rsidR="00077113" w:rsidRDefault="00000000">
            <w:pPr>
              <w:jc w:val="center"/>
            </w:pPr>
            <w:r>
              <w:rPr>
                <w:color w:val="000000"/>
              </w:rPr>
              <w:t>0.92x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5AE8E35" w14:textId="77777777" w:rsidR="00077113" w:rsidRDefault="00000000">
            <w:pPr>
              <w:jc w:val="center"/>
            </w:pPr>
            <w:r>
              <w:rPr>
                <w:color w:val="000000"/>
              </w:rPr>
              <w:t>0.96x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4925EEB" w14:textId="77777777" w:rsidR="00077113" w:rsidRDefault="00000000">
            <w:pPr>
              <w:jc w:val="center"/>
            </w:pPr>
            <w:r>
              <w:rPr>
                <w:color w:val="000000"/>
              </w:rPr>
              <w:t>1.04x</w:t>
            </w:r>
          </w:p>
        </w:tc>
      </w:tr>
      <w:tr w:rsidR="00077113" w14:paraId="06D80C76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95F81E4" w14:textId="77777777" w:rsidR="00077113" w:rsidRDefault="00000000">
            <w:r>
              <w:rPr>
                <w:color w:val="000000"/>
              </w:rPr>
              <w:t>Receivables turnover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006CB31" w14:textId="77777777" w:rsidR="00077113" w:rsidRDefault="00000000">
            <w:pPr>
              <w:jc w:val="center"/>
            </w:pPr>
            <w:r>
              <w:rPr>
                <w:color w:val="000000"/>
              </w:rPr>
              <w:t>4.66x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FADD597" w14:textId="77777777" w:rsidR="00077113" w:rsidRDefault="00000000">
            <w:pPr>
              <w:jc w:val="center"/>
            </w:pPr>
            <w:r>
              <w:rPr>
                <w:color w:val="000000"/>
              </w:rPr>
              <w:t>5.06x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AE7E3F1" w14:textId="77777777" w:rsidR="00077113" w:rsidRDefault="00000000">
            <w:pPr>
              <w:jc w:val="center"/>
            </w:pPr>
            <w:r>
              <w:rPr>
                <w:color w:val="000000"/>
              </w:rPr>
              <w:t>6.02x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D203F1B" w14:textId="77777777" w:rsidR="00077113" w:rsidRDefault="00000000">
            <w:pPr>
              <w:jc w:val="center"/>
            </w:pPr>
            <w:r>
              <w:rPr>
                <w:color w:val="000000"/>
              </w:rPr>
              <w:t>6.25x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921F59A" w14:textId="77777777" w:rsidR="00077113" w:rsidRDefault="00000000">
            <w:pPr>
              <w:jc w:val="center"/>
            </w:pPr>
            <w:r>
              <w:rPr>
                <w:color w:val="000000"/>
              </w:rPr>
              <w:t>6.27x</w:t>
            </w:r>
          </w:p>
        </w:tc>
      </w:tr>
      <w:tr w:rsidR="00077113" w14:paraId="3FD0F487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962B37B" w14:textId="77777777" w:rsidR="00077113" w:rsidRDefault="00000000">
            <w:r>
              <w:rPr>
                <w:color w:val="000000"/>
              </w:rPr>
              <w:t>Days Sales Outstanding (DSO)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A8C3A64" w14:textId="77777777" w:rsidR="00077113" w:rsidRDefault="00000000">
            <w:pPr>
              <w:jc w:val="center"/>
            </w:pPr>
            <w:r>
              <w:rPr>
                <w:color w:val="000000"/>
              </w:rPr>
              <w:t>78 days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0A8FDD3" w14:textId="77777777" w:rsidR="00077113" w:rsidRDefault="00000000">
            <w:pPr>
              <w:jc w:val="center"/>
            </w:pPr>
            <w:r>
              <w:rPr>
                <w:color w:val="000000"/>
              </w:rPr>
              <w:t>72 days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E1E45EA" w14:textId="77777777" w:rsidR="00077113" w:rsidRDefault="00000000">
            <w:pPr>
              <w:jc w:val="center"/>
            </w:pPr>
            <w:r>
              <w:rPr>
                <w:color w:val="000000"/>
              </w:rPr>
              <w:t>61 days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A6D200A" w14:textId="77777777" w:rsidR="00077113" w:rsidRDefault="00000000">
            <w:pPr>
              <w:jc w:val="center"/>
            </w:pPr>
            <w:r>
              <w:rPr>
                <w:color w:val="000000"/>
              </w:rPr>
              <w:t>58 days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772F294" w14:textId="77777777" w:rsidR="00077113" w:rsidRDefault="00000000">
            <w:pPr>
              <w:jc w:val="center"/>
            </w:pPr>
            <w:r>
              <w:rPr>
                <w:color w:val="000000"/>
              </w:rPr>
              <w:t>58 days</w:t>
            </w:r>
          </w:p>
        </w:tc>
      </w:tr>
    </w:tbl>
    <w:p w14:paraId="4E41B3F0" w14:textId="77777777" w:rsidR="00077113" w:rsidRDefault="00000000">
      <w:pPr>
        <w:pStyle w:val="Heading2"/>
        <w:spacing w:before="240" w:after="120"/>
      </w:pPr>
      <w:r>
        <w:rPr>
          <w:b/>
          <w:bCs/>
          <w:color w:val="1F3864"/>
          <w:sz w:val="24"/>
          <w:szCs w:val="24"/>
        </w:rPr>
        <w:t>Key changes and explanations</w:t>
      </w:r>
    </w:p>
    <w:p w14:paraId="49A0D04F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Consistent improvement across all five years: </w:t>
      </w:r>
      <w:r>
        <w:rPr>
          <w:sz w:val="22"/>
          <w:szCs w:val="22"/>
        </w:rPr>
        <w:t xml:space="preserve">Asset turnover more than doubled (0.48x → 1.04x) and DSO shortened from 78 to 58 days. This reflects the demand recovery post-Covid — more revenue generated from a similar or smaller asset base, consistent with IHG's fee-based franchise model rather than direct hotel ownership — combined with tighter working-capital and collections discipline as trading normalized. </w:t>
      </w:r>
      <w:r>
        <w:rPr>
          <w:i/>
          <w:iCs/>
          <w:color w:val="595959"/>
        </w:rPr>
        <w:t>(Source: 2020–2024 Annual Reports)</w:t>
      </w:r>
    </w:p>
    <w:p w14:paraId="39644389" w14:textId="77777777" w:rsidR="00077113" w:rsidRDefault="00000000">
      <w:pPr>
        <w:pStyle w:val="Heading1"/>
        <w:spacing w:before="320" w:after="160"/>
      </w:pPr>
      <w:r>
        <w:rPr>
          <w:b/>
          <w:bCs/>
          <w:color w:val="1F3864"/>
          <w:sz w:val="28"/>
          <w:szCs w:val="28"/>
        </w:rPr>
        <w:t>4. Leverage Ratios</w:t>
      </w:r>
    </w:p>
    <w:tbl>
      <w:tblPr>
        <w:tblW w:w="96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1240"/>
        <w:gridCol w:w="1240"/>
        <w:gridCol w:w="1240"/>
        <w:gridCol w:w="1240"/>
        <w:gridCol w:w="1240"/>
      </w:tblGrid>
      <w:tr w:rsidR="00077113" w14:paraId="06CD7D8B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340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67FBAA1" w14:textId="77777777" w:rsidR="00077113" w:rsidRDefault="00000000">
            <w:r>
              <w:rPr>
                <w:b/>
                <w:bCs/>
                <w:color w:val="FFFFFF"/>
              </w:rPr>
              <w:t>Ratio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D27A6D9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2020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538D667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2021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0862C20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2022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6578118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2023</w:t>
            </w:r>
          </w:p>
        </w:tc>
        <w:tc>
          <w:tcPr>
            <w:tcW w:w="1240" w:type="dxa"/>
            <w:shd w:val="clear" w:color="auto" w:fill="1F3864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6005BC5" w14:textId="77777777" w:rsidR="00077113" w:rsidRDefault="00000000">
            <w:pPr>
              <w:jc w:val="center"/>
            </w:pPr>
            <w:r>
              <w:rPr>
                <w:b/>
                <w:bCs/>
                <w:color w:val="FFFFFF"/>
              </w:rPr>
              <w:t>2024</w:t>
            </w:r>
          </w:p>
        </w:tc>
      </w:tr>
      <w:tr w:rsidR="00077113" w14:paraId="5F4F868F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4560368" w14:textId="77777777" w:rsidR="00077113" w:rsidRDefault="00000000">
            <w:r>
              <w:rPr>
                <w:color w:val="000000"/>
              </w:rPr>
              <w:t>Debt / Total assets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2CD7251" w14:textId="77777777" w:rsidR="00077113" w:rsidRDefault="00000000">
            <w:pPr>
              <w:jc w:val="center"/>
            </w:pPr>
            <w:r>
              <w:rPr>
                <w:color w:val="000000"/>
              </w:rPr>
              <w:t>74.8%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EA7567B" w14:textId="77777777" w:rsidR="00077113" w:rsidRDefault="00000000">
            <w:pPr>
              <w:jc w:val="center"/>
            </w:pPr>
            <w:r>
              <w:rPr>
                <w:color w:val="000000"/>
              </w:rPr>
              <w:t>60.3%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4AD8A58" w14:textId="77777777" w:rsidR="00077113" w:rsidRDefault="00000000">
            <w:pPr>
              <w:jc w:val="center"/>
            </w:pPr>
            <w:r>
              <w:rPr>
                <w:color w:val="000000"/>
              </w:rPr>
              <w:t>56.8%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0A12DC2" w14:textId="77777777" w:rsidR="00077113" w:rsidRDefault="00000000">
            <w:pPr>
              <w:jc w:val="center"/>
            </w:pPr>
            <w:r>
              <w:rPr>
                <w:color w:val="000000"/>
              </w:rPr>
              <w:t>65.8%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2653282" w14:textId="77777777" w:rsidR="00077113" w:rsidRDefault="00000000">
            <w:pPr>
              <w:jc w:val="center"/>
            </w:pPr>
            <w:r>
              <w:rPr>
                <w:color w:val="000000"/>
              </w:rPr>
              <w:t>69.0%</w:t>
            </w:r>
          </w:p>
        </w:tc>
      </w:tr>
      <w:tr w:rsidR="00077113" w14:paraId="474B652F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8E9F3EB" w14:textId="77777777" w:rsidR="00077113" w:rsidRDefault="00000000">
            <w:r>
              <w:rPr>
                <w:color w:val="000000"/>
              </w:rPr>
              <w:t>Total liabilities / Total assets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23F3B4A" w14:textId="77777777" w:rsidR="00077113" w:rsidRDefault="00000000">
            <w:pPr>
              <w:jc w:val="center"/>
            </w:pPr>
            <w:r>
              <w:rPr>
                <w:color w:val="000000"/>
              </w:rPr>
              <w:t>136.7%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1ED25336" w14:textId="77777777" w:rsidR="00077113" w:rsidRDefault="00000000">
            <w:pPr>
              <w:jc w:val="center"/>
            </w:pPr>
            <w:r>
              <w:rPr>
                <w:color w:val="000000"/>
              </w:rPr>
              <w:t>131.3%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5CF037B" w14:textId="77777777" w:rsidR="00077113" w:rsidRDefault="00000000">
            <w:pPr>
              <w:jc w:val="center"/>
            </w:pPr>
            <w:r>
              <w:rPr>
                <w:color w:val="000000"/>
              </w:rPr>
              <w:t>138.1%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71C53662" w14:textId="77777777" w:rsidR="00077113" w:rsidRDefault="00000000">
            <w:pPr>
              <w:jc w:val="center"/>
            </w:pPr>
            <w:r>
              <w:rPr>
                <w:color w:val="000000"/>
              </w:rPr>
              <w:t>140.4%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5C4505A" w14:textId="77777777" w:rsidR="00077113" w:rsidRDefault="00000000">
            <w:pPr>
              <w:jc w:val="center"/>
            </w:pPr>
            <w:r>
              <w:rPr>
                <w:color w:val="000000"/>
              </w:rPr>
              <w:t>148.6%</w:t>
            </w:r>
          </w:p>
        </w:tc>
      </w:tr>
      <w:tr w:rsidR="00077113" w14:paraId="6629B507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275A9C5" w14:textId="77777777" w:rsidR="00077113" w:rsidRDefault="00000000">
            <w:r>
              <w:rPr>
                <w:color w:val="000000"/>
              </w:rPr>
              <w:t>Net debt / Adjusted EBITDA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6FEC168" w14:textId="77777777" w:rsidR="00077113" w:rsidRDefault="00000000">
            <w:pPr>
              <w:jc w:val="center"/>
            </w:pPr>
            <w:r>
              <w:rPr>
                <w:color w:val="000000"/>
              </w:rPr>
              <w:t>7.69x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64EA0A0" w14:textId="77777777" w:rsidR="00077113" w:rsidRDefault="00000000">
            <w:pPr>
              <w:jc w:val="center"/>
            </w:pPr>
            <w:r>
              <w:rPr>
                <w:color w:val="000000"/>
              </w:rPr>
              <w:t>2.98x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174FEE8" w14:textId="77777777" w:rsidR="00077113" w:rsidRDefault="00000000">
            <w:pPr>
              <w:jc w:val="center"/>
            </w:pPr>
            <w:r>
              <w:rPr>
                <w:color w:val="000000"/>
              </w:rPr>
              <w:t>2.07x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063C986" w14:textId="77777777" w:rsidR="00077113" w:rsidRDefault="00000000">
            <w:pPr>
              <w:jc w:val="center"/>
            </w:pPr>
            <w:r>
              <w:rPr>
                <w:color w:val="000000"/>
              </w:rPr>
              <w:t>2.09x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2F36D8D8" w14:textId="77777777" w:rsidR="00077113" w:rsidRDefault="00000000">
            <w:pPr>
              <w:jc w:val="center"/>
            </w:pPr>
            <w:r>
              <w:rPr>
                <w:color w:val="000000"/>
              </w:rPr>
              <w:t>2.34x</w:t>
            </w:r>
          </w:p>
        </w:tc>
      </w:tr>
      <w:tr w:rsidR="00077113" w14:paraId="601F930A" w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6912B039" w14:textId="77777777" w:rsidR="00077113" w:rsidRDefault="00000000">
            <w:r>
              <w:rPr>
                <w:color w:val="000000"/>
              </w:rPr>
              <w:lastRenderedPageBreak/>
              <w:t>Interest coverage (Op. profit / Fin. expense)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CFF5D04" w14:textId="77777777" w:rsidR="00077113" w:rsidRDefault="00000000">
            <w:pPr>
              <w:jc w:val="center"/>
            </w:pPr>
            <w:r>
              <w:rPr>
                <w:color w:val="000000"/>
              </w:rPr>
              <w:t>-1.06x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3BA021EB" w14:textId="77777777" w:rsidR="00077113" w:rsidRDefault="00000000">
            <w:pPr>
              <w:jc w:val="center"/>
            </w:pPr>
            <w:r>
              <w:rPr>
                <w:color w:val="000000"/>
              </w:rPr>
              <w:t>3.36x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09420872" w14:textId="77777777" w:rsidR="00077113" w:rsidRDefault="00000000">
            <w:pPr>
              <w:jc w:val="center"/>
            </w:pPr>
            <w:r>
              <w:rPr>
                <w:color w:val="000000"/>
              </w:rPr>
              <w:t>5.32x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454AA93F" w14:textId="77777777" w:rsidR="00077113" w:rsidRDefault="00000000">
            <w:pPr>
              <w:jc w:val="center"/>
            </w:pPr>
            <w:r>
              <w:rPr>
                <w:color w:val="000000"/>
              </w:rPr>
              <w:t>11.71x</w:t>
            </w:r>
          </w:p>
        </w:tc>
        <w:tc>
          <w:tcPr>
            <w:tcW w:w="12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  <w:vAlign w:val="center"/>
          </w:tcPr>
          <w:p w14:paraId="5C4BB9B1" w14:textId="77777777" w:rsidR="00077113" w:rsidRDefault="00000000">
            <w:pPr>
              <w:jc w:val="center"/>
            </w:pPr>
            <w:r>
              <w:rPr>
                <w:color w:val="000000"/>
              </w:rPr>
              <w:t>5.13x</w:t>
            </w:r>
          </w:p>
        </w:tc>
      </w:tr>
    </w:tbl>
    <w:p w14:paraId="3658DB5F" w14:textId="77777777" w:rsidR="00077113" w:rsidRDefault="00000000">
      <w:pPr>
        <w:pStyle w:val="Heading2"/>
        <w:spacing w:before="240" w:after="120"/>
      </w:pPr>
      <w:r>
        <w:rPr>
          <w:b/>
          <w:bCs/>
          <w:color w:val="1F3864"/>
          <w:sz w:val="24"/>
          <w:szCs w:val="24"/>
        </w:rPr>
        <w:t>Key changes and explanations</w:t>
      </w:r>
    </w:p>
    <w:p w14:paraId="09E4A534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2020 – leverage spike: </w:t>
      </w:r>
      <w:r>
        <w:rPr>
          <w:sz w:val="22"/>
          <w:szCs w:val="22"/>
        </w:rPr>
        <w:t xml:space="preserve">IHG drew down credit facilities defensively during the pandemic (total loans and borrowings rose to $3,767m) against a collapsed EBITDA base, pushing Net debt/Adjusted EBITDA to an extreme 7.69x. </w:t>
      </w:r>
      <w:r>
        <w:rPr>
          <w:i/>
          <w:iCs/>
          <w:color w:val="595959"/>
        </w:rPr>
        <w:t>(Source: 2020 and 2021 Annual Reports)</w:t>
      </w:r>
    </w:p>
    <w:p w14:paraId="23A27FA1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2021–2022 – rapid deleveraging: </w:t>
      </w:r>
      <w:r>
        <w:rPr>
          <w:sz w:val="22"/>
          <w:szCs w:val="22"/>
        </w:rPr>
        <w:t xml:space="preserve">As EBITDA recovered, net debt fell from $2,529m to $1,851m, taking Net debt/Adjusted EBITDA down to roughly 2.1x, while interest coverage climbed to 5.32x. </w:t>
      </w:r>
      <w:r>
        <w:rPr>
          <w:i/>
          <w:iCs/>
          <w:color w:val="595959"/>
        </w:rPr>
        <w:t>(Source: 2021 and 2022 Annual Reports)</w:t>
      </w:r>
    </w:p>
    <w:p w14:paraId="2C06FEC2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2023 – interest coverage peaks: </w:t>
      </w:r>
      <w:r>
        <w:rPr>
          <w:sz w:val="22"/>
          <w:szCs w:val="22"/>
        </w:rPr>
        <w:t xml:space="preserve">Interest coverage reached 11.71x on record operating profit and still-low interest expense, even as net debt began rising again (to $2,272m) to help fund buybacks. </w:t>
      </w:r>
      <w:r>
        <w:rPr>
          <w:i/>
          <w:iCs/>
          <w:color w:val="595959"/>
        </w:rPr>
        <w:t>(Source: 2023 Annual Report)</w:t>
      </w:r>
    </w:p>
    <w:p w14:paraId="236825F4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2024 – leverage and coverage both weaken: </w:t>
      </w:r>
      <w:r>
        <w:rPr>
          <w:sz w:val="22"/>
          <w:szCs w:val="22"/>
        </w:rPr>
        <w:t xml:space="preserve">Net debt rose to $2,782m (an increase of $510m) and interest coverage fell to 5.13x. This was explicitly driven by $1,063m of payments related to ordinary dividends and the share buyback </w:t>
      </w:r>
      <w:proofErr w:type="spellStart"/>
      <w:r>
        <w:rPr>
          <w:sz w:val="22"/>
          <w:szCs w:val="22"/>
        </w:rPr>
        <w:t>programme</w:t>
      </w:r>
      <w:proofErr w:type="spellEnd"/>
      <w:r>
        <w:rPr>
          <w:sz w:val="22"/>
          <w:szCs w:val="22"/>
        </w:rPr>
        <w:t xml:space="preserve"> during the year, alongside higher net financial expenses ($140m vs $52m in 2023). </w:t>
      </w:r>
      <w:r>
        <w:rPr>
          <w:i/>
          <w:iCs/>
          <w:color w:val="595959"/>
        </w:rPr>
        <w:t>(Source: 2024 Annual Report)</w:t>
      </w:r>
    </w:p>
    <w:p w14:paraId="6D84D46F" w14:textId="77777777" w:rsidR="00077113" w:rsidRDefault="00000000">
      <w:pPr>
        <w:pStyle w:val="ListParagraph"/>
        <w:numPr>
          <w:ilvl w:val="0"/>
          <w:numId w:val="1"/>
        </w:numPr>
        <w:spacing w:after="120" w:line="276" w:lineRule="auto"/>
      </w:pPr>
      <w:r>
        <w:rPr>
          <w:b/>
          <w:bCs/>
          <w:sz w:val="22"/>
          <w:szCs w:val="22"/>
        </w:rPr>
        <w:t xml:space="preserve">Structural observation: </w:t>
      </w:r>
      <w:r>
        <w:rPr>
          <w:sz w:val="22"/>
          <w:szCs w:val="22"/>
        </w:rPr>
        <w:t xml:space="preserve">Total liabilities have exceeded total assets in every year (136%–149% of assets), and this gap has widened since 2021 — the clearest sign that IHG runs a deliberately highly-levered capital structure, funded by stable, contracted franchise-fee cash flows rather than by equity capital. </w:t>
      </w:r>
      <w:r>
        <w:rPr>
          <w:i/>
          <w:iCs/>
          <w:color w:val="595959"/>
        </w:rPr>
        <w:t>(Source: 2020–2024 Annual Reports)</w:t>
      </w:r>
    </w:p>
    <w:p w14:paraId="1BD69B84" w14:textId="77777777" w:rsidR="00077113" w:rsidRDefault="00000000">
      <w:pPr>
        <w:pStyle w:val="Heading1"/>
        <w:spacing w:before="320" w:after="160"/>
      </w:pPr>
      <w:r>
        <w:rPr>
          <w:b/>
          <w:bCs/>
          <w:color w:val="1F3864"/>
          <w:sz w:val="28"/>
          <w:szCs w:val="28"/>
        </w:rPr>
        <w:t>Bottom Line</w:t>
      </w:r>
    </w:p>
    <w:p w14:paraId="1318CDBB" w14:textId="77777777" w:rsidR="00077113" w:rsidRDefault="00000000">
      <w:pPr>
        <w:spacing w:after="160" w:line="276" w:lineRule="auto"/>
      </w:pPr>
      <w:r>
        <w:rPr>
          <w:sz w:val="22"/>
          <w:szCs w:val="22"/>
        </w:rPr>
        <w:t>IHG's five-year arc is a pandemic-driven trough in 2020 (losses, peak leverage, but a defensively thick cash cushion), followed by a strong 2021–2023 recovery with expanding margins, improving efficiency and falling leverage. In 2024, profitability and efficiency continued to improve at the operating level, but liquidity and leverage both weakened — driven not by any deterioration in the underlying hotel business, but by management's choice to return over $800m to shareholders via share buybacks and dividends rather than retain cash or reduce debt.</w:t>
      </w:r>
    </w:p>
    <w:sectPr w:rsidR="00077113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12634"/>
    <w:multiLevelType w:val="hybridMultilevel"/>
    <w:tmpl w:val="300A695A"/>
    <w:lvl w:ilvl="0" w:tplc="1CE85B9A">
      <w:start w:val="1"/>
      <w:numFmt w:val="bullet"/>
      <w:lvlText w:val="●"/>
      <w:lvlJc w:val="left"/>
      <w:pPr>
        <w:ind w:left="720" w:hanging="360"/>
      </w:pPr>
    </w:lvl>
    <w:lvl w:ilvl="1" w:tplc="8040A3B6">
      <w:start w:val="1"/>
      <w:numFmt w:val="bullet"/>
      <w:lvlText w:val="○"/>
      <w:lvlJc w:val="left"/>
      <w:pPr>
        <w:ind w:left="1440" w:hanging="360"/>
      </w:pPr>
    </w:lvl>
    <w:lvl w:ilvl="2" w:tplc="2FEE090E">
      <w:start w:val="1"/>
      <w:numFmt w:val="bullet"/>
      <w:lvlText w:val="■"/>
      <w:lvlJc w:val="left"/>
      <w:pPr>
        <w:ind w:left="2160" w:hanging="360"/>
      </w:pPr>
    </w:lvl>
    <w:lvl w:ilvl="3" w:tplc="D2CA2E50">
      <w:start w:val="1"/>
      <w:numFmt w:val="bullet"/>
      <w:lvlText w:val="●"/>
      <w:lvlJc w:val="left"/>
      <w:pPr>
        <w:ind w:left="2880" w:hanging="360"/>
      </w:pPr>
    </w:lvl>
    <w:lvl w:ilvl="4" w:tplc="0456C4AE">
      <w:start w:val="1"/>
      <w:numFmt w:val="bullet"/>
      <w:lvlText w:val="○"/>
      <w:lvlJc w:val="left"/>
      <w:pPr>
        <w:ind w:left="3600" w:hanging="360"/>
      </w:pPr>
    </w:lvl>
    <w:lvl w:ilvl="5" w:tplc="F88821E6">
      <w:start w:val="1"/>
      <w:numFmt w:val="bullet"/>
      <w:lvlText w:val="■"/>
      <w:lvlJc w:val="left"/>
      <w:pPr>
        <w:ind w:left="4320" w:hanging="360"/>
      </w:pPr>
    </w:lvl>
    <w:lvl w:ilvl="6" w:tplc="E2C08EE4">
      <w:start w:val="1"/>
      <w:numFmt w:val="bullet"/>
      <w:lvlText w:val="●"/>
      <w:lvlJc w:val="left"/>
      <w:pPr>
        <w:ind w:left="5040" w:hanging="360"/>
      </w:pPr>
    </w:lvl>
    <w:lvl w:ilvl="7" w:tplc="4328AC70">
      <w:start w:val="1"/>
      <w:numFmt w:val="bullet"/>
      <w:lvlText w:val="●"/>
      <w:lvlJc w:val="left"/>
      <w:pPr>
        <w:ind w:left="5760" w:hanging="360"/>
      </w:pPr>
    </w:lvl>
    <w:lvl w:ilvl="8" w:tplc="BB1EE428">
      <w:start w:val="1"/>
      <w:numFmt w:val="bullet"/>
      <w:lvlText w:val="●"/>
      <w:lvlJc w:val="left"/>
      <w:pPr>
        <w:ind w:left="6480" w:hanging="360"/>
      </w:pPr>
    </w:lvl>
  </w:abstractNum>
  <w:num w:numId="1" w16cid:durableId="1120762048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7113"/>
    <w:rsid w:val="00077113"/>
    <w:rsid w:val="007A13EE"/>
    <w:rsid w:val="00B273A5"/>
    <w:rsid w:val="00F178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8D8BD"/>
  <w15:docId w15:val="{989FF455-8FF2-4FB5-9693-0BF0ECA8A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941</Words>
  <Characters>5365</Characters>
  <Application>Microsoft Office Word</Application>
  <DocSecurity>0</DocSecurity>
  <Lines>44</Lines>
  <Paragraphs>12</Paragraphs>
  <ScaleCrop>false</ScaleCrop>
  <Company/>
  <LinksUpToDate>false</LinksUpToDate>
  <CharactersWithSpaces>6294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Lenovo</cp:lastModifiedBy>
  <cp:revision>2</cp:revision>
  <dcterms:created xsi:type="dcterms:W3CDTF">2026-07-15T23:00:00Z</dcterms:created>
  <dcterms:modified xsi:type="dcterms:W3CDTF">2026-07-15T23:00:00Z</dcterms:modified>
</cp:coreProperties>
</file>