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77A8145" w14:textId="4E8EE7FF" w:rsidR="00BF5425" w:rsidRPr="007A5911" w:rsidRDefault="00427C4E" w:rsidP="004372AA">
      <w:pPr>
        <w:spacing w:line="360" w:lineRule="auto"/>
        <w:jc w:val="both"/>
        <w:rPr>
          <w:rFonts w:ascii="Arial" w:hAnsi="Arial" w:cs="Arial"/>
          <w:b/>
          <w:bCs/>
          <w:sz w:val="24"/>
          <w:szCs w:val="24"/>
          <w:u w:val="single"/>
        </w:rPr>
      </w:pPr>
      <w:r w:rsidRPr="007A5911">
        <w:rPr>
          <w:rFonts w:ascii="Arial" w:hAnsi="Arial" w:cs="Arial"/>
          <w:b/>
          <w:bCs/>
          <w:sz w:val="24"/>
          <w:szCs w:val="24"/>
          <w:u w:val="single"/>
        </w:rPr>
        <w:t xml:space="preserve">Part A: </w:t>
      </w:r>
      <w:r w:rsidR="007A5911" w:rsidRPr="007A5911">
        <w:rPr>
          <w:rFonts w:ascii="Arial" w:hAnsi="Arial" w:cs="Arial"/>
          <w:b/>
          <w:bCs/>
          <w:sz w:val="24"/>
          <w:szCs w:val="24"/>
          <w:u w:val="single"/>
        </w:rPr>
        <w:t>The Multi Store Model and The Working Memory</w:t>
      </w:r>
    </w:p>
    <w:p w14:paraId="44D60DA5" w14:textId="2BB8FE45" w:rsidR="004B496F" w:rsidRPr="007A5911" w:rsidRDefault="001E0EDE" w:rsidP="00AE5806">
      <w:pPr>
        <w:spacing w:line="360" w:lineRule="auto"/>
        <w:ind w:firstLine="720"/>
        <w:jc w:val="both"/>
        <w:rPr>
          <w:rFonts w:ascii="Arial" w:hAnsi="Arial" w:cs="Arial"/>
          <w:sz w:val="24"/>
          <w:szCs w:val="24"/>
        </w:rPr>
      </w:pPr>
      <w:r w:rsidRPr="007A5911">
        <w:rPr>
          <w:rFonts w:ascii="Arial" w:hAnsi="Arial" w:cs="Arial"/>
          <w:sz w:val="24"/>
          <w:szCs w:val="24"/>
        </w:rPr>
        <w:t xml:space="preserve">Rose </w:t>
      </w:r>
      <w:r w:rsidR="00427C4E" w:rsidRPr="007A5911">
        <w:rPr>
          <w:rFonts w:ascii="Arial" w:hAnsi="Arial" w:cs="Arial"/>
          <w:sz w:val="24"/>
          <w:szCs w:val="24"/>
        </w:rPr>
        <w:t>(</w:t>
      </w:r>
      <w:r w:rsidRPr="007A5911">
        <w:rPr>
          <w:rFonts w:ascii="Arial" w:hAnsi="Arial" w:cs="Arial"/>
          <w:sz w:val="24"/>
          <w:szCs w:val="24"/>
        </w:rPr>
        <w:t>2003)</w:t>
      </w:r>
      <w:r w:rsidR="00427C4E" w:rsidRPr="007A5911">
        <w:rPr>
          <w:rFonts w:ascii="Arial" w:hAnsi="Arial" w:cs="Arial"/>
          <w:sz w:val="24"/>
          <w:szCs w:val="24"/>
        </w:rPr>
        <w:t xml:space="preserve"> states,</w:t>
      </w:r>
      <w:r w:rsidRPr="007A5911">
        <w:rPr>
          <w:rFonts w:ascii="Arial" w:hAnsi="Arial" w:cs="Arial"/>
          <w:sz w:val="24"/>
          <w:szCs w:val="24"/>
        </w:rPr>
        <w:t xml:space="preserve"> </w:t>
      </w:r>
      <w:r w:rsidR="00427C4E" w:rsidRPr="007A5911">
        <w:rPr>
          <w:rFonts w:ascii="Arial" w:hAnsi="Arial" w:cs="Arial"/>
          <w:sz w:val="24"/>
          <w:szCs w:val="24"/>
        </w:rPr>
        <w:t>‘</w:t>
      </w:r>
      <w:r w:rsidRPr="007A5911">
        <w:rPr>
          <w:rFonts w:ascii="Arial" w:hAnsi="Arial" w:cs="Arial"/>
          <w:sz w:val="24"/>
          <w:szCs w:val="24"/>
        </w:rPr>
        <w:t xml:space="preserve">Memory defines who </w:t>
      </w:r>
      <w:r w:rsidR="007501B3" w:rsidRPr="007A5911">
        <w:rPr>
          <w:rFonts w:ascii="Arial" w:hAnsi="Arial" w:cs="Arial"/>
          <w:sz w:val="24"/>
          <w:szCs w:val="24"/>
        </w:rPr>
        <w:t>we</w:t>
      </w:r>
      <w:r w:rsidRPr="007A5911">
        <w:rPr>
          <w:rFonts w:ascii="Arial" w:hAnsi="Arial" w:cs="Arial"/>
          <w:sz w:val="24"/>
          <w:szCs w:val="24"/>
        </w:rPr>
        <w:t xml:space="preserve"> are and shapes the way we act more closely than any other single aspect of our personhood</w:t>
      </w:r>
      <w:r w:rsidR="007501B3" w:rsidRPr="007A5911">
        <w:rPr>
          <w:rFonts w:ascii="Arial" w:hAnsi="Arial" w:cs="Arial"/>
          <w:sz w:val="24"/>
          <w:szCs w:val="24"/>
        </w:rPr>
        <w:t>…. Lose</w:t>
      </w:r>
      <w:r w:rsidR="00646DDC" w:rsidRPr="007A5911">
        <w:rPr>
          <w:rFonts w:ascii="Arial" w:hAnsi="Arial" w:cs="Arial"/>
          <w:sz w:val="24"/>
          <w:szCs w:val="24"/>
        </w:rPr>
        <w:t xml:space="preserve"> your memory and you, as you, cease to exist…</w:t>
      </w:r>
      <w:r w:rsidR="00427C4E" w:rsidRPr="007A5911">
        <w:rPr>
          <w:rFonts w:ascii="Arial" w:hAnsi="Arial" w:cs="Arial"/>
          <w:sz w:val="24"/>
          <w:szCs w:val="24"/>
        </w:rPr>
        <w:t>’</w:t>
      </w:r>
      <w:r w:rsidR="00646DDC" w:rsidRPr="007A5911">
        <w:rPr>
          <w:rFonts w:ascii="Arial" w:hAnsi="Arial" w:cs="Arial"/>
          <w:sz w:val="24"/>
          <w:szCs w:val="24"/>
        </w:rPr>
        <w:t xml:space="preserve"> This essay will </w:t>
      </w:r>
      <w:r w:rsidR="00427C4E" w:rsidRPr="007A5911">
        <w:rPr>
          <w:rFonts w:ascii="Arial" w:hAnsi="Arial" w:cs="Arial"/>
          <w:sz w:val="24"/>
          <w:szCs w:val="24"/>
        </w:rPr>
        <w:t xml:space="preserve">focus on </w:t>
      </w:r>
      <w:r w:rsidR="00646DDC" w:rsidRPr="007A5911">
        <w:rPr>
          <w:rFonts w:ascii="Arial" w:hAnsi="Arial" w:cs="Arial"/>
          <w:sz w:val="24"/>
          <w:szCs w:val="24"/>
        </w:rPr>
        <w:t>two theories of memory, the multi store model and the working memory model</w:t>
      </w:r>
      <w:r w:rsidR="003E50C7" w:rsidRPr="007A5911">
        <w:rPr>
          <w:rFonts w:ascii="Arial" w:hAnsi="Arial" w:cs="Arial"/>
          <w:sz w:val="24"/>
          <w:szCs w:val="24"/>
        </w:rPr>
        <w:t xml:space="preserve"> </w:t>
      </w:r>
      <w:r w:rsidR="00427C4E" w:rsidRPr="007A5911">
        <w:rPr>
          <w:rFonts w:ascii="Arial" w:hAnsi="Arial" w:cs="Arial"/>
          <w:sz w:val="24"/>
          <w:szCs w:val="24"/>
        </w:rPr>
        <w:t xml:space="preserve">and will </w:t>
      </w:r>
      <w:r w:rsidR="003E50C7" w:rsidRPr="007A5911">
        <w:rPr>
          <w:rFonts w:ascii="Arial" w:hAnsi="Arial" w:cs="Arial"/>
          <w:sz w:val="24"/>
          <w:szCs w:val="24"/>
        </w:rPr>
        <w:t>compar</w:t>
      </w:r>
      <w:r w:rsidR="00427C4E" w:rsidRPr="007A5911">
        <w:rPr>
          <w:rFonts w:ascii="Arial" w:hAnsi="Arial" w:cs="Arial"/>
          <w:sz w:val="24"/>
          <w:szCs w:val="24"/>
        </w:rPr>
        <w:t>e</w:t>
      </w:r>
      <w:r w:rsidR="003E50C7" w:rsidRPr="007A5911">
        <w:rPr>
          <w:rFonts w:ascii="Arial" w:hAnsi="Arial" w:cs="Arial"/>
          <w:sz w:val="24"/>
          <w:szCs w:val="24"/>
        </w:rPr>
        <w:t xml:space="preserve"> and contrast</w:t>
      </w:r>
      <w:r w:rsidR="00D15C0A" w:rsidRPr="007A5911">
        <w:rPr>
          <w:rFonts w:ascii="Arial" w:hAnsi="Arial" w:cs="Arial"/>
          <w:sz w:val="24"/>
          <w:szCs w:val="24"/>
        </w:rPr>
        <w:t xml:space="preserve"> the two models</w:t>
      </w:r>
      <w:r w:rsidR="00D86872" w:rsidRPr="007A5911">
        <w:rPr>
          <w:rFonts w:ascii="Arial" w:hAnsi="Arial" w:cs="Arial"/>
          <w:sz w:val="24"/>
          <w:szCs w:val="24"/>
        </w:rPr>
        <w:t>.</w:t>
      </w:r>
    </w:p>
    <w:p w14:paraId="141EB8F0" w14:textId="73A9D212" w:rsidR="00F16CC1" w:rsidRPr="007A5911" w:rsidRDefault="00D15C0A" w:rsidP="00AE5806">
      <w:pPr>
        <w:spacing w:line="360" w:lineRule="auto"/>
        <w:ind w:firstLine="720"/>
        <w:jc w:val="both"/>
        <w:rPr>
          <w:rFonts w:ascii="Arial" w:hAnsi="Arial" w:cs="Arial"/>
          <w:sz w:val="24"/>
          <w:szCs w:val="24"/>
        </w:rPr>
      </w:pPr>
      <w:r w:rsidRPr="007A5911">
        <w:rPr>
          <w:rFonts w:ascii="Arial" w:hAnsi="Arial" w:cs="Arial"/>
          <w:sz w:val="24"/>
          <w:szCs w:val="24"/>
        </w:rPr>
        <w:t xml:space="preserve">Atkins and Schifrin, </w:t>
      </w:r>
      <w:r w:rsidR="005B107A" w:rsidRPr="007A5911">
        <w:rPr>
          <w:rFonts w:ascii="Arial" w:hAnsi="Arial" w:cs="Arial"/>
          <w:sz w:val="24"/>
          <w:szCs w:val="24"/>
        </w:rPr>
        <w:t>(</w:t>
      </w:r>
      <w:r w:rsidRPr="007A5911">
        <w:rPr>
          <w:rFonts w:ascii="Arial" w:hAnsi="Arial" w:cs="Arial"/>
          <w:sz w:val="24"/>
          <w:szCs w:val="24"/>
        </w:rPr>
        <w:t>1968</w:t>
      </w:r>
      <w:r w:rsidR="005B107A" w:rsidRPr="007A5911">
        <w:rPr>
          <w:rFonts w:ascii="Arial" w:hAnsi="Arial" w:cs="Arial"/>
          <w:sz w:val="24"/>
          <w:szCs w:val="24"/>
        </w:rPr>
        <w:t>)</w:t>
      </w:r>
      <w:r w:rsidRPr="007A5911">
        <w:rPr>
          <w:rFonts w:ascii="Arial" w:hAnsi="Arial" w:cs="Arial"/>
          <w:sz w:val="24"/>
          <w:szCs w:val="24"/>
        </w:rPr>
        <w:t xml:space="preserve"> proposed the multi store model to try to explain how the information from the environment is received and transferred into the long-term memory.</w:t>
      </w:r>
      <w:r w:rsidR="005B107A" w:rsidRPr="007A5911">
        <w:rPr>
          <w:rFonts w:ascii="Arial" w:hAnsi="Arial" w:cs="Arial"/>
          <w:sz w:val="24"/>
          <w:szCs w:val="24"/>
        </w:rPr>
        <w:t xml:space="preserve"> </w:t>
      </w:r>
      <w:r w:rsidR="001A0A0F" w:rsidRPr="007A5911">
        <w:rPr>
          <w:rFonts w:ascii="Arial" w:hAnsi="Arial" w:cs="Arial"/>
          <w:sz w:val="24"/>
          <w:szCs w:val="24"/>
        </w:rPr>
        <w:t xml:space="preserve">The multi store model is a series of stages in which information is passed from one store to the next. The model suggests that there are separate stores, the sensory memory, short term memory and the long-term memory, and that the information is </w:t>
      </w:r>
      <w:r w:rsidR="005B107A" w:rsidRPr="007A5911">
        <w:rPr>
          <w:rFonts w:ascii="Arial" w:hAnsi="Arial" w:cs="Arial"/>
          <w:sz w:val="24"/>
          <w:szCs w:val="24"/>
        </w:rPr>
        <w:t>passed</w:t>
      </w:r>
      <w:r w:rsidR="001A0A0F" w:rsidRPr="007A5911">
        <w:rPr>
          <w:rFonts w:ascii="Arial" w:hAnsi="Arial" w:cs="Arial"/>
          <w:sz w:val="24"/>
          <w:szCs w:val="24"/>
        </w:rPr>
        <w:t xml:space="preserve"> between each. It begins with information received into the sensory memory via the senses, it is then passed to the short-term memory provided it receives attention. If this information is then rehearsed it can be stored for a short period of time, known as maintenance rehearsal. The final stage is the prolonged rehearsal, which is where the information is passed on to the long-term memory.</w:t>
      </w:r>
    </w:p>
    <w:p w14:paraId="4B00B167" w14:textId="5F798C57" w:rsidR="007F6080" w:rsidRPr="007A5911" w:rsidRDefault="008C6EC7" w:rsidP="00AE5806">
      <w:pPr>
        <w:spacing w:line="360" w:lineRule="auto"/>
        <w:ind w:firstLine="720"/>
        <w:jc w:val="both"/>
        <w:rPr>
          <w:rFonts w:ascii="Arial" w:hAnsi="Arial" w:cs="Arial"/>
          <w:sz w:val="24"/>
          <w:szCs w:val="24"/>
        </w:rPr>
      </w:pPr>
      <w:r w:rsidRPr="007A5911">
        <w:rPr>
          <w:rFonts w:ascii="Arial" w:hAnsi="Arial" w:cs="Arial"/>
          <w:sz w:val="24"/>
          <w:szCs w:val="24"/>
        </w:rPr>
        <w:t>In contrast</w:t>
      </w:r>
      <w:r w:rsidR="00AE5806" w:rsidRPr="007A5911">
        <w:rPr>
          <w:rFonts w:ascii="Arial" w:hAnsi="Arial" w:cs="Arial"/>
          <w:sz w:val="24"/>
          <w:szCs w:val="24"/>
        </w:rPr>
        <w:t xml:space="preserve"> </w:t>
      </w:r>
      <w:r w:rsidR="00AE5806" w:rsidRPr="007A5911">
        <w:rPr>
          <w:rFonts w:ascii="Arial" w:hAnsi="Arial" w:cs="Arial"/>
          <w:sz w:val="24"/>
          <w:szCs w:val="24"/>
        </w:rPr>
        <w:t>Baddeley &amp; Hitch (1974)</w:t>
      </w:r>
      <w:r w:rsidR="00AE5806" w:rsidRPr="007A5911">
        <w:rPr>
          <w:rFonts w:ascii="Arial" w:hAnsi="Arial" w:cs="Arial"/>
          <w:sz w:val="24"/>
          <w:szCs w:val="24"/>
        </w:rPr>
        <w:t>,</w:t>
      </w:r>
      <w:r w:rsidRPr="007A5911">
        <w:rPr>
          <w:rFonts w:ascii="Arial" w:hAnsi="Arial" w:cs="Arial"/>
          <w:sz w:val="24"/>
          <w:szCs w:val="24"/>
        </w:rPr>
        <w:t xml:space="preserve"> </w:t>
      </w:r>
      <w:r w:rsidR="00AE5806" w:rsidRPr="007A5911">
        <w:rPr>
          <w:rFonts w:ascii="Arial" w:hAnsi="Arial" w:cs="Arial"/>
          <w:sz w:val="24"/>
          <w:szCs w:val="24"/>
        </w:rPr>
        <w:t xml:space="preserve">proposed </w:t>
      </w:r>
      <w:r w:rsidRPr="007A5911">
        <w:rPr>
          <w:rFonts w:ascii="Arial" w:hAnsi="Arial" w:cs="Arial"/>
          <w:sz w:val="24"/>
          <w:szCs w:val="24"/>
        </w:rPr>
        <w:t>the Working Memory Model.</w:t>
      </w:r>
      <w:r w:rsidR="00AE5806" w:rsidRPr="007A5911">
        <w:rPr>
          <w:rFonts w:ascii="Arial" w:hAnsi="Arial" w:cs="Arial"/>
          <w:sz w:val="24"/>
          <w:szCs w:val="24"/>
        </w:rPr>
        <w:t xml:space="preserve"> </w:t>
      </w:r>
      <w:r w:rsidR="00BD7371" w:rsidRPr="007A5911">
        <w:rPr>
          <w:rFonts w:ascii="Arial" w:hAnsi="Arial" w:cs="Arial"/>
          <w:sz w:val="24"/>
          <w:szCs w:val="24"/>
        </w:rPr>
        <w:t xml:space="preserve">The </w:t>
      </w:r>
      <w:r w:rsidR="005B107A" w:rsidRPr="007A5911">
        <w:rPr>
          <w:rFonts w:ascii="Arial" w:hAnsi="Arial" w:cs="Arial"/>
          <w:sz w:val="24"/>
          <w:szCs w:val="24"/>
        </w:rPr>
        <w:t>W</w:t>
      </w:r>
      <w:r w:rsidR="00BD7371" w:rsidRPr="007A5911">
        <w:rPr>
          <w:rFonts w:ascii="Arial" w:hAnsi="Arial" w:cs="Arial"/>
          <w:sz w:val="24"/>
          <w:szCs w:val="24"/>
        </w:rPr>
        <w:t xml:space="preserve">orking </w:t>
      </w:r>
      <w:r w:rsidR="005B107A" w:rsidRPr="007A5911">
        <w:rPr>
          <w:rFonts w:ascii="Arial" w:hAnsi="Arial" w:cs="Arial"/>
          <w:sz w:val="24"/>
          <w:szCs w:val="24"/>
        </w:rPr>
        <w:t>M</w:t>
      </w:r>
      <w:r w:rsidR="00BD7371" w:rsidRPr="007A5911">
        <w:rPr>
          <w:rFonts w:ascii="Arial" w:hAnsi="Arial" w:cs="Arial"/>
          <w:sz w:val="24"/>
          <w:szCs w:val="24"/>
        </w:rPr>
        <w:t xml:space="preserve">emory </w:t>
      </w:r>
      <w:r w:rsidR="005B107A" w:rsidRPr="007A5911">
        <w:rPr>
          <w:rFonts w:ascii="Arial" w:hAnsi="Arial" w:cs="Arial"/>
          <w:sz w:val="24"/>
          <w:szCs w:val="24"/>
        </w:rPr>
        <w:t>M</w:t>
      </w:r>
      <w:r w:rsidR="00BD7371" w:rsidRPr="007A5911">
        <w:rPr>
          <w:rFonts w:ascii="Arial" w:hAnsi="Arial" w:cs="Arial"/>
          <w:sz w:val="24"/>
          <w:szCs w:val="24"/>
        </w:rPr>
        <w:t>odel has four components</w:t>
      </w:r>
      <w:r w:rsidR="00AE1F6C" w:rsidRPr="007A5911">
        <w:rPr>
          <w:rFonts w:ascii="Arial" w:hAnsi="Arial" w:cs="Arial"/>
          <w:sz w:val="24"/>
          <w:szCs w:val="24"/>
        </w:rPr>
        <w:t xml:space="preserve">, </w:t>
      </w:r>
      <w:r w:rsidR="004056E4" w:rsidRPr="007A5911">
        <w:rPr>
          <w:rFonts w:ascii="Arial" w:hAnsi="Arial" w:cs="Arial"/>
          <w:sz w:val="24"/>
          <w:szCs w:val="24"/>
        </w:rPr>
        <w:t xml:space="preserve">the Central Executive, </w:t>
      </w:r>
      <w:r w:rsidR="00AE1F6C" w:rsidRPr="007A5911">
        <w:rPr>
          <w:rFonts w:ascii="Arial" w:hAnsi="Arial" w:cs="Arial"/>
          <w:sz w:val="24"/>
          <w:szCs w:val="24"/>
        </w:rPr>
        <w:t xml:space="preserve">the Phonological loop, the </w:t>
      </w:r>
      <w:r w:rsidR="00157F50" w:rsidRPr="007A5911">
        <w:rPr>
          <w:rFonts w:ascii="Arial" w:hAnsi="Arial" w:cs="Arial"/>
          <w:sz w:val="24"/>
          <w:szCs w:val="24"/>
        </w:rPr>
        <w:t>Visual Spatial Sketchpad, and the Episodic Buffer.</w:t>
      </w:r>
      <w:r w:rsidR="00BD7371" w:rsidRPr="007A5911">
        <w:rPr>
          <w:rFonts w:ascii="Arial" w:hAnsi="Arial" w:cs="Arial"/>
          <w:sz w:val="24"/>
          <w:szCs w:val="24"/>
        </w:rPr>
        <w:t xml:space="preserve"> </w:t>
      </w:r>
      <w:r w:rsidR="004056E4" w:rsidRPr="007A5911">
        <w:rPr>
          <w:rFonts w:ascii="Arial" w:hAnsi="Arial" w:cs="Arial"/>
          <w:sz w:val="24"/>
          <w:szCs w:val="24"/>
        </w:rPr>
        <w:t>The Central Executive is thought to be the most important component because it controls the phonological loop and the visual spatial sketchpad. It decides what we pay attention to because of our memory being overloaded, it decides what takes priority and what is ignored.</w:t>
      </w:r>
      <w:r w:rsidR="004372AA" w:rsidRPr="007A5911">
        <w:rPr>
          <w:rFonts w:ascii="Arial" w:hAnsi="Arial" w:cs="Arial"/>
          <w:sz w:val="24"/>
          <w:szCs w:val="24"/>
        </w:rPr>
        <w:t xml:space="preserve"> </w:t>
      </w:r>
      <w:r w:rsidR="00157F50" w:rsidRPr="007A5911">
        <w:rPr>
          <w:rFonts w:ascii="Arial" w:hAnsi="Arial" w:cs="Arial"/>
          <w:sz w:val="24"/>
          <w:szCs w:val="24"/>
        </w:rPr>
        <w:t>The Phonological Loop process</w:t>
      </w:r>
      <w:r w:rsidR="005B107A" w:rsidRPr="007A5911">
        <w:rPr>
          <w:rFonts w:ascii="Arial" w:hAnsi="Arial" w:cs="Arial"/>
          <w:sz w:val="24"/>
          <w:szCs w:val="24"/>
        </w:rPr>
        <w:t>es</w:t>
      </w:r>
      <w:r w:rsidR="00157F50" w:rsidRPr="007A5911">
        <w:rPr>
          <w:rFonts w:ascii="Arial" w:hAnsi="Arial" w:cs="Arial"/>
          <w:sz w:val="24"/>
          <w:szCs w:val="24"/>
        </w:rPr>
        <w:t xml:space="preserve"> sound-based information. Research suggests that the Phonological Loop has two sub-components, the articulatory control process and the phonological store. The Visual Spatial Sketchpad is known as the inner eye, it is responsible for visual information</w:t>
      </w:r>
      <w:r w:rsidRPr="007A5911">
        <w:rPr>
          <w:rFonts w:ascii="Arial" w:hAnsi="Arial" w:cs="Arial"/>
          <w:sz w:val="24"/>
          <w:szCs w:val="24"/>
        </w:rPr>
        <w:t>.</w:t>
      </w:r>
      <w:r w:rsidR="00157F50" w:rsidRPr="007A5911">
        <w:rPr>
          <w:rFonts w:ascii="Arial" w:hAnsi="Arial" w:cs="Arial"/>
          <w:sz w:val="24"/>
          <w:szCs w:val="24"/>
        </w:rPr>
        <w:t xml:space="preserve"> Spatial information also relates to the location of those objects in a space, it helps with knowing where things are in relation to each </w:t>
      </w:r>
      <w:r w:rsidRPr="007A5911">
        <w:rPr>
          <w:rFonts w:ascii="Arial" w:hAnsi="Arial" w:cs="Arial"/>
          <w:sz w:val="24"/>
          <w:szCs w:val="24"/>
        </w:rPr>
        <w:t xml:space="preserve">other. </w:t>
      </w:r>
      <w:r w:rsidR="005B107A" w:rsidRPr="007A5911">
        <w:rPr>
          <w:rFonts w:ascii="Arial" w:hAnsi="Arial" w:cs="Arial"/>
          <w:sz w:val="24"/>
          <w:szCs w:val="24"/>
        </w:rPr>
        <w:t xml:space="preserve">The </w:t>
      </w:r>
      <w:r w:rsidR="007F6080" w:rsidRPr="007A5911">
        <w:rPr>
          <w:rFonts w:ascii="Arial" w:hAnsi="Arial" w:cs="Arial"/>
          <w:sz w:val="24"/>
          <w:szCs w:val="24"/>
        </w:rPr>
        <w:t xml:space="preserve">Episodic Buffer </w:t>
      </w:r>
      <w:r w:rsidR="005D7A47" w:rsidRPr="007A5911">
        <w:rPr>
          <w:rFonts w:ascii="Arial" w:hAnsi="Arial" w:cs="Arial"/>
          <w:sz w:val="24"/>
          <w:szCs w:val="24"/>
        </w:rPr>
        <w:t xml:space="preserve">is seen as a </w:t>
      </w:r>
      <w:r w:rsidR="00427C4E" w:rsidRPr="007A5911">
        <w:rPr>
          <w:rFonts w:ascii="Arial" w:hAnsi="Arial" w:cs="Arial"/>
          <w:sz w:val="24"/>
          <w:szCs w:val="24"/>
        </w:rPr>
        <w:t>back-up</w:t>
      </w:r>
      <w:r w:rsidR="005D7A47" w:rsidRPr="007A5911">
        <w:rPr>
          <w:rFonts w:ascii="Arial" w:hAnsi="Arial" w:cs="Arial"/>
          <w:sz w:val="24"/>
          <w:szCs w:val="24"/>
        </w:rPr>
        <w:t xml:space="preserve"> store</w:t>
      </w:r>
      <w:r w:rsidR="005B107A" w:rsidRPr="007A5911">
        <w:rPr>
          <w:rFonts w:ascii="Arial" w:hAnsi="Arial" w:cs="Arial"/>
          <w:sz w:val="24"/>
          <w:szCs w:val="24"/>
        </w:rPr>
        <w:t>.</w:t>
      </w:r>
      <w:r w:rsidR="005D7A47" w:rsidRPr="007A5911">
        <w:rPr>
          <w:rFonts w:ascii="Arial" w:hAnsi="Arial" w:cs="Arial"/>
          <w:sz w:val="24"/>
          <w:szCs w:val="24"/>
        </w:rPr>
        <w:t xml:space="preserve"> </w:t>
      </w:r>
      <w:r w:rsidR="005B107A" w:rsidRPr="007A5911">
        <w:rPr>
          <w:rFonts w:ascii="Arial" w:hAnsi="Arial" w:cs="Arial"/>
          <w:sz w:val="24"/>
          <w:szCs w:val="24"/>
        </w:rPr>
        <w:t>I</w:t>
      </w:r>
      <w:r w:rsidR="005D7A47" w:rsidRPr="007A5911">
        <w:rPr>
          <w:rFonts w:ascii="Arial" w:hAnsi="Arial" w:cs="Arial"/>
          <w:sz w:val="24"/>
          <w:szCs w:val="24"/>
        </w:rPr>
        <w:t xml:space="preserve">t integrates information from </w:t>
      </w:r>
      <w:r w:rsidRPr="007A5911">
        <w:rPr>
          <w:rFonts w:ascii="Arial" w:hAnsi="Arial" w:cs="Arial"/>
          <w:sz w:val="24"/>
          <w:szCs w:val="24"/>
        </w:rPr>
        <w:t>all</w:t>
      </w:r>
      <w:r w:rsidR="005D7A47" w:rsidRPr="007A5911">
        <w:rPr>
          <w:rFonts w:ascii="Arial" w:hAnsi="Arial" w:cs="Arial"/>
          <w:sz w:val="24"/>
          <w:szCs w:val="24"/>
        </w:rPr>
        <w:t xml:space="preserve"> the components of the working memory model as well as from long term memory.</w:t>
      </w:r>
    </w:p>
    <w:p w14:paraId="6F3E5DA3" w14:textId="2BF0D9D9" w:rsidR="001B3E28" w:rsidRPr="007A5911" w:rsidRDefault="001B3E28" w:rsidP="007A5911">
      <w:pPr>
        <w:spacing w:line="360" w:lineRule="auto"/>
        <w:ind w:firstLine="720"/>
        <w:jc w:val="both"/>
        <w:rPr>
          <w:rFonts w:ascii="Arial" w:hAnsi="Arial" w:cs="Arial"/>
          <w:sz w:val="24"/>
          <w:szCs w:val="24"/>
        </w:rPr>
      </w:pPr>
      <w:r w:rsidRPr="007A5911">
        <w:rPr>
          <w:rFonts w:ascii="Arial" w:hAnsi="Arial" w:cs="Arial"/>
          <w:sz w:val="24"/>
          <w:szCs w:val="24"/>
        </w:rPr>
        <w:t xml:space="preserve">Gross (2020), claimed that Baddeley and Hitch (1974), argued that the short term memory was more complex than the single system that Atkinson and Shiffrin had proposed, with Baddeley (2000) adding a further component later on. In brief Baddeley </w:t>
      </w:r>
      <w:r w:rsidRPr="007A5911">
        <w:rPr>
          <w:rFonts w:ascii="Arial" w:hAnsi="Arial" w:cs="Arial"/>
          <w:sz w:val="24"/>
          <w:szCs w:val="24"/>
        </w:rPr>
        <w:lastRenderedPageBreak/>
        <w:t xml:space="preserve">and Hitch (1874) felt that the Multi-Store Model was oversimplified and did not fully encompass how the memory works in daily life and therefore proposed the Working Memory instead. </w:t>
      </w:r>
      <w:r w:rsidR="007A5911" w:rsidRPr="007A5911">
        <w:rPr>
          <w:rFonts w:ascii="Arial" w:hAnsi="Arial" w:cs="Arial"/>
          <w:sz w:val="24"/>
          <w:szCs w:val="24"/>
        </w:rPr>
        <w:t xml:space="preserve">The Multi Store Model is criticized further due to the oversimplification of the long term memory, as further research concludes that there are in fact different parts to the long term memory. The Procedural memories, which are the actions and motor skills memories, for example how to ride a bike. Episodic Memories are the personally experienced memories such as, how a birthday was celebrated on previous years, Semantic memories are fact based or knowledge memories, including knowing the capital city of a given country. As the Multi Store Model does not include enough detail about the different types of long term memory it opens itself up for further criticism. </w:t>
      </w:r>
    </w:p>
    <w:p w14:paraId="179996B4" w14:textId="6FFCBB1C"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 xml:space="preserve">In conclusion both models have their place within the study of the memory, although both need further research in order to collect more accurate data on both the short and long term memory in order to fully understand how the memory functions. </w:t>
      </w:r>
    </w:p>
    <w:p w14:paraId="08114920" w14:textId="20C6DA46" w:rsidR="007A5911" w:rsidRPr="007A5911" w:rsidRDefault="007A5911" w:rsidP="007A5911">
      <w:pPr>
        <w:spacing w:line="360" w:lineRule="auto"/>
        <w:jc w:val="both"/>
        <w:rPr>
          <w:rFonts w:ascii="Arial" w:hAnsi="Arial" w:cs="Arial"/>
          <w:b/>
          <w:bCs/>
          <w:sz w:val="24"/>
          <w:szCs w:val="24"/>
          <w:u w:val="single"/>
        </w:rPr>
      </w:pPr>
      <w:r w:rsidRPr="007A5911">
        <w:rPr>
          <w:rFonts w:ascii="Arial" w:hAnsi="Arial" w:cs="Arial"/>
          <w:b/>
          <w:bCs/>
          <w:sz w:val="24"/>
          <w:szCs w:val="24"/>
          <w:u w:val="single"/>
        </w:rPr>
        <w:t>Part B: Attention and Perception in everyday life</w:t>
      </w:r>
    </w:p>
    <w:p w14:paraId="29D98353" w14:textId="07B07EC8"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Attention has an important part in understanding our senses, whereas perception allows us to experience reality in a holistic manner, whilst carrying out day to day activities such as watching television, having a conversation or eating a meal (Banyard et al, 2019). This essay aims to explore attention and perception theories, specifically, Broadbent’s Filter Theory, Gibson’s theory of Direct Perception and Gregory’s Constructivist theory.</w:t>
      </w:r>
    </w:p>
    <w:p w14:paraId="188FC951" w14:textId="77777777"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Shiffrin, (1988, p.739) stated ‘Attention remains a concept that psychologists find difficult to define.’ They believe that attention is not a sole concept but instead forms an ‘umbrella term for a variety of psychological phenomena’. Banyard et al., (2019) also states that attention is hard to define and calls it a ‘multifaceted phenomenon’.</w:t>
      </w:r>
    </w:p>
    <w:p w14:paraId="5F2AEAD0" w14:textId="77777777"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According to Twedt and Parfit (2018, p.1) “Perception is the study of how sensory information is processed into perceptual experience…. All senses share the common goal of picking up sensory information from the external environment and processing that information into a perceptual experience. “</w:t>
      </w:r>
    </w:p>
    <w:p w14:paraId="0C7F04DC" w14:textId="0FBFB970"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lastRenderedPageBreak/>
        <w:t>Visual perception is important in everyday lives as it is what provides people with the ability to achieve everyday tasks, such as walking around freely, reading, playing sports and watching television. It is also an important inbuilt safety mechanism as it helps to ensure that people are safe in their everyday lives, for example the ability to perceive how close cars are when walking across the road, should this task be perceived incorrectly it could prove to be fatal.</w:t>
      </w:r>
      <w:r w:rsidRPr="007A5911">
        <w:rPr>
          <w:rFonts w:ascii="Arial" w:hAnsi="Arial" w:cs="Arial"/>
          <w:i/>
          <w:iCs/>
          <w:sz w:val="24"/>
          <w:szCs w:val="24"/>
        </w:rPr>
        <w:t xml:space="preserve"> </w:t>
      </w:r>
      <w:r w:rsidRPr="007A5911">
        <w:rPr>
          <w:rFonts w:ascii="Arial" w:hAnsi="Arial" w:cs="Arial"/>
          <w:sz w:val="24"/>
          <w:szCs w:val="24"/>
        </w:rPr>
        <w:t>Nolen-Hoeksema</w:t>
      </w:r>
      <w:r w:rsidRPr="007A5911">
        <w:rPr>
          <w:rFonts w:ascii="Arial" w:hAnsi="Arial" w:cs="Arial"/>
          <w:sz w:val="24"/>
          <w:szCs w:val="24"/>
        </w:rPr>
        <w:t xml:space="preserve"> (</w:t>
      </w:r>
      <w:r w:rsidRPr="007A5911">
        <w:rPr>
          <w:rFonts w:ascii="Arial" w:hAnsi="Arial" w:cs="Arial"/>
          <w:sz w:val="24"/>
          <w:szCs w:val="24"/>
        </w:rPr>
        <w:t>2014,</w:t>
      </w:r>
      <w:r w:rsidRPr="007A5911">
        <w:rPr>
          <w:rFonts w:ascii="Arial" w:hAnsi="Arial" w:cs="Arial"/>
          <w:sz w:val="24"/>
          <w:szCs w:val="24"/>
        </w:rPr>
        <w:t xml:space="preserve"> p148) state that the human brain is actively trying to complete a task, these tasks could be very simple such as, eating a bar of chocolate or something more complex, such as brain surgery. Whilst there is a vast amount of information trying to enter the brain, through the sensory systems, a large proportion of this information is disregarded as the brain screens it for the relevant information for the given task. If the brain did not screen for irrelevant information, then it would get overloaded with information and would be unable to accomplish any tasks. </w:t>
      </w:r>
    </w:p>
    <w:p w14:paraId="503331CB" w14:textId="06D3621D"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 xml:space="preserve">McLeod 2018; Murphy et al. </w:t>
      </w:r>
      <w:r w:rsidRPr="007A5911">
        <w:rPr>
          <w:rFonts w:ascii="Arial" w:hAnsi="Arial" w:cs="Arial"/>
          <w:sz w:val="24"/>
          <w:szCs w:val="24"/>
        </w:rPr>
        <w:t>(</w:t>
      </w:r>
      <w:r w:rsidRPr="007A5911">
        <w:rPr>
          <w:rFonts w:ascii="Arial" w:hAnsi="Arial" w:cs="Arial"/>
          <w:sz w:val="24"/>
          <w:szCs w:val="24"/>
        </w:rPr>
        <w:t>2016</w:t>
      </w:r>
      <w:r w:rsidRPr="007A5911">
        <w:rPr>
          <w:rFonts w:ascii="Arial" w:hAnsi="Arial" w:cs="Arial"/>
          <w:sz w:val="24"/>
          <w:szCs w:val="24"/>
        </w:rPr>
        <w:t>)</w:t>
      </w:r>
      <w:r w:rsidRPr="007A5911">
        <w:rPr>
          <w:rFonts w:ascii="Arial" w:hAnsi="Arial" w:cs="Arial"/>
          <w:sz w:val="24"/>
          <w:szCs w:val="24"/>
        </w:rPr>
        <w:t xml:space="preserve">, state that the earlier attention theories refer to a ‘bottleneck model’ when processing information. It is explained using imagery of a standard bottle lying horizontally with fluid entering it. At first a large amount of fluid can enter but then the opening becomes smaller, allowing less fluid to enter the bottle. David Broadbent’s Filter Theory of Attention (1958) is an example of these early ‘bottleneck’ theories. According to Gazzaniga, </w:t>
      </w:r>
      <w:r w:rsidRPr="007A5911">
        <w:rPr>
          <w:rFonts w:ascii="Arial" w:hAnsi="Arial" w:cs="Arial"/>
          <w:sz w:val="24"/>
          <w:szCs w:val="24"/>
        </w:rPr>
        <w:t>(</w:t>
      </w:r>
      <w:r w:rsidRPr="007A5911">
        <w:rPr>
          <w:rFonts w:ascii="Arial" w:hAnsi="Arial" w:cs="Arial"/>
          <w:sz w:val="24"/>
          <w:szCs w:val="24"/>
        </w:rPr>
        <w:t>2018, p128) Donald Broadbent claimed filter theory to be why attention had a selective nature. He believed that people had a limited ability to process sensory information, and could only focus on important information, whilst the irrelevant information was closed off. Broadbent, (1958) stated that, all information enters the ‘sensory buffer’ where it is assessed by its physical properties for example the frequency and location of a sound, allowing only some of the information to enter the ‘selective filter’. The information that is deemed irrelevant will be left to break down in the ‘sensory buffer’. When the information reaches the ‘selective filter’ Broadbent believed that the ‘perceptual/semantic processor’ then forms the significance of the information, and the response to the information is decided. Cherry’s, (1953)</w:t>
      </w:r>
      <w:r w:rsidRPr="007A5911">
        <w:rPr>
          <w:rFonts w:ascii="Arial" w:hAnsi="Arial" w:cs="Arial"/>
          <w:sz w:val="24"/>
          <w:szCs w:val="24"/>
        </w:rPr>
        <w:t xml:space="preserve"> Banyard et al (2019), </w:t>
      </w:r>
      <w:r w:rsidRPr="007A5911">
        <w:rPr>
          <w:rFonts w:ascii="Arial" w:hAnsi="Arial" w:cs="Arial"/>
          <w:sz w:val="24"/>
          <w:szCs w:val="24"/>
        </w:rPr>
        <w:t xml:space="preserve">‘Cocktail party effect’ provides debate with Broadbent’s filter theory, as it suggests that information is analysed before it is filtered out. Cherry argued that a person’s ability to recognise their name in a crowded cocktail party suggests that this information is analysed before being deemed irrelevant (McLeod, 2018). Banyard et al (2019, p136), stated that ‘Capacity limitation </w:t>
      </w:r>
      <w:r w:rsidRPr="007A5911">
        <w:rPr>
          <w:rFonts w:ascii="Arial" w:hAnsi="Arial" w:cs="Arial"/>
          <w:sz w:val="24"/>
          <w:szCs w:val="24"/>
        </w:rPr>
        <w:lastRenderedPageBreak/>
        <w:t>is a key aspect of Broadbent’s theory. He assumed that our cognitive resources are finite’, believing that as people cannot process all the information at the same time there must be limitations on what is and isn’t processed. Broadbent did have an explanation for Cherry’s findings, although the evidence showed that more information is processed than Broadbent originally predicated. Broadbent used numbers with no meaning in his research as he did not consider the context of a message or its meaningfulness.</w:t>
      </w:r>
    </w:p>
    <w:p w14:paraId="3818FA6F" w14:textId="5359D7DE"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Deutsch and Deutsch (1963), created a different model to the early model, named the ‘late selection model’. Their model suggested that all incoming information is analysed but it is only the relevant information that is used to dictate a response. Treisman, (1960),</w:t>
      </w:r>
      <w:r w:rsidRPr="007A5911">
        <w:rPr>
          <w:rFonts w:ascii="Arial" w:hAnsi="Arial" w:cs="Arial"/>
          <w:sz w:val="24"/>
          <w:szCs w:val="24"/>
        </w:rPr>
        <w:t xml:space="preserve"> (Fawcett, et al, 2015),</w:t>
      </w:r>
      <w:r w:rsidRPr="007A5911">
        <w:rPr>
          <w:rFonts w:ascii="Arial" w:hAnsi="Arial" w:cs="Arial"/>
          <w:sz w:val="24"/>
          <w:szCs w:val="24"/>
        </w:rPr>
        <w:t xml:space="preserve"> further expanded on Broadbent’s filter theory by adding that the filter weakens the irrelevant information rather than closing it off completely.   </w:t>
      </w:r>
    </w:p>
    <w:p w14:paraId="314C3C42" w14:textId="1D8628BF"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Banyard et al (</w:t>
      </w:r>
      <w:r w:rsidRPr="007A5911">
        <w:rPr>
          <w:rFonts w:ascii="Arial" w:hAnsi="Arial" w:cs="Arial"/>
          <w:sz w:val="24"/>
          <w:szCs w:val="24"/>
        </w:rPr>
        <w:t>2019</w:t>
      </w:r>
      <w:r w:rsidRPr="007A5911">
        <w:rPr>
          <w:rFonts w:ascii="Arial" w:hAnsi="Arial" w:cs="Arial"/>
          <w:sz w:val="24"/>
          <w:szCs w:val="24"/>
        </w:rPr>
        <w:t xml:space="preserve">), states that ‘There is no single theory of perception’. Although it is questioned as to what extent bottom-up and top-down processes contribute to perception. Gibson (1966) proposed that we perceive objects with the bottom-up approach, known as the theory of direct perception. They believe that the low-level sensory information is the most important determinant of what is perceived.  </w:t>
      </w:r>
      <w:r w:rsidRPr="007A5911">
        <w:rPr>
          <w:rFonts w:ascii="Arial" w:hAnsi="Arial" w:cs="Arial"/>
          <w:sz w:val="24"/>
          <w:szCs w:val="24"/>
        </w:rPr>
        <w:t>Banyard et al (2019)</w:t>
      </w:r>
      <w:r w:rsidRPr="007A5911">
        <w:rPr>
          <w:rFonts w:ascii="Arial" w:hAnsi="Arial" w:cs="Arial"/>
          <w:sz w:val="24"/>
          <w:szCs w:val="24"/>
        </w:rPr>
        <w:t xml:space="preserve"> 129 Gibson’s (1986) theory claims that the senses provide information to enable individuals to interact with the environment. Malim and Birch (1998). He believed that moving through the environment was very important to generate information and in order to perceive the surrounding environment, action is essential. (EP 129) Gibson stated that individuals have an ambient optical array. Which implies that all the light that is received comes together on the retina. </w:t>
      </w:r>
      <w:r w:rsidRPr="007A5911">
        <w:rPr>
          <w:rFonts w:ascii="Arial" w:hAnsi="Arial" w:cs="Arial"/>
          <w:sz w:val="24"/>
          <w:szCs w:val="24"/>
        </w:rPr>
        <w:t>Malim and Birch (1998)</w:t>
      </w:r>
      <w:r w:rsidRPr="007A5911">
        <w:rPr>
          <w:rFonts w:ascii="Arial" w:hAnsi="Arial" w:cs="Arial"/>
          <w:sz w:val="24"/>
          <w:szCs w:val="24"/>
        </w:rPr>
        <w:t xml:space="preserve"> In contrast to Gibson, Gregory (1972) argues a top-down approach in which higher levels of cognition processes are required for perception, also known as Constructivist accounts. </w:t>
      </w:r>
      <w:r w:rsidRPr="007A5911">
        <w:rPr>
          <w:rFonts w:ascii="Arial" w:hAnsi="Arial" w:cs="Arial"/>
          <w:sz w:val="24"/>
          <w:szCs w:val="24"/>
        </w:rPr>
        <w:t>Banyard et al (2019)</w:t>
      </w:r>
      <w:r w:rsidRPr="007A5911">
        <w:rPr>
          <w:rFonts w:ascii="Arial" w:hAnsi="Arial" w:cs="Arial"/>
          <w:sz w:val="24"/>
          <w:szCs w:val="24"/>
        </w:rPr>
        <w:t xml:space="preserve"> Gregory (1972) viewed perception as being active. Through receiving information from the senses, it enables people to set up educated guesses while interpreting the information from their senses.</w:t>
      </w:r>
      <w:r w:rsidRPr="007A5911">
        <w:rPr>
          <w:rFonts w:ascii="Arial" w:hAnsi="Arial" w:cs="Arial"/>
          <w:sz w:val="24"/>
          <w:szCs w:val="24"/>
        </w:rPr>
        <w:t xml:space="preserve"> </w:t>
      </w:r>
      <w:r w:rsidRPr="007A5911">
        <w:rPr>
          <w:rFonts w:ascii="Arial" w:hAnsi="Arial" w:cs="Arial"/>
          <w:sz w:val="24"/>
          <w:szCs w:val="24"/>
        </w:rPr>
        <w:t>Malim and Birch (1998)</w:t>
      </w:r>
      <w:r w:rsidRPr="007A5911">
        <w:rPr>
          <w:rFonts w:ascii="Arial" w:hAnsi="Arial" w:cs="Arial"/>
          <w:sz w:val="24"/>
          <w:szCs w:val="24"/>
        </w:rPr>
        <w:t>.</w:t>
      </w:r>
    </w:p>
    <w:p w14:paraId="3F4F042F" w14:textId="77777777"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 xml:space="preserve">Nolen-Hoeksema et al, (2014), explains that, in order to work out what an object is then the environment in which the object is placed needs to be addressed. They </w:t>
      </w:r>
      <w:r w:rsidRPr="007A5911">
        <w:rPr>
          <w:rFonts w:ascii="Arial" w:hAnsi="Arial" w:cs="Arial"/>
          <w:sz w:val="24"/>
          <w:szCs w:val="24"/>
        </w:rPr>
        <w:lastRenderedPageBreak/>
        <w:t xml:space="preserve">state that understanding the environment, is called ‘global processing’ and then the process of using pre-determined information about the environment can be </w:t>
      </w:r>
      <w:proofErr w:type="spellStart"/>
      <w:r w:rsidRPr="007A5911">
        <w:rPr>
          <w:rFonts w:ascii="Arial" w:hAnsi="Arial" w:cs="Arial"/>
          <w:sz w:val="24"/>
          <w:szCs w:val="24"/>
        </w:rPr>
        <w:t>use</w:t>
      </w:r>
      <w:proofErr w:type="spellEnd"/>
      <w:r w:rsidRPr="007A5911">
        <w:rPr>
          <w:rFonts w:ascii="Arial" w:hAnsi="Arial" w:cs="Arial"/>
          <w:sz w:val="24"/>
          <w:szCs w:val="24"/>
        </w:rPr>
        <w:t xml:space="preserve"> to determine what the object is, this is known as ‘local processing’. Nolen-Hoeksema et al, (2014) used imagery of an object that, depending on the environment it was placed in could either be regarded as a loaf of bread or a mailbox. They explained that if the object was seen on the street then it would be assumed to be a mailbox whereas if it was seen in the kitchen it would be deemed to be a loaf of bread. </w:t>
      </w:r>
    </w:p>
    <w:p w14:paraId="3D7AB340" w14:textId="77D19BB2" w:rsidR="007A5911" w:rsidRPr="007A5911" w:rsidRDefault="007A5911" w:rsidP="007A5911">
      <w:pPr>
        <w:spacing w:line="360" w:lineRule="auto"/>
        <w:ind w:firstLine="720"/>
        <w:jc w:val="both"/>
        <w:rPr>
          <w:rFonts w:ascii="Arial" w:hAnsi="Arial" w:cs="Arial"/>
          <w:sz w:val="24"/>
          <w:szCs w:val="24"/>
        </w:rPr>
      </w:pPr>
      <w:r w:rsidRPr="007A5911">
        <w:rPr>
          <w:rFonts w:ascii="Arial" w:hAnsi="Arial" w:cs="Arial"/>
          <w:sz w:val="24"/>
          <w:szCs w:val="24"/>
        </w:rPr>
        <w:t xml:space="preserve">In conclusion, both attention and perception are crucial to daily life, to fulfil daily tasks regardless of their complexity. Without either function general life would be rather difficult and possibly dangerous. </w:t>
      </w:r>
    </w:p>
    <w:p w14:paraId="3043595A" w14:textId="77777777" w:rsidR="007A5911" w:rsidRPr="007A5911" w:rsidRDefault="007A5911" w:rsidP="007A5911">
      <w:pPr>
        <w:spacing w:line="360" w:lineRule="auto"/>
        <w:jc w:val="both"/>
        <w:rPr>
          <w:rFonts w:ascii="Arial" w:hAnsi="Arial" w:cs="Arial"/>
          <w:b/>
          <w:bCs/>
          <w:sz w:val="24"/>
          <w:szCs w:val="24"/>
          <w:u w:val="single"/>
        </w:rPr>
      </w:pPr>
    </w:p>
    <w:p w14:paraId="4D91B261" w14:textId="77777777" w:rsidR="007A5911" w:rsidRPr="007A5911" w:rsidRDefault="007A5911" w:rsidP="00625A3B">
      <w:pPr>
        <w:spacing w:line="360" w:lineRule="auto"/>
        <w:jc w:val="both"/>
        <w:rPr>
          <w:rFonts w:ascii="Arial" w:hAnsi="Arial" w:cs="Arial"/>
          <w:sz w:val="24"/>
          <w:szCs w:val="24"/>
        </w:rPr>
      </w:pPr>
    </w:p>
    <w:p w14:paraId="4CD0CF6D" w14:textId="77777777" w:rsidR="007A5911" w:rsidRPr="007A5911" w:rsidRDefault="007A5911" w:rsidP="00625A3B">
      <w:pPr>
        <w:spacing w:line="360" w:lineRule="auto"/>
        <w:jc w:val="both"/>
        <w:rPr>
          <w:rFonts w:ascii="Arial" w:hAnsi="Arial" w:cs="Arial"/>
          <w:sz w:val="24"/>
          <w:szCs w:val="24"/>
        </w:rPr>
      </w:pPr>
    </w:p>
    <w:p w14:paraId="5855865E" w14:textId="77777777" w:rsidR="007961F5" w:rsidRPr="007A5911" w:rsidRDefault="007961F5" w:rsidP="00625A3B">
      <w:pPr>
        <w:spacing w:line="360" w:lineRule="auto"/>
        <w:jc w:val="both"/>
        <w:rPr>
          <w:rFonts w:ascii="Arial" w:hAnsi="Arial" w:cs="Arial"/>
          <w:sz w:val="24"/>
          <w:szCs w:val="24"/>
        </w:rPr>
      </w:pPr>
    </w:p>
    <w:p w14:paraId="323C2847" w14:textId="77777777" w:rsidR="007A5911" w:rsidRPr="007A5911" w:rsidRDefault="007A5911" w:rsidP="00625A3B">
      <w:pPr>
        <w:spacing w:line="360" w:lineRule="auto"/>
        <w:jc w:val="both"/>
        <w:rPr>
          <w:rFonts w:ascii="Arial" w:hAnsi="Arial" w:cs="Arial"/>
          <w:sz w:val="24"/>
          <w:szCs w:val="24"/>
        </w:rPr>
      </w:pPr>
    </w:p>
    <w:p w14:paraId="2271E45A" w14:textId="77777777" w:rsidR="007A5911" w:rsidRPr="007A5911" w:rsidRDefault="007A5911" w:rsidP="00625A3B">
      <w:pPr>
        <w:spacing w:line="360" w:lineRule="auto"/>
        <w:jc w:val="both"/>
        <w:rPr>
          <w:rFonts w:ascii="Arial" w:hAnsi="Arial" w:cs="Arial"/>
          <w:sz w:val="24"/>
          <w:szCs w:val="24"/>
        </w:rPr>
      </w:pPr>
    </w:p>
    <w:p w14:paraId="17706FE1" w14:textId="77777777" w:rsidR="007A5911" w:rsidRPr="007A5911" w:rsidRDefault="007A5911" w:rsidP="00625A3B">
      <w:pPr>
        <w:spacing w:line="360" w:lineRule="auto"/>
        <w:jc w:val="both"/>
        <w:rPr>
          <w:rFonts w:ascii="Arial" w:hAnsi="Arial" w:cs="Arial"/>
          <w:sz w:val="24"/>
          <w:szCs w:val="24"/>
        </w:rPr>
      </w:pPr>
    </w:p>
    <w:p w14:paraId="18D4983E" w14:textId="77777777" w:rsidR="007A5911" w:rsidRPr="007A5911" w:rsidRDefault="007A5911" w:rsidP="00625A3B">
      <w:pPr>
        <w:spacing w:line="360" w:lineRule="auto"/>
        <w:jc w:val="both"/>
        <w:rPr>
          <w:rFonts w:ascii="Arial" w:hAnsi="Arial" w:cs="Arial"/>
          <w:sz w:val="24"/>
          <w:szCs w:val="24"/>
        </w:rPr>
      </w:pPr>
    </w:p>
    <w:p w14:paraId="11AAA69F" w14:textId="77777777" w:rsidR="007A5911" w:rsidRPr="007A5911" w:rsidRDefault="007A5911" w:rsidP="00625A3B">
      <w:pPr>
        <w:spacing w:line="360" w:lineRule="auto"/>
        <w:jc w:val="both"/>
        <w:rPr>
          <w:rFonts w:ascii="Arial" w:hAnsi="Arial" w:cs="Arial"/>
          <w:sz w:val="24"/>
          <w:szCs w:val="24"/>
        </w:rPr>
      </w:pPr>
    </w:p>
    <w:p w14:paraId="1BA137CC" w14:textId="77777777" w:rsidR="007A5911" w:rsidRPr="007A5911" w:rsidRDefault="007A5911" w:rsidP="00625A3B">
      <w:pPr>
        <w:spacing w:line="360" w:lineRule="auto"/>
        <w:jc w:val="both"/>
        <w:rPr>
          <w:rFonts w:ascii="Arial" w:hAnsi="Arial" w:cs="Arial"/>
          <w:sz w:val="24"/>
          <w:szCs w:val="24"/>
        </w:rPr>
      </w:pPr>
    </w:p>
    <w:p w14:paraId="27793E75" w14:textId="77777777" w:rsidR="007A5911" w:rsidRPr="007A5911" w:rsidRDefault="007A5911" w:rsidP="00625A3B">
      <w:pPr>
        <w:spacing w:line="360" w:lineRule="auto"/>
        <w:jc w:val="both"/>
        <w:rPr>
          <w:rFonts w:ascii="Arial" w:hAnsi="Arial" w:cs="Arial"/>
          <w:sz w:val="24"/>
          <w:szCs w:val="24"/>
        </w:rPr>
      </w:pPr>
    </w:p>
    <w:p w14:paraId="385CE406" w14:textId="77777777" w:rsidR="007A5911" w:rsidRPr="007A5911" w:rsidRDefault="007A5911" w:rsidP="00625A3B">
      <w:pPr>
        <w:spacing w:line="360" w:lineRule="auto"/>
        <w:jc w:val="both"/>
        <w:rPr>
          <w:rFonts w:ascii="Arial" w:hAnsi="Arial" w:cs="Arial"/>
          <w:sz w:val="24"/>
          <w:szCs w:val="24"/>
        </w:rPr>
      </w:pPr>
    </w:p>
    <w:p w14:paraId="6A455BB2" w14:textId="77777777" w:rsidR="007A5911" w:rsidRPr="007A5911" w:rsidRDefault="007A5911" w:rsidP="00625A3B">
      <w:pPr>
        <w:spacing w:line="360" w:lineRule="auto"/>
        <w:jc w:val="both"/>
        <w:rPr>
          <w:rFonts w:ascii="Arial" w:hAnsi="Arial" w:cs="Arial"/>
          <w:sz w:val="24"/>
          <w:szCs w:val="24"/>
        </w:rPr>
      </w:pPr>
    </w:p>
    <w:p w14:paraId="60D7FDF7" w14:textId="77777777" w:rsidR="007A5911" w:rsidRPr="007A5911" w:rsidRDefault="007A5911" w:rsidP="00625A3B">
      <w:pPr>
        <w:spacing w:line="360" w:lineRule="auto"/>
        <w:jc w:val="both"/>
        <w:rPr>
          <w:rFonts w:ascii="Arial" w:hAnsi="Arial" w:cs="Arial"/>
          <w:sz w:val="24"/>
          <w:szCs w:val="24"/>
        </w:rPr>
      </w:pPr>
    </w:p>
    <w:p w14:paraId="25A63521" w14:textId="77777777" w:rsidR="007A5911" w:rsidRPr="007A5911" w:rsidRDefault="007A5911" w:rsidP="00625A3B">
      <w:pPr>
        <w:spacing w:line="360" w:lineRule="auto"/>
        <w:jc w:val="both"/>
        <w:rPr>
          <w:rFonts w:ascii="Arial" w:hAnsi="Arial" w:cs="Arial"/>
          <w:sz w:val="24"/>
          <w:szCs w:val="24"/>
        </w:rPr>
      </w:pPr>
    </w:p>
    <w:p w14:paraId="621E6CF0" w14:textId="77777777" w:rsidR="007A5911" w:rsidRPr="007A5911" w:rsidRDefault="007A5911" w:rsidP="00625A3B">
      <w:pPr>
        <w:spacing w:line="360" w:lineRule="auto"/>
        <w:jc w:val="both"/>
        <w:rPr>
          <w:rFonts w:ascii="Arial" w:hAnsi="Arial" w:cs="Arial"/>
          <w:sz w:val="24"/>
          <w:szCs w:val="24"/>
        </w:rPr>
      </w:pPr>
    </w:p>
    <w:p w14:paraId="0883CA51" w14:textId="77777777" w:rsidR="007A5911" w:rsidRPr="007A5911" w:rsidRDefault="007A5911" w:rsidP="00625A3B">
      <w:pPr>
        <w:spacing w:line="360" w:lineRule="auto"/>
        <w:jc w:val="both"/>
        <w:rPr>
          <w:rFonts w:ascii="Arial" w:hAnsi="Arial" w:cs="Arial"/>
          <w:sz w:val="24"/>
          <w:szCs w:val="24"/>
        </w:rPr>
      </w:pPr>
    </w:p>
    <w:p w14:paraId="36FFEAAE" w14:textId="10A227C1" w:rsidR="007A5911" w:rsidRPr="007A5911" w:rsidRDefault="007A5911" w:rsidP="007A5911">
      <w:pPr>
        <w:spacing w:line="360" w:lineRule="auto"/>
        <w:jc w:val="both"/>
        <w:rPr>
          <w:rFonts w:ascii="Arial" w:hAnsi="Arial" w:cs="Arial"/>
          <w:b/>
          <w:bCs/>
          <w:sz w:val="24"/>
          <w:szCs w:val="24"/>
          <w:u w:val="single"/>
        </w:rPr>
      </w:pPr>
      <w:r w:rsidRPr="007A5911">
        <w:rPr>
          <w:rFonts w:ascii="Arial" w:hAnsi="Arial" w:cs="Arial"/>
          <w:b/>
          <w:bCs/>
          <w:sz w:val="24"/>
          <w:szCs w:val="24"/>
          <w:u w:val="single"/>
        </w:rPr>
        <w:lastRenderedPageBreak/>
        <w:t>Reference List</w:t>
      </w:r>
    </w:p>
    <w:p w14:paraId="3D6BFEBF" w14:textId="17085DB7"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Atkinson and Hilgard's introduction to psychology p148</w:t>
      </w:r>
    </w:p>
    <w:p w14:paraId="576E473C" w14:textId="0FB451E0"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 xml:space="preserve">Banyard, P., Norman, C., Dillon, G., &amp; Winder., B. (2019). </w:t>
      </w:r>
      <w:r w:rsidRPr="007A5911">
        <w:rPr>
          <w:rFonts w:ascii="Arial" w:hAnsi="Arial" w:cs="Arial"/>
          <w:i/>
          <w:iCs/>
          <w:sz w:val="24"/>
          <w:szCs w:val="24"/>
        </w:rPr>
        <w:t>Essential psychology</w:t>
      </w:r>
      <w:r w:rsidRPr="007A5911">
        <w:rPr>
          <w:rFonts w:ascii="Arial" w:hAnsi="Arial" w:cs="Arial"/>
          <w:sz w:val="24"/>
          <w:szCs w:val="24"/>
        </w:rPr>
        <w:t>:  SAGE.</w:t>
      </w:r>
    </w:p>
    <w:p w14:paraId="15FCF64C" w14:textId="77777777"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 xml:space="preserve">Bater, L. R., &amp; Jordan, S. S. (2019). Selective attention. </w:t>
      </w:r>
      <w:proofErr w:type="spellStart"/>
      <w:r w:rsidRPr="007A5911">
        <w:rPr>
          <w:rFonts w:ascii="Arial" w:hAnsi="Arial" w:cs="Arial"/>
          <w:sz w:val="24"/>
          <w:szCs w:val="24"/>
        </w:rPr>
        <w:t>Encyclopedia</w:t>
      </w:r>
      <w:proofErr w:type="spellEnd"/>
      <w:r w:rsidRPr="007A5911">
        <w:rPr>
          <w:rFonts w:ascii="Arial" w:hAnsi="Arial" w:cs="Arial"/>
          <w:sz w:val="24"/>
          <w:szCs w:val="24"/>
        </w:rPr>
        <w:t xml:space="preserve"> of personality and individual differences, page 2, 3</w:t>
      </w:r>
    </w:p>
    <w:p w14:paraId="19B9ED86" w14:textId="77777777" w:rsidR="007A5911" w:rsidRPr="007A5911" w:rsidRDefault="007A5911" w:rsidP="007A5911">
      <w:pPr>
        <w:spacing w:line="360" w:lineRule="auto"/>
        <w:jc w:val="both"/>
        <w:rPr>
          <w:rFonts w:ascii="Arial" w:hAnsi="Arial" w:cs="Arial"/>
          <w:sz w:val="24"/>
          <w:szCs w:val="24"/>
          <w:shd w:val="clear" w:color="auto" w:fill="F5F5F5"/>
        </w:rPr>
      </w:pPr>
      <w:r w:rsidRPr="007A5911">
        <w:rPr>
          <w:rFonts w:ascii="Arial" w:hAnsi="Arial" w:cs="Arial"/>
          <w:sz w:val="24"/>
          <w:szCs w:val="24"/>
          <w:shd w:val="clear" w:color="auto" w:fill="F5F5F5"/>
        </w:rPr>
        <w:t>Elizabeth Styles. (2006). </w:t>
      </w:r>
      <w:r w:rsidRPr="007A5911">
        <w:rPr>
          <w:rFonts w:ascii="Arial" w:hAnsi="Arial" w:cs="Arial"/>
          <w:i/>
          <w:iCs/>
          <w:sz w:val="24"/>
          <w:szCs w:val="24"/>
          <w:bdr w:val="none" w:sz="0" w:space="0" w:color="auto" w:frame="1"/>
          <w:shd w:val="clear" w:color="auto" w:fill="F5F5F5"/>
        </w:rPr>
        <w:t>The Psychology of Attention: Vol. 2nd ed</w:t>
      </w:r>
      <w:r w:rsidRPr="007A5911">
        <w:rPr>
          <w:rFonts w:ascii="Arial" w:hAnsi="Arial" w:cs="Arial"/>
          <w:sz w:val="24"/>
          <w:szCs w:val="24"/>
          <w:shd w:val="clear" w:color="auto" w:fill="F5F5F5"/>
        </w:rPr>
        <w:t>. Psychology Press.</w:t>
      </w:r>
    </w:p>
    <w:p w14:paraId="2B665768" w14:textId="77777777" w:rsidR="007A5911" w:rsidRPr="007A5911" w:rsidRDefault="007A5911" w:rsidP="007A5911">
      <w:pPr>
        <w:spacing w:line="360" w:lineRule="auto"/>
        <w:jc w:val="both"/>
        <w:rPr>
          <w:rFonts w:ascii="Arial" w:hAnsi="Arial" w:cs="Arial"/>
          <w:i/>
          <w:iCs/>
          <w:sz w:val="24"/>
          <w:szCs w:val="24"/>
        </w:rPr>
      </w:pPr>
      <w:proofErr w:type="spellStart"/>
      <w:r w:rsidRPr="007A5911">
        <w:rPr>
          <w:rFonts w:ascii="Arial" w:hAnsi="Arial" w:cs="Arial"/>
          <w:sz w:val="24"/>
          <w:szCs w:val="24"/>
        </w:rPr>
        <w:t>Eysneck</w:t>
      </w:r>
      <w:proofErr w:type="spellEnd"/>
      <w:r w:rsidRPr="007A5911">
        <w:rPr>
          <w:rFonts w:ascii="Arial" w:hAnsi="Arial" w:cs="Arial"/>
          <w:sz w:val="24"/>
          <w:szCs w:val="24"/>
        </w:rPr>
        <w:t xml:space="preserve">, Michael W, and Mark T. Keane. </w:t>
      </w:r>
      <w:r w:rsidRPr="007A5911">
        <w:rPr>
          <w:rFonts w:ascii="Arial" w:hAnsi="Arial" w:cs="Arial"/>
          <w:i/>
          <w:iCs/>
          <w:sz w:val="24"/>
          <w:szCs w:val="24"/>
        </w:rPr>
        <w:t xml:space="preserve">Cognitive Psychology; A Student’s Handbook, Taylor and </w:t>
      </w:r>
      <w:proofErr w:type="spellStart"/>
      <w:r w:rsidRPr="007A5911">
        <w:rPr>
          <w:rFonts w:ascii="Arial" w:hAnsi="Arial" w:cs="Arial"/>
          <w:i/>
          <w:iCs/>
          <w:sz w:val="24"/>
          <w:szCs w:val="24"/>
        </w:rPr>
        <w:t>francis</w:t>
      </w:r>
      <w:proofErr w:type="spellEnd"/>
      <w:r w:rsidRPr="007A5911">
        <w:rPr>
          <w:rFonts w:ascii="Arial" w:hAnsi="Arial" w:cs="Arial"/>
          <w:i/>
          <w:iCs/>
          <w:sz w:val="24"/>
          <w:szCs w:val="24"/>
        </w:rPr>
        <w:t xml:space="preserve"> Group, 2020. ProQuest </w:t>
      </w:r>
      <w:proofErr w:type="spellStart"/>
      <w:r w:rsidRPr="007A5911">
        <w:rPr>
          <w:rFonts w:ascii="Arial" w:hAnsi="Arial" w:cs="Arial"/>
          <w:i/>
          <w:iCs/>
          <w:sz w:val="24"/>
          <w:szCs w:val="24"/>
        </w:rPr>
        <w:t>Ebook</w:t>
      </w:r>
      <w:proofErr w:type="spellEnd"/>
      <w:r w:rsidRPr="007A5911">
        <w:rPr>
          <w:rFonts w:ascii="Arial" w:hAnsi="Arial" w:cs="Arial"/>
          <w:i/>
          <w:iCs/>
          <w:sz w:val="24"/>
          <w:szCs w:val="24"/>
        </w:rPr>
        <w:t xml:space="preserve"> Central , </w:t>
      </w:r>
      <w:hyperlink r:id="rId4" w:history="1">
        <w:r w:rsidRPr="007A5911">
          <w:rPr>
            <w:rStyle w:val="Hyperlink"/>
            <w:rFonts w:ascii="Arial" w:hAnsi="Arial" w:cs="Arial"/>
            <w:i/>
            <w:iCs/>
            <w:color w:val="auto"/>
            <w:sz w:val="24"/>
            <w:szCs w:val="24"/>
          </w:rPr>
          <w:t>https://ebookcentral.proquest.com?lib?trinity?detail.action?docID=6130927</w:t>
        </w:r>
      </w:hyperlink>
      <w:r w:rsidRPr="007A5911">
        <w:rPr>
          <w:rFonts w:ascii="Arial" w:hAnsi="Arial" w:cs="Arial"/>
          <w:i/>
          <w:iCs/>
          <w:sz w:val="24"/>
          <w:szCs w:val="24"/>
        </w:rPr>
        <w:t xml:space="preserve"> page 41</w:t>
      </w:r>
    </w:p>
    <w:p w14:paraId="578F1513" w14:textId="77777777"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 xml:space="preserve">Kastner, Sabine., Nobre, Kia. (2014). </w:t>
      </w:r>
      <w:r w:rsidRPr="007A5911">
        <w:rPr>
          <w:rFonts w:ascii="Arial" w:hAnsi="Arial" w:cs="Arial"/>
          <w:i/>
          <w:iCs/>
          <w:sz w:val="24"/>
          <w:szCs w:val="24"/>
        </w:rPr>
        <w:t>The Oxford handbook of attention. Oxford University Press</w:t>
      </w:r>
      <w:r w:rsidRPr="007A5911">
        <w:rPr>
          <w:rFonts w:ascii="Arial" w:hAnsi="Arial" w:cs="Arial"/>
          <w:sz w:val="24"/>
          <w:szCs w:val="24"/>
        </w:rPr>
        <w:t>. Page 57</w:t>
      </w:r>
    </w:p>
    <w:p w14:paraId="1A5C32F3" w14:textId="77777777"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Treisman, A. M (1969). Strategies and models of selective attention. Psychological Review, 76(3), 282-299. https:??doi.org?10.1037?h0027242 Page 282</w:t>
      </w:r>
    </w:p>
    <w:p w14:paraId="5E1B44D4" w14:textId="77777777" w:rsidR="007A5911" w:rsidRPr="007A5911" w:rsidRDefault="007A5911" w:rsidP="007A5911">
      <w:pPr>
        <w:spacing w:line="360" w:lineRule="auto"/>
        <w:jc w:val="both"/>
        <w:rPr>
          <w:rFonts w:ascii="Arial" w:hAnsi="Arial" w:cs="Arial"/>
          <w:sz w:val="24"/>
          <w:szCs w:val="24"/>
        </w:rPr>
      </w:pPr>
      <w:r w:rsidRPr="007A5911">
        <w:rPr>
          <w:rFonts w:ascii="Arial" w:hAnsi="Arial" w:cs="Arial"/>
          <w:sz w:val="24"/>
          <w:szCs w:val="24"/>
        </w:rPr>
        <w:t xml:space="preserve">Yantis S. (2014). Sensation and perception. Worth. Page 263  </w:t>
      </w:r>
    </w:p>
    <w:p w14:paraId="2C373277" w14:textId="77777777" w:rsidR="007A5911" w:rsidRPr="007A5911" w:rsidRDefault="007A5911" w:rsidP="007A5911"/>
    <w:p w14:paraId="5530009B" w14:textId="77777777" w:rsidR="007A5911" w:rsidRPr="007A5911" w:rsidRDefault="007A5911" w:rsidP="00625A3B">
      <w:pPr>
        <w:spacing w:line="360" w:lineRule="auto"/>
        <w:jc w:val="both"/>
        <w:rPr>
          <w:rFonts w:ascii="Arial" w:hAnsi="Arial" w:cs="Arial"/>
          <w:sz w:val="24"/>
          <w:szCs w:val="24"/>
        </w:rPr>
      </w:pPr>
    </w:p>
    <w:p w14:paraId="6DAEF763" w14:textId="77777777" w:rsidR="007961F5" w:rsidRPr="007A5911" w:rsidRDefault="007961F5" w:rsidP="00625A3B">
      <w:pPr>
        <w:spacing w:line="360" w:lineRule="auto"/>
        <w:jc w:val="both"/>
        <w:rPr>
          <w:rFonts w:ascii="Arial" w:hAnsi="Arial" w:cs="Arial"/>
          <w:sz w:val="24"/>
          <w:szCs w:val="24"/>
        </w:rPr>
      </w:pPr>
    </w:p>
    <w:sectPr w:rsidR="007961F5" w:rsidRPr="007A5911">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2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200247B" w:usb2="00000009" w:usb3="00000000" w:csb0="000001F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4B496F"/>
    <w:rsid w:val="000F0F75"/>
    <w:rsid w:val="001567CE"/>
    <w:rsid w:val="00157F50"/>
    <w:rsid w:val="0017762A"/>
    <w:rsid w:val="0018561F"/>
    <w:rsid w:val="001A0A0F"/>
    <w:rsid w:val="001A55E9"/>
    <w:rsid w:val="001B3E28"/>
    <w:rsid w:val="001E0EDE"/>
    <w:rsid w:val="001F2BD3"/>
    <w:rsid w:val="001F716A"/>
    <w:rsid w:val="00220203"/>
    <w:rsid w:val="002936DD"/>
    <w:rsid w:val="00354EC0"/>
    <w:rsid w:val="00356C9E"/>
    <w:rsid w:val="00382754"/>
    <w:rsid w:val="003D36AE"/>
    <w:rsid w:val="003E50C7"/>
    <w:rsid w:val="004038F0"/>
    <w:rsid w:val="004056E4"/>
    <w:rsid w:val="00416F76"/>
    <w:rsid w:val="00427C4E"/>
    <w:rsid w:val="004372AA"/>
    <w:rsid w:val="00447B81"/>
    <w:rsid w:val="0045748A"/>
    <w:rsid w:val="00467B5C"/>
    <w:rsid w:val="004B496F"/>
    <w:rsid w:val="00505FC7"/>
    <w:rsid w:val="00566168"/>
    <w:rsid w:val="005713C2"/>
    <w:rsid w:val="005B107A"/>
    <w:rsid w:val="005D7A47"/>
    <w:rsid w:val="006210A3"/>
    <w:rsid w:val="00625A3B"/>
    <w:rsid w:val="00627A56"/>
    <w:rsid w:val="006355A3"/>
    <w:rsid w:val="00646DDC"/>
    <w:rsid w:val="006608BA"/>
    <w:rsid w:val="0068568C"/>
    <w:rsid w:val="006C38BC"/>
    <w:rsid w:val="006D6DAD"/>
    <w:rsid w:val="0071180C"/>
    <w:rsid w:val="007141CD"/>
    <w:rsid w:val="007501B3"/>
    <w:rsid w:val="007517A2"/>
    <w:rsid w:val="007961F5"/>
    <w:rsid w:val="007A5911"/>
    <w:rsid w:val="007F6080"/>
    <w:rsid w:val="00813450"/>
    <w:rsid w:val="00823100"/>
    <w:rsid w:val="00845074"/>
    <w:rsid w:val="008970DA"/>
    <w:rsid w:val="008C6EC7"/>
    <w:rsid w:val="00903DF2"/>
    <w:rsid w:val="009072EF"/>
    <w:rsid w:val="00916660"/>
    <w:rsid w:val="009C0F19"/>
    <w:rsid w:val="00A473B0"/>
    <w:rsid w:val="00A63323"/>
    <w:rsid w:val="00A96030"/>
    <w:rsid w:val="00AA61B2"/>
    <w:rsid w:val="00AE1F6C"/>
    <w:rsid w:val="00AE5806"/>
    <w:rsid w:val="00AF64B2"/>
    <w:rsid w:val="00B02D52"/>
    <w:rsid w:val="00B40040"/>
    <w:rsid w:val="00BD7371"/>
    <w:rsid w:val="00BF5425"/>
    <w:rsid w:val="00C14748"/>
    <w:rsid w:val="00C22B5D"/>
    <w:rsid w:val="00C44F94"/>
    <w:rsid w:val="00C736D9"/>
    <w:rsid w:val="00CC55B4"/>
    <w:rsid w:val="00CC62D9"/>
    <w:rsid w:val="00CD5A37"/>
    <w:rsid w:val="00D15C0A"/>
    <w:rsid w:val="00D36693"/>
    <w:rsid w:val="00D85311"/>
    <w:rsid w:val="00D86872"/>
    <w:rsid w:val="00D9341A"/>
    <w:rsid w:val="00DD588C"/>
    <w:rsid w:val="00E5485A"/>
    <w:rsid w:val="00E72AF9"/>
    <w:rsid w:val="00EC7182"/>
    <w:rsid w:val="00EF2D04"/>
    <w:rsid w:val="00F16CC1"/>
    <w:rsid w:val="00FB69CE"/>
    <w:rsid w:val="00FF02EB"/>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D7130C7"/>
  <w15:docId w15:val="{A35D00A6-A1B3-4EE4-A890-74FF2FFCEF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7A5911"/>
    <w:rPr>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hyperlink" Target="https://ebookcentral.proquest.com?lib?trinity?detail.action?docID=6130927"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3</TotalTime>
  <Pages>6</Pages>
  <Words>1761</Words>
  <Characters>10044</Characters>
  <Application>Microsoft Office Word</Application>
  <DocSecurity>0</DocSecurity>
  <Lines>83</Lines>
  <Paragraphs>23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11782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Steffan Jones</dc:creator>
  <cp:keywords/>
  <dc:description/>
  <cp:lastModifiedBy>Steffan Jones</cp:lastModifiedBy>
  <cp:revision>2</cp:revision>
  <dcterms:created xsi:type="dcterms:W3CDTF">2023-11-28T23:58:00Z</dcterms:created>
  <dcterms:modified xsi:type="dcterms:W3CDTF">2023-11-28T23:58:00Z</dcterms:modified>
</cp:coreProperties>
</file>