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978BCB" w14:textId="77777777" w:rsidR="00DE0216" w:rsidRDefault="00DE0216" w:rsidP="00532BA9">
      <w:pPr>
        <w:spacing w:line="360" w:lineRule="auto"/>
        <w:jc w:val="center"/>
        <w:rPr>
          <w:rFonts w:ascii="Arial" w:hAnsi="Arial" w:cs="Arial"/>
          <w:b/>
          <w:bCs/>
          <w:sz w:val="40"/>
          <w:szCs w:val="40"/>
        </w:rPr>
      </w:pPr>
      <w:r>
        <w:rPr>
          <w:rFonts w:ascii="Arial" w:hAnsi="Arial" w:cs="Arial"/>
          <w:b/>
          <w:bCs/>
          <w:noProof/>
          <w:sz w:val="28"/>
          <w:szCs w:val="28"/>
          <w:u w:val="single"/>
        </w:rPr>
        <w:drawing>
          <wp:inline distT="0" distB="0" distL="0" distR="0" wp14:anchorId="07FF9CAA" wp14:editId="7429ECF0">
            <wp:extent cx="4290060" cy="1737360"/>
            <wp:effectExtent l="0" t="0" r="0" b="0"/>
            <wp:docPr id="2082003052" name="Picture 6"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003052" name="Picture 6" descr="A black text on a white background&#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290060" cy="1737360"/>
                    </a:xfrm>
                    <a:prstGeom prst="rect">
                      <a:avLst/>
                    </a:prstGeom>
                  </pic:spPr>
                </pic:pic>
              </a:graphicData>
            </a:graphic>
          </wp:inline>
        </w:drawing>
      </w:r>
    </w:p>
    <w:p w14:paraId="09526D9F" w14:textId="77777777" w:rsidR="00DE0216" w:rsidRDefault="00DE0216" w:rsidP="00532BA9">
      <w:pPr>
        <w:spacing w:line="360" w:lineRule="auto"/>
        <w:jc w:val="center"/>
        <w:rPr>
          <w:rFonts w:ascii="Arial" w:hAnsi="Arial" w:cs="Arial"/>
          <w:b/>
          <w:bCs/>
          <w:sz w:val="40"/>
          <w:szCs w:val="40"/>
        </w:rPr>
      </w:pPr>
    </w:p>
    <w:p w14:paraId="573EF3E2" w14:textId="74DACF5F" w:rsidR="00385CB2" w:rsidRPr="00532BA9" w:rsidRDefault="00385CB2" w:rsidP="00532BA9">
      <w:pPr>
        <w:spacing w:line="360" w:lineRule="auto"/>
        <w:jc w:val="center"/>
        <w:rPr>
          <w:rFonts w:ascii="Arial" w:hAnsi="Arial" w:cs="Arial"/>
          <w:b/>
          <w:bCs/>
          <w:sz w:val="40"/>
          <w:szCs w:val="40"/>
        </w:rPr>
      </w:pPr>
      <w:r w:rsidRPr="00532BA9">
        <w:rPr>
          <w:rFonts w:ascii="Arial" w:hAnsi="Arial" w:cs="Arial"/>
          <w:b/>
          <w:bCs/>
          <w:sz w:val="40"/>
          <w:szCs w:val="40"/>
        </w:rPr>
        <w:t>Student Name: At</w:t>
      </w:r>
      <w:r w:rsidR="00E15649" w:rsidRPr="00532BA9">
        <w:rPr>
          <w:rFonts w:ascii="Arial" w:hAnsi="Arial" w:cs="Arial"/>
          <w:b/>
          <w:bCs/>
          <w:sz w:val="40"/>
          <w:szCs w:val="40"/>
        </w:rPr>
        <w:t>a</w:t>
      </w:r>
      <w:r w:rsidRPr="00532BA9">
        <w:rPr>
          <w:rFonts w:ascii="Arial" w:hAnsi="Arial" w:cs="Arial"/>
          <w:b/>
          <w:bCs/>
          <w:sz w:val="40"/>
          <w:szCs w:val="40"/>
        </w:rPr>
        <w:t>f Rashid</w:t>
      </w:r>
    </w:p>
    <w:p w14:paraId="251F14BF" w14:textId="0ADBF897" w:rsidR="00385CB2" w:rsidRPr="00532BA9" w:rsidRDefault="00385CB2" w:rsidP="00532BA9">
      <w:pPr>
        <w:spacing w:line="360" w:lineRule="auto"/>
        <w:jc w:val="center"/>
        <w:rPr>
          <w:rFonts w:ascii="Arial" w:hAnsi="Arial" w:cs="Arial"/>
          <w:b/>
          <w:bCs/>
          <w:sz w:val="40"/>
          <w:szCs w:val="40"/>
        </w:rPr>
      </w:pPr>
      <w:r w:rsidRPr="00532BA9">
        <w:rPr>
          <w:rFonts w:ascii="Arial" w:hAnsi="Arial" w:cs="Arial"/>
          <w:b/>
          <w:bCs/>
          <w:sz w:val="40"/>
          <w:szCs w:val="40"/>
        </w:rPr>
        <w:t>Student ID:</w:t>
      </w:r>
      <w:r w:rsidR="00E95843">
        <w:rPr>
          <w:rFonts w:ascii="Arial" w:hAnsi="Arial" w:cs="Arial"/>
          <w:b/>
          <w:bCs/>
          <w:sz w:val="40"/>
          <w:szCs w:val="40"/>
        </w:rPr>
        <w:t xml:space="preserve"> 2434316</w:t>
      </w:r>
    </w:p>
    <w:p w14:paraId="346BAF97" w14:textId="32750E57" w:rsidR="00385CB2" w:rsidRPr="00532BA9" w:rsidRDefault="00385CB2" w:rsidP="00532BA9">
      <w:pPr>
        <w:spacing w:line="360" w:lineRule="auto"/>
        <w:jc w:val="center"/>
        <w:rPr>
          <w:rFonts w:ascii="Arial" w:hAnsi="Arial" w:cs="Arial"/>
          <w:b/>
          <w:bCs/>
          <w:sz w:val="40"/>
          <w:szCs w:val="40"/>
        </w:rPr>
      </w:pPr>
      <w:r w:rsidRPr="00532BA9">
        <w:rPr>
          <w:rFonts w:ascii="Arial" w:hAnsi="Arial" w:cs="Arial"/>
          <w:b/>
          <w:bCs/>
          <w:sz w:val="40"/>
          <w:szCs w:val="40"/>
        </w:rPr>
        <w:t xml:space="preserve">Assignment </w:t>
      </w:r>
      <w:r w:rsidR="009A4984" w:rsidRPr="00532BA9">
        <w:rPr>
          <w:rFonts w:ascii="Arial" w:hAnsi="Arial" w:cs="Arial"/>
          <w:b/>
          <w:bCs/>
          <w:sz w:val="40"/>
          <w:szCs w:val="40"/>
        </w:rPr>
        <w:t>title</w:t>
      </w:r>
      <w:r w:rsidRPr="00532BA9">
        <w:rPr>
          <w:rFonts w:ascii="Arial" w:hAnsi="Arial" w:cs="Arial"/>
          <w:b/>
          <w:bCs/>
          <w:sz w:val="40"/>
          <w:szCs w:val="40"/>
        </w:rPr>
        <w:t>: Portfolio - Two tasks</w:t>
      </w:r>
    </w:p>
    <w:p w14:paraId="223C0348" w14:textId="3880543C" w:rsidR="00385CB2" w:rsidRPr="00532BA9" w:rsidRDefault="00385CB2" w:rsidP="00532BA9">
      <w:pPr>
        <w:spacing w:line="360" w:lineRule="auto"/>
        <w:jc w:val="center"/>
        <w:rPr>
          <w:rFonts w:ascii="Arial" w:hAnsi="Arial" w:cs="Arial"/>
          <w:b/>
          <w:bCs/>
          <w:sz w:val="40"/>
          <w:szCs w:val="40"/>
        </w:rPr>
      </w:pPr>
      <w:r w:rsidRPr="00532BA9">
        <w:rPr>
          <w:rFonts w:ascii="Arial" w:hAnsi="Arial" w:cs="Arial"/>
          <w:b/>
          <w:bCs/>
          <w:sz w:val="40"/>
          <w:szCs w:val="40"/>
        </w:rPr>
        <w:t xml:space="preserve">Module: Introduction to </w:t>
      </w:r>
      <w:r w:rsidR="004E1C48">
        <w:rPr>
          <w:rFonts w:ascii="Arial" w:hAnsi="Arial" w:cs="Arial"/>
          <w:b/>
          <w:bCs/>
          <w:sz w:val="40"/>
          <w:szCs w:val="40"/>
        </w:rPr>
        <w:t>H</w:t>
      </w:r>
      <w:r w:rsidRPr="00532BA9">
        <w:rPr>
          <w:rFonts w:ascii="Arial" w:hAnsi="Arial" w:cs="Arial"/>
          <w:b/>
          <w:bCs/>
          <w:sz w:val="40"/>
          <w:szCs w:val="40"/>
        </w:rPr>
        <w:t xml:space="preserve">ealth and </w:t>
      </w:r>
      <w:r w:rsidR="004E1C48">
        <w:rPr>
          <w:rFonts w:ascii="Arial" w:hAnsi="Arial" w:cs="Arial"/>
          <w:b/>
          <w:bCs/>
          <w:sz w:val="40"/>
          <w:szCs w:val="40"/>
        </w:rPr>
        <w:t>S</w:t>
      </w:r>
      <w:r w:rsidRPr="00532BA9">
        <w:rPr>
          <w:rFonts w:ascii="Arial" w:hAnsi="Arial" w:cs="Arial"/>
          <w:b/>
          <w:bCs/>
          <w:sz w:val="40"/>
          <w:szCs w:val="40"/>
        </w:rPr>
        <w:t xml:space="preserve">ocial </w:t>
      </w:r>
      <w:r w:rsidR="004E1C48">
        <w:rPr>
          <w:rFonts w:ascii="Arial" w:hAnsi="Arial" w:cs="Arial"/>
          <w:b/>
          <w:bCs/>
          <w:sz w:val="40"/>
          <w:szCs w:val="40"/>
        </w:rPr>
        <w:t>C</w:t>
      </w:r>
      <w:r w:rsidRPr="00532BA9">
        <w:rPr>
          <w:rFonts w:ascii="Arial" w:hAnsi="Arial" w:cs="Arial"/>
          <w:b/>
          <w:bCs/>
          <w:sz w:val="40"/>
          <w:szCs w:val="40"/>
        </w:rPr>
        <w:t>are</w:t>
      </w:r>
    </w:p>
    <w:p w14:paraId="7356A94F" w14:textId="77777777" w:rsidR="00385CB2" w:rsidRPr="00532BA9" w:rsidRDefault="00385CB2" w:rsidP="00532BA9">
      <w:pPr>
        <w:spacing w:line="360" w:lineRule="auto"/>
        <w:jc w:val="center"/>
        <w:rPr>
          <w:rFonts w:ascii="Arial" w:hAnsi="Arial" w:cs="Arial"/>
          <w:b/>
          <w:bCs/>
          <w:sz w:val="40"/>
          <w:szCs w:val="40"/>
          <w:lang w:val="fr-FR"/>
        </w:rPr>
      </w:pPr>
      <w:r w:rsidRPr="00532BA9">
        <w:rPr>
          <w:rFonts w:ascii="Arial" w:hAnsi="Arial" w:cs="Arial"/>
          <w:b/>
          <w:bCs/>
          <w:sz w:val="40"/>
          <w:szCs w:val="40"/>
          <w:lang w:val="fr-FR"/>
        </w:rPr>
        <w:t>Module code: LCHS4003</w:t>
      </w:r>
    </w:p>
    <w:p w14:paraId="5EAA38D4" w14:textId="059BABEA" w:rsidR="00385CB2" w:rsidRPr="00532BA9" w:rsidRDefault="00385CB2" w:rsidP="00532BA9">
      <w:pPr>
        <w:spacing w:line="360" w:lineRule="auto"/>
        <w:jc w:val="center"/>
        <w:rPr>
          <w:rFonts w:ascii="Arial" w:hAnsi="Arial" w:cs="Arial"/>
          <w:b/>
          <w:bCs/>
          <w:sz w:val="40"/>
          <w:szCs w:val="40"/>
          <w:lang w:val="fr-FR"/>
        </w:rPr>
      </w:pPr>
      <w:r w:rsidRPr="00532BA9">
        <w:rPr>
          <w:rFonts w:ascii="Arial" w:hAnsi="Arial" w:cs="Arial"/>
          <w:b/>
          <w:bCs/>
          <w:sz w:val="40"/>
          <w:szCs w:val="40"/>
          <w:lang w:val="fr-FR"/>
        </w:rPr>
        <w:t xml:space="preserve">Lecturer: </w:t>
      </w:r>
      <w:r w:rsidR="009A4984" w:rsidRPr="00532BA9">
        <w:rPr>
          <w:rFonts w:ascii="Arial" w:hAnsi="Arial" w:cs="Arial"/>
          <w:b/>
          <w:bCs/>
          <w:sz w:val="40"/>
          <w:szCs w:val="40"/>
          <w:lang w:val="fr-FR"/>
        </w:rPr>
        <w:t>Aishat Bakre</w:t>
      </w:r>
    </w:p>
    <w:p w14:paraId="4353040B" w14:textId="77777777" w:rsidR="00385CB2" w:rsidRPr="00385CB2" w:rsidRDefault="00385CB2" w:rsidP="00385CB2">
      <w:pPr>
        <w:rPr>
          <w:lang w:val="fr-FR"/>
        </w:rPr>
      </w:pPr>
    </w:p>
    <w:p w14:paraId="62CEEA78" w14:textId="77777777" w:rsidR="00385CB2" w:rsidRPr="00385CB2" w:rsidRDefault="00385CB2" w:rsidP="00385CB2">
      <w:pPr>
        <w:rPr>
          <w:lang w:val="fr-FR"/>
        </w:rPr>
      </w:pPr>
    </w:p>
    <w:p w14:paraId="3705DA95" w14:textId="77777777" w:rsidR="00385CB2" w:rsidRPr="00385CB2" w:rsidRDefault="00385CB2" w:rsidP="00385CB2">
      <w:pPr>
        <w:rPr>
          <w:lang w:val="fr-FR"/>
        </w:rPr>
      </w:pPr>
    </w:p>
    <w:p w14:paraId="769F4990" w14:textId="2BA0CB27" w:rsidR="00385CB2" w:rsidRPr="00385CB2" w:rsidRDefault="00385CB2" w:rsidP="00385CB2">
      <w:pPr>
        <w:rPr>
          <w:lang w:val="fr-FR"/>
        </w:rPr>
      </w:pPr>
    </w:p>
    <w:p w14:paraId="57D6056F" w14:textId="48B0277A" w:rsidR="00385CB2" w:rsidRPr="00385CB2" w:rsidRDefault="00385CB2" w:rsidP="00385CB2">
      <w:pPr>
        <w:rPr>
          <w:lang w:val="fr-FR"/>
        </w:rPr>
      </w:pPr>
    </w:p>
    <w:p w14:paraId="489B515C" w14:textId="24AFBEB5" w:rsidR="00385CB2" w:rsidRPr="00385CB2" w:rsidRDefault="00385CB2" w:rsidP="00385CB2">
      <w:pPr>
        <w:rPr>
          <w:lang w:val="fr-FR"/>
        </w:rPr>
      </w:pPr>
    </w:p>
    <w:p w14:paraId="098D0EB1" w14:textId="77777777" w:rsidR="00385CB2" w:rsidRPr="00385CB2" w:rsidRDefault="00385CB2" w:rsidP="00385CB2">
      <w:pPr>
        <w:rPr>
          <w:lang w:val="fr-FR"/>
        </w:rPr>
      </w:pPr>
    </w:p>
    <w:p w14:paraId="03794EBB" w14:textId="77777777" w:rsidR="00385CB2" w:rsidRPr="00385CB2" w:rsidRDefault="00385CB2" w:rsidP="00385CB2">
      <w:pPr>
        <w:rPr>
          <w:lang w:val="fr-FR"/>
        </w:rPr>
      </w:pPr>
    </w:p>
    <w:p w14:paraId="5FCE18C6" w14:textId="77777777" w:rsidR="00385CB2" w:rsidRPr="00385CB2" w:rsidRDefault="00385CB2" w:rsidP="00385CB2">
      <w:pPr>
        <w:rPr>
          <w:lang w:val="fr-FR"/>
        </w:rPr>
      </w:pPr>
    </w:p>
    <w:p w14:paraId="60E0A97D" w14:textId="77777777" w:rsidR="00DE0216" w:rsidRDefault="00DE0216" w:rsidP="00D35555">
      <w:pPr>
        <w:jc w:val="center"/>
        <w:rPr>
          <w:lang w:val="fr-FR"/>
        </w:rPr>
      </w:pPr>
    </w:p>
    <w:p w14:paraId="6F7A0FDD" w14:textId="25D30664" w:rsidR="00385CB2" w:rsidRPr="005C6617" w:rsidRDefault="00D35555" w:rsidP="00D35555">
      <w:pPr>
        <w:jc w:val="center"/>
        <w:rPr>
          <w:rFonts w:ascii="Arial" w:hAnsi="Arial" w:cs="Arial"/>
          <w:b/>
          <w:bCs/>
          <w:sz w:val="28"/>
          <w:szCs w:val="28"/>
          <w:u w:val="single"/>
        </w:rPr>
      </w:pPr>
      <w:r w:rsidRPr="005C6617">
        <w:rPr>
          <w:rFonts w:ascii="Arial" w:hAnsi="Arial" w:cs="Arial"/>
          <w:b/>
          <w:bCs/>
          <w:sz w:val="28"/>
          <w:szCs w:val="28"/>
          <w:u w:val="single"/>
        </w:rPr>
        <w:lastRenderedPageBreak/>
        <w:t>Task 1: Poster</w:t>
      </w:r>
    </w:p>
    <w:p w14:paraId="38BF7C5C" w14:textId="07D7C3A1" w:rsidR="00385CB2" w:rsidRPr="005C6617" w:rsidRDefault="00E95D43" w:rsidP="00385CB2">
      <w:r>
        <w:rPr>
          <w:noProof/>
        </w:rPr>
        <w:drawing>
          <wp:inline distT="0" distB="0" distL="0" distR="0" wp14:anchorId="7B78ACAF" wp14:editId="63783776">
            <wp:extent cx="5731510" cy="8115300"/>
            <wp:effectExtent l="0" t="0" r="2540" b="0"/>
            <wp:docPr id="8100354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035478"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8115300"/>
                    </a:xfrm>
                    <a:prstGeom prst="rect">
                      <a:avLst/>
                    </a:prstGeom>
                  </pic:spPr>
                </pic:pic>
              </a:graphicData>
            </a:graphic>
          </wp:inline>
        </w:drawing>
      </w:r>
    </w:p>
    <w:p w14:paraId="30A5684B" w14:textId="77777777" w:rsidR="00F709A4" w:rsidRDefault="00F709A4" w:rsidP="00385CB2">
      <w:pPr>
        <w:spacing w:line="360" w:lineRule="auto"/>
        <w:rPr>
          <w:rFonts w:ascii="Arial" w:hAnsi="Arial" w:cs="Arial"/>
          <w:b/>
          <w:bCs/>
          <w:sz w:val="22"/>
          <w:szCs w:val="22"/>
        </w:rPr>
      </w:pPr>
    </w:p>
    <w:p w14:paraId="79D5CC01" w14:textId="0BD330F6" w:rsidR="00385CB2" w:rsidRPr="00B13C38" w:rsidRDefault="00385CB2" w:rsidP="00F709A4">
      <w:pPr>
        <w:spacing w:line="360" w:lineRule="auto"/>
        <w:jc w:val="center"/>
        <w:rPr>
          <w:rFonts w:ascii="Arial" w:hAnsi="Arial" w:cs="Arial"/>
          <w:b/>
          <w:bCs/>
          <w:sz w:val="28"/>
          <w:szCs w:val="28"/>
          <w:u w:val="single"/>
        </w:rPr>
      </w:pPr>
      <w:r w:rsidRPr="00B13C38">
        <w:rPr>
          <w:rFonts w:ascii="Arial" w:hAnsi="Arial" w:cs="Arial"/>
          <w:b/>
          <w:bCs/>
          <w:sz w:val="28"/>
          <w:szCs w:val="28"/>
          <w:u w:val="single"/>
        </w:rPr>
        <w:lastRenderedPageBreak/>
        <w:t>Task 2: Essay</w:t>
      </w:r>
    </w:p>
    <w:p w14:paraId="1F21290B" w14:textId="77777777" w:rsidR="00F709A4" w:rsidRPr="00F709A4" w:rsidRDefault="00F709A4" w:rsidP="00F709A4">
      <w:pPr>
        <w:spacing w:line="360" w:lineRule="auto"/>
        <w:jc w:val="center"/>
        <w:rPr>
          <w:rFonts w:ascii="Arial" w:hAnsi="Arial" w:cs="Arial"/>
          <w:b/>
          <w:bCs/>
          <w:u w:val="single"/>
        </w:rPr>
      </w:pPr>
    </w:p>
    <w:p w14:paraId="1A00336F" w14:textId="77777777" w:rsidR="00385CB2" w:rsidRPr="00F709A4" w:rsidRDefault="00385CB2" w:rsidP="00F709A4">
      <w:pPr>
        <w:spacing w:line="360" w:lineRule="auto"/>
        <w:rPr>
          <w:rFonts w:ascii="Arial" w:hAnsi="Arial" w:cs="Arial"/>
          <w:b/>
          <w:bCs/>
        </w:rPr>
      </w:pPr>
      <w:r w:rsidRPr="00F709A4">
        <w:rPr>
          <w:rFonts w:ascii="Arial" w:hAnsi="Arial" w:cs="Arial"/>
          <w:b/>
          <w:bCs/>
        </w:rPr>
        <w:t>The Origins and Current Functioning of the National Health Service (NHS)</w:t>
      </w:r>
    </w:p>
    <w:p w14:paraId="6CD02FAD" w14:textId="71E842B9" w:rsidR="00385CB2" w:rsidRDefault="00385CB2" w:rsidP="00F709A4">
      <w:pPr>
        <w:spacing w:line="360" w:lineRule="auto"/>
        <w:rPr>
          <w:rFonts w:ascii="Arial" w:hAnsi="Arial" w:cs="Arial"/>
        </w:rPr>
      </w:pPr>
      <w:r w:rsidRPr="00F709A4">
        <w:rPr>
          <w:rFonts w:ascii="Arial" w:hAnsi="Arial" w:cs="Arial"/>
        </w:rPr>
        <w:t xml:space="preserve">The National Health Service (NHS), established in 1948, represents one of the most significant milestones in British social policy and healthcare reform. Its origins are rooted in the historical context of interwar and </w:t>
      </w:r>
      <w:r w:rsidR="003661FF" w:rsidRPr="00F709A4">
        <w:rPr>
          <w:rFonts w:ascii="Arial" w:hAnsi="Arial" w:cs="Arial"/>
        </w:rPr>
        <w:t xml:space="preserve">post-World War II </w:t>
      </w:r>
      <w:r w:rsidRPr="00F709A4">
        <w:rPr>
          <w:rFonts w:ascii="Arial" w:hAnsi="Arial" w:cs="Arial"/>
        </w:rPr>
        <w:t>Britain, when widespread social inequalities in health and access to medical services became increasingly evident. The creation of the NHS was underpinned by principles of universality, comprehensiveness, and carefree at the point of use, funded through taxation.</w:t>
      </w:r>
    </w:p>
    <w:p w14:paraId="26C4BF50" w14:textId="77777777" w:rsidR="00C96DCC" w:rsidRPr="00F709A4" w:rsidRDefault="00C96DCC" w:rsidP="00F709A4">
      <w:pPr>
        <w:spacing w:line="360" w:lineRule="auto"/>
        <w:rPr>
          <w:rFonts w:ascii="Arial" w:hAnsi="Arial" w:cs="Arial"/>
        </w:rPr>
      </w:pPr>
    </w:p>
    <w:p w14:paraId="09C1F15E" w14:textId="77777777" w:rsidR="00385CB2" w:rsidRPr="00F709A4" w:rsidRDefault="00385CB2" w:rsidP="00F709A4">
      <w:pPr>
        <w:spacing w:line="360" w:lineRule="auto"/>
        <w:rPr>
          <w:rFonts w:ascii="Arial" w:hAnsi="Arial" w:cs="Arial"/>
          <w:b/>
          <w:bCs/>
        </w:rPr>
      </w:pPr>
      <w:r w:rsidRPr="00F709A4">
        <w:rPr>
          <w:rFonts w:ascii="Arial" w:hAnsi="Arial" w:cs="Arial"/>
          <w:b/>
          <w:bCs/>
        </w:rPr>
        <w:t>Historical Context and Origins</w:t>
      </w:r>
    </w:p>
    <w:p w14:paraId="70555DD1" w14:textId="59B0C3E2" w:rsidR="00385CB2" w:rsidRPr="00F709A4" w:rsidRDefault="00385CB2" w:rsidP="00F709A4">
      <w:pPr>
        <w:spacing w:line="360" w:lineRule="auto"/>
        <w:rPr>
          <w:rFonts w:ascii="Arial" w:hAnsi="Arial" w:cs="Arial"/>
        </w:rPr>
      </w:pPr>
      <w:r w:rsidRPr="00F709A4">
        <w:rPr>
          <w:rFonts w:ascii="Arial" w:hAnsi="Arial" w:cs="Arial"/>
        </w:rPr>
        <w:t>Before the NHS, Britain’s healthcare system was a patchwork of voluntary hospitals, charitable organisations, private practice, and limited public provision. Access to healthcare was largely determined by income, employment status, and charitable aid (Webster,</w:t>
      </w:r>
      <w:r w:rsidR="00D43647" w:rsidRPr="00F709A4">
        <w:rPr>
          <w:rFonts w:ascii="Arial" w:hAnsi="Arial" w:cs="Arial"/>
        </w:rPr>
        <w:t xml:space="preserve"> C.,</w:t>
      </w:r>
      <w:r w:rsidRPr="00F709A4">
        <w:rPr>
          <w:rFonts w:ascii="Arial" w:hAnsi="Arial" w:cs="Arial"/>
        </w:rPr>
        <w:t xml:space="preserve"> 2002). The Beveridge Report of 1942 was a seminal moment in laying the foundations for a welfare state that sought to eliminate what William Beveridge termed the “five giants”: want, disease, ignorance, squalor, and idleness (Timmins</w:t>
      </w:r>
      <w:r w:rsidR="00AC7FC2" w:rsidRPr="00F709A4">
        <w:rPr>
          <w:rFonts w:ascii="Arial" w:hAnsi="Arial" w:cs="Arial"/>
        </w:rPr>
        <w:t>,</w:t>
      </w:r>
      <w:r w:rsidR="00312D8B" w:rsidRPr="00F709A4">
        <w:rPr>
          <w:rFonts w:ascii="Arial" w:hAnsi="Arial" w:cs="Arial"/>
        </w:rPr>
        <w:t xml:space="preserve"> N.</w:t>
      </w:r>
      <w:r w:rsidRPr="00F709A4">
        <w:rPr>
          <w:rFonts w:ascii="Arial" w:hAnsi="Arial" w:cs="Arial"/>
        </w:rPr>
        <w:t xml:space="preserve">, 2001). Beveridge advocated for a system of social insurance and healthcare </w:t>
      </w:r>
      <w:r w:rsidR="00F10E8C" w:rsidRPr="00F709A4">
        <w:rPr>
          <w:rFonts w:ascii="Arial" w:hAnsi="Arial" w:cs="Arial"/>
        </w:rPr>
        <w:t xml:space="preserve">that is accessible to all, regardless of their </w:t>
      </w:r>
      <w:r w:rsidRPr="00F709A4">
        <w:rPr>
          <w:rFonts w:ascii="Arial" w:hAnsi="Arial" w:cs="Arial"/>
        </w:rPr>
        <w:t>means.</w:t>
      </w:r>
    </w:p>
    <w:p w14:paraId="15FCFD62" w14:textId="1F185CC5" w:rsidR="00385CB2" w:rsidRPr="00F709A4" w:rsidRDefault="00385CB2" w:rsidP="00F709A4">
      <w:pPr>
        <w:spacing w:line="360" w:lineRule="auto"/>
        <w:rPr>
          <w:rFonts w:ascii="Arial" w:hAnsi="Arial" w:cs="Arial"/>
        </w:rPr>
      </w:pPr>
      <w:r w:rsidRPr="00F709A4">
        <w:rPr>
          <w:rFonts w:ascii="Arial" w:hAnsi="Arial" w:cs="Arial"/>
        </w:rPr>
        <w:t>The devastation of the Second World War, coupled with the collective spirit of rebuilding the nation, created fertile ground for reform (Klein,</w:t>
      </w:r>
      <w:r w:rsidR="00AC7FC2" w:rsidRPr="00F709A4">
        <w:rPr>
          <w:rFonts w:ascii="Arial" w:hAnsi="Arial" w:cs="Arial"/>
        </w:rPr>
        <w:t xml:space="preserve"> R., </w:t>
      </w:r>
      <w:r w:rsidRPr="00F709A4">
        <w:rPr>
          <w:rFonts w:ascii="Arial" w:hAnsi="Arial" w:cs="Arial"/>
        </w:rPr>
        <w:t>2010). Aneurin Bevan, the Labour Minister of Health, played a decisive role in steering the NHS Act of 1946 through Parliament, ensuring that from July 1948, the NHS provided free healthcare to all citizens (Bevan,</w:t>
      </w:r>
      <w:r w:rsidR="007F72C9" w:rsidRPr="00F709A4">
        <w:rPr>
          <w:rFonts w:ascii="Arial" w:hAnsi="Arial" w:cs="Arial"/>
        </w:rPr>
        <w:t xml:space="preserve"> A.,</w:t>
      </w:r>
      <w:r w:rsidRPr="00F709A4">
        <w:rPr>
          <w:rFonts w:ascii="Arial" w:hAnsi="Arial" w:cs="Arial"/>
        </w:rPr>
        <w:t xml:space="preserve"> 1952). Its founding principles</w:t>
      </w:r>
      <w:r w:rsidR="00A2507D" w:rsidRPr="00F709A4">
        <w:rPr>
          <w:rFonts w:ascii="Arial" w:hAnsi="Arial" w:cs="Arial"/>
        </w:rPr>
        <w:t>,</w:t>
      </w:r>
      <w:r w:rsidRPr="00F709A4">
        <w:rPr>
          <w:rFonts w:ascii="Arial" w:hAnsi="Arial" w:cs="Arial"/>
        </w:rPr>
        <w:t xml:space="preserve"> universal access, equity, and publicly funded provision</w:t>
      </w:r>
      <w:r w:rsidR="00A2507D" w:rsidRPr="00F709A4">
        <w:rPr>
          <w:rFonts w:ascii="Arial" w:hAnsi="Arial" w:cs="Arial"/>
        </w:rPr>
        <w:t>,</w:t>
      </w:r>
      <w:r w:rsidRPr="00F709A4">
        <w:rPr>
          <w:rFonts w:ascii="Arial" w:hAnsi="Arial" w:cs="Arial"/>
        </w:rPr>
        <w:t xml:space="preserve"> were revolutionary, contrasting with the inequitable system it replaced (Rivett, </w:t>
      </w:r>
      <w:r w:rsidR="00662053" w:rsidRPr="00F709A4">
        <w:rPr>
          <w:rFonts w:ascii="Arial" w:hAnsi="Arial" w:cs="Arial"/>
        </w:rPr>
        <w:t xml:space="preserve">G., </w:t>
      </w:r>
      <w:r w:rsidRPr="00F709A4">
        <w:rPr>
          <w:rFonts w:ascii="Arial" w:hAnsi="Arial" w:cs="Arial"/>
        </w:rPr>
        <w:t>1998).</w:t>
      </w:r>
    </w:p>
    <w:p w14:paraId="25916627" w14:textId="77777777" w:rsidR="00385CB2" w:rsidRPr="00F709A4" w:rsidRDefault="00385CB2" w:rsidP="00F709A4">
      <w:pPr>
        <w:spacing w:line="360" w:lineRule="auto"/>
        <w:rPr>
          <w:rFonts w:ascii="Arial" w:hAnsi="Arial" w:cs="Arial"/>
        </w:rPr>
      </w:pPr>
    </w:p>
    <w:p w14:paraId="5608BFEE" w14:textId="77777777" w:rsidR="00385CB2" w:rsidRPr="00F709A4" w:rsidRDefault="00385CB2" w:rsidP="00F709A4">
      <w:pPr>
        <w:spacing w:line="360" w:lineRule="auto"/>
        <w:rPr>
          <w:rFonts w:ascii="Arial" w:hAnsi="Arial" w:cs="Arial"/>
          <w:b/>
          <w:bCs/>
        </w:rPr>
      </w:pPr>
      <w:r w:rsidRPr="00F709A4">
        <w:rPr>
          <w:rFonts w:ascii="Arial" w:hAnsi="Arial" w:cs="Arial"/>
          <w:b/>
          <w:bCs/>
        </w:rPr>
        <w:t>Key Principles of the NHS</w:t>
      </w:r>
    </w:p>
    <w:p w14:paraId="30B43B70" w14:textId="571F38CF" w:rsidR="00385CB2" w:rsidRDefault="00385CB2" w:rsidP="00F709A4">
      <w:pPr>
        <w:spacing w:line="360" w:lineRule="auto"/>
        <w:rPr>
          <w:rFonts w:ascii="Arial" w:hAnsi="Arial" w:cs="Arial"/>
        </w:rPr>
      </w:pPr>
      <w:r w:rsidRPr="00F709A4">
        <w:rPr>
          <w:rFonts w:ascii="Arial" w:hAnsi="Arial" w:cs="Arial"/>
        </w:rPr>
        <w:lastRenderedPageBreak/>
        <w:t>The NHS was built on three core principles: it met the needs of everyone, it was free at the point of delivery, and it was based on clinical need rather than the ability to pay (Department of Health, 2010). These principles remain the cornerstone of NHS identity. Bevan’s vision was to end the financial barriers to healthcare, ensuring that illness would no longer result in economic hardship (Ham,</w:t>
      </w:r>
      <w:r w:rsidR="000C58C4" w:rsidRPr="00F709A4">
        <w:rPr>
          <w:rFonts w:ascii="Arial" w:hAnsi="Arial" w:cs="Arial"/>
        </w:rPr>
        <w:t xml:space="preserve"> C.,</w:t>
      </w:r>
      <w:r w:rsidRPr="00F709A4">
        <w:rPr>
          <w:rFonts w:ascii="Arial" w:hAnsi="Arial" w:cs="Arial"/>
        </w:rPr>
        <w:t xml:space="preserve"> 2009).</w:t>
      </w:r>
    </w:p>
    <w:p w14:paraId="3D293BCF" w14:textId="77777777" w:rsidR="00C96DCC" w:rsidRPr="00C96DCC" w:rsidRDefault="00C96DCC" w:rsidP="00F709A4">
      <w:pPr>
        <w:spacing w:line="360" w:lineRule="auto"/>
        <w:rPr>
          <w:rFonts w:ascii="Arial" w:hAnsi="Arial" w:cs="Arial"/>
        </w:rPr>
      </w:pPr>
    </w:p>
    <w:p w14:paraId="0D5906F7" w14:textId="77777777" w:rsidR="00385CB2" w:rsidRPr="00F709A4" w:rsidRDefault="00385CB2" w:rsidP="00F709A4">
      <w:pPr>
        <w:spacing w:line="360" w:lineRule="auto"/>
        <w:rPr>
          <w:rFonts w:ascii="Arial" w:hAnsi="Arial" w:cs="Arial"/>
          <w:b/>
          <w:bCs/>
        </w:rPr>
      </w:pPr>
      <w:r w:rsidRPr="00F709A4">
        <w:rPr>
          <w:rFonts w:ascii="Arial" w:hAnsi="Arial" w:cs="Arial"/>
          <w:b/>
          <w:bCs/>
        </w:rPr>
        <w:t>The Current Structure and Functioning of the NHS</w:t>
      </w:r>
    </w:p>
    <w:p w14:paraId="2B6CEBF4" w14:textId="1AFF4C15" w:rsidR="00385CB2" w:rsidRPr="00F709A4" w:rsidRDefault="00385CB2" w:rsidP="00F709A4">
      <w:pPr>
        <w:spacing w:line="360" w:lineRule="auto"/>
        <w:rPr>
          <w:rFonts w:ascii="Arial" w:hAnsi="Arial" w:cs="Arial"/>
        </w:rPr>
      </w:pPr>
      <w:r w:rsidRPr="00F709A4">
        <w:rPr>
          <w:rFonts w:ascii="Arial" w:hAnsi="Arial" w:cs="Arial"/>
        </w:rPr>
        <w:t>Today, the NHS remains the largest publicly funded health system in the world, providing a wide range of services including primary care, secondary hospital care, community health, and specialist services (Boyle,</w:t>
      </w:r>
      <w:r w:rsidR="00D93CD0" w:rsidRPr="00F709A4">
        <w:rPr>
          <w:rFonts w:ascii="Arial" w:hAnsi="Arial" w:cs="Arial"/>
        </w:rPr>
        <w:t xml:space="preserve"> S.,</w:t>
      </w:r>
      <w:r w:rsidRPr="00F709A4">
        <w:rPr>
          <w:rFonts w:ascii="Arial" w:hAnsi="Arial" w:cs="Arial"/>
        </w:rPr>
        <w:t xml:space="preserve"> 2011). Its structure, however, has evolved significantly since 1948. The NHS is now devolved, with separate systems in England, Scotland, Wales, and Northern Ireland (Greer</w:t>
      </w:r>
      <w:r w:rsidR="000A11DF" w:rsidRPr="00F709A4">
        <w:rPr>
          <w:rFonts w:ascii="Arial" w:hAnsi="Arial" w:cs="Arial"/>
        </w:rPr>
        <w:t xml:space="preserve">, S.L., </w:t>
      </w:r>
      <w:r w:rsidRPr="00F709A4">
        <w:rPr>
          <w:rFonts w:ascii="Arial" w:hAnsi="Arial" w:cs="Arial"/>
        </w:rPr>
        <w:t xml:space="preserve">2004). While they share core principles, policy and organisational differences have emerged, particularly in relation to marketisation, commissioning, and performance management (Timmins, </w:t>
      </w:r>
      <w:r w:rsidR="00D93CD0" w:rsidRPr="00F709A4">
        <w:rPr>
          <w:rFonts w:ascii="Arial" w:hAnsi="Arial" w:cs="Arial"/>
        </w:rPr>
        <w:t xml:space="preserve">N., </w:t>
      </w:r>
      <w:r w:rsidRPr="00F709A4">
        <w:rPr>
          <w:rFonts w:ascii="Arial" w:hAnsi="Arial" w:cs="Arial"/>
        </w:rPr>
        <w:t>2012).</w:t>
      </w:r>
    </w:p>
    <w:p w14:paraId="0CA4A84A" w14:textId="35D4E4E1" w:rsidR="00385CB2" w:rsidRPr="00F709A4" w:rsidRDefault="00385CB2" w:rsidP="00F709A4">
      <w:pPr>
        <w:spacing w:line="360" w:lineRule="auto"/>
        <w:rPr>
          <w:rFonts w:ascii="Arial" w:hAnsi="Arial" w:cs="Arial"/>
        </w:rPr>
      </w:pPr>
      <w:r w:rsidRPr="00F709A4">
        <w:rPr>
          <w:rFonts w:ascii="Arial" w:hAnsi="Arial" w:cs="Arial"/>
        </w:rPr>
        <w:t>In England, the NHS operates through a system of NHS England, Integrated Care Boards (ICBs), and NHS Trusts, with general practitioners acting as gatekeepers to secondary services (</w:t>
      </w:r>
      <w:r w:rsidR="00F24919" w:rsidRPr="00F709A4">
        <w:rPr>
          <w:rFonts w:ascii="Arial" w:hAnsi="Arial" w:cs="Arial"/>
        </w:rPr>
        <w:t>Lewis, R.Q.</w:t>
      </w:r>
      <w:r w:rsidRPr="00F709A4">
        <w:rPr>
          <w:rFonts w:ascii="Arial" w:hAnsi="Arial" w:cs="Arial"/>
        </w:rPr>
        <w:t xml:space="preserve"> et al., 2021). Scotland, Wales, and Northern Ireland have placed greater emphasis on integrated planning and reduced competition (Greer</w:t>
      </w:r>
      <w:r w:rsidR="00124BA6" w:rsidRPr="00F709A4">
        <w:rPr>
          <w:rFonts w:ascii="Arial" w:hAnsi="Arial" w:cs="Arial"/>
        </w:rPr>
        <w:t>, S.L.,</w:t>
      </w:r>
      <w:r w:rsidRPr="00F709A4">
        <w:rPr>
          <w:rFonts w:ascii="Arial" w:hAnsi="Arial" w:cs="Arial"/>
        </w:rPr>
        <w:t xml:space="preserve"> 2004). Funding remains largely derived from general taxation, supplemented by National Insurance contributions (Appleby et al., 2017).</w:t>
      </w:r>
    </w:p>
    <w:p w14:paraId="23D8DEA6" w14:textId="77777777" w:rsidR="00385CB2" w:rsidRPr="00F709A4" w:rsidRDefault="00385CB2" w:rsidP="00F709A4">
      <w:pPr>
        <w:spacing w:line="360" w:lineRule="auto"/>
        <w:rPr>
          <w:rFonts w:ascii="Arial" w:hAnsi="Arial" w:cs="Arial"/>
        </w:rPr>
      </w:pPr>
    </w:p>
    <w:p w14:paraId="51E24FE2" w14:textId="77777777" w:rsidR="00385CB2" w:rsidRPr="00F709A4" w:rsidRDefault="00385CB2" w:rsidP="00F709A4">
      <w:pPr>
        <w:spacing w:line="360" w:lineRule="auto"/>
        <w:rPr>
          <w:rFonts w:ascii="Arial" w:hAnsi="Arial" w:cs="Arial"/>
          <w:b/>
          <w:bCs/>
        </w:rPr>
      </w:pPr>
      <w:r w:rsidRPr="00F709A4">
        <w:rPr>
          <w:rFonts w:ascii="Arial" w:hAnsi="Arial" w:cs="Arial"/>
          <w:b/>
          <w:bCs/>
        </w:rPr>
        <w:t>Critical Examination of Functioning</w:t>
      </w:r>
    </w:p>
    <w:p w14:paraId="721F792D" w14:textId="4E1B59AF" w:rsidR="00385CB2" w:rsidRPr="00F709A4" w:rsidRDefault="00385CB2" w:rsidP="00F709A4">
      <w:pPr>
        <w:spacing w:line="360" w:lineRule="auto"/>
        <w:rPr>
          <w:rFonts w:ascii="Arial" w:hAnsi="Arial" w:cs="Arial"/>
        </w:rPr>
      </w:pPr>
      <w:r w:rsidRPr="00F709A4">
        <w:rPr>
          <w:rFonts w:ascii="Arial" w:hAnsi="Arial" w:cs="Arial"/>
        </w:rPr>
        <w:t>Despite its enduring principles, the NHS faces critical challenges. Funding pressures, an ageing population, rising demand for services, and workforce shortages have raised concerns about sustainability (</w:t>
      </w:r>
      <w:r w:rsidR="00422209" w:rsidRPr="00F709A4">
        <w:rPr>
          <w:rFonts w:ascii="Arial" w:hAnsi="Arial" w:cs="Arial"/>
        </w:rPr>
        <w:t>Dayan,</w:t>
      </w:r>
      <w:r w:rsidR="00502639" w:rsidRPr="00F709A4">
        <w:rPr>
          <w:rFonts w:ascii="Arial" w:hAnsi="Arial" w:cs="Arial"/>
        </w:rPr>
        <w:t xml:space="preserve"> </w:t>
      </w:r>
      <w:r w:rsidR="00422209" w:rsidRPr="00F709A4">
        <w:rPr>
          <w:rFonts w:ascii="Arial" w:hAnsi="Arial" w:cs="Arial"/>
        </w:rPr>
        <w:t>M.,</w:t>
      </w:r>
      <w:r w:rsidRPr="00F709A4">
        <w:rPr>
          <w:rFonts w:ascii="Arial" w:hAnsi="Arial" w:cs="Arial"/>
        </w:rPr>
        <w:t xml:space="preserve"> et al., 2018). Long waiting times, regional disparities in access, and staff burnout are pressing issues (</w:t>
      </w:r>
      <w:r w:rsidR="00502639" w:rsidRPr="00F709A4">
        <w:rPr>
          <w:rFonts w:ascii="Arial" w:hAnsi="Arial" w:cs="Arial"/>
        </w:rPr>
        <w:t>King's</w:t>
      </w:r>
      <w:r w:rsidRPr="00F709A4">
        <w:rPr>
          <w:rFonts w:ascii="Arial" w:hAnsi="Arial" w:cs="Arial"/>
        </w:rPr>
        <w:t xml:space="preserve"> Fund, 2022). Moreover, debates persist about the extent of private sector involvement in delivering NHS services (Pollock, </w:t>
      </w:r>
      <w:r w:rsidR="00502639" w:rsidRPr="00F709A4">
        <w:rPr>
          <w:rFonts w:ascii="Arial" w:hAnsi="Arial" w:cs="Arial"/>
        </w:rPr>
        <w:t xml:space="preserve">A., </w:t>
      </w:r>
      <w:r w:rsidRPr="00F709A4">
        <w:rPr>
          <w:rFonts w:ascii="Arial" w:hAnsi="Arial" w:cs="Arial"/>
        </w:rPr>
        <w:t>2004). Critics argue that market mechanisms undermine equity, while proponents claim they drive efficiency (Hunter</w:t>
      </w:r>
      <w:r w:rsidR="00EA673A" w:rsidRPr="00F709A4">
        <w:rPr>
          <w:rFonts w:ascii="Arial" w:hAnsi="Arial" w:cs="Arial"/>
        </w:rPr>
        <w:t>, D.,</w:t>
      </w:r>
      <w:r w:rsidRPr="00F709A4">
        <w:rPr>
          <w:rFonts w:ascii="Arial" w:hAnsi="Arial" w:cs="Arial"/>
        </w:rPr>
        <w:t xml:space="preserve"> 2016).</w:t>
      </w:r>
    </w:p>
    <w:p w14:paraId="4A016CB6" w14:textId="1A2D4FCB" w:rsidR="00385CB2" w:rsidRDefault="00385CB2" w:rsidP="00F709A4">
      <w:pPr>
        <w:spacing w:line="360" w:lineRule="auto"/>
        <w:rPr>
          <w:rFonts w:ascii="Arial" w:hAnsi="Arial" w:cs="Arial"/>
        </w:rPr>
      </w:pPr>
      <w:r w:rsidRPr="00F709A4">
        <w:rPr>
          <w:rFonts w:ascii="Arial" w:hAnsi="Arial" w:cs="Arial"/>
        </w:rPr>
        <w:lastRenderedPageBreak/>
        <w:t>The COVID-19 pandemic highlighted both the resilience and vulnerabilities of the NHS. While it underscored the value of a universal health system, it also exposed fragilities in capacity, preparedness, and staff wellbeing (</w:t>
      </w:r>
      <w:r w:rsidR="00530218" w:rsidRPr="00F709A4">
        <w:rPr>
          <w:rFonts w:ascii="Arial" w:hAnsi="Arial" w:cs="Arial"/>
        </w:rPr>
        <w:t>Marmot, M</w:t>
      </w:r>
      <w:r w:rsidR="007C6665" w:rsidRPr="00F709A4">
        <w:rPr>
          <w:rFonts w:ascii="Arial" w:hAnsi="Arial" w:cs="Arial"/>
        </w:rPr>
        <w:t>.</w:t>
      </w:r>
      <w:r w:rsidR="00530218" w:rsidRPr="00F709A4">
        <w:rPr>
          <w:rFonts w:ascii="Arial" w:hAnsi="Arial" w:cs="Arial"/>
        </w:rPr>
        <w:t>, 2020</w:t>
      </w:r>
      <w:r w:rsidRPr="00F709A4">
        <w:rPr>
          <w:rFonts w:ascii="Arial" w:hAnsi="Arial" w:cs="Arial"/>
        </w:rPr>
        <w:t>). Current reforms through Integrated Care Systems aim to foster collaboration across health and social care, yet their success depends on adequate funding, workforce support, and strong governance (Charles et al., 2021).</w:t>
      </w:r>
    </w:p>
    <w:p w14:paraId="533F7ADE" w14:textId="77777777" w:rsidR="00F709A4" w:rsidRPr="00F709A4" w:rsidRDefault="00F709A4" w:rsidP="00F709A4">
      <w:pPr>
        <w:spacing w:line="360" w:lineRule="auto"/>
        <w:rPr>
          <w:rFonts w:ascii="Arial" w:hAnsi="Arial" w:cs="Arial"/>
        </w:rPr>
      </w:pPr>
    </w:p>
    <w:p w14:paraId="33B45A29" w14:textId="77777777" w:rsidR="00385CB2" w:rsidRPr="00F709A4" w:rsidRDefault="00385CB2" w:rsidP="00F709A4">
      <w:pPr>
        <w:spacing w:line="360" w:lineRule="auto"/>
        <w:rPr>
          <w:rFonts w:ascii="Arial" w:hAnsi="Arial" w:cs="Arial"/>
          <w:b/>
          <w:bCs/>
        </w:rPr>
      </w:pPr>
      <w:r w:rsidRPr="00F709A4">
        <w:rPr>
          <w:rFonts w:ascii="Arial" w:hAnsi="Arial" w:cs="Arial"/>
          <w:b/>
          <w:bCs/>
        </w:rPr>
        <w:t>Conclusion</w:t>
      </w:r>
    </w:p>
    <w:p w14:paraId="61D5C092" w14:textId="60498EF5" w:rsidR="00E40DFF" w:rsidRDefault="00E40DFF" w:rsidP="00F709A4">
      <w:pPr>
        <w:spacing w:line="360" w:lineRule="auto"/>
        <w:rPr>
          <w:rFonts w:ascii="Arial" w:hAnsi="Arial" w:cs="Arial"/>
        </w:rPr>
      </w:pPr>
      <w:r w:rsidRPr="00E40DFF">
        <w:rPr>
          <w:rFonts w:ascii="Arial" w:hAnsi="Arial" w:cs="Arial"/>
        </w:rPr>
        <w:t>The NHS was established with the goal of providing universal healthcare, which was influenced by reformers like Bevan and the sociopolitical environment of post-war Britain. Universality, equity, and unrestricted access continue to be essential components of its identity. But today's NHS works in a complicated environment with shifting policy landscapes, budgetary strains, and demographic shifts. Even if it now represents a paradigm of shared accountability for health, maintaining it for upcoming generations calls for creativity, funding, and a fresh dedication to its core principles.</w:t>
      </w:r>
    </w:p>
    <w:p w14:paraId="33D3FF3C" w14:textId="77777777" w:rsidR="00E40DFF" w:rsidRPr="00E40DFF" w:rsidRDefault="00E40DFF" w:rsidP="00F709A4">
      <w:pPr>
        <w:spacing w:line="360" w:lineRule="auto"/>
        <w:rPr>
          <w:rFonts w:ascii="Arial" w:hAnsi="Arial" w:cs="Arial"/>
        </w:rPr>
      </w:pPr>
    </w:p>
    <w:p w14:paraId="39F2800D" w14:textId="05A8A09E" w:rsidR="00385CB2" w:rsidRPr="00F709A4" w:rsidRDefault="00B00E85" w:rsidP="00F709A4">
      <w:pPr>
        <w:spacing w:line="360" w:lineRule="auto"/>
        <w:rPr>
          <w:rFonts w:ascii="Arial" w:hAnsi="Arial" w:cs="Arial"/>
          <w:b/>
          <w:bCs/>
        </w:rPr>
      </w:pPr>
      <w:r>
        <w:rPr>
          <w:rFonts w:ascii="Arial" w:hAnsi="Arial" w:cs="Arial"/>
          <w:b/>
          <w:bCs/>
        </w:rPr>
        <w:t xml:space="preserve">Essay </w:t>
      </w:r>
      <w:r w:rsidR="00385CB2" w:rsidRPr="00F709A4">
        <w:rPr>
          <w:rFonts w:ascii="Arial" w:hAnsi="Arial" w:cs="Arial"/>
          <w:b/>
          <w:bCs/>
        </w:rPr>
        <w:t xml:space="preserve">References: </w:t>
      </w:r>
    </w:p>
    <w:p w14:paraId="27274A17" w14:textId="6377BC37" w:rsidR="00385CB2" w:rsidRPr="00F709A4" w:rsidRDefault="00385CB2" w:rsidP="00F709A4">
      <w:pPr>
        <w:spacing w:line="360" w:lineRule="auto"/>
        <w:rPr>
          <w:rFonts w:ascii="Arial" w:hAnsi="Arial" w:cs="Arial"/>
        </w:rPr>
      </w:pPr>
      <w:r w:rsidRPr="00F709A4">
        <w:rPr>
          <w:rFonts w:ascii="Arial" w:hAnsi="Arial" w:cs="Arial"/>
        </w:rPr>
        <w:t>Appleby, J.</w:t>
      </w:r>
      <w:r w:rsidR="002071CB" w:rsidRPr="00F709A4">
        <w:rPr>
          <w:rFonts w:ascii="Arial" w:hAnsi="Arial" w:cs="Arial"/>
        </w:rPr>
        <w:t>, Crawford, R. and Emmerson, C.</w:t>
      </w:r>
      <w:r w:rsidRPr="00F709A4">
        <w:rPr>
          <w:rFonts w:ascii="Arial" w:hAnsi="Arial" w:cs="Arial"/>
        </w:rPr>
        <w:t xml:space="preserve"> (20</w:t>
      </w:r>
      <w:r w:rsidR="002071CB" w:rsidRPr="00F709A4">
        <w:rPr>
          <w:rFonts w:ascii="Arial" w:hAnsi="Arial" w:cs="Arial"/>
        </w:rPr>
        <w:t>09</w:t>
      </w:r>
      <w:r w:rsidRPr="00F709A4">
        <w:rPr>
          <w:rFonts w:ascii="Arial" w:hAnsi="Arial" w:cs="Arial"/>
        </w:rPr>
        <w:t xml:space="preserve">) </w:t>
      </w:r>
      <w:r w:rsidRPr="00F709A4">
        <w:rPr>
          <w:rFonts w:ascii="Arial" w:hAnsi="Arial" w:cs="Arial"/>
          <w:i/>
          <w:iCs/>
        </w:rPr>
        <w:t xml:space="preserve">How </w:t>
      </w:r>
      <w:r w:rsidR="002071CB" w:rsidRPr="00F709A4">
        <w:rPr>
          <w:rFonts w:ascii="Arial" w:hAnsi="Arial" w:cs="Arial"/>
          <w:i/>
          <w:iCs/>
        </w:rPr>
        <w:t>cold will it be</w:t>
      </w:r>
      <w:r w:rsidRPr="00F709A4">
        <w:rPr>
          <w:rFonts w:ascii="Arial" w:hAnsi="Arial" w:cs="Arial"/>
          <w:i/>
          <w:iCs/>
        </w:rPr>
        <w:t>?</w:t>
      </w:r>
      <w:r w:rsidR="002071CB" w:rsidRPr="00F709A4">
        <w:rPr>
          <w:rFonts w:ascii="Arial" w:hAnsi="Arial" w:cs="Arial"/>
          <w:i/>
          <w:iCs/>
        </w:rPr>
        <w:t xml:space="preserve"> Prospects for NHS funding:</w:t>
      </w:r>
      <w:r w:rsidR="00CC2C94" w:rsidRPr="00F709A4">
        <w:rPr>
          <w:rFonts w:ascii="Arial" w:hAnsi="Arial" w:cs="Arial"/>
          <w:i/>
          <w:iCs/>
        </w:rPr>
        <w:t xml:space="preserve"> </w:t>
      </w:r>
      <w:r w:rsidR="002071CB" w:rsidRPr="00F709A4">
        <w:rPr>
          <w:rFonts w:ascii="Arial" w:hAnsi="Arial" w:cs="Arial"/>
          <w:i/>
          <w:iCs/>
        </w:rPr>
        <w:t>2011-2017</w:t>
      </w:r>
      <w:r w:rsidR="002071CB" w:rsidRPr="00F709A4">
        <w:rPr>
          <w:rFonts w:ascii="Arial" w:hAnsi="Arial" w:cs="Arial"/>
        </w:rPr>
        <w:t>. London:</w:t>
      </w:r>
      <w:r w:rsidRPr="00F709A4">
        <w:rPr>
          <w:rFonts w:ascii="Arial" w:hAnsi="Arial" w:cs="Arial"/>
        </w:rPr>
        <w:t xml:space="preserve"> The King’s Fund.</w:t>
      </w:r>
    </w:p>
    <w:p w14:paraId="29522641" w14:textId="4176B91E" w:rsidR="00385CB2" w:rsidRPr="00F709A4" w:rsidRDefault="00385CB2" w:rsidP="00F709A4">
      <w:pPr>
        <w:spacing w:line="360" w:lineRule="auto"/>
        <w:rPr>
          <w:rFonts w:ascii="Arial" w:hAnsi="Arial" w:cs="Arial"/>
        </w:rPr>
      </w:pPr>
      <w:r w:rsidRPr="00F709A4">
        <w:rPr>
          <w:rFonts w:ascii="Arial" w:hAnsi="Arial" w:cs="Arial"/>
        </w:rPr>
        <w:t xml:space="preserve">Bevan, A. (1952) </w:t>
      </w:r>
      <w:r w:rsidRPr="00F709A4">
        <w:rPr>
          <w:rFonts w:ascii="Arial" w:hAnsi="Arial" w:cs="Arial"/>
          <w:i/>
          <w:iCs/>
        </w:rPr>
        <w:t>In Place of Fear</w:t>
      </w:r>
      <w:r w:rsidRPr="00F709A4">
        <w:rPr>
          <w:rFonts w:ascii="Arial" w:hAnsi="Arial" w:cs="Arial"/>
        </w:rPr>
        <w:t>. London: Heinemann.</w:t>
      </w:r>
    </w:p>
    <w:p w14:paraId="4F92538B" w14:textId="398C7CD0" w:rsidR="00385CB2" w:rsidRPr="00F709A4" w:rsidRDefault="00385CB2" w:rsidP="00F709A4">
      <w:pPr>
        <w:spacing w:line="360" w:lineRule="auto"/>
        <w:rPr>
          <w:rFonts w:ascii="Arial" w:hAnsi="Arial" w:cs="Arial"/>
        </w:rPr>
      </w:pPr>
      <w:r w:rsidRPr="00F709A4">
        <w:rPr>
          <w:rFonts w:ascii="Arial" w:hAnsi="Arial" w:cs="Arial"/>
        </w:rPr>
        <w:t>Boyle, S. (2011) United Kingdom (England): Health System Review</w:t>
      </w:r>
      <w:r w:rsidR="00495C5A" w:rsidRPr="00F709A4">
        <w:rPr>
          <w:rFonts w:ascii="Arial" w:hAnsi="Arial" w:cs="Arial"/>
          <w:i/>
          <w:iCs/>
        </w:rPr>
        <w:t xml:space="preserve">, </w:t>
      </w:r>
      <w:r w:rsidRPr="00F709A4">
        <w:rPr>
          <w:rFonts w:ascii="Arial" w:hAnsi="Arial" w:cs="Arial"/>
          <w:i/>
          <w:iCs/>
        </w:rPr>
        <w:t>Health Systems in Transition</w:t>
      </w:r>
      <w:r w:rsidRPr="00F709A4">
        <w:rPr>
          <w:rFonts w:ascii="Arial" w:hAnsi="Arial" w:cs="Arial"/>
        </w:rPr>
        <w:t>, 13(1).</w:t>
      </w:r>
    </w:p>
    <w:p w14:paraId="3B9BE3B9" w14:textId="1CFD8109" w:rsidR="00385CB2" w:rsidRPr="00F709A4" w:rsidRDefault="00385CB2" w:rsidP="00F709A4">
      <w:pPr>
        <w:spacing w:line="360" w:lineRule="auto"/>
        <w:rPr>
          <w:rFonts w:ascii="Arial" w:hAnsi="Arial" w:cs="Arial"/>
        </w:rPr>
      </w:pPr>
      <w:r w:rsidRPr="00F709A4">
        <w:rPr>
          <w:rFonts w:ascii="Arial" w:hAnsi="Arial" w:cs="Arial"/>
        </w:rPr>
        <w:t>Charles, A.,</w:t>
      </w:r>
      <w:r w:rsidR="00FE00D3" w:rsidRPr="00F709A4">
        <w:rPr>
          <w:rFonts w:ascii="Arial" w:hAnsi="Arial" w:cs="Arial"/>
        </w:rPr>
        <w:t xml:space="preserve"> Naylor, C. and Murray, R.</w:t>
      </w:r>
      <w:r w:rsidRPr="00F709A4">
        <w:rPr>
          <w:rFonts w:ascii="Arial" w:hAnsi="Arial" w:cs="Arial"/>
        </w:rPr>
        <w:t xml:space="preserve"> (2021</w:t>
      </w:r>
      <w:r w:rsidRPr="00F709A4">
        <w:rPr>
          <w:rFonts w:ascii="Arial" w:hAnsi="Arial" w:cs="Arial"/>
          <w:i/>
          <w:iCs/>
        </w:rPr>
        <w:t xml:space="preserve">) Integrated Care Systems </w:t>
      </w:r>
      <w:r w:rsidR="00644ED3" w:rsidRPr="00F709A4">
        <w:rPr>
          <w:rFonts w:ascii="Arial" w:hAnsi="Arial" w:cs="Arial"/>
          <w:i/>
          <w:iCs/>
        </w:rPr>
        <w:t>in London</w:t>
      </w:r>
      <w:r w:rsidR="003E5156" w:rsidRPr="00F709A4">
        <w:rPr>
          <w:rFonts w:ascii="Arial" w:hAnsi="Arial" w:cs="Arial"/>
          <w:i/>
          <w:iCs/>
        </w:rPr>
        <w:t>, Challenges and opportunities ahea</w:t>
      </w:r>
      <w:r w:rsidR="00644ED3" w:rsidRPr="00F709A4">
        <w:rPr>
          <w:rFonts w:ascii="Arial" w:hAnsi="Arial" w:cs="Arial"/>
          <w:i/>
          <w:iCs/>
        </w:rPr>
        <w:t>d,</w:t>
      </w:r>
      <w:r w:rsidR="003E5156" w:rsidRPr="00F709A4">
        <w:rPr>
          <w:rFonts w:ascii="Arial" w:hAnsi="Arial" w:cs="Arial"/>
        </w:rPr>
        <w:t xml:space="preserve"> </w:t>
      </w:r>
      <w:r w:rsidRPr="00F709A4">
        <w:rPr>
          <w:rFonts w:ascii="Arial" w:hAnsi="Arial" w:cs="Arial"/>
        </w:rPr>
        <w:t>The King’s Fund.</w:t>
      </w:r>
    </w:p>
    <w:p w14:paraId="667BFD15" w14:textId="5A6E9A15" w:rsidR="00385CB2" w:rsidRPr="00F709A4" w:rsidRDefault="00501243" w:rsidP="00F709A4">
      <w:pPr>
        <w:spacing w:line="360" w:lineRule="auto"/>
        <w:rPr>
          <w:rFonts w:ascii="Arial" w:hAnsi="Arial" w:cs="Arial"/>
        </w:rPr>
      </w:pPr>
      <w:r w:rsidRPr="00F709A4">
        <w:rPr>
          <w:rFonts w:ascii="Arial" w:hAnsi="Arial" w:cs="Arial"/>
          <w:lang w:val="fr-FR"/>
        </w:rPr>
        <w:t xml:space="preserve">Lewis,R.Q., et al. </w:t>
      </w:r>
      <w:r w:rsidRPr="00F709A4">
        <w:rPr>
          <w:rFonts w:ascii="Arial" w:hAnsi="Arial" w:cs="Arial"/>
        </w:rPr>
        <w:t>(2021) ‘Integrated care in England – what can we learn from a decade of national pilot programmes?’</w:t>
      </w:r>
      <w:r w:rsidRPr="00F709A4">
        <w:rPr>
          <w:rFonts w:ascii="Arial" w:hAnsi="Arial" w:cs="Arial"/>
          <w:i/>
          <w:iCs/>
        </w:rPr>
        <w:t>, International Journal of Integrated Care</w:t>
      </w:r>
      <w:r w:rsidRPr="00F709A4">
        <w:rPr>
          <w:rFonts w:ascii="Arial" w:hAnsi="Arial" w:cs="Arial"/>
        </w:rPr>
        <w:t>, 21(4),5. Doi:105334/ijic.5631.</w:t>
      </w:r>
    </w:p>
    <w:p w14:paraId="3DA8F668" w14:textId="77777777" w:rsidR="00385CB2" w:rsidRPr="00F709A4" w:rsidRDefault="00385CB2" w:rsidP="00F709A4">
      <w:pPr>
        <w:spacing w:line="360" w:lineRule="auto"/>
        <w:rPr>
          <w:rFonts w:ascii="Arial" w:hAnsi="Arial" w:cs="Arial"/>
        </w:rPr>
      </w:pPr>
      <w:r w:rsidRPr="00F709A4">
        <w:rPr>
          <w:rFonts w:ascii="Arial" w:hAnsi="Arial" w:cs="Arial"/>
        </w:rPr>
        <w:lastRenderedPageBreak/>
        <w:t xml:space="preserve">Department of Health (2010) </w:t>
      </w:r>
      <w:r w:rsidRPr="00F709A4">
        <w:rPr>
          <w:rFonts w:ascii="Arial" w:hAnsi="Arial" w:cs="Arial"/>
          <w:i/>
          <w:iCs/>
        </w:rPr>
        <w:t>Equity and Excellence: Liberating the NHS</w:t>
      </w:r>
      <w:r w:rsidRPr="00F709A4">
        <w:rPr>
          <w:rFonts w:ascii="Arial" w:hAnsi="Arial" w:cs="Arial"/>
        </w:rPr>
        <w:t>. London: HMSO.</w:t>
      </w:r>
    </w:p>
    <w:p w14:paraId="1601BD37" w14:textId="7986960D" w:rsidR="00385CB2" w:rsidRPr="00F709A4" w:rsidRDefault="00385CB2" w:rsidP="00F709A4">
      <w:pPr>
        <w:spacing w:line="360" w:lineRule="auto"/>
        <w:rPr>
          <w:rFonts w:ascii="Arial" w:hAnsi="Arial" w:cs="Arial"/>
        </w:rPr>
      </w:pPr>
      <w:r w:rsidRPr="00F709A4">
        <w:rPr>
          <w:rFonts w:ascii="Arial" w:hAnsi="Arial" w:cs="Arial"/>
        </w:rPr>
        <w:t>Greer, S.</w:t>
      </w:r>
      <w:r w:rsidR="00CF5153" w:rsidRPr="00F709A4">
        <w:rPr>
          <w:rFonts w:ascii="Arial" w:hAnsi="Arial" w:cs="Arial"/>
        </w:rPr>
        <w:t>L.</w:t>
      </w:r>
      <w:r w:rsidRPr="00F709A4">
        <w:rPr>
          <w:rFonts w:ascii="Arial" w:hAnsi="Arial" w:cs="Arial"/>
        </w:rPr>
        <w:t xml:space="preserve"> (2004) Four Way </w:t>
      </w:r>
      <w:r w:rsidR="00CF5153" w:rsidRPr="00F709A4">
        <w:rPr>
          <w:rFonts w:ascii="Arial" w:hAnsi="Arial" w:cs="Arial"/>
        </w:rPr>
        <w:t xml:space="preserve">bet.how devolution has led to four different models for the NHS.London: The Constitution Unit, UCl.                                                                                                                                                                  </w:t>
      </w:r>
    </w:p>
    <w:p w14:paraId="5BC49AC1" w14:textId="77777777" w:rsidR="00385CB2" w:rsidRPr="00F709A4" w:rsidRDefault="00385CB2" w:rsidP="00F709A4">
      <w:pPr>
        <w:spacing w:line="360" w:lineRule="auto"/>
        <w:rPr>
          <w:rFonts w:ascii="Arial" w:hAnsi="Arial" w:cs="Arial"/>
        </w:rPr>
      </w:pPr>
      <w:r w:rsidRPr="00F709A4">
        <w:rPr>
          <w:rFonts w:ascii="Arial" w:hAnsi="Arial" w:cs="Arial"/>
        </w:rPr>
        <w:t xml:space="preserve">Ham, C. (2009) </w:t>
      </w:r>
      <w:r w:rsidRPr="00F709A4">
        <w:rPr>
          <w:rFonts w:ascii="Arial" w:hAnsi="Arial" w:cs="Arial"/>
          <w:i/>
          <w:iCs/>
        </w:rPr>
        <w:t>Health Policy in Britain.</w:t>
      </w:r>
      <w:r w:rsidRPr="00F709A4">
        <w:rPr>
          <w:rFonts w:ascii="Arial" w:hAnsi="Arial" w:cs="Arial"/>
        </w:rPr>
        <w:t xml:space="preserve"> 6th ed. Basingstoke: Palgrave Macmillan.</w:t>
      </w:r>
    </w:p>
    <w:p w14:paraId="2071CBA9" w14:textId="77777777" w:rsidR="00385CB2" w:rsidRPr="00F709A4" w:rsidRDefault="00385CB2" w:rsidP="00F709A4">
      <w:pPr>
        <w:spacing w:line="360" w:lineRule="auto"/>
        <w:rPr>
          <w:rFonts w:ascii="Arial" w:hAnsi="Arial" w:cs="Arial"/>
        </w:rPr>
      </w:pPr>
      <w:r w:rsidRPr="00F709A4">
        <w:rPr>
          <w:rFonts w:ascii="Arial" w:hAnsi="Arial" w:cs="Arial"/>
        </w:rPr>
        <w:t>Hunter, D. (2016</w:t>
      </w:r>
      <w:r w:rsidRPr="00F709A4">
        <w:rPr>
          <w:rFonts w:ascii="Arial" w:hAnsi="Arial" w:cs="Arial"/>
          <w:i/>
          <w:iCs/>
        </w:rPr>
        <w:t>) The Health Debate</w:t>
      </w:r>
      <w:r w:rsidRPr="00F709A4">
        <w:rPr>
          <w:rFonts w:ascii="Arial" w:hAnsi="Arial" w:cs="Arial"/>
        </w:rPr>
        <w:t>. 2nd ed. Bristol: Policy Press.</w:t>
      </w:r>
    </w:p>
    <w:p w14:paraId="489EDB4D" w14:textId="7CD8B3D8" w:rsidR="00385CB2" w:rsidRPr="00F709A4" w:rsidRDefault="00483945" w:rsidP="00F709A4">
      <w:pPr>
        <w:spacing w:line="360" w:lineRule="auto"/>
        <w:rPr>
          <w:rFonts w:ascii="Arial" w:hAnsi="Arial" w:cs="Arial"/>
        </w:rPr>
      </w:pPr>
      <w:r w:rsidRPr="00F709A4">
        <w:rPr>
          <w:rFonts w:ascii="Arial" w:hAnsi="Arial" w:cs="Arial"/>
        </w:rPr>
        <w:t>King's</w:t>
      </w:r>
      <w:r w:rsidR="00385CB2" w:rsidRPr="00F709A4">
        <w:rPr>
          <w:rFonts w:ascii="Arial" w:hAnsi="Arial" w:cs="Arial"/>
        </w:rPr>
        <w:t xml:space="preserve"> Fund (2022</w:t>
      </w:r>
      <w:r w:rsidR="00385CB2" w:rsidRPr="00F709A4">
        <w:rPr>
          <w:rFonts w:ascii="Arial" w:hAnsi="Arial" w:cs="Arial"/>
          <w:i/>
          <w:iCs/>
        </w:rPr>
        <w:t>) NHS Performance Tracker</w:t>
      </w:r>
      <w:r w:rsidR="00385CB2" w:rsidRPr="00F709A4">
        <w:rPr>
          <w:rFonts w:ascii="Arial" w:hAnsi="Arial" w:cs="Arial"/>
        </w:rPr>
        <w:t>. The King’s Fund.</w:t>
      </w:r>
    </w:p>
    <w:p w14:paraId="7E4C6FCB" w14:textId="77777777" w:rsidR="00D42BCB" w:rsidRPr="00F709A4" w:rsidRDefault="00385CB2" w:rsidP="00F709A4">
      <w:pPr>
        <w:spacing w:line="360" w:lineRule="auto"/>
        <w:rPr>
          <w:rFonts w:ascii="Arial" w:hAnsi="Arial" w:cs="Arial"/>
        </w:rPr>
      </w:pPr>
      <w:r w:rsidRPr="00F709A4">
        <w:rPr>
          <w:rFonts w:ascii="Arial" w:hAnsi="Arial" w:cs="Arial"/>
        </w:rPr>
        <w:t xml:space="preserve">Klein, R. (2010) </w:t>
      </w:r>
      <w:r w:rsidRPr="00F709A4">
        <w:rPr>
          <w:rFonts w:ascii="Arial" w:hAnsi="Arial" w:cs="Arial"/>
          <w:i/>
          <w:iCs/>
        </w:rPr>
        <w:t>The New Politics of the NHS</w:t>
      </w:r>
      <w:r w:rsidRPr="00F709A4">
        <w:rPr>
          <w:rFonts w:ascii="Arial" w:hAnsi="Arial" w:cs="Arial"/>
        </w:rPr>
        <w:t>. 7th ed. Oxford: Radcliffe.</w:t>
      </w:r>
    </w:p>
    <w:p w14:paraId="419ED8B2" w14:textId="618D6AB4" w:rsidR="00385CB2" w:rsidRPr="00F709A4" w:rsidRDefault="00D42BCB" w:rsidP="00F709A4">
      <w:pPr>
        <w:spacing w:line="360" w:lineRule="auto"/>
        <w:rPr>
          <w:rFonts w:ascii="Arial" w:hAnsi="Arial" w:cs="Arial"/>
        </w:rPr>
      </w:pPr>
      <w:r w:rsidRPr="00F709A4">
        <w:rPr>
          <w:rFonts w:ascii="Arial" w:hAnsi="Arial" w:cs="Arial"/>
        </w:rPr>
        <w:t>Dayan, M., Ward, D., Gardner, T. and Kelly ,E. (2018)</w:t>
      </w:r>
      <w:r w:rsidR="00385CB2" w:rsidRPr="00F709A4">
        <w:rPr>
          <w:rFonts w:ascii="Arial" w:hAnsi="Arial" w:cs="Arial"/>
        </w:rPr>
        <w:t xml:space="preserve"> </w:t>
      </w:r>
      <w:r w:rsidR="00385CB2" w:rsidRPr="00F709A4">
        <w:rPr>
          <w:rFonts w:ascii="Arial" w:hAnsi="Arial" w:cs="Arial"/>
          <w:i/>
          <w:iCs/>
        </w:rPr>
        <w:t>How Good is the NHS?</w:t>
      </w:r>
      <w:r w:rsidR="00385CB2" w:rsidRPr="00F709A4">
        <w:rPr>
          <w:rFonts w:ascii="Arial" w:hAnsi="Arial" w:cs="Arial"/>
        </w:rPr>
        <w:t xml:space="preserve"> The Health Foundation.</w:t>
      </w:r>
    </w:p>
    <w:p w14:paraId="05EBEAF3" w14:textId="77777777" w:rsidR="00385CB2" w:rsidRPr="00F709A4" w:rsidRDefault="00385CB2" w:rsidP="00F709A4">
      <w:pPr>
        <w:spacing w:line="360" w:lineRule="auto"/>
        <w:rPr>
          <w:rFonts w:ascii="Arial" w:hAnsi="Arial" w:cs="Arial"/>
        </w:rPr>
      </w:pPr>
      <w:r w:rsidRPr="00F709A4">
        <w:rPr>
          <w:rFonts w:ascii="Arial" w:hAnsi="Arial" w:cs="Arial"/>
        </w:rPr>
        <w:t xml:space="preserve">Pollock, A. (2004) NHS plc: </w:t>
      </w:r>
      <w:r w:rsidRPr="00F709A4">
        <w:rPr>
          <w:rFonts w:ascii="Arial" w:hAnsi="Arial" w:cs="Arial"/>
          <w:i/>
          <w:iCs/>
        </w:rPr>
        <w:t>The Privatisation of Our Health Care</w:t>
      </w:r>
      <w:r w:rsidRPr="00F709A4">
        <w:rPr>
          <w:rFonts w:ascii="Arial" w:hAnsi="Arial" w:cs="Arial"/>
        </w:rPr>
        <w:t>. London: Verso.</w:t>
      </w:r>
    </w:p>
    <w:p w14:paraId="46A12E4A" w14:textId="77777777" w:rsidR="00385CB2" w:rsidRPr="00F709A4" w:rsidRDefault="00385CB2" w:rsidP="00F709A4">
      <w:pPr>
        <w:spacing w:line="360" w:lineRule="auto"/>
        <w:rPr>
          <w:rFonts w:ascii="Arial" w:hAnsi="Arial" w:cs="Arial"/>
        </w:rPr>
      </w:pPr>
      <w:r w:rsidRPr="00F709A4">
        <w:rPr>
          <w:rFonts w:ascii="Arial" w:hAnsi="Arial" w:cs="Arial"/>
        </w:rPr>
        <w:t xml:space="preserve">Rivett, G. (1998) </w:t>
      </w:r>
      <w:r w:rsidRPr="00F709A4">
        <w:rPr>
          <w:rFonts w:ascii="Arial" w:hAnsi="Arial" w:cs="Arial"/>
          <w:i/>
          <w:iCs/>
        </w:rPr>
        <w:t>From Cradle to Grave: Fifty Years of the NHS.</w:t>
      </w:r>
      <w:r w:rsidRPr="00F709A4">
        <w:rPr>
          <w:rFonts w:ascii="Arial" w:hAnsi="Arial" w:cs="Arial"/>
        </w:rPr>
        <w:t xml:space="preserve"> London: King’s Fund.</w:t>
      </w:r>
    </w:p>
    <w:p w14:paraId="3079A7B2" w14:textId="0200BFFB" w:rsidR="00385CB2" w:rsidRPr="00F709A4" w:rsidRDefault="00BB11F4" w:rsidP="00F709A4">
      <w:pPr>
        <w:spacing w:line="360" w:lineRule="auto"/>
        <w:rPr>
          <w:rFonts w:ascii="Arial" w:hAnsi="Arial" w:cs="Arial"/>
        </w:rPr>
      </w:pPr>
      <w:r w:rsidRPr="00F709A4">
        <w:rPr>
          <w:rFonts w:ascii="Arial" w:hAnsi="Arial" w:cs="Arial"/>
        </w:rPr>
        <w:t xml:space="preserve">Marmot, M., Allen, J., Goldblatt, P., Herd, E. and Morrison, J., </w:t>
      </w:r>
      <w:r w:rsidR="00CA18E2" w:rsidRPr="00F709A4">
        <w:rPr>
          <w:rFonts w:ascii="Arial" w:hAnsi="Arial" w:cs="Arial"/>
        </w:rPr>
        <w:t>(</w:t>
      </w:r>
      <w:r w:rsidRPr="00F709A4">
        <w:rPr>
          <w:rFonts w:ascii="Arial" w:hAnsi="Arial" w:cs="Arial"/>
        </w:rPr>
        <w:t>2020</w:t>
      </w:r>
      <w:r w:rsidR="00CA18E2" w:rsidRPr="00F709A4">
        <w:rPr>
          <w:rFonts w:ascii="Arial" w:hAnsi="Arial" w:cs="Arial"/>
        </w:rPr>
        <w:t xml:space="preserve">)  </w:t>
      </w:r>
      <w:r w:rsidRPr="00F709A4">
        <w:rPr>
          <w:rFonts w:ascii="Arial" w:hAnsi="Arial" w:cs="Arial"/>
          <w:i/>
          <w:iCs/>
        </w:rPr>
        <w:t xml:space="preserve">Build Back Fairer:  The </w:t>
      </w:r>
      <w:r w:rsidR="00CA18E2" w:rsidRPr="00F709A4">
        <w:rPr>
          <w:rFonts w:ascii="Arial" w:hAnsi="Arial" w:cs="Arial"/>
          <w:i/>
          <w:iCs/>
        </w:rPr>
        <w:t>COVID- 19 Marmot</w:t>
      </w:r>
      <w:r w:rsidR="00144488" w:rsidRPr="00F709A4">
        <w:rPr>
          <w:rFonts w:ascii="Arial" w:hAnsi="Arial" w:cs="Arial"/>
          <w:i/>
          <w:iCs/>
        </w:rPr>
        <w:t xml:space="preserve"> </w:t>
      </w:r>
      <w:r w:rsidR="00CA18E2" w:rsidRPr="00F709A4">
        <w:rPr>
          <w:rFonts w:ascii="Arial" w:hAnsi="Arial" w:cs="Arial"/>
          <w:i/>
          <w:iCs/>
        </w:rPr>
        <w:t xml:space="preserve"> Review</w:t>
      </w:r>
      <w:r w:rsidR="00CA18E2" w:rsidRPr="00F709A4">
        <w:rPr>
          <w:rFonts w:ascii="Arial" w:hAnsi="Arial" w:cs="Arial"/>
        </w:rPr>
        <w:t xml:space="preserve">. London: The </w:t>
      </w:r>
      <w:r w:rsidRPr="00F709A4">
        <w:rPr>
          <w:rFonts w:ascii="Arial" w:hAnsi="Arial" w:cs="Arial"/>
        </w:rPr>
        <w:t>Health Foundation and Institute of Health Equity.</w:t>
      </w:r>
    </w:p>
    <w:p w14:paraId="46233733" w14:textId="4D3A949B" w:rsidR="00385CB2" w:rsidRPr="00F709A4" w:rsidRDefault="00385CB2" w:rsidP="00F709A4">
      <w:pPr>
        <w:spacing w:line="360" w:lineRule="auto"/>
        <w:rPr>
          <w:rFonts w:ascii="Arial" w:hAnsi="Arial" w:cs="Arial"/>
        </w:rPr>
      </w:pPr>
      <w:r w:rsidRPr="00F709A4">
        <w:rPr>
          <w:rFonts w:ascii="Arial" w:hAnsi="Arial" w:cs="Arial"/>
        </w:rPr>
        <w:t>Timmins, N. (2001</w:t>
      </w:r>
      <w:r w:rsidRPr="00F709A4">
        <w:rPr>
          <w:rFonts w:ascii="Arial" w:hAnsi="Arial" w:cs="Arial"/>
          <w:i/>
          <w:iCs/>
        </w:rPr>
        <w:t>) The Five Giants: A Biography of the Welfare State</w:t>
      </w:r>
      <w:r w:rsidRPr="00F709A4">
        <w:rPr>
          <w:rFonts w:ascii="Arial" w:hAnsi="Arial" w:cs="Arial"/>
        </w:rPr>
        <w:t>. London: Harper Collins.</w:t>
      </w:r>
    </w:p>
    <w:p w14:paraId="500969B5" w14:textId="77777777" w:rsidR="00385CB2" w:rsidRPr="00F709A4" w:rsidRDefault="00385CB2" w:rsidP="00F709A4">
      <w:pPr>
        <w:spacing w:line="360" w:lineRule="auto"/>
        <w:rPr>
          <w:rFonts w:ascii="Arial" w:hAnsi="Arial" w:cs="Arial"/>
        </w:rPr>
      </w:pPr>
      <w:r w:rsidRPr="00F709A4">
        <w:rPr>
          <w:rFonts w:ascii="Arial" w:hAnsi="Arial" w:cs="Arial"/>
        </w:rPr>
        <w:t xml:space="preserve">Timmins, N. (2012) </w:t>
      </w:r>
      <w:r w:rsidRPr="00F709A4">
        <w:rPr>
          <w:rFonts w:ascii="Arial" w:hAnsi="Arial" w:cs="Arial"/>
          <w:i/>
          <w:iCs/>
        </w:rPr>
        <w:t>Never Again? The Story of the Health and Social Care Act 2012</w:t>
      </w:r>
      <w:r w:rsidRPr="00F709A4">
        <w:rPr>
          <w:rFonts w:ascii="Arial" w:hAnsi="Arial" w:cs="Arial"/>
        </w:rPr>
        <w:t>. London: The King’s Fund.</w:t>
      </w:r>
    </w:p>
    <w:p w14:paraId="142917DA" w14:textId="77777777" w:rsidR="00385CB2" w:rsidRPr="00F709A4" w:rsidRDefault="00385CB2" w:rsidP="00F709A4">
      <w:pPr>
        <w:spacing w:line="360" w:lineRule="auto"/>
        <w:rPr>
          <w:rFonts w:ascii="Arial" w:hAnsi="Arial" w:cs="Arial"/>
        </w:rPr>
      </w:pPr>
      <w:r w:rsidRPr="00F709A4">
        <w:rPr>
          <w:rFonts w:ascii="Arial" w:hAnsi="Arial" w:cs="Arial"/>
        </w:rPr>
        <w:t>Webster, C. (2002</w:t>
      </w:r>
      <w:r w:rsidRPr="00F709A4">
        <w:rPr>
          <w:rFonts w:ascii="Arial" w:hAnsi="Arial" w:cs="Arial"/>
          <w:i/>
          <w:iCs/>
        </w:rPr>
        <w:t>) The National Health Service: A Political History</w:t>
      </w:r>
      <w:r w:rsidRPr="00F709A4">
        <w:rPr>
          <w:rFonts w:ascii="Arial" w:hAnsi="Arial" w:cs="Arial"/>
        </w:rPr>
        <w:t>. Oxford: Oxford University Press.</w:t>
      </w:r>
    </w:p>
    <w:p w14:paraId="0784CA89" w14:textId="77777777" w:rsidR="00385CB2" w:rsidRPr="00F709A4" w:rsidRDefault="00385CB2" w:rsidP="00F709A4">
      <w:pPr>
        <w:spacing w:line="360" w:lineRule="auto"/>
        <w:rPr>
          <w:rFonts w:ascii="Arial" w:hAnsi="Arial" w:cs="Arial"/>
        </w:rPr>
      </w:pPr>
      <w:r w:rsidRPr="00F709A4">
        <w:rPr>
          <w:rFonts w:ascii="Arial" w:hAnsi="Arial" w:cs="Arial"/>
        </w:rPr>
        <w:t>World Health Organization (2008</w:t>
      </w:r>
      <w:r w:rsidRPr="00F709A4">
        <w:rPr>
          <w:rFonts w:ascii="Arial" w:hAnsi="Arial" w:cs="Arial"/>
          <w:i/>
          <w:iCs/>
        </w:rPr>
        <w:t>) The World Health Report 2008: Primary Health Care</w:t>
      </w:r>
      <w:r w:rsidRPr="00F709A4">
        <w:rPr>
          <w:rFonts w:ascii="Arial" w:hAnsi="Arial" w:cs="Arial"/>
        </w:rPr>
        <w:t>. Geneva: WHO.</w:t>
      </w:r>
    </w:p>
    <w:p w14:paraId="0C5A9010" w14:textId="77777777" w:rsidR="00385CB2" w:rsidRDefault="00385CB2" w:rsidP="00F709A4">
      <w:pPr>
        <w:spacing w:line="360" w:lineRule="auto"/>
        <w:rPr>
          <w:rFonts w:ascii="Arial" w:hAnsi="Arial" w:cs="Arial"/>
        </w:rPr>
      </w:pPr>
      <w:r w:rsidRPr="00F709A4">
        <w:rPr>
          <w:rFonts w:ascii="Arial" w:hAnsi="Arial" w:cs="Arial"/>
        </w:rPr>
        <w:t xml:space="preserve">Wrigley, D. (2015) </w:t>
      </w:r>
      <w:r w:rsidRPr="00F709A4">
        <w:rPr>
          <w:rFonts w:ascii="Arial" w:hAnsi="Arial" w:cs="Arial"/>
          <w:i/>
          <w:iCs/>
        </w:rPr>
        <w:t>The NHS: How to Save Our Health Service</w:t>
      </w:r>
      <w:r w:rsidRPr="00F709A4">
        <w:rPr>
          <w:rFonts w:ascii="Arial" w:hAnsi="Arial" w:cs="Arial"/>
        </w:rPr>
        <w:t>. London: Orion.</w:t>
      </w:r>
    </w:p>
    <w:p w14:paraId="3A55B375" w14:textId="77777777" w:rsidR="001C7614" w:rsidRDefault="001C7614" w:rsidP="00F709A4">
      <w:pPr>
        <w:spacing w:line="360" w:lineRule="auto"/>
        <w:rPr>
          <w:rFonts w:ascii="Arial" w:hAnsi="Arial" w:cs="Arial"/>
        </w:rPr>
      </w:pPr>
    </w:p>
    <w:p w14:paraId="144774B6" w14:textId="77777777" w:rsidR="00B00E85" w:rsidRDefault="00B00E85" w:rsidP="00F709A4">
      <w:pPr>
        <w:spacing w:line="360" w:lineRule="auto"/>
        <w:rPr>
          <w:rFonts w:ascii="Arial" w:hAnsi="Arial" w:cs="Arial"/>
        </w:rPr>
      </w:pPr>
    </w:p>
    <w:p w14:paraId="15515B77" w14:textId="20CF55CC" w:rsidR="001C7614" w:rsidRPr="00B00E85" w:rsidRDefault="001C7614" w:rsidP="00B00E85">
      <w:pPr>
        <w:spacing w:line="360" w:lineRule="auto"/>
        <w:rPr>
          <w:rFonts w:ascii="Arial" w:hAnsi="Arial" w:cs="Arial"/>
          <w:b/>
          <w:bCs/>
        </w:rPr>
      </w:pPr>
      <w:r w:rsidRPr="00B00E85">
        <w:rPr>
          <w:rFonts w:ascii="Arial" w:hAnsi="Arial" w:cs="Arial"/>
          <w:b/>
          <w:bCs/>
        </w:rPr>
        <w:lastRenderedPageBreak/>
        <w:t>Poster Reference</w:t>
      </w:r>
      <w:r w:rsidR="00B9126D">
        <w:rPr>
          <w:rFonts w:ascii="Arial" w:hAnsi="Arial" w:cs="Arial"/>
          <w:b/>
          <w:bCs/>
        </w:rPr>
        <w:t>s</w:t>
      </w:r>
      <w:r w:rsidRPr="00B00E85">
        <w:rPr>
          <w:rFonts w:ascii="Arial" w:hAnsi="Arial" w:cs="Arial"/>
          <w:b/>
          <w:bCs/>
        </w:rPr>
        <w:t>:</w:t>
      </w:r>
    </w:p>
    <w:p w14:paraId="356317F9" w14:textId="77777777" w:rsidR="00B00E85" w:rsidRDefault="00B00E85" w:rsidP="00B00E85">
      <w:pPr>
        <w:spacing w:after="0" w:line="360" w:lineRule="auto"/>
        <w:rPr>
          <w:rFonts w:ascii="Arial" w:eastAsiaTheme="minorEastAsia" w:hAnsi="Arial" w:cs="Arial"/>
          <w:color w:val="000000" w:themeColor="text1"/>
          <w:kern w:val="24"/>
          <w:lang w:eastAsia="en-GB"/>
          <w14:ligatures w14:val="none"/>
        </w:rPr>
      </w:pPr>
      <w:r w:rsidRPr="00B00E85">
        <w:rPr>
          <w:rFonts w:ascii="Arial" w:eastAsiaTheme="minorEastAsia" w:hAnsi="Arial" w:cs="Arial"/>
          <w:color w:val="000000" w:themeColor="text1"/>
          <w:kern w:val="24"/>
          <w:lang w:eastAsia="en-GB"/>
          <w14:ligatures w14:val="none"/>
        </w:rPr>
        <w:t xml:space="preserve">Care Quality Commission (2022) </w:t>
      </w:r>
      <w:r w:rsidRPr="00B00E85">
        <w:rPr>
          <w:rFonts w:ascii="Arial" w:eastAsiaTheme="minorEastAsia" w:hAnsi="Arial" w:cs="Arial"/>
          <w:i/>
          <w:iCs/>
          <w:color w:val="000000" w:themeColor="text1"/>
          <w:kern w:val="24"/>
          <w:lang w:eastAsia="en-GB"/>
          <w14:ligatures w14:val="none"/>
        </w:rPr>
        <w:t>Safety, equity and engagement in maternity services,</w:t>
      </w:r>
      <w:r w:rsidRPr="00B00E85">
        <w:rPr>
          <w:rFonts w:ascii="Arial" w:eastAsiaTheme="minorEastAsia" w:hAnsi="Arial" w:cs="Arial"/>
          <w:color w:val="000000" w:themeColor="text1"/>
          <w:kern w:val="24"/>
          <w:lang w:eastAsia="en-GB"/>
          <w14:ligatures w14:val="none"/>
        </w:rPr>
        <w:t xml:space="preserve"> Available at: </w:t>
      </w:r>
      <w:hyperlink r:id="rId11" w:history="1">
        <w:r w:rsidRPr="00B00E85">
          <w:rPr>
            <w:rFonts w:ascii="Arial" w:eastAsiaTheme="minorEastAsia" w:hAnsi="Arial" w:cs="Arial"/>
            <w:color w:val="000000" w:themeColor="text1"/>
            <w:kern w:val="24"/>
            <w:u w:val="single"/>
            <w:lang w:eastAsia="en-GB"/>
            <w14:ligatures w14:val="none"/>
          </w:rPr>
          <w:t>https://www.cqc.org.uk/publications/themes-care/safety-equity-engagement-maternity-services</w:t>
        </w:r>
      </w:hyperlink>
      <w:r w:rsidRPr="00B00E85">
        <w:rPr>
          <w:rFonts w:ascii="Arial" w:eastAsiaTheme="minorEastAsia" w:hAnsi="Arial" w:cs="Arial"/>
          <w:color w:val="000000" w:themeColor="text1"/>
          <w:kern w:val="24"/>
          <w:lang w:eastAsia="en-GB"/>
          <w14:ligatures w14:val="none"/>
        </w:rPr>
        <w:t xml:space="preserve"> (Accessed 10 October 2025)</w:t>
      </w:r>
    </w:p>
    <w:p w14:paraId="37109136" w14:textId="77777777" w:rsidR="00B00E85" w:rsidRPr="00B00E85" w:rsidRDefault="00B00E85" w:rsidP="00B00E85">
      <w:pPr>
        <w:spacing w:after="0" w:line="360" w:lineRule="auto"/>
        <w:rPr>
          <w:rFonts w:ascii="Times New Roman" w:eastAsia="Times New Roman" w:hAnsi="Times New Roman" w:cs="Times New Roman"/>
          <w:kern w:val="0"/>
          <w:lang w:eastAsia="en-GB"/>
          <w14:ligatures w14:val="none"/>
        </w:rPr>
      </w:pPr>
    </w:p>
    <w:p w14:paraId="359B7F87" w14:textId="77777777" w:rsidR="00B00E85" w:rsidRDefault="00B00E85" w:rsidP="00B00E85">
      <w:pPr>
        <w:spacing w:after="0" w:line="360" w:lineRule="auto"/>
        <w:rPr>
          <w:rFonts w:ascii="Arial" w:eastAsiaTheme="minorEastAsia" w:hAnsi="Arial" w:cs="Arial"/>
          <w:color w:val="000000" w:themeColor="text1"/>
          <w:kern w:val="24"/>
          <w:lang w:eastAsia="en-GB"/>
          <w14:ligatures w14:val="none"/>
        </w:rPr>
      </w:pPr>
      <w:r w:rsidRPr="00B00E85">
        <w:rPr>
          <w:rFonts w:ascii="Arial" w:eastAsiaTheme="minorEastAsia" w:hAnsi="Arial" w:cs="Arial"/>
          <w:color w:val="000000" w:themeColor="text1"/>
          <w:kern w:val="24"/>
          <w:lang w:eastAsia="en-GB"/>
          <w14:ligatures w14:val="none"/>
        </w:rPr>
        <w:t xml:space="preserve">Care Quality Commission (2023) The health and care workforce: </w:t>
      </w:r>
      <w:r w:rsidRPr="00B00E85">
        <w:rPr>
          <w:rFonts w:ascii="Arial" w:eastAsiaTheme="minorEastAsia" w:hAnsi="Arial" w:cs="Arial"/>
          <w:i/>
          <w:iCs/>
          <w:color w:val="000000" w:themeColor="text1"/>
          <w:kern w:val="24"/>
          <w:lang w:eastAsia="en-GB"/>
          <w14:ligatures w14:val="none"/>
        </w:rPr>
        <w:t>State of care 2022-23</w:t>
      </w:r>
      <w:r w:rsidRPr="00B00E85">
        <w:rPr>
          <w:rFonts w:ascii="Arial" w:eastAsiaTheme="minorEastAsia" w:hAnsi="Arial" w:cs="Arial"/>
          <w:color w:val="000000" w:themeColor="text1"/>
          <w:kern w:val="24"/>
          <w:lang w:eastAsia="en-GB"/>
          <w14:ligatures w14:val="none"/>
        </w:rPr>
        <w:t xml:space="preserve">. London: CQC. Available at: </w:t>
      </w:r>
      <w:hyperlink r:id="rId12" w:history="1">
        <w:r w:rsidRPr="00B00E85">
          <w:rPr>
            <w:rFonts w:ascii="Arial" w:eastAsiaTheme="minorEastAsia" w:hAnsi="Arial" w:cs="Arial"/>
            <w:color w:val="000000" w:themeColor="text1"/>
            <w:kern w:val="24"/>
            <w:u w:val="single"/>
            <w:lang w:eastAsia="en-GB"/>
            <w14:ligatures w14:val="none"/>
          </w:rPr>
          <w:t>https://www.cqc.org.uk/publications/major-report/state-care/2022-2023/workforce</w:t>
        </w:r>
      </w:hyperlink>
      <w:r w:rsidRPr="00B00E85">
        <w:rPr>
          <w:rFonts w:ascii="Arial" w:eastAsiaTheme="minorEastAsia" w:hAnsi="Arial" w:cs="Arial"/>
          <w:color w:val="000000" w:themeColor="text1"/>
          <w:kern w:val="24"/>
          <w:lang w:eastAsia="en-GB"/>
          <w14:ligatures w14:val="none"/>
        </w:rPr>
        <w:t xml:space="preserve"> (Accessed 17 October 2025)</w:t>
      </w:r>
    </w:p>
    <w:p w14:paraId="32C41955" w14:textId="77777777" w:rsidR="00B00E85" w:rsidRPr="00B00E85" w:rsidRDefault="00B00E85" w:rsidP="00B00E85">
      <w:pPr>
        <w:spacing w:after="0" w:line="360" w:lineRule="auto"/>
        <w:rPr>
          <w:rFonts w:ascii="Times New Roman" w:eastAsia="Times New Roman" w:hAnsi="Times New Roman" w:cs="Times New Roman"/>
          <w:kern w:val="0"/>
          <w:lang w:eastAsia="en-GB"/>
          <w14:ligatures w14:val="none"/>
        </w:rPr>
      </w:pPr>
    </w:p>
    <w:p w14:paraId="2978303E" w14:textId="77777777" w:rsidR="00B00E85" w:rsidRDefault="00B00E85" w:rsidP="00B00E85">
      <w:pPr>
        <w:spacing w:after="0" w:line="360" w:lineRule="auto"/>
        <w:rPr>
          <w:rFonts w:ascii="Arial" w:eastAsiaTheme="minorEastAsia" w:hAnsi="Arial" w:cs="Arial"/>
          <w:color w:val="000000" w:themeColor="text1"/>
          <w:kern w:val="24"/>
          <w:lang w:eastAsia="en-GB"/>
          <w14:ligatures w14:val="none"/>
        </w:rPr>
      </w:pPr>
      <w:r w:rsidRPr="00B00E85">
        <w:rPr>
          <w:rFonts w:ascii="Arial" w:eastAsiaTheme="minorEastAsia" w:hAnsi="Arial" w:cs="Arial"/>
          <w:color w:val="000000" w:themeColor="text1"/>
          <w:kern w:val="24"/>
          <w:lang w:eastAsia="en-GB"/>
          <w14:ligatures w14:val="none"/>
        </w:rPr>
        <w:t xml:space="preserve">Care Quality Commission (2024) National review of maternity services in England 2022-2024. Available at </w:t>
      </w:r>
      <w:hyperlink r:id="rId13" w:history="1">
        <w:r w:rsidRPr="00B00E85">
          <w:rPr>
            <w:rFonts w:ascii="Arial" w:eastAsiaTheme="minorEastAsia" w:hAnsi="Arial" w:cs="Arial"/>
            <w:color w:val="000000" w:themeColor="text1"/>
            <w:kern w:val="24"/>
            <w:u w:val="single"/>
            <w:lang w:eastAsia="en-GB"/>
            <w14:ligatures w14:val="none"/>
          </w:rPr>
          <w:t>https://www.cqc.org.uk/publications/maternity-services-2022-2024/staffing</w:t>
        </w:r>
      </w:hyperlink>
      <w:r w:rsidRPr="00B00E85">
        <w:rPr>
          <w:rFonts w:ascii="Arial" w:eastAsiaTheme="minorEastAsia" w:hAnsi="Arial" w:cs="Arial"/>
          <w:color w:val="000000" w:themeColor="text1"/>
          <w:kern w:val="24"/>
          <w:lang w:eastAsia="en-GB"/>
          <w14:ligatures w14:val="none"/>
        </w:rPr>
        <w:t xml:space="preserve"> ( Accessed October 2025).</w:t>
      </w:r>
    </w:p>
    <w:p w14:paraId="0724DA8A" w14:textId="77777777" w:rsidR="00B00E85" w:rsidRPr="00B00E85" w:rsidRDefault="00B00E85" w:rsidP="00B00E85">
      <w:pPr>
        <w:spacing w:after="0" w:line="360" w:lineRule="auto"/>
        <w:rPr>
          <w:rFonts w:ascii="Times New Roman" w:eastAsia="Times New Roman" w:hAnsi="Times New Roman" w:cs="Times New Roman"/>
          <w:kern w:val="0"/>
          <w:lang w:eastAsia="en-GB"/>
          <w14:ligatures w14:val="none"/>
        </w:rPr>
      </w:pPr>
    </w:p>
    <w:p w14:paraId="02DF77F8" w14:textId="2BE097CE" w:rsidR="00B00E85" w:rsidRDefault="00B00E85" w:rsidP="00B00E85">
      <w:pPr>
        <w:spacing w:after="0" w:line="360" w:lineRule="auto"/>
        <w:rPr>
          <w:rFonts w:ascii="Arial" w:eastAsiaTheme="minorEastAsia" w:hAnsi="Arial" w:cs="Arial"/>
          <w:color w:val="000000" w:themeColor="text1"/>
          <w:kern w:val="24"/>
          <w:lang w:eastAsia="en-GB"/>
          <w14:ligatures w14:val="none"/>
        </w:rPr>
      </w:pPr>
      <w:r w:rsidRPr="00B00E85">
        <w:rPr>
          <w:rFonts w:ascii="Arial" w:eastAsiaTheme="minorEastAsia" w:hAnsi="Arial" w:cs="Arial"/>
          <w:color w:val="000000" w:themeColor="text1"/>
          <w:kern w:val="24"/>
          <w:lang w:eastAsia="en-GB"/>
          <w14:ligatures w14:val="none"/>
        </w:rPr>
        <w:t xml:space="preserve">CHFT (2024) </w:t>
      </w:r>
      <w:r w:rsidRPr="00B00E85">
        <w:rPr>
          <w:rFonts w:ascii="Arial" w:eastAsiaTheme="minorEastAsia" w:hAnsi="Arial" w:cs="Arial"/>
          <w:i/>
          <w:iCs/>
          <w:color w:val="000000" w:themeColor="text1"/>
          <w:kern w:val="24"/>
          <w:lang w:eastAsia="en-GB"/>
          <w14:ligatures w14:val="none"/>
        </w:rPr>
        <w:t>Community Midwifery Services</w:t>
      </w:r>
      <w:r w:rsidRPr="00B00E85">
        <w:rPr>
          <w:rFonts w:ascii="Arial" w:eastAsiaTheme="minorEastAsia" w:hAnsi="Arial" w:cs="Arial"/>
          <w:color w:val="000000" w:themeColor="text1"/>
          <w:kern w:val="24"/>
          <w:lang w:eastAsia="en-GB"/>
          <w14:ligatures w14:val="none"/>
        </w:rPr>
        <w:t>. Calderdale and Huddersfield NHS Foundation Trust. Available at: https://www.cht.nhs.uk (Accessed: 26 September 2025).</w:t>
      </w:r>
    </w:p>
    <w:p w14:paraId="22BFB1B9" w14:textId="77777777" w:rsidR="00B00E85" w:rsidRPr="00B00E85" w:rsidRDefault="00B00E85" w:rsidP="00B00E85">
      <w:pPr>
        <w:spacing w:after="0" w:line="360" w:lineRule="auto"/>
        <w:rPr>
          <w:rFonts w:ascii="Times New Roman" w:eastAsia="Times New Roman" w:hAnsi="Times New Roman" w:cs="Times New Roman"/>
          <w:kern w:val="0"/>
          <w:lang w:eastAsia="en-GB"/>
          <w14:ligatures w14:val="none"/>
        </w:rPr>
      </w:pPr>
    </w:p>
    <w:p w14:paraId="520A1679" w14:textId="622C921A" w:rsidR="00B00E85" w:rsidRDefault="00B00E85" w:rsidP="00B00E85">
      <w:pPr>
        <w:spacing w:after="0" w:line="360" w:lineRule="auto"/>
        <w:rPr>
          <w:rFonts w:ascii="Arial" w:eastAsiaTheme="minorEastAsia" w:hAnsi="Arial" w:cs="Arial"/>
          <w:color w:val="000000" w:themeColor="text1"/>
          <w:kern w:val="24"/>
          <w:lang w:eastAsia="en-GB"/>
          <w14:ligatures w14:val="none"/>
        </w:rPr>
      </w:pPr>
      <w:r w:rsidRPr="00B00E85">
        <w:rPr>
          <w:rFonts w:ascii="Arial" w:eastAsiaTheme="minorEastAsia" w:hAnsi="Arial" w:cs="Arial"/>
          <w:color w:val="000000" w:themeColor="text1"/>
          <w:kern w:val="24"/>
          <w:lang w:eastAsia="en-GB"/>
          <w14:ligatures w14:val="none"/>
        </w:rPr>
        <w:t>Donnison, J. (1977) Midwives and Medical Men</w:t>
      </w:r>
      <w:r w:rsidRPr="00B00E85">
        <w:rPr>
          <w:rFonts w:ascii="Arial" w:eastAsiaTheme="minorEastAsia" w:hAnsi="Arial" w:cs="Arial"/>
          <w:i/>
          <w:iCs/>
          <w:color w:val="000000" w:themeColor="text1"/>
          <w:kern w:val="24"/>
          <w:lang w:eastAsia="en-GB"/>
          <w14:ligatures w14:val="none"/>
        </w:rPr>
        <w:t>: A History of Inter-Professional Rivalries and Women’s Rights</w:t>
      </w:r>
      <w:r w:rsidRPr="00B00E85">
        <w:rPr>
          <w:rFonts w:ascii="Arial" w:eastAsiaTheme="minorEastAsia" w:hAnsi="Arial" w:cs="Arial"/>
          <w:color w:val="000000" w:themeColor="text1"/>
          <w:kern w:val="24"/>
          <w:lang w:eastAsia="en-GB"/>
          <w14:ligatures w14:val="none"/>
        </w:rPr>
        <w:t>. London: Heinemann.</w:t>
      </w:r>
    </w:p>
    <w:p w14:paraId="45B20F88" w14:textId="77777777" w:rsidR="004A7F27" w:rsidRDefault="004A7F27" w:rsidP="00B00E85">
      <w:pPr>
        <w:spacing w:after="0" w:line="360" w:lineRule="auto"/>
        <w:rPr>
          <w:rFonts w:ascii="Times New Roman" w:eastAsia="Times New Roman" w:hAnsi="Times New Roman" w:cs="Times New Roman"/>
          <w:kern w:val="0"/>
          <w:lang w:eastAsia="en-GB"/>
          <w14:ligatures w14:val="none"/>
        </w:rPr>
      </w:pPr>
    </w:p>
    <w:p w14:paraId="680CEE55" w14:textId="3CB34D87" w:rsidR="00B00E85" w:rsidRDefault="00B00E85" w:rsidP="00B00E85">
      <w:pPr>
        <w:spacing w:after="0" w:line="360" w:lineRule="auto"/>
        <w:rPr>
          <w:rFonts w:ascii="Arial" w:eastAsiaTheme="minorEastAsia" w:hAnsi="Arial" w:cs="Arial"/>
          <w:color w:val="000000" w:themeColor="text1"/>
          <w:kern w:val="24"/>
          <w:lang w:eastAsia="en-GB"/>
          <w14:ligatures w14:val="none"/>
        </w:rPr>
      </w:pPr>
      <w:r w:rsidRPr="00B00E85">
        <w:rPr>
          <w:rFonts w:ascii="Arial" w:eastAsiaTheme="minorEastAsia" w:hAnsi="Arial" w:cs="Arial"/>
          <w:color w:val="000000" w:themeColor="text1"/>
          <w:kern w:val="24"/>
          <w:lang w:eastAsia="en-GB"/>
          <w14:ligatures w14:val="none"/>
        </w:rPr>
        <w:t>Loudon, I. (1992</w:t>
      </w:r>
      <w:r w:rsidRPr="00B00E85">
        <w:rPr>
          <w:rFonts w:ascii="Arial" w:eastAsiaTheme="minorEastAsia" w:hAnsi="Arial" w:cs="Arial"/>
          <w:i/>
          <w:iCs/>
          <w:color w:val="000000" w:themeColor="text1"/>
          <w:kern w:val="24"/>
          <w:lang w:eastAsia="en-GB"/>
          <w14:ligatures w14:val="none"/>
        </w:rPr>
        <w:t xml:space="preserve">) </w:t>
      </w:r>
      <w:r w:rsidRPr="00B00E85">
        <w:rPr>
          <w:rFonts w:ascii="Arial" w:eastAsiaTheme="minorEastAsia" w:hAnsi="Arial" w:cs="Arial"/>
          <w:color w:val="000000" w:themeColor="text1"/>
          <w:kern w:val="24"/>
          <w:lang w:eastAsia="en-GB"/>
          <w14:ligatures w14:val="none"/>
        </w:rPr>
        <w:t>Death in Childbirth</w:t>
      </w:r>
      <w:r w:rsidRPr="00B00E85">
        <w:rPr>
          <w:rFonts w:ascii="Arial" w:eastAsiaTheme="minorEastAsia" w:hAnsi="Arial" w:cs="Arial"/>
          <w:i/>
          <w:iCs/>
          <w:color w:val="000000" w:themeColor="text1"/>
          <w:kern w:val="24"/>
          <w:lang w:eastAsia="en-GB"/>
          <w14:ligatures w14:val="none"/>
        </w:rPr>
        <w:t>: An International Study of Maternal Care and Maternal Mortality 1800–1950</w:t>
      </w:r>
      <w:r w:rsidRPr="00B00E85">
        <w:rPr>
          <w:rFonts w:ascii="Arial" w:eastAsiaTheme="minorEastAsia" w:hAnsi="Arial" w:cs="Arial"/>
          <w:color w:val="000000" w:themeColor="text1"/>
          <w:kern w:val="24"/>
          <w:lang w:eastAsia="en-GB"/>
          <w14:ligatures w14:val="none"/>
        </w:rPr>
        <w:t>. Oxford: Clarendon Press.</w:t>
      </w:r>
    </w:p>
    <w:p w14:paraId="0C617E37" w14:textId="77777777" w:rsidR="00B00E85" w:rsidRPr="00B00E85" w:rsidRDefault="00B00E85" w:rsidP="00B00E85">
      <w:pPr>
        <w:spacing w:after="0" w:line="360" w:lineRule="auto"/>
        <w:rPr>
          <w:rFonts w:ascii="Times New Roman" w:eastAsia="Times New Roman" w:hAnsi="Times New Roman" w:cs="Times New Roman"/>
          <w:kern w:val="0"/>
          <w:lang w:eastAsia="en-GB"/>
          <w14:ligatures w14:val="none"/>
        </w:rPr>
      </w:pPr>
    </w:p>
    <w:p w14:paraId="53202392" w14:textId="2382CEB9" w:rsidR="00B00E85" w:rsidRDefault="00B00E85" w:rsidP="00B00E85">
      <w:pPr>
        <w:spacing w:after="0" w:line="360" w:lineRule="auto"/>
        <w:rPr>
          <w:rFonts w:ascii="Arial" w:eastAsiaTheme="minorEastAsia" w:hAnsi="Arial" w:cs="Arial"/>
          <w:color w:val="000000" w:themeColor="text1"/>
          <w:kern w:val="24"/>
          <w:lang w:eastAsia="en-GB"/>
          <w14:ligatures w14:val="none"/>
        </w:rPr>
      </w:pPr>
      <w:r w:rsidRPr="00B00E85">
        <w:rPr>
          <w:rFonts w:ascii="Arial" w:eastAsiaTheme="minorEastAsia" w:hAnsi="Arial" w:cs="Arial"/>
          <w:color w:val="000000" w:themeColor="text1"/>
          <w:kern w:val="24"/>
          <w:lang w:eastAsia="en-GB"/>
          <w14:ligatures w14:val="none"/>
        </w:rPr>
        <w:t>National Institute for Health and Care Excellence (NICE) (2021</w:t>
      </w:r>
      <w:r w:rsidRPr="00B00E85">
        <w:rPr>
          <w:rFonts w:ascii="Arial" w:eastAsiaTheme="minorEastAsia" w:hAnsi="Arial" w:cs="Arial"/>
          <w:i/>
          <w:iCs/>
          <w:color w:val="000000" w:themeColor="text1"/>
          <w:kern w:val="24"/>
          <w:lang w:eastAsia="en-GB"/>
          <w14:ligatures w14:val="none"/>
        </w:rPr>
        <w:t>) Antenatal Care for Uncomplicated Pregnancies</w:t>
      </w:r>
      <w:r w:rsidRPr="00B00E85">
        <w:rPr>
          <w:rFonts w:ascii="Arial" w:eastAsiaTheme="minorEastAsia" w:hAnsi="Arial" w:cs="Arial"/>
          <w:color w:val="000000" w:themeColor="text1"/>
          <w:kern w:val="24"/>
          <w:lang w:eastAsia="en-GB"/>
          <w14:ligatures w14:val="none"/>
        </w:rPr>
        <w:t>. NG201.</w:t>
      </w:r>
    </w:p>
    <w:p w14:paraId="43BB4209" w14:textId="77777777" w:rsidR="00B00E85" w:rsidRPr="00B00E85" w:rsidRDefault="00B00E85" w:rsidP="00B00E85">
      <w:pPr>
        <w:spacing w:after="0" w:line="360" w:lineRule="auto"/>
        <w:rPr>
          <w:rFonts w:ascii="Times New Roman" w:eastAsia="Times New Roman" w:hAnsi="Times New Roman" w:cs="Times New Roman"/>
          <w:kern w:val="0"/>
          <w:lang w:eastAsia="en-GB"/>
          <w14:ligatures w14:val="none"/>
        </w:rPr>
      </w:pPr>
    </w:p>
    <w:p w14:paraId="13017913" w14:textId="6C41599C" w:rsidR="00B00E85" w:rsidRDefault="00B00E85" w:rsidP="00B00E85">
      <w:pPr>
        <w:spacing w:after="0" w:line="360" w:lineRule="auto"/>
        <w:rPr>
          <w:rFonts w:ascii="Arial" w:eastAsiaTheme="minorEastAsia" w:hAnsi="Arial" w:cs="Arial"/>
          <w:color w:val="000000" w:themeColor="text1"/>
          <w:kern w:val="24"/>
          <w:lang w:eastAsia="en-GB"/>
          <w14:ligatures w14:val="none"/>
        </w:rPr>
      </w:pPr>
      <w:r w:rsidRPr="00B00E85">
        <w:rPr>
          <w:rFonts w:ascii="Arial" w:eastAsiaTheme="minorEastAsia" w:hAnsi="Arial" w:cs="Arial"/>
          <w:color w:val="000000" w:themeColor="text1"/>
          <w:kern w:val="24"/>
          <w:lang w:eastAsia="en-GB"/>
          <w14:ligatures w14:val="none"/>
        </w:rPr>
        <w:t>NHS Digital (2023) Maternity Services Monthly Statistics. Available at: https://digital.nhs.uk (Accessed: 17 October 2025).</w:t>
      </w:r>
    </w:p>
    <w:p w14:paraId="371096E5" w14:textId="77777777" w:rsidR="00B00E85" w:rsidRPr="00B00E85" w:rsidRDefault="00B00E85" w:rsidP="00B00E85">
      <w:pPr>
        <w:spacing w:after="0" w:line="360" w:lineRule="auto"/>
        <w:rPr>
          <w:rFonts w:ascii="Times New Roman" w:eastAsia="Times New Roman" w:hAnsi="Times New Roman" w:cs="Times New Roman"/>
          <w:kern w:val="0"/>
          <w:lang w:eastAsia="en-GB"/>
          <w14:ligatures w14:val="none"/>
        </w:rPr>
      </w:pPr>
    </w:p>
    <w:p w14:paraId="3A8E89FF" w14:textId="22179DAD" w:rsidR="00B00E85" w:rsidRPr="00B00E85" w:rsidRDefault="00B00E85" w:rsidP="00B00E85">
      <w:pPr>
        <w:spacing w:after="0" w:line="360" w:lineRule="auto"/>
        <w:rPr>
          <w:rFonts w:ascii="Times New Roman" w:eastAsia="Times New Roman" w:hAnsi="Times New Roman" w:cs="Times New Roman"/>
          <w:kern w:val="0"/>
          <w:lang w:eastAsia="en-GB"/>
          <w14:ligatures w14:val="none"/>
        </w:rPr>
      </w:pPr>
      <w:r w:rsidRPr="00B00E85">
        <w:rPr>
          <w:rFonts w:ascii="Arial" w:eastAsiaTheme="minorEastAsia" w:hAnsi="Arial" w:cs="Arial"/>
          <w:color w:val="000000" w:themeColor="text1"/>
          <w:kern w:val="24"/>
          <w:lang w:eastAsia="en-GB"/>
          <w14:ligatures w14:val="none"/>
        </w:rPr>
        <w:t xml:space="preserve">NHS England (2016) Better Births: </w:t>
      </w:r>
      <w:r w:rsidRPr="00B00E85">
        <w:rPr>
          <w:rFonts w:ascii="Arial" w:eastAsiaTheme="minorEastAsia" w:hAnsi="Arial" w:cs="Arial"/>
          <w:i/>
          <w:iCs/>
          <w:color w:val="000000" w:themeColor="text1"/>
          <w:kern w:val="24"/>
          <w:lang w:eastAsia="en-GB"/>
          <w14:ligatures w14:val="none"/>
        </w:rPr>
        <w:t>Improving Outcomes of Maternity Services in England</w:t>
      </w:r>
      <w:r w:rsidRPr="00B00E85">
        <w:rPr>
          <w:rFonts w:ascii="Arial" w:eastAsiaTheme="minorEastAsia" w:hAnsi="Arial" w:cs="Arial"/>
          <w:color w:val="000000" w:themeColor="text1"/>
          <w:kern w:val="24"/>
          <w:lang w:eastAsia="en-GB"/>
          <w14:ligatures w14:val="none"/>
        </w:rPr>
        <w:t>. London: NHS.</w:t>
      </w:r>
    </w:p>
    <w:p w14:paraId="0950C90B" w14:textId="77777777" w:rsidR="00B00E85" w:rsidRDefault="00B00E85" w:rsidP="00B00E85">
      <w:pPr>
        <w:spacing w:after="0" w:line="360" w:lineRule="auto"/>
        <w:rPr>
          <w:rFonts w:ascii="Arial" w:eastAsiaTheme="minorEastAsia" w:hAnsi="Arial" w:cs="Arial"/>
          <w:color w:val="000000" w:themeColor="text1"/>
          <w:kern w:val="24"/>
          <w:lang w:eastAsia="en-GB"/>
          <w14:ligatures w14:val="none"/>
        </w:rPr>
      </w:pPr>
      <w:r w:rsidRPr="00B00E85">
        <w:rPr>
          <w:rFonts w:ascii="Arial" w:eastAsiaTheme="minorEastAsia" w:hAnsi="Arial" w:cs="Arial"/>
          <w:color w:val="000000" w:themeColor="text1"/>
          <w:kern w:val="24"/>
          <w:lang w:eastAsia="en-GB"/>
          <w14:ligatures w14:val="none"/>
        </w:rPr>
        <w:lastRenderedPageBreak/>
        <w:t xml:space="preserve">Nursing and Midwifery Council (NMC) (2020) The Code: </w:t>
      </w:r>
      <w:r w:rsidRPr="00B00E85">
        <w:rPr>
          <w:rFonts w:ascii="Arial" w:eastAsiaTheme="minorEastAsia" w:hAnsi="Arial" w:cs="Arial"/>
          <w:i/>
          <w:iCs/>
          <w:color w:val="000000" w:themeColor="text1"/>
          <w:kern w:val="24"/>
          <w:lang w:eastAsia="en-GB"/>
          <w14:ligatures w14:val="none"/>
        </w:rPr>
        <w:t>Professional Standards of Practice and Behaviour for Nurses, Midwives and Nursing Associates</w:t>
      </w:r>
      <w:r w:rsidRPr="00B00E85">
        <w:rPr>
          <w:rFonts w:ascii="Arial" w:eastAsiaTheme="minorEastAsia" w:hAnsi="Arial" w:cs="Arial"/>
          <w:color w:val="000000" w:themeColor="text1"/>
          <w:kern w:val="24"/>
          <w:lang w:eastAsia="en-GB"/>
          <w14:ligatures w14:val="none"/>
        </w:rPr>
        <w:t>. London: Nursing and Midwifery Council.</w:t>
      </w:r>
    </w:p>
    <w:p w14:paraId="609B7D7A" w14:textId="77777777" w:rsidR="00B00E85" w:rsidRPr="00B00E85" w:rsidRDefault="00B00E85" w:rsidP="00B00E85">
      <w:pPr>
        <w:spacing w:after="0" w:line="360" w:lineRule="auto"/>
        <w:rPr>
          <w:rFonts w:ascii="Times New Roman" w:eastAsia="Times New Roman" w:hAnsi="Times New Roman" w:cs="Times New Roman"/>
          <w:kern w:val="0"/>
          <w:lang w:eastAsia="en-GB"/>
          <w14:ligatures w14:val="none"/>
        </w:rPr>
      </w:pPr>
    </w:p>
    <w:p w14:paraId="7B3D5075" w14:textId="059CFA78" w:rsidR="00B00E85" w:rsidRDefault="00B00E85" w:rsidP="00B00E85">
      <w:pPr>
        <w:spacing w:after="0" w:line="360" w:lineRule="auto"/>
        <w:rPr>
          <w:rFonts w:ascii="Arial" w:eastAsiaTheme="minorEastAsia" w:hAnsi="Arial" w:cs="Arial"/>
          <w:color w:val="000000" w:themeColor="text1"/>
          <w:kern w:val="24"/>
          <w:lang w:eastAsia="en-GB"/>
          <w14:ligatures w14:val="none"/>
        </w:rPr>
      </w:pPr>
      <w:r w:rsidRPr="00B00E85">
        <w:rPr>
          <w:rFonts w:ascii="Arial" w:eastAsiaTheme="minorEastAsia" w:hAnsi="Arial" w:cs="Arial"/>
          <w:color w:val="000000" w:themeColor="text1"/>
          <w:kern w:val="24"/>
          <w:lang w:eastAsia="en-GB"/>
          <w14:ligatures w14:val="none"/>
        </w:rPr>
        <w:t xml:space="preserve">Parliamentary Health and Social Care Committee (2022) </w:t>
      </w:r>
      <w:r w:rsidRPr="00B00E85">
        <w:rPr>
          <w:rFonts w:ascii="Arial" w:eastAsiaTheme="minorEastAsia" w:hAnsi="Arial" w:cs="Arial"/>
          <w:i/>
          <w:iCs/>
          <w:color w:val="000000" w:themeColor="text1"/>
          <w:kern w:val="24"/>
          <w:lang w:eastAsia="en-GB"/>
          <w14:ligatures w14:val="none"/>
        </w:rPr>
        <w:t>The Safety of Maternity</w:t>
      </w:r>
      <w:r w:rsidR="00E177DD">
        <w:rPr>
          <w:rFonts w:ascii="Arial" w:eastAsiaTheme="minorEastAsia" w:hAnsi="Arial" w:cs="Arial"/>
          <w:i/>
          <w:iCs/>
          <w:color w:val="000000" w:themeColor="text1"/>
          <w:kern w:val="24"/>
          <w:lang w:eastAsia="en-GB"/>
          <w14:ligatures w14:val="none"/>
        </w:rPr>
        <w:t xml:space="preserve"> </w:t>
      </w:r>
      <w:r w:rsidRPr="00B00E85">
        <w:rPr>
          <w:rFonts w:ascii="Arial" w:eastAsiaTheme="minorEastAsia" w:hAnsi="Arial" w:cs="Arial"/>
          <w:i/>
          <w:iCs/>
          <w:color w:val="000000" w:themeColor="text1"/>
          <w:kern w:val="24"/>
          <w:lang w:eastAsia="en-GB"/>
          <w14:ligatures w14:val="none"/>
        </w:rPr>
        <w:t>Services in England: Follow-up</w:t>
      </w:r>
      <w:r w:rsidRPr="00B00E85">
        <w:rPr>
          <w:rFonts w:ascii="Arial" w:eastAsiaTheme="minorEastAsia" w:hAnsi="Arial" w:cs="Arial"/>
          <w:color w:val="000000" w:themeColor="text1"/>
          <w:kern w:val="24"/>
          <w:lang w:eastAsia="en-GB"/>
          <w14:ligatures w14:val="none"/>
        </w:rPr>
        <w:t>. London: UK Parliament.</w:t>
      </w:r>
    </w:p>
    <w:p w14:paraId="7DCC4A0E" w14:textId="77777777" w:rsidR="00B00E85" w:rsidRPr="00B00E85" w:rsidRDefault="00B00E85" w:rsidP="00B00E85">
      <w:pPr>
        <w:spacing w:after="0" w:line="360" w:lineRule="auto"/>
        <w:rPr>
          <w:rFonts w:ascii="Times New Roman" w:eastAsia="Times New Roman" w:hAnsi="Times New Roman" w:cs="Times New Roman"/>
          <w:kern w:val="0"/>
          <w:lang w:eastAsia="en-GB"/>
          <w14:ligatures w14:val="none"/>
        </w:rPr>
      </w:pPr>
    </w:p>
    <w:p w14:paraId="7A4491CF" w14:textId="60CD09C0" w:rsidR="00B00E85" w:rsidRDefault="00B00E85" w:rsidP="00B00E85">
      <w:pPr>
        <w:spacing w:after="0" w:line="360" w:lineRule="auto"/>
        <w:rPr>
          <w:rFonts w:ascii="Arial" w:eastAsiaTheme="minorEastAsia" w:hAnsi="Arial" w:cs="Arial"/>
          <w:color w:val="000000" w:themeColor="text1"/>
          <w:kern w:val="24"/>
          <w:lang w:eastAsia="en-GB"/>
          <w14:ligatures w14:val="none"/>
        </w:rPr>
      </w:pPr>
      <w:r w:rsidRPr="00B00E85">
        <w:rPr>
          <w:rFonts w:ascii="Arial" w:eastAsiaTheme="minorEastAsia" w:hAnsi="Arial" w:cs="Arial"/>
          <w:color w:val="000000" w:themeColor="text1"/>
          <w:kern w:val="24"/>
          <w:lang w:eastAsia="en-GB"/>
          <w14:ligatures w14:val="none"/>
        </w:rPr>
        <w:t xml:space="preserve">Public Health England (2020) </w:t>
      </w:r>
      <w:r w:rsidRPr="00B00E85">
        <w:rPr>
          <w:rFonts w:ascii="Arial" w:eastAsiaTheme="minorEastAsia" w:hAnsi="Arial" w:cs="Arial"/>
          <w:i/>
          <w:iCs/>
          <w:color w:val="000000" w:themeColor="text1"/>
          <w:kern w:val="24"/>
          <w:lang w:eastAsia="en-GB"/>
          <w14:ligatures w14:val="none"/>
        </w:rPr>
        <w:t>Health of Women Before and During Pregnancy</w:t>
      </w:r>
      <w:r w:rsidRPr="00B00E85">
        <w:rPr>
          <w:rFonts w:ascii="Arial" w:eastAsiaTheme="minorEastAsia" w:hAnsi="Arial" w:cs="Arial"/>
          <w:color w:val="000000" w:themeColor="text1"/>
          <w:kern w:val="24"/>
          <w:lang w:eastAsia="en-GB"/>
          <w14:ligatures w14:val="none"/>
        </w:rPr>
        <w:t>. London: PHE.</w:t>
      </w:r>
    </w:p>
    <w:p w14:paraId="7807DD98" w14:textId="77777777" w:rsidR="00B00E85" w:rsidRPr="00B00E85" w:rsidRDefault="00B00E85" w:rsidP="00B00E85">
      <w:pPr>
        <w:spacing w:after="0" w:line="360" w:lineRule="auto"/>
        <w:rPr>
          <w:rFonts w:ascii="Times New Roman" w:eastAsia="Times New Roman" w:hAnsi="Times New Roman" w:cs="Times New Roman"/>
          <w:kern w:val="0"/>
          <w:lang w:eastAsia="en-GB"/>
          <w14:ligatures w14:val="none"/>
        </w:rPr>
      </w:pPr>
    </w:p>
    <w:p w14:paraId="339AB566" w14:textId="4587EB6F" w:rsidR="00B00E85" w:rsidRDefault="00B00E85" w:rsidP="00B00E85">
      <w:pPr>
        <w:spacing w:after="0" w:line="360" w:lineRule="auto"/>
        <w:rPr>
          <w:rFonts w:ascii="Arial" w:eastAsiaTheme="minorEastAsia" w:hAnsi="Arial" w:cs="Arial"/>
          <w:color w:val="000000" w:themeColor="text1"/>
          <w:kern w:val="24"/>
          <w:lang w:eastAsia="en-GB"/>
          <w14:ligatures w14:val="none"/>
        </w:rPr>
      </w:pPr>
      <w:r w:rsidRPr="00B00E85">
        <w:rPr>
          <w:rFonts w:ascii="Arial" w:eastAsiaTheme="minorEastAsia" w:hAnsi="Arial" w:cs="Arial"/>
          <w:color w:val="000000" w:themeColor="text1"/>
          <w:kern w:val="24"/>
          <w:lang w:eastAsia="en-GB"/>
          <w14:ligatures w14:val="none"/>
        </w:rPr>
        <w:t xml:space="preserve">Royal College of Midwives (RCM) (2023) </w:t>
      </w:r>
      <w:r w:rsidRPr="00B00E85">
        <w:rPr>
          <w:rFonts w:ascii="Arial" w:eastAsiaTheme="minorEastAsia" w:hAnsi="Arial" w:cs="Arial"/>
          <w:i/>
          <w:iCs/>
          <w:color w:val="000000" w:themeColor="text1"/>
          <w:kern w:val="24"/>
          <w:lang w:eastAsia="en-GB"/>
          <w14:ligatures w14:val="none"/>
        </w:rPr>
        <w:t>Midwifery Workforce Report</w:t>
      </w:r>
      <w:r w:rsidRPr="00B00E85">
        <w:rPr>
          <w:rFonts w:ascii="Arial" w:eastAsiaTheme="minorEastAsia" w:hAnsi="Arial" w:cs="Arial"/>
          <w:color w:val="000000" w:themeColor="text1"/>
          <w:kern w:val="24"/>
          <w:lang w:eastAsia="en-GB"/>
          <w14:ligatures w14:val="none"/>
        </w:rPr>
        <w:t>. London: RCM.</w:t>
      </w:r>
    </w:p>
    <w:p w14:paraId="728A3C6A" w14:textId="77777777" w:rsidR="00B00E85" w:rsidRPr="00B00E85" w:rsidRDefault="00B00E85" w:rsidP="00B00E85">
      <w:pPr>
        <w:spacing w:after="0" w:line="360" w:lineRule="auto"/>
        <w:rPr>
          <w:rFonts w:ascii="Times New Roman" w:eastAsia="Times New Roman" w:hAnsi="Times New Roman" w:cs="Times New Roman"/>
          <w:kern w:val="0"/>
          <w:lang w:eastAsia="en-GB"/>
          <w14:ligatures w14:val="none"/>
        </w:rPr>
      </w:pPr>
    </w:p>
    <w:p w14:paraId="512DE5FE" w14:textId="0A5FE50F" w:rsidR="00B00E85" w:rsidRDefault="00B00E85" w:rsidP="00B00E85">
      <w:pPr>
        <w:spacing w:after="0" w:line="360" w:lineRule="auto"/>
        <w:rPr>
          <w:rFonts w:ascii="Arial" w:eastAsiaTheme="minorEastAsia" w:hAnsi="Arial" w:cs="Arial"/>
          <w:color w:val="000000" w:themeColor="text1"/>
          <w:kern w:val="24"/>
          <w:lang w:eastAsia="en-GB"/>
          <w14:ligatures w14:val="none"/>
        </w:rPr>
      </w:pPr>
      <w:r w:rsidRPr="00B00E85">
        <w:rPr>
          <w:rFonts w:ascii="Arial" w:eastAsiaTheme="minorEastAsia" w:hAnsi="Arial" w:cs="Arial"/>
          <w:color w:val="000000" w:themeColor="text1"/>
          <w:kern w:val="24"/>
          <w:lang w:eastAsia="en-GB"/>
          <w14:ligatures w14:val="none"/>
        </w:rPr>
        <w:t xml:space="preserve">Sandall, J. et al. (2016) ‘Midwife-led continuity models versus other models of care for childbearing women’, </w:t>
      </w:r>
      <w:r w:rsidRPr="00B00E85">
        <w:rPr>
          <w:rFonts w:ascii="Arial" w:eastAsiaTheme="minorEastAsia" w:hAnsi="Arial" w:cs="Arial"/>
          <w:i/>
          <w:iCs/>
          <w:color w:val="000000" w:themeColor="text1"/>
          <w:kern w:val="24"/>
          <w:lang w:eastAsia="en-GB"/>
          <w14:ligatures w14:val="none"/>
        </w:rPr>
        <w:t>Cochrane Database of Systematic Reviews</w:t>
      </w:r>
      <w:r w:rsidRPr="00B00E85">
        <w:rPr>
          <w:rFonts w:ascii="Arial" w:eastAsiaTheme="minorEastAsia" w:hAnsi="Arial" w:cs="Arial"/>
          <w:color w:val="000000" w:themeColor="text1"/>
          <w:kern w:val="24"/>
          <w:lang w:eastAsia="en-GB"/>
          <w14:ligatures w14:val="none"/>
        </w:rPr>
        <w:t>, 4(CD004667). doi:10.1002/14651858.CD004667.pub5.</w:t>
      </w:r>
    </w:p>
    <w:p w14:paraId="7EF32EB1" w14:textId="77777777" w:rsidR="00B00E85" w:rsidRPr="00B00E85" w:rsidRDefault="00B00E85" w:rsidP="00B00E85">
      <w:pPr>
        <w:spacing w:after="0" w:line="360" w:lineRule="auto"/>
        <w:rPr>
          <w:rFonts w:ascii="Times New Roman" w:eastAsia="Times New Roman" w:hAnsi="Times New Roman" w:cs="Times New Roman"/>
          <w:kern w:val="0"/>
          <w:lang w:eastAsia="en-GB"/>
          <w14:ligatures w14:val="none"/>
        </w:rPr>
      </w:pPr>
    </w:p>
    <w:p w14:paraId="68DD163D" w14:textId="77777777" w:rsidR="00B00E85" w:rsidRPr="00B00E85" w:rsidRDefault="00B00E85" w:rsidP="00B00E85">
      <w:pPr>
        <w:spacing w:after="0" w:line="360" w:lineRule="auto"/>
        <w:rPr>
          <w:rFonts w:ascii="Times New Roman" w:eastAsia="Times New Roman" w:hAnsi="Times New Roman" w:cs="Times New Roman"/>
          <w:kern w:val="0"/>
          <w:lang w:eastAsia="en-GB"/>
          <w14:ligatures w14:val="none"/>
        </w:rPr>
      </w:pPr>
      <w:r w:rsidRPr="00B00E85">
        <w:rPr>
          <w:rFonts w:ascii="Arial" w:eastAsiaTheme="minorEastAsia" w:hAnsi="Arial" w:cs="Arial"/>
          <w:color w:val="000000" w:themeColor="text1"/>
          <w:kern w:val="24"/>
          <w:lang w:eastAsia="en-GB"/>
          <w14:ligatures w14:val="none"/>
        </w:rPr>
        <w:t xml:space="preserve">Staras, T. (2022) ‘A brief history of district midwifery’,  </w:t>
      </w:r>
      <w:r w:rsidRPr="00B00E85">
        <w:rPr>
          <w:rFonts w:ascii="Arial" w:eastAsiaTheme="minorEastAsia" w:hAnsi="Arial" w:cs="Arial"/>
          <w:i/>
          <w:iCs/>
          <w:color w:val="000000" w:themeColor="text1"/>
          <w:kern w:val="24"/>
          <w:lang w:eastAsia="en-GB"/>
          <w14:ligatures w14:val="none"/>
        </w:rPr>
        <w:t>AIMS Journal</w:t>
      </w:r>
      <w:r w:rsidRPr="00B00E85">
        <w:rPr>
          <w:rFonts w:ascii="Arial" w:eastAsiaTheme="minorEastAsia" w:hAnsi="Arial" w:cs="Arial"/>
          <w:color w:val="000000" w:themeColor="text1"/>
          <w:kern w:val="24"/>
          <w:lang w:eastAsia="en-GB"/>
          <w14:ligatures w14:val="none"/>
        </w:rPr>
        <w:t xml:space="preserve">, 34(3). Available at: </w:t>
      </w:r>
      <w:hyperlink r:id="rId14" w:history="1">
        <w:r w:rsidRPr="00B00E85">
          <w:rPr>
            <w:rFonts w:ascii="Arial" w:eastAsiaTheme="minorEastAsia" w:hAnsi="Arial" w:cs="Arial"/>
            <w:color w:val="000000" w:themeColor="text1"/>
            <w:kern w:val="24"/>
            <w:u w:val="single"/>
            <w:lang w:eastAsia="en-GB"/>
            <w14:ligatures w14:val="none"/>
          </w:rPr>
          <w:t>https://www.aims.org.uk/journal/item/history-district-midwifery</w:t>
        </w:r>
      </w:hyperlink>
      <w:r w:rsidRPr="00B00E85">
        <w:rPr>
          <w:rFonts w:ascii="Arial" w:eastAsiaTheme="minorEastAsia" w:hAnsi="Arial" w:cs="Arial"/>
          <w:color w:val="000000" w:themeColor="text1"/>
          <w:kern w:val="24"/>
          <w:lang w:eastAsia="en-GB"/>
          <w14:ligatures w14:val="none"/>
        </w:rPr>
        <w:t xml:space="preserve"> (Accessed: 17 October 2025).</w:t>
      </w:r>
    </w:p>
    <w:p w14:paraId="6B4791BC" w14:textId="77777777" w:rsidR="00385CB2" w:rsidRPr="00F709A4" w:rsidRDefault="00385CB2" w:rsidP="00F709A4">
      <w:pPr>
        <w:spacing w:line="360" w:lineRule="auto"/>
        <w:rPr>
          <w:rFonts w:ascii="Arial" w:hAnsi="Arial" w:cs="Arial"/>
        </w:rPr>
      </w:pPr>
    </w:p>
    <w:sectPr w:rsidR="00385CB2" w:rsidRPr="00F709A4">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382A2F" w14:textId="77777777" w:rsidR="00EF6F16" w:rsidRDefault="00EF6F16" w:rsidP="00CA18E2">
      <w:pPr>
        <w:spacing w:after="0" w:line="240" w:lineRule="auto"/>
      </w:pPr>
      <w:r>
        <w:separator/>
      </w:r>
    </w:p>
  </w:endnote>
  <w:endnote w:type="continuationSeparator" w:id="0">
    <w:p w14:paraId="33FE2BF8" w14:textId="77777777" w:rsidR="00EF6F16" w:rsidRDefault="00EF6F16" w:rsidP="00CA18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4C22AD" w14:textId="77777777" w:rsidR="00EF6F16" w:rsidRDefault="00EF6F16" w:rsidP="00CA18E2">
      <w:pPr>
        <w:spacing w:after="0" w:line="240" w:lineRule="auto"/>
      </w:pPr>
      <w:r>
        <w:separator/>
      </w:r>
    </w:p>
  </w:footnote>
  <w:footnote w:type="continuationSeparator" w:id="0">
    <w:p w14:paraId="43593C7A" w14:textId="77777777" w:rsidR="00EF6F16" w:rsidRDefault="00EF6F16" w:rsidP="00CA18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9970191"/>
      <w:docPartObj>
        <w:docPartGallery w:val="Page Numbers (Top of Page)"/>
        <w:docPartUnique/>
      </w:docPartObj>
    </w:sdtPr>
    <w:sdtContent>
      <w:p w14:paraId="741F04EA" w14:textId="694F0150" w:rsidR="00F709A4" w:rsidRDefault="00F709A4">
        <w:pPr>
          <w:pStyle w:val="Header"/>
        </w:pPr>
        <w:r>
          <w:fldChar w:fldCharType="begin"/>
        </w:r>
        <w:r>
          <w:instrText>PAGE   \* MERGEFORMAT</w:instrText>
        </w:r>
        <w:r>
          <w:fldChar w:fldCharType="separate"/>
        </w:r>
        <w:r>
          <w:t>2</w:t>
        </w:r>
        <w:r>
          <w:fldChar w:fldCharType="end"/>
        </w:r>
      </w:p>
    </w:sdtContent>
  </w:sdt>
  <w:p w14:paraId="3E4611B0" w14:textId="77777777" w:rsidR="00F709A4" w:rsidRDefault="00F709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8701BF"/>
    <w:multiLevelType w:val="hybridMultilevel"/>
    <w:tmpl w:val="6CAEDD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29624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CB2"/>
    <w:rsid w:val="00016C7E"/>
    <w:rsid w:val="00024771"/>
    <w:rsid w:val="000A11DF"/>
    <w:rsid w:val="000C58C4"/>
    <w:rsid w:val="000E0384"/>
    <w:rsid w:val="00124BA6"/>
    <w:rsid w:val="00144488"/>
    <w:rsid w:val="00194405"/>
    <w:rsid w:val="001C7614"/>
    <w:rsid w:val="001D224E"/>
    <w:rsid w:val="002071CB"/>
    <w:rsid w:val="00233F38"/>
    <w:rsid w:val="00237832"/>
    <w:rsid w:val="00290367"/>
    <w:rsid w:val="002E056B"/>
    <w:rsid w:val="00311190"/>
    <w:rsid w:val="00312D8B"/>
    <w:rsid w:val="003661FF"/>
    <w:rsid w:val="00385CB2"/>
    <w:rsid w:val="003E5156"/>
    <w:rsid w:val="004128B1"/>
    <w:rsid w:val="00422209"/>
    <w:rsid w:val="0047232F"/>
    <w:rsid w:val="00483945"/>
    <w:rsid w:val="00495C5A"/>
    <w:rsid w:val="004A7F27"/>
    <w:rsid w:val="004E1C48"/>
    <w:rsid w:val="00500575"/>
    <w:rsid w:val="00501243"/>
    <w:rsid w:val="00502639"/>
    <w:rsid w:val="00517901"/>
    <w:rsid w:val="005269AB"/>
    <w:rsid w:val="00530218"/>
    <w:rsid w:val="00532BA9"/>
    <w:rsid w:val="0057148D"/>
    <w:rsid w:val="00581D44"/>
    <w:rsid w:val="0058304F"/>
    <w:rsid w:val="0059433D"/>
    <w:rsid w:val="005C3C77"/>
    <w:rsid w:val="005C6617"/>
    <w:rsid w:val="005E024B"/>
    <w:rsid w:val="006103EE"/>
    <w:rsid w:val="00644ED3"/>
    <w:rsid w:val="00662053"/>
    <w:rsid w:val="006A3C40"/>
    <w:rsid w:val="006A479C"/>
    <w:rsid w:val="006B7B51"/>
    <w:rsid w:val="0070470B"/>
    <w:rsid w:val="00727069"/>
    <w:rsid w:val="007826A6"/>
    <w:rsid w:val="007C0F70"/>
    <w:rsid w:val="007C6665"/>
    <w:rsid w:val="007D3934"/>
    <w:rsid w:val="007E19E6"/>
    <w:rsid w:val="007E62CB"/>
    <w:rsid w:val="007F72C9"/>
    <w:rsid w:val="00805B0F"/>
    <w:rsid w:val="008641F0"/>
    <w:rsid w:val="008802CA"/>
    <w:rsid w:val="0093506D"/>
    <w:rsid w:val="00947236"/>
    <w:rsid w:val="00960EEA"/>
    <w:rsid w:val="00976E05"/>
    <w:rsid w:val="0097778C"/>
    <w:rsid w:val="009955BE"/>
    <w:rsid w:val="009A4984"/>
    <w:rsid w:val="00A2507D"/>
    <w:rsid w:val="00A64EC8"/>
    <w:rsid w:val="00AC7FC2"/>
    <w:rsid w:val="00B00E85"/>
    <w:rsid w:val="00B13C38"/>
    <w:rsid w:val="00B9126D"/>
    <w:rsid w:val="00BB11F4"/>
    <w:rsid w:val="00BD1E37"/>
    <w:rsid w:val="00C8639E"/>
    <w:rsid w:val="00C96DCC"/>
    <w:rsid w:val="00CA18E2"/>
    <w:rsid w:val="00CC2C94"/>
    <w:rsid w:val="00CF5153"/>
    <w:rsid w:val="00D04FB0"/>
    <w:rsid w:val="00D35555"/>
    <w:rsid w:val="00D42BCB"/>
    <w:rsid w:val="00D43647"/>
    <w:rsid w:val="00D440D7"/>
    <w:rsid w:val="00D9159A"/>
    <w:rsid w:val="00D93CD0"/>
    <w:rsid w:val="00DC0673"/>
    <w:rsid w:val="00DC0DA6"/>
    <w:rsid w:val="00DD0149"/>
    <w:rsid w:val="00DE0216"/>
    <w:rsid w:val="00DF7C02"/>
    <w:rsid w:val="00E07441"/>
    <w:rsid w:val="00E15649"/>
    <w:rsid w:val="00E177DD"/>
    <w:rsid w:val="00E229BB"/>
    <w:rsid w:val="00E40DFF"/>
    <w:rsid w:val="00E621F3"/>
    <w:rsid w:val="00E95843"/>
    <w:rsid w:val="00E95D43"/>
    <w:rsid w:val="00EA1C52"/>
    <w:rsid w:val="00EA673A"/>
    <w:rsid w:val="00EE445F"/>
    <w:rsid w:val="00EF6F16"/>
    <w:rsid w:val="00F10E8C"/>
    <w:rsid w:val="00F24919"/>
    <w:rsid w:val="00F709A4"/>
    <w:rsid w:val="00F712FF"/>
    <w:rsid w:val="00FE00D3"/>
    <w:rsid w:val="00FF4F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D0E51BD"/>
  <w15:chartTrackingRefBased/>
  <w15:docId w15:val="{37286486-5BF6-4642-8BB5-2D83FEFB9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5CB2"/>
    <w:pPr>
      <w:spacing w:line="278" w:lineRule="auto"/>
    </w:pPr>
    <w:rPr>
      <w:sz w:val="24"/>
      <w:szCs w:val="24"/>
    </w:rPr>
  </w:style>
  <w:style w:type="paragraph" w:styleId="Heading1">
    <w:name w:val="heading 1"/>
    <w:basedOn w:val="Normal"/>
    <w:next w:val="Normal"/>
    <w:link w:val="Heading1Char"/>
    <w:uiPriority w:val="9"/>
    <w:qFormat/>
    <w:rsid w:val="00385C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5C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5C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5C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5C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5C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5C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5C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5C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5C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5C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5C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5C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5C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5C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5C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5C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5CB2"/>
    <w:rPr>
      <w:rFonts w:eastAsiaTheme="majorEastAsia" w:cstheme="majorBidi"/>
      <w:color w:val="272727" w:themeColor="text1" w:themeTint="D8"/>
    </w:rPr>
  </w:style>
  <w:style w:type="paragraph" w:styleId="Title">
    <w:name w:val="Title"/>
    <w:basedOn w:val="Normal"/>
    <w:next w:val="Normal"/>
    <w:link w:val="TitleChar"/>
    <w:uiPriority w:val="10"/>
    <w:qFormat/>
    <w:rsid w:val="00385C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5C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5C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5C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5CB2"/>
    <w:pPr>
      <w:spacing w:before="160"/>
      <w:jc w:val="center"/>
    </w:pPr>
    <w:rPr>
      <w:i/>
      <w:iCs/>
      <w:color w:val="404040" w:themeColor="text1" w:themeTint="BF"/>
    </w:rPr>
  </w:style>
  <w:style w:type="character" w:customStyle="1" w:styleId="QuoteChar">
    <w:name w:val="Quote Char"/>
    <w:basedOn w:val="DefaultParagraphFont"/>
    <w:link w:val="Quote"/>
    <w:uiPriority w:val="29"/>
    <w:rsid w:val="00385CB2"/>
    <w:rPr>
      <w:i/>
      <w:iCs/>
      <w:color w:val="404040" w:themeColor="text1" w:themeTint="BF"/>
    </w:rPr>
  </w:style>
  <w:style w:type="paragraph" w:styleId="ListParagraph">
    <w:name w:val="List Paragraph"/>
    <w:basedOn w:val="Normal"/>
    <w:uiPriority w:val="34"/>
    <w:qFormat/>
    <w:rsid w:val="00385CB2"/>
    <w:pPr>
      <w:ind w:left="720"/>
      <w:contextualSpacing/>
    </w:pPr>
  </w:style>
  <w:style w:type="character" w:styleId="IntenseEmphasis">
    <w:name w:val="Intense Emphasis"/>
    <w:basedOn w:val="DefaultParagraphFont"/>
    <w:uiPriority w:val="21"/>
    <w:qFormat/>
    <w:rsid w:val="00385CB2"/>
    <w:rPr>
      <w:i/>
      <w:iCs/>
      <w:color w:val="0F4761" w:themeColor="accent1" w:themeShade="BF"/>
    </w:rPr>
  </w:style>
  <w:style w:type="paragraph" w:styleId="IntenseQuote">
    <w:name w:val="Intense Quote"/>
    <w:basedOn w:val="Normal"/>
    <w:next w:val="Normal"/>
    <w:link w:val="IntenseQuoteChar"/>
    <w:uiPriority w:val="30"/>
    <w:qFormat/>
    <w:rsid w:val="00385C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5CB2"/>
    <w:rPr>
      <w:i/>
      <w:iCs/>
      <w:color w:val="0F4761" w:themeColor="accent1" w:themeShade="BF"/>
    </w:rPr>
  </w:style>
  <w:style w:type="character" w:styleId="IntenseReference">
    <w:name w:val="Intense Reference"/>
    <w:basedOn w:val="DefaultParagraphFont"/>
    <w:uiPriority w:val="32"/>
    <w:qFormat/>
    <w:rsid w:val="00385CB2"/>
    <w:rPr>
      <w:b/>
      <w:bCs/>
      <w:smallCaps/>
      <w:color w:val="0F4761" w:themeColor="accent1" w:themeShade="BF"/>
      <w:spacing w:val="5"/>
    </w:rPr>
  </w:style>
  <w:style w:type="character" w:styleId="Hyperlink">
    <w:name w:val="Hyperlink"/>
    <w:basedOn w:val="DefaultParagraphFont"/>
    <w:uiPriority w:val="99"/>
    <w:unhideWhenUsed/>
    <w:rsid w:val="00385CB2"/>
    <w:rPr>
      <w:color w:val="467886" w:themeColor="hyperlink"/>
      <w:u w:val="single"/>
    </w:rPr>
  </w:style>
  <w:style w:type="character" w:styleId="UnresolvedMention">
    <w:name w:val="Unresolved Mention"/>
    <w:basedOn w:val="DefaultParagraphFont"/>
    <w:uiPriority w:val="99"/>
    <w:semiHidden/>
    <w:unhideWhenUsed/>
    <w:rsid w:val="00500575"/>
    <w:rPr>
      <w:color w:val="605E5C"/>
      <w:shd w:val="clear" w:color="auto" w:fill="E1DFDD"/>
    </w:rPr>
  </w:style>
  <w:style w:type="paragraph" w:styleId="Header">
    <w:name w:val="header"/>
    <w:basedOn w:val="Normal"/>
    <w:link w:val="HeaderChar"/>
    <w:uiPriority w:val="99"/>
    <w:unhideWhenUsed/>
    <w:rsid w:val="00CA18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18E2"/>
    <w:rPr>
      <w:sz w:val="24"/>
      <w:szCs w:val="24"/>
    </w:rPr>
  </w:style>
  <w:style w:type="paragraph" w:styleId="Footer">
    <w:name w:val="footer"/>
    <w:basedOn w:val="Normal"/>
    <w:link w:val="FooterChar"/>
    <w:uiPriority w:val="99"/>
    <w:unhideWhenUsed/>
    <w:rsid w:val="00CA18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18E2"/>
    <w:rPr>
      <w:sz w:val="24"/>
      <w:szCs w:val="24"/>
    </w:rPr>
  </w:style>
  <w:style w:type="paragraph" w:styleId="NormalWeb">
    <w:name w:val="Normal (Web)"/>
    <w:basedOn w:val="Normal"/>
    <w:uiPriority w:val="99"/>
    <w:semiHidden/>
    <w:unhideWhenUsed/>
    <w:rsid w:val="00B00E85"/>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cqc.org.uk/publications/maternity-services-2022-2024/staffi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qc.org.uk/publications/major-report/state-care/2022-2023/workforc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publications/themes-care/safety-equity-engagement-maternity-services"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ims.org.uk/journal/item/history-district-midwife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DBFF40-1FA6-4D87-851A-DE38D3EB57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1430</Words>
  <Characters>8725</Characters>
  <Application>Microsoft Office Word</Application>
  <DocSecurity>0</DocSecurity>
  <Lines>198</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ataf r</dc:creator>
  <cp:keywords/>
  <dc:description/>
  <cp:lastModifiedBy>ataf r</cp:lastModifiedBy>
  <cp:revision>2</cp:revision>
  <dcterms:created xsi:type="dcterms:W3CDTF">2025-10-19T23:58:00Z</dcterms:created>
  <dcterms:modified xsi:type="dcterms:W3CDTF">2025-10-19T23:58:00Z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aa65ab44-8135-4811-a44a-8fcfeffc1d02</vt:lpwstr>
  </property>
</Properties>
</file>