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pStyle w:val="8"/>
        <w:jc w:val="center"/>
      </w:pPr>
      <w:r>
        <w:t>Challenges and sensitivities in international business communications:</w:t>
      </w:r>
    </w:p>
    <w:p>
      <w:pPr>
        <w:pStyle w:val="8"/>
        <w:jc w:val="center"/>
      </w:pPr>
      <w:r>
        <w:t xml:space="preserve">The case of the UK and Egypt </w:t>
      </w:r>
    </w:p>
    <w:p/>
    <w:p/>
    <w:p/>
    <w:p/>
    <w:p/>
    <w:p/>
    <w:p/>
    <w:p/>
    <w:p/>
    <w:p>
      <w:r>
        <w:t>N</w:t>
      </w:r>
      <w:r>
        <w:rPr>
          <w:rFonts w:hint="eastAsia"/>
        </w:rPr>
        <w:t>a</w:t>
      </w:r>
      <w:r>
        <w:t>me:</w:t>
      </w:r>
    </w:p>
    <w:p>
      <w:r>
        <w:t>Student ID:</w:t>
      </w:r>
    </w:p>
    <w:p>
      <w:pPr>
        <w:sectPr>
          <w:footerReference r:id="rId3" w:type="default"/>
          <w:pgSz w:w="11906" w:h="16838"/>
          <w:pgMar w:top="1440" w:right="1440" w:bottom="1440" w:left="1440" w:header="708" w:footer="708" w:gutter="0"/>
          <w:cols w:space="708" w:num="1"/>
          <w:docGrid w:linePitch="360" w:charSpace="0"/>
        </w:sectPr>
      </w:pPr>
    </w:p>
    <w:sdt>
      <w:sdtPr>
        <w:id w:val="1012811665"/>
        <w:docPartObj>
          <w:docPartGallery w:val="Table of Contents"/>
          <w:docPartUnique/>
        </w:docPartObj>
      </w:sdtPr>
      <w:sdtEndPr>
        <w:rPr>
          <w:rFonts w:asciiTheme="minorHAnsi" w:hAnsiTheme="minorHAnsi" w:eastAsiaTheme="minorEastAsia" w:cstheme="minorBidi"/>
          <w:b/>
          <w:bCs/>
          <w:color w:val="auto"/>
          <w:sz w:val="22"/>
          <w:szCs w:val="22"/>
          <w:lang w:val="en-GB" w:eastAsia="zh-CN"/>
        </w:rPr>
      </w:sdtEndPr>
      <w:sdtContent>
        <w:p>
          <w:pPr>
            <w:pStyle w:val="16"/>
          </w:pPr>
          <w:r>
            <w:t>Contents</w:t>
          </w:r>
        </w:p>
        <w:p>
          <w:pPr>
            <w:pStyle w:val="6"/>
            <w:tabs>
              <w:tab w:val="right" w:leader="dot" w:pos="9016"/>
            </w:tabs>
            <w:rPr>
              <w:lang w:eastAsia="en-GB"/>
            </w:rPr>
          </w:pPr>
          <w:r>
            <w:fldChar w:fldCharType="begin"/>
          </w:r>
          <w:r>
            <w:instrText xml:space="preserve"> TOC \o "1-3" \h \z \u </w:instrText>
          </w:r>
          <w:r>
            <w:fldChar w:fldCharType="separate"/>
          </w:r>
          <w:r>
            <w:fldChar w:fldCharType="begin"/>
          </w:r>
          <w:r>
            <w:instrText xml:space="preserve"> HYPERLINK \l "_Toc504035467" </w:instrText>
          </w:r>
          <w:r>
            <w:fldChar w:fldCharType="separate"/>
          </w:r>
          <w:r>
            <w:rPr>
              <w:rStyle w:val="10"/>
            </w:rPr>
            <w:t>1. Introduction</w:t>
          </w:r>
          <w:r>
            <w:tab/>
          </w:r>
          <w:r>
            <w:fldChar w:fldCharType="begin"/>
          </w:r>
          <w:r>
            <w:instrText xml:space="preserve"> PAGEREF _Toc504035467 \h </w:instrText>
          </w:r>
          <w:r>
            <w:fldChar w:fldCharType="separate"/>
          </w:r>
          <w:r>
            <w:t>1</w:t>
          </w:r>
          <w:r>
            <w:fldChar w:fldCharType="end"/>
          </w:r>
          <w:r>
            <w:fldChar w:fldCharType="end"/>
          </w:r>
        </w:p>
        <w:p>
          <w:pPr>
            <w:pStyle w:val="6"/>
            <w:tabs>
              <w:tab w:val="right" w:leader="dot" w:pos="9016"/>
            </w:tabs>
            <w:rPr>
              <w:lang w:eastAsia="en-GB"/>
            </w:rPr>
          </w:pPr>
          <w:r>
            <w:fldChar w:fldCharType="begin"/>
          </w:r>
          <w:r>
            <w:instrText xml:space="preserve"> HYPERLINK \l "_Toc504035468" </w:instrText>
          </w:r>
          <w:r>
            <w:fldChar w:fldCharType="separate"/>
          </w:r>
          <w:r>
            <w:rPr>
              <w:rStyle w:val="10"/>
            </w:rPr>
            <w:t>2. Analysis and Applications</w:t>
          </w:r>
          <w:r>
            <w:tab/>
          </w:r>
          <w:r>
            <w:fldChar w:fldCharType="begin"/>
          </w:r>
          <w:r>
            <w:instrText xml:space="preserve"> PAGEREF _Toc504035468 \h </w:instrText>
          </w:r>
          <w:r>
            <w:fldChar w:fldCharType="separate"/>
          </w:r>
          <w:r>
            <w:t>2</w:t>
          </w:r>
          <w:r>
            <w:fldChar w:fldCharType="end"/>
          </w:r>
          <w:r>
            <w:fldChar w:fldCharType="end"/>
          </w:r>
        </w:p>
        <w:p>
          <w:pPr>
            <w:pStyle w:val="7"/>
            <w:tabs>
              <w:tab w:val="right" w:leader="dot" w:pos="9016"/>
            </w:tabs>
            <w:rPr>
              <w:lang w:eastAsia="en-GB"/>
            </w:rPr>
          </w:pPr>
          <w:r>
            <w:fldChar w:fldCharType="begin"/>
          </w:r>
          <w:r>
            <w:instrText xml:space="preserve"> HYPERLINK \l "_Toc504035469" </w:instrText>
          </w:r>
          <w:r>
            <w:fldChar w:fldCharType="separate"/>
          </w:r>
          <w:r>
            <w:rPr>
              <w:rStyle w:val="10"/>
            </w:rPr>
            <w:t>2.1 Challenges</w:t>
          </w:r>
          <w:r>
            <w:tab/>
          </w:r>
          <w:r>
            <w:fldChar w:fldCharType="begin"/>
          </w:r>
          <w:r>
            <w:instrText xml:space="preserve"> PAGEREF _Toc504035469 \h </w:instrText>
          </w:r>
          <w:r>
            <w:fldChar w:fldCharType="separate"/>
          </w:r>
          <w:r>
            <w:t>2</w:t>
          </w:r>
          <w:r>
            <w:fldChar w:fldCharType="end"/>
          </w:r>
          <w:r>
            <w:fldChar w:fldCharType="end"/>
          </w:r>
        </w:p>
        <w:p>
          <w:pPr>
            <w:pStyle w:val="7"/>
            <w:tabs>
              <w:tab w:val="right" w:leader="dot" w:pos="9016"/>
            </w:tabs>
            <w:rPr>
              <w:lang w:eastAsia="en-GB"/>
            </w:rPr>
          </w:pPr>
          <w:r>
            <w:fldChar w:fldCharType="begin"/>
          </w:r>
          <w:r>
            <w:instrText xml:space="preserve"> HYPERLINK \l "_Toc504035470" </w:instrText>
          </w:r>
          <w:r>
            <w:fldChar w:fldCharType="separate"/>
          </w:r>
          <w:r>
            <w:rPr>
              <w:rStyle w:val="10"/>
            </w:rPr>
            <w:t>2.2 Sensitivities</w:t>
          </w:r>
          <w:r>
            <w:tab/>
          </w:r>
          <w:r>
            <w:fldChar w:fldCharType="begin"/>
          </w:r>
          <w:r>
            <w:instrText xml:space="preserve"> PAGEREF _Toc504035470 \h </w:instrText>
          </w:r>
          <w:r>
            <w:fldChar w:fldCharType="separate"/>
          </w:r>
          <w:r>
            <w:t>4</w:t>
          </w:r>
          <w:r>
            <w:fldChar w:fldCharType="end"/>
          </w:r>
          <w:r>
            <w:fldChar w:fldCharType="end"/>
          </w:r>
        </w:p>
        <w:p>
          <w:pPr>
            <w:pStyle w:val="6"/>
            <w:tabs>
              <w:tab w:val="right" w:leader="dot" w:pos="9016"/>
            </w:tabs>
            <w:rPr>
              <w:lang w:eastAsia="en-GB"/>
            </w:rPr>
          </w:pPr>
          <w:r>
            <w:fldChar w:fldCharType="begin"/>
          </w:r>
          <w:r>
            <w:instrText xml:space="preserve"> HYPERLINK \l "_Toc504035471" </w:instrText>
          </w:r>
          <w:r>
            <w:fldChar w:fldCharType="separate"/>
          </w:r>
          <w:r>
            <w:rPr>
              <w:rStyle w:val="10"/>
            </w:rPr>
            <w:t>3. Conclusion and Suggestion</w:t>
          </w:r>
          <w:r>
            <w:tab/>
          </w:r>
          <w:r>
            <w:fldChar w:fldCharType="begin"/>
          </w:r>
          <w:r>
            <w:instrText xml:space="preserve"> PAGEREF _Toc504035471 \h </w:instrText>
          </w:r>
          <w:r>
            <w:fldChar w:fldCharType="separate"/>
          </w:r>
          <w:r>
            <w:t>6</w:t>
          </w:r>
          <w:r>
            <w:fldChar w:fldCharType="end"/>
          </w:r>
          <w:r>
            <w:fldChar w:fldCharType="end"/>
          </w:r>
        </w:p>
        <w:p>
          <w:pPr>
            <w:pStyle w:val="6"/>
            <w:tabs>
              <w:tab w:val="right" w:leader="dot" w:pos="9016"/>
            </w:tabs>
            <w:rPr>
              <w:lang w:eastAsia="en-GB"/>
            </w:rPr>
          </w:pPr>
          <w:r>
            <w:fldChar w:fldCharType="begin"/>
          </w:r>
          <w:r>
            <w:instrText xml:space="preserve"> HYPERLINK \l "_Toc504035472" </w:instrText>
          </w:r>
          <w:r>
            <w:fldChar w:fldCharType="separate"/>
          </w:r>
          <w:r>
            <w:rPr>
              <w:rStyle w:val="10"/>
            </w:rPr>
            <w:t>4. References</w:t>
          </w:r>
          <w:r>
            <w:tab/>
          </w:r>
          <w:r>
            <w:fldChar w:fldCharType="begin"/>
          </w:r>
          <w:r>
            <w:instrText xml:space="preserve"> PAGEREF _Toc504035472 \h </w:instrText>
          </w:r>
          <w:r>
            <w:fldChar w:fldCharType="separate"/>
          </w:r>
          <w:r>
            <w:t>7</w:t>
          </w:r>
          <w:r>
            <w:fldChar w:fldCharType="end"/>
          </w:r>
          <w:r>
            <w:fldChar w:fldCharType="end"/>
          </w:r>
        </w:p>
        <w:p>
          <w:r>
            <w:rPr>
              <w:b/>
              <w:bCs/>
            </w:rPr>
            <w:fldChar w:fldCharType="end"/>
          </w:r>
        </w:p>
      </w:sdtContent>
    </w:sdt>
    <w:p/>
    <w:p/>
    <w:p>
      <w:pPr>
        <w:sectPr>
          <w:pgSz w:w="11906" w:h="16838"/>
          <w:pgMar w:top="1440" w:right="1440" w:bottom="1440" w:left="1440" w:header="708" w:footer="708" w:gutter="0"/>
          <w:cols w:space="708" w:num="1"/>
          <w:docGrid w:linePitch="360" w:charSpace="0"/>
        </w:sectPr>
      </w:pPr>
    </w:p>
    <w:p>
      <w:pPr>
        <w:spacing w:after="0" w:line="360" w:lineRule="auto"/>
        <w:jc w:val="center"/>
        <w:rPr>
          <w:rFonts w:ascii="Times New Roman" w:hAnsi="Times New Roman" w:cs="Times New Roman"/>
          <w:b/>
          <w:sz w:val="24"/>
          <w:szCs w:val="24"/>
        </w:rPr>
      </w:pPr>
    </w:p>
    <w:p>
      <w:pPr>
        <w:pStyle w:val="2"/>
      </w:pPr>
      <w:bookmarkStart w:id="0" w:name="_Toc504035467"/>
      <w:r>
        <w:t>1. Introduction</w:t>
      </w:r>
      <w:bookmarkEnd w:id="0"/>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Intercultural business communication plays a considerable role in the global economic development and international commerce as it cuts across the cultural differences among spatial markets and countries. Analysing the issues raised in the international business communication assists in studying the influences from cross-cultural business behaviour, cultural dimensions, language role and intercultural sensitivity to specialise in an area of business (Martin and Nakayama, 2013). This article takes the specific focus in evaluating the challenges and sensitivities of the business between the United Kingdom (UK) and Egypt, to better understand the business communication between them and propose relevant recommendations.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analysing, the cultural background and characteristics of the UK and Egypt will be introduced first. The UK is a melt multiracialism country, and British society is more racially integrated than other nations as it includes multiple ethnic and various culture, though some regions are separated by sociality (Thomas </w:t>
      </w:r>
      <w:r>
        <w:rPr>
          <w:rFonts w:ascii="Times New Roman" w:hAnsi="Times New Roman" w:cs="Times New Roman"/>
          <w:i/>
          <w:sz w:val="24"/>
          <w:szCs w:val="24"/>
        </w:rPr>
        <w:t>et al</w:t>
      </w:r>
      <w:r>
        <w:rPr>
          <w:rFonts w:ascii="Times New Roman" w:hAnsi="Times New Roman" w:cs="Times New Roman"/>
          <w:sz w:val="24"/>
          <w:szCs w:val="24"/>
        </w:rPr>
        <w:t>., 2006). The </w:t>
      </w:r>
      <w:r>
        <w:rPr>
          <w:rFonts w:ascii="Times New Roman" w:hAnsi="Times New Roman" w:cs="Times New Roman"/>
          <w:bCs/>
          <w:sz w:val="24"/>
          <w:szCs w:val="24"/>
        </w:rPr>
        <w:t>United Kingdom consists</w:t>
      </w:r>
      <w:r>
        <w:rPr>
          <w:rFonts w:ascii="Times New Roman" w:hAnsi="Times New Roman" w:cs="Times New Roman"/>
          <w:sz w:val="24"/>
          <w:szCs w:val="24"/>
        </w:rPr>
        <w:t xml:space="preserve"> of four countries—England, Scotland, Wales and Northern Ireland, and people from different areas are proud of their own culture and traditions, populating broad cultural dimensions and various business behaviours for the UK. Besides, different British countries people speak their regional languages alongside English. Though English, in different dialects, is the principal spoken language of UK, there are various indigenous languages and immigrant languages spoken across UK (Algeo and Butcher, 2013). Hence, the multi-cultural environment, broad cultural dimensions and </w:t>
      </w:r>
      <w:r>
        <w:fldChar w:fldCharType="begin"/>
      </w:r>
      <w:r>
        <w:instrText xml:space="preserve"> HYPERLINK "https://www.youdao.com/w/linguistic%20diversity/" \l "keyfrom=E2Ctranslation" </w:instrText>
      </w:r>
      <w:r>
        <w:fldChar w:fldCharType="separate"/>
      </w:r>
      <w:r>
        <w:rPr>
          <w:rStyle w:val="10"/>
          <w:rFonts w:ascii="Times New Roman" w:hAnsi="Times New Roman" w:cs="Times New Roman"/>
          <w:bCs/>
          <w:color w:val="auto"/>
          <w:sz w:val="24"/>
          <w:szCs w:val="24"/>
          <w:u w:val="none"/>
        </w:rPr>
        <w:t>linguistic diversity</w:t>
      </w:r>
      <w:r>
        <w:rPr>
          <w:rStyle w:val="10"/>
          <w:rFonts w:ascii="Times New Roman" w:hAnsi="Times New Roman" w:cs="Times New Roman"/>
          <w:bCs/>
          <w:color w:val="auto"/>
          <w:sz w:val="24"/>
          <w:szCs w:val="24"/>
          <w:u w:val="none"/>
        </w:rPr>
        <w:fldChar w:fldCharType="end"/>
      </w:r>
      <w:r>
        <w:rPr>
          <w:rFonts w:ascii="Times New Roman" w:hAnsi="Times New Roman" w:cs="Times New Roman"/>
          <w:sz w:val="24"/>
          <w:szCs w:val="24"/>
        </w:rPr>
        <w:t xml:space="preserve"> of the UK add difficulties in direct British business communication than other Europeans and North Americans. The aim business market Egypt locates at the northeast corner of Africa and southwest corner of Asia, considering to be a regional power in Africa, Middle East and Muslim world (Cooper </w:t>
      </w:r>
      <w:r>
        <w:rPr>
          <w:rFonts w:ascii="Times New Roman" w:hAnsi="Times New Roman" w:cs="Times New Roman"/>
          <w:i/>
          <w:sz w:val="24"/>
          <w:szCs w:val="24"/>
        </w:rPr>
        <w:t>et al</w:t>
      </w:r>
      <w:r>
        <w:rPr>
          <w:rFonts w:ascii="Times New Roman" w:hAnsi="Times New Roman" w:cs="Times New Roman"/>
          <w:sz w:val="24"/>
          <w:szCs w:val="24"/>
        </w:rPr>
        <w:t>., 2007). It is the most populous country in the Middle East, and the population ranks third on the </w:t>
      </w:r>
      <w:r>
        <w:fldChar w:fldCharType="begin"/>
      </w:r>
      <w:r>
        <w:instrText xml:space="preserve"> HYPERLINK "https://en.wikipedia.org/wiki/African_continent" \o "African continent" </w:instrText>
      </w:r>
      <w:r>
        <w:fldChar w:fldCharType="separate"/>
      </w:r>
      <w:r>
        <w:rPr>
          <w:rStyle w:val="10"/>
          <w:rFonts w:ascii="Times New Roman" w:hAnsi="Times New Roman" w:cs="Times New Roman"/>
          <w:color w:val="auto"/>
          <w:sz w:val="24"/>
          <w:szCs w:val="24"/>
          <w:u w:val="none"/>
        </w:rPr>
        <w:t>African continent</w:t>
      </w:r>
      <w:r>
        <w:rPr>
          <w:rStyle w:val="10"/>
          <w:rFonts w:ascii="Times New Roman" w:hAnsi="Times New Roman" w:cs="Times New Roman"/>
          <w:color w:val="auto"/>
          <w:sz w:val="24"/>
          <w:szCs w:val="24"/>
          <w:u w:val="none"/>
        </w:rPr>
        <w:fldChar w:fldCharType="end"/>
      </w:r>
      <w:r>
        <w:rPr>
          <w:rFonts w:ascii="Times New Roman" w:hAnsi="Times New Roman" w:cs="Times New Roman"/>
          <w:sz w:val="24"/>
          <w:szCs w:val="24"/>
        </w:rPr>
        <w:t>. Africa and the Middle East are the regions where mixed with diverse languages, religions and cultures especially western and Muslim cultures, making this area exist some shocks and roughs in the process of intercultural business communication. In addition, Egypt is religious country predominantly by Muslim and Islam is the state religion (Butler, 1999). The strong religious background gives Egypt a particular business cultural behaviours. The Islamic fundamentalists are different from the core values of western countries such as the UK, requiring the respects and understand when doing business with Egyptian traders. Considering the role of languages, the dominant and official language of Egypt is Arabic rather than English, though English has been taught in schools as the main foreign language. The fact of the different spoken English is another aspect should be noticed in doing business with Egypt from UK perspective. Basing on the business culture differences between the UK and Egypt, this article intends to analyse the challenges and sensitivities in doing business between UK and Egypt in next section, and mainly discuss how the challenges and sensitivities behave relate to real world situations in these two countries by employing some examples. And the last section concludes and gives the recommendations.</w:t>
      </w:r>
    </w:p>
    <w:p>
      <w:pPr>
        <w:spacing w:after="0" w:line="360" w:lineRule="auto"/>
        <w:jc w:val="both"/>
      </w:pPr>
    </w:p>
    <w:p>
      <w:pPr>
        <w:pStyle w:val="2"/>
      </w:pPr>
      <w:bookmarkStart w:id="1" w:name="_Toc504035468"/>
      <w:r>
        <w:t>2. Analysis and Applications</w:t>
      </w:r>
      <w:bookmarkEnd w:id="1"/>
    </w:p>
    <w:p>
      <w:pPr>
        <w:pStyle w:val="3"/>
      </w:pPr>
      <w:bookmarkStart w:id="2" w:name="_Toc504035469"/>
      <w:r>
        <w:t>2.1 Challenges</w:t>
      </w:r>
      <w:bookmarkEnd w:id="2"/>
      <w:r>
        <w:t xml:space="preserve">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Intercultural business communication is an uneasy process as people continue to encounter challenges when doing business with overseas clients, control the ethnically diverse workforce and negotiate non-native language contracts (Jameson, 2007). In UK-Egypt business practices, the business culture in UK and Egypt is discrepant, providing some opportunities and advantages for these two countries when doing business mutually. For instance, Egyptian market is relatively young and eagers to acquire more chances in doing business with some developed countries. The business time for Egypt is more flexible, giving British businesspeople enjoy more freedom to conduct business. However, the different business culture environment induces the business happened between these two markets faces some unavoidable challenges. The analysis will follow Trompenaar and Hampden-Turner’s seven dimensions of culture and combine with the specific UK-Egypt background, to understand the challenges existed in business communications between these two markets.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individualism and communitarianism included in Trompenaars’ cultural dimensions are the first main challenge for UK-Egypt business. The UK is a melting pot of various groups of people, and it is a country</w:t>
      </w:r>
      <w:r>
        <w:rPr>
          <w:rFonts w:ascii="Arial" w:hAnsi="Arial" w:cs="Arial"/>
          <w:bCs/>
          <w:color w:val="000000"/>
          <w:sz w:val="20"/>
          <w:szCs w:val="20"/>
          <w:shd w:val="clear" w:color="auto" w:fill="FFFFFF"/>
        </w:rPr>
        <w:t xml:space="preserve"> </w:t>
      </w:r>
      <w:r>
        <w:rPr>
          <w:rFonts w:ascii="Times New Roman" w:hAnsi="Times New Roman" w:cs="Times New Roman"/>
          <w:sz w:val="24"/>
          <w:szCs w:val="24"/>
        </w:rPr>
        <w:t>low on communitarianism but high on </w:t>
      </w:r>
      <w:r>
        <w:rPr>
          <w:rFonts w:ascii="Times New Roman" w:hAnsi="Times New Roman" w:cs="Times New Roman"/>
          <w:bCs/>
          <w:sz w:val="24"/>
          <w:szCs w:val="24"/>
        </w:rPr>
        <w:t xml:space="preserve">individualism, indicating </w:t>
      </w:r>
      <w:r>
        <w:rPr>
          <w:rFonts w:ascii="Times New Roman" w:hAnsi="Times New Roman" w:cs="Times New Roman"/>
          <w:sz w:val="24"/>
          <w:szCs w:val="24"/>
        </w:rPr>
        <w:t>British people focus on themselves when conducting business with counterparties (Lu, 2006). Specifically, British society is individualistic and British communicators regard themselves as individuals and concentrate on solving personal issues rather than caring others. And they take the highly personal responsibility of completing tasks alone (Turner, 2003). However, Egyptian business owners ranked communitarianism high than individualism (Dionigi, 2014). While the communitarianism indicates people regard themselves as a section of a unit group, which means they value more on group issues and finish things in groups (Daly, 1994). The two important features of Egyptian life culture is family and friendship. The Egyptian traders are more likely to develop the relationship first and then get on business. This two different type cultural dimensions will trigger the concerns when doing business with Egypt for the UK. For example, British businesspeople represent themselves while Egyptian people will consider the benefits of their committees, leading to low communication efficiency and cause misunderstandings.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concern derived from the differences in the cultural dimensions of neutral and emotional aspect. Neutral culture denotes the culture in which emotions are held in, while the emotional culture emphasises on the emotions are expressed openly and naturally (Trompenaars and Hampden-Turner, 2011). The UK is the representative market which keeps the neutral business cultural environment in the world. The British people are more likely to behave reserved and hide their feelings during the business process. Their focus is more stay on deals and acts stoically with composure, adding difficulties in making the inference from their faces’ expressions. On the contrary, Egyptian people are more friendly and extroverted with more emotional express during business such as talking loudly and discussing with the smile. Besides, as mentioned above, a good friendship could lead to success in doing business. The opposite emotional culture between the UK and Egypt benefit the UK businessmen from directly understanding and capturing the attitudes towards the deals from Egyptian emotional expressions. For instance, the positive and enthusiastic words from Egyptian traders provide the hints of a satisfied deal. However, in Egyptian business culture, people with fewer smiles would be distrusted. Trust accounts for the expectations that a business participant could be relied on to arrange agreements, and he will behave honourably without any beforehand guarantees and promises (Boersma </w:t>
      </w:r>
      <w:r>
        <w:rPr>
          <w:rFonts w:ascii="Times New Roman" w:hAnsi="Times New Roman" w:cs="Times New Roman"/>
          <w:i/>
          <w:sz w:val="24"/>
          <w:szCs w:val="24"/>
        </w:rPr>
        <w:t>et al.,</w:t>
      </w:r>
      <w:r>
        <w:rPr>
          <w:rFonts w:ascii="Times New Roman" w:hAnsi="Times New Roman" w:cs="Times New Roman"/>
          <w:sz w:val="24"/>
          <w:szCs w:val="24"/>
        </w:rPr>
        <w:t xml:space="preserve"> 2003). The neutral business culture makes British communicators confront with the failure risks in conducting business with Egyptian people because their introverted behaviour will acquire less trust, which is another challenge should be noticed for the UK in doing business with Egypt.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challenge occurring in the international business communication between UK and Egypt would be the languages used. Language interacts with other cultural components and plays an integral role in the intercultural business communicating process (Jameson, 2007). The consistent language speaking would accelerate the business while the different language in business participant markets would trigger the language barriers and preclude business communication, sometimes even cause losses (Bargiela-Chiappini </w:t>
      </w:r>
      <w:r>
        <w:rPr>
          <w:rFonts w:ascii="Times New Roman" w:hAnsi="Times New Roman" w:cs="Times New Roman"/>
          <w:i/>
          <w:sz w:val="24"/>
          <w:szCs w:val="24"/>
        </w:rPr>
        <w:t>et al.</w:t>
      </w:r>
      <w:r>
        <w:rPr>
          <w:rFonts w:ascii="Times New Roman" w:hAnsi="Times New Roman" w:cs="Times New Roman"/>
          <w:sz w:val="24"/>
          <w:szCs w:val="24"/>
        </w:rPr>
        <w:t xml:space="preserve">, 2013). As introduced in background part above, English speakers have a wide geographical distribution in UK and English serves as means of communication between different ethnic groups of British four countries. However, the official language for Egypt is Arabic, although English by far the most common and widespread studied foreign language in Egypt. Egyptian people are more used to using their native language rather than foreign language. Hence, language would become the major concern for both sides. From the perspective of UK, English is the global language, and they could advantage from negotiating contracts in their native languages, which reduces the risks of misunderstanding and errors (Crystal, 2012). However, it still has an unfair disadvantages in UK-Egypt business context as the Egyptian communicators are forced to employ non-native languages, leading to fewer interactions and low efficiency for UK traders. </w:t>
      </w:r>
    </w:p>
    <w:p>
      <w:pPr>
        <w:jc w:val="both"/>
        <w:rPr>
          <w:rFonts w:ascii="Times New Roman" w:hAnsi="Times New Roman" w:cs="Times New Roman"/>
          <w:sz w:val="24"/>
          <w:szCs w:val="24"/>
        </w:rPr>
      </w:pPr>
    </w:p>
    <w:p>
      <w:pPr>
        <w:pStyle w:val="3"/>
      </w:pPr>
      <w:bookmarkStart w:id="3" w:name="_Toc504035470"/>
      <w:r>
        <w:t>2.2 Sensitivities</w:t>
      </w:r>
      <w:bookmarkEnd w:id="3"/>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globalisation and internationalisation have pushed the business among cross-cultural background. The trend leads to an increasing requirement for intercultural communicators to notice how to behave appropriately and productively in international business communications (Fritz </w:t>
      </w:r>
      <w:r>
        <w:rPr>
          <w:rFonts w:ascii="Times New Roman" w:hAnsi="Times New Roman" w:cs="Times New Roman"/>
          <w:i/>
          <w:sz w:val="24"/>
          <w:szCs w:val="24"/>
        </w:rPr>
        <w:t>et al.,</w:t>
      </w:r>
      <w:r>
        <w:rPr>
          <w:rFonts w:ascii="Times New Roman" w:hAnsi="Times New Roman" w:cs="Times New Roman"/>
          <w:sz w:val="24"/>
          <w:szCs w:val="24"/>
        </w:rPr>
        <w:t xml:space="preserve"> 2001). Besides challenges existed in communicating with overseas clients, the sensitivity is another aspect will be investigated in this article, to further and deep analyse the business communications between UK and Egypt. The concept of intercultural sensitivity has been first introduced by Chen and Starosta in 1997, to evaluate the cross-cultural communication dimensions (Tamam, 2010). The study of Chen and Starosta (1997) defines the intercultural sensitivity represent the ability to appreciate and understand the cultural differences which develop the effective and proper behaviour in communicating with cross-cultural communicators. Later, Bennett (1986) enriches the definition of intercultural sensitivity and propose a developmental process in which the communicators could transform themselves from ethnocentric to the ethnorelative stage. In the UK-Egypt business contexts, the predominant intercultural sensitivity concern would be the religious differences between them. The strong religious atmosphere makes Egyptian businessmen insist on their religious beliefs and habits during communicating, which are the most sensitive part requires the particular attention from British traders. In addition, Egypt is influenced to a greater extent by Muslim culture, and mostly residents believe in Islam, which is the state religion of Egypt and plays a vital role in all aspects of society. Namely, Islam is a critical component of Egyptian life affecting behaviours, beliefs and social methods. But, the Islamic fundamentalists and Egyptian core values reject western values, making develop a business relationship with Egypt should be sensitive and serious.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Respect and trust are vitally needed to avoid producing sensitivity issues in doing business with Egypt for the UK. Gifts giving is a crutial sensitive topic included in the international business communications. Exchanging the gift to a business associate shows the respect and appreciation, and it also reflects the values you place on the business. But giving the wrong gift could trigger sensitive concerns (Ferraro and Briody, 2017). In today’s Egyptian businesses, exchanging a gift during the business discussion is still practised as the traditional custom. For the aims of showing respect and appreciation, selecting a correct business gift is sensitive as the wrong gift could cause embarrassments (Gesteland, 2012). The UK traders should choose the gifts that are not expensive and conflict with Egyptian’s religious beliefs, to avoid corruption problem and cultural shocks. Also, the behaviour of exchanging gift is sensitive demanding the attention of the UK traders. It is polite to give or receive a gift either with both hands or the right hands only in Egypt as the left hand is considered unclean and inappropriate in gesturing. In the aspect of business hours, affected by Muslim culture, the daytime has been divided by five prayer times so that British people should schedule meetings around these time slots. And weekends time should not be considered when arranging meetings or discussions (Gesteland, 2012). Besides, communication is in highly context in Muslim culture, explaining the gestures, facial expressions, tone pause, eye contact and the speed of speaking all express some messages. Especially, the eye contact and smile represent the trust and honesty, and Egyptians prefer to running a business with people they are familiar with and trusty (Hyder and Fregidou-Malama, 2009). The clear body expressions of Egyptian traders assist in understanding their attitudes and expectations for business communicating. But the UK is a high neutral culture country preferring to maintain composures (Trompenaars and Hampden-Turner, 2011). Hence, good observations and friendly communicating skills are required for British businessmen, to recognise the messages conveyed by Egyptians and avoid causing sensitive problems. The business structure and personal relationship are the next sensitive points. Egyptian business structure is hierarchical, which means the top person decides the deal after receiving group consensus (Wilson, 2011). Practically, taking time to develop a good relationship with people of influence is vital for the UK traders. Here, personal relations are considered sensitive when building a business relationship because westerners are usually defined rude and pushy to start a business without knowing the person. Furthermore, from a British perspective, less informed of the Egyptian business and social culture could also lead to some sensitive issues and even business failures. In Egyptian business social culture, examining the information and showing interest in details is essential when exchanging the business cards. A glancing at the business card will be regarded as impolite behaviour (Wilson, 2011). Generally, UK traders should behave respectfully and politely as Egyptians are very polite and expect the same treatment in return.</w:t>
      </w:r>
    </w:p>
    <w:p>
      <w:pPr>
        <w:spacing w:after="0" w:line="360" w:lineRule="auto"/>
        <w:jc w:val="both"/>
        <w:rPr>
          <w:rFonts w:ascii="Times New Roman" w:hAnsi="Times New Roman" w:cs="Times New Roman"/>
          <w:sz w:val="24"/>
          <w:szCs w:val="24"/>
        </w:rPr>
      </w:pPr>
    </w:p>
    <w:p>
      <w:pPr>
        <w:pStyle w:val="2"/>
      </w:pPr>
      <w:bookmarkStart w:id="4" w:name="_Toc504035471"/>
      <w:r>
        <w:t>3. Conclusion and Suggestion</w:t>
      </w:r>
      <w:bookmarkEnd w:id="4"/>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challenges and sensitivities have been critically identified with the subject-related concepts and connect to the real world situations of the UK and Egypt. The dominant challenges occurring in the international business communication between the UK and Egypt stay on the differences in the cultural dimensions of individualism and communitarianism, and neutral and emotional culture. Besides, language is also a key challenge for the UK in business communicating with Egypt. From the intercultural sensitivities analysis section, this article concludes the respect and trust are the vital elements for avoiding the sensitive issues. And the ignorance of business culture about gifts giving, business hours, communication gestures and social behaviours is easy to induce intercultural sensitivities, requiring the UK communicators to be informed and noticed. The alternative and possible solutions for the UK to address these challenges and sensitivities would be concentrating on building trust and respect relationship with Egyptians because it is the foundation for running successful business transactions (Boersma </w:t>
      </w:r>
      <w:r>
        <w:rPr>
          <w:rFonts w:ascii="Times New Roman" w:hAnsi="Times New Roman" w:cs="Times New Roman"/>
          <w:i/>
          <w:sz w:val="24"/>
          <w:szCs w:val="24"/>
        </w:rPr>
        <w:t xml:space="preserve">et al., </w:t>
      </w:r>
      <w:r>
        <w:rPr>
          <w:rFonts w:ascii="Times New Roman" w:hAnsi="Times New Roman" w:cs="Times New Roman"/>
          <w:sz w:val="24"/>
          <w:szCs w:val="24"/>
        </w:rPr>
        <w:t>2003). Additionally, understands and comprehensions for the Egyptian business and religious culture are needed to improve the success possibilities of cross-cultural business for UK traders. Finally, developing a friendship with Egyptian partners is essential and necessary for a successful deal for British people as friendship plays an important role in starting and continue doing business with their Egyptian business partners.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bookmarkStart w:id="6" w:name="_GoBack"/>
      <w:bookmarkEnd w:id="6"/>
    </w:p>
    <w:p>
      <w:pPr>
        <w:jc w:val="both"/>
        <w:rPr>
          <w:rFonts w:ascii="Times New Roman" w:hAnsi="Times New Roman" w:cs="Times New Roman"/>
          <w:sz w:val="24"/>
          <w:szCs w:val="24"/>
        </w:rPr>
      </w:pPr>
    </w:p>
    <w:p>
      <w:pPr>
        <w:pStyle w:val="2"/>
      </w:pPr>
      <w:bookmarkStart w:id="5" w:name="_Toc504035472"/>
      <w:r>
        <w:t>4. References</w:t>
      </w:r>
      <w:bookmarkEnd w:id="5"/>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Algeo, J. and Butcher, C.A. (2013) </w:t>
      </w:r>
      <w:r>
        <w:rPr>
          <w:rFonts w:ascii="Times New Roman" w:hAnsi="Times New Roman" w:cs="Times New Roman"/>
          <w:i/>
          <w:iCs/>
          <w:sz w:val="24"/>
          <w:szCs w:val="24"/>
        </w:rPr>
        <w:t>The origins and development of the English language</w:t>
      </w:r>
      <w:r>
        <w:rPr>
          <w:rFonts w:ascii="Times New Roman" w:hAnsi="Times New Roman" w:cs="Times New Roman"/>
          <w:sz w:val="24"/>
          <w:szCs w:val="24"/>
        </w:rPr>
        <w:t>. Cengage Learning.</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Bargiela-Chiappini, F., Nickerson, C. and Planken, B. (2013) ‘What is business discourse?’, in Bargiela-Chiappini </w:t>
      </w:r>
      <w:r>
        <w:rPr>
          <w:rFonts w:ascii="Times New Roman" w:hAnsi="Times New Roman" w:cs="Times New Roman"/>
          <w:i/>
          <w:sz w:val="24"/>
          <w:szCs w:val="24"/>
        </w:rPr>
        <w:t>et al.,</w:t>
      </w:r>
      <w:r>
        <w:rPr>
          <w:rFonts w:ascii="Times New Roman" w:hAnsi="Times New Roman" w:cs="Times New Roman"/>
          <w:sz w:val="24"/>
          <w:szCs w:val="24"/>
        </w:rPr>
        <w:t xml:space="preserve"> (ed.) </w:t>
      </w:r>
      <w:r>
        <w:rPr>
          <w:rFonts w:ascii="Times New Roman" w:hAnsi="Times New Roman" w:cs="Times New Roman"/>
          <w:i/>
          <w:iCs/>
          <w:sz w:val="24"/>
          <w:szCs w:val="24"/>
        </w:rPr>
        <w:t>Business Discourse</w:t>
      </w:r>
      <w:r>
        <w:rPr>
          <w:rFonts w:ascii="Times New Roman" w:hAnsi="Times New Roman" w:cs="Times New Roman"/>
          <w:sz w:val="24"/>
          <w:szCs w:val="24"/>
        </w:rPr>
        <w:t>. London :Palgrave Macmillan, pp. 3-44.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Bennett, M.J. (1986) ‘A developmental approach to training for intercultural sensitivity’, </w:t>
      </w:r>
      <w:r>
        <w:rPr>
          <w:rFonts w:ascii="Times New Roman" w:hAnsi="Times New Roman" w:cs="Times New Roman"/>
          <w:i/>
          <w:iCs/>
          <w:sz w:val="24"/>
          <w:szCs w:val="24"/>
        </w:rPr>
        <w:t>International journal of intercultural relations</w:t>
      </w:r>
      <w:r>
        <w:rPr>
          <w:rFonts w:ascii="Times New Roman" w:hAnsi="Times New Roman" w:cs="Times New Roman"/>
          <w:sz w:val="24"/>
          <w:szCs w:val="24"/>
        </w:rPr>
        <w:t>, </w:t>
      </w:r>
      <w:r>
        <w:rPr>
          <w:rFonts w:ascii="Times New Roman" w:hAnsi="Times New Roman" w:cs="Times New Roman"/>
          <w:iCs/>
          <w:sz w:val="24"/>
          <w:szCs w:val="24"/>
        </w:rPr>
        <w:t>10</w:t>
      </w:r>
      <w:r>
        <w:rPr>
          <w:rFonts w:ascii="Times New Roman" w:hAnsi="Times New Roman" w:cs="Times New Roman"/>
          <w:sz w:val="24"/>
          <w:szCs w:val="24"/>
        </w:rPr>
        <w:t>(2), pp.179-196.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Boersma, M.F., Buckley, P.J. and Ghauri, P.N. (2003) ‘Trust in international joint venture relationships’,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Cs/>
          <w:sz w:val="24"/>
          <w:szCs w:val="24"/>
        </w:rPr>
        <w:t>56</w:t>
      </w:r>
      <w:r>
        <w:rPr>
          <w:rFonts w:ascii="Times New Roman" w:hAnsi="Times New Roman" w:cs="Times New Roman"/>
          <w:sz w:val="24"/>
          <w:szCs w:val="24"/>
        </w:rPr>
        <w:t>(12), pp.1031-1042.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Butler, A.J. (1999) </w:t>
      </w:r>
      <w:r>
        <w:rPr>
          <w:rFonts w:ascii="Times New Roman" w:hAnsi="Times New Roman" w:cs="Times New Roman"/>
          <w:i/>
          <w:iCs/>
          <w:sz w:val="24"/>
          <w:szCs w:val="24"/>
        </w:rPr>
        <w:t>The Arab conquest of Egypt and the last thirty years of the Roman dominion</w:t>
      </w:r>
      <w:r>
        <w:rPr>
          <w:rFonts w:ascii="Times New Roman" w:hAnsi="Times New Roman" w:cs="Times New Roman"/>
          <w:sz w:val="24"/>
          <w:szCs w:val="24"/>
        </w:rPr>
        <w:t>. Adegi Graphics LLC.</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Chen, G. M., and Starosta, W. J. (1997) ‘A review of the concept of intercultural sensitivity’, </w:t>
      </w:r>
      <w:r>
        <w:rPr>
          <w:rFonts w:ascii="Times New Roman" w:hAnsi="Times New Roman" w:cs="Times New Roman"/>
          <w:i/>
          <w:sz w:val="24"/>
          <w:szCs w:val="24"/>
        </w:rPr>
        <w:t>Human Communication</w:t>
      </w:r>
      <w:r>
        <w:rPr>
          <w:rFonts w:ascii="Times New Roman" w:hAnsi="Times New Roman" w:cs="Times New Roman"/>
          <w:sz w:val="24"/>
          <w:szCs w:val="24"/>
        </w:rPr>
        <w:t>, 1(1), pp.1-16.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Cooper, A.F., Antkiewicz, A. and Shaw, T.M. (2007) ‘Lessons from/for BRICSAM about South–North relations at the start of the 21st century: Economic size trumps all else?’, </w:t>
      </w:r>
      <w:r>
        <w:rPr>
          <w:rFonts w:ascii="Times New Roman" w:hAnsi="Times New Roman" w:cs="Times New Roman"/>
          <w:i/>
          <w:iCs/>
          <w:sz w:val="24"/>
          <w:szCs w:val="24"/>
        </w:rPr>
        <w:t>International Studies Review</w:t>
      </w:r>
      <w:r>
        <w:rPr>
          <w:rFonts w:ascii="Times New Roman" w:hAnsi="Times New Roman" w:cs="Times New Roman"/>
          <w:sz w:val="24"/>
          <w:szCs w:val="24"/>
        </w:rPr>
        <w:t>, </w:t>
      </w:r>
      <w:r>
        <w:rPr>
          <w:rFonts w:ascii="Times New Roman" w:hAnsi="Times New Roman" w:cs="Times New Roman"/>
          <w:iCs/>
          <w:sz w:val="24"/>
          <w:szCs w:val="24"/>
        </w:rPr>
        <w:t>9</w:t>
      </w:r>
      <w:r>
        <w:rPr>
          <w:rFonts w:ascii="Times New Roman" w:hAnsi="Times New Roman" w:cs="Times New Roman"/>
          <w:sz w:val="24"/>
          <w:szCs w:val="24"/>
        </w:rPr>
        <w:t>(4), pp.673-689.</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Crystal, D. (2012) </w:t>
      </w:r>
      <w:r>
        <w:rPr>
          <w:rFonts w:ascii="Times New Roman" w:hAnsi="Times New Roman" w:cs="Times New Roman"/>
          <w:i/>
          <w:iCs/>
          <w:sz w:val="24"/>
          <w:szCs w:val="24"/>
        </w:rPr>
        <w:t>English as a global language</w:t>
      </w:r>
      <w:r>
        <w:rPr>
          <w:rFonts w:ascii="Times New Roman" w:hAnsi="Times New Roman" w:cs="Times New Roman"/>
          <w:sz w:val="24"/>
          <w:szCs w:val="24"/>
        </w:rPr>
        <w:t>. Cambridge university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Daly, M. (1994) </w:t>
      </w:r>
      <w:r>
        <w:rPr>
          <w:rFonts w:ascii="Times New Roman" w:hAnsi="Times New Roman" w:cs="Times New Roman"/>
          <w:i/>
          <w:iCs/>
          <w:sz w:val="24"/>
          <w:szCs w:val="24"/>
        </w:rPr>
        <w:t>Communitarianism: A new public ethics</w:t>
      </w:r>
      <w:r>
        <w:rPr>
          <w:rFonts w:ascii="Times New Roman" w:hAnsi="Times New Roman" w:cs="Times New Roman"/>
          <w:sz w:val="24"/>
          <w:szCs w:val="24"/>
        </w:rPr>
        <w:t>. Wadsworth Publishing Company.</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Dionigi, F. (2014) ‘Islamism as communitarianism: A comparative analysis’, in Dionigi, F. (ed.) </w:t>
      </w:r>
      <w:r>
        <w:rPr>
          <w:rFonts w:ascii="Times New Roman" w:hAnsi="Times New Roman" w:cs="Times New Roman"/>
          <w:i/>
          <w:iCs/>
          <w:sz w:val="24"/>
          <w:szCs w:val="24"/>
        </w:rPr>
        <w:t>Hezbollah, Islamist Politics, and International Society</w:t>
      </w:r>
      <w:r>
        <w:rPr>
          <w:rFonts w:ascii="Times New Roman" w:hAnsi="Times New Roman" w:cs="Times New Roman"/>
          <w:sz w:val="24"/>
          <w:szCs w:val="24"/>
        </w:rPr>
        <w:t>. US: Palgrave Macmillan, pp. 65-81.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Ferraro, G.P. and Briody, E.K. (2017) </w:t>
      </w:r>
      <w:r>
        <w:rPr>
          <w:rFonts w:ascii="Times New Roman" w:hAnsi="Times New Roman" w:cs="Times New Roman"/>
          <w:i/>
          <w:iCs/>
          <w:sz w:val="24"/>
          <w:szCs w:val="24"/>
        </w:rPr>
        <w:t>The cultural dimension of global business</w:t>
      </w:r>
      <w:r>
        <w:rPr>
          <w:rFonts w:ascii="Times New Roman" w:hAnsi="Times New Roman" w:cs="Times New Roman"/>
          <w:sz w:val="24"/>
          <w:szCs w:val="24"/>
        </w:rPr>
        <w:t>. Taylor &amp; Francis.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Fritz, W., Mollenberg, A. and Chen, G.M. (2001) ‘Measuring intercultural sensitivity in different cultural context’, </w:t>
      </w:r>
      <w:r>
        <w:rPr>
          <w:rFonts w:ascii="Times New Roman" w:hAnsi="Times New Roman" w:cs="Times New Roman"/>
          <w:i/>
          <w:sz w:val="24"/>
          <w:szCs w:val="24"/>
        </w:rPr>
        <w:t>The 2001 International Association for Intercultural Communication Studies bi-annual meeting</w:t>
      </w:r>
      <w:r>
        <w:rPr>
          <w:rFonts w:ascii="Times New Roman" w:hAnsi="Times New Roman" w:cs="Times New Roman"/>
          <w:sz w:val="24"/>
          <w:szCs w:val="24"/>
        </w:rPr>
        <w:t>, 24-29 July, Hong Kong.</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Gesteland, R.R. (2012) </w:t>
      </w:r>
      <w:r>
        <w:rPr>
          <w:rFonts w:ascii="Times New Roman" w:hAnsi="Times New Roman" w:cs="Times New Roman"/>
          <w:i/>
          <w:iCs/>
          <w:sz w:val="24"/>
          <w:szCs w:val="24"/>
        </w:rPr>
        <w:t>Cross-cultural business behavior: A guide for global management</w:t>
      </w:r>
      <w:r>
        <w:rPr>
          <w:rFonts w:ascii="Times New Roman" w:hAnsi="Times New Roman" w:cs="Times New Roman"/>
          <w:sz w:val="24"/>
          <w:szCs w:val="24"/>
        </w:rPr>
        <w:t>. Copenhagen Business School Press DK.</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Hammer, M.R., Bennett, M.J. and Wiseman, R. (2003) ‘Measuring intercultural sensitivity: The intercultural development inventory’, </w:t>
      </w:r>
      <w:r>
        <w:rPr>
          <w:rFonts w:ascii="Times New Roman" w:hAnsi="Times New Roman" w:cs="Times New Roman"/>
          <w:i/>
          <w:iCs/>
          <w:sz w:val="24"/>
          <w:szCs w:val="24"/>
        </w:rPr>
        <w:t>International Journal of Intercultural Relations</w:t>
      </w:r>
      <w:r>
        <w:rPr>
          <w:rFonts w:ascii="Times New Roman" w:hAnsi="Times New Roman" w:cs="Times New Roman"/>
          <w:sz w:val="24"/>
          <w:szCs w:val="24"/>
        </w:rPr>
        <w:t>, </w:t>
      </w:r>
      <w:r>
        <w:rPr>
          <w:rFonts w:ascii="Times New Roman" w:hAnsi="Times New Roman" w:cs="Times New Roman"/>
          <w:iCs/>
          <w:sz w:val="24"/>
          <w:szCs w:val="24"/>
        </w:rPr>
        <w:t>27</w:t>
      </w:r>
      <w:r>
        <w:rPr>
          <w:rFonts w:ascii="Times New Roman" w:hAnsi="Times New Roman" w:cs="Times New Roman"/>
          <w:sz w:val="24"/>
          <w:szCs w:val="24"/>
        </w:rPr>
        <w:t>(4), pp.421-443.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Hyder, A.S. and Fregidou-Malama, M. (2009) ‘Services marketing in a cross-cultural environment: The case of Egypt’, </w:t>
      </w:r>
      <w:r>
        <w:rPr>
          <w:rFonts w:ascii="Times New Roman" w:hAnsi="Times New Roman" w:cs="Times New Roman"/>
          <w:i/>
          <w:iCs/>
          <w:sz w:val="24"/>
          <w:szCs w:val="24"/>
        </w:rPr>
        <w:t>Journal of Services Marketing</w:t>
      </w:r>
      <w:r>
        <w:rPr>
          <w:rFonts w:ascii="Times New Roman" w:hAnsi="Times New Roman" w:cs="Times New Roman"/>
          <w:sz w:val="24"/>
          <w:szCs w:val="24"/>
        </w:rPr>
        <w:t>, </w:t>
      </w:r>
      <w:r>
        <w:rPr>
          <w:rFonts w:ascii="Times New Roman" w:hAnsi="Times New Roman" w:cs="Times New Roman"/>
          <w:iCs/>
          <w:sz w:val="24"/>
          <w:szCs w:val="24"/>
        </w:rPr>
        <w:t>23</w:t>
      </w:r>
      <w:r>
        <w:rPr>
          <w:rFonts w:ascii="Times New Roman" w:hAnsi="Times New Roman" w:cs="Times New Roman"/>
          <w:sz w:val="24"/>
          <w:szCs w:val="24"/>
        </w:rPr>
        <w:t>(4), pp.261-271.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Jameson, D.A. (2007) ‘Reconceptualizing cultural identity and its role in intercultural business communication’, </w:t>
      </w:r>
      <w:r>
        <w:rPr>
          <w:rFonts w:ascii="Times New Roman" w:hAnsi="Times New Roman" w:cs="Times New Roman"/>
          <w:i/>
          <w:iCs/>
          <w:sz w:val="24"/>
          <w:szCs w:val="24"/>
        </w:rPr>
        <w:t>The Journal of Business Communication</w:t>
      </w:r>
      <w:r>
        <w:rPr>
          <w:rFonts w:ascii="Times New Roman" w:hAnsi="Times New Roman" w:cs="Times New Roman"/>
          <w:sz w:val="24"/>
          <w:szCs w:val="24"/>
        </w:rPr>
        <w:t>, </w:t>
      </w:r>
      <w:r>
        <w:rPr>
          <w:rFonts w:ascii="Times New Roman" w:hAnsi="Times New Roman" w:cs="Times New Roman"/>
          <w:iCs/>
          <w:sz w:val="24"/>
          <w:szCs w:val="24"/>
        </w:rPr>
        <w:t>44</w:t>
      </w:r>
      <w:r>
        <w:rPr>
          <w:rFonts w:ascii="Times New Roman" w:hAnsi="Times New Roman" w:cs="Times New Roman"/>
          <w:sz w:val="24"/>
          <w:szCs w:val="24"/>
        </w:rPr>
        <w:t>(3), pp.199-235.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Lu, L., Gilmour, R., Kao, S.F. and Huang, M.T. (2006) ‘A cross-cultural study of work/family demands, work/family conflict and wellbeing: The Taiwanese vs British. </w:t>
      </w:r>
      <w:r>
        <w:rPr>
          <w:rFonts w:ascii="Times New Roman" w:hAnsi="Times New Roman" w:cs="Times New Roman"/>
          <w:i/>
          <w:iCs/>
          <w:sz w:val="24"/>
          <w:szCs w:val="24"/>
        </w:rPr>
        <w:t>Career Development International</w:t>
      </w:r>
      <w:r>
        <w:rPr>
          <w:rFonts w:ascii="Times New Roman" w:hAnsi="Times New Roman" w:cs="Times New Roman"/>
          <w:sz w:val="24"/>
          <w:szCs w:val="24"/>
        </w:rPr>
        <w:t>, </w:t>
      </w:r>
      <w:r>
        <w:rPr>
          <w:rFonts w:ascii="Times New Roman" w:hAnsi="Times New Roman" w:cs="Times New Roman"/>
          <w:iCs/>
          <w:sz w:val="24"/>
          <w:szCs w:val="24"/>
        </w:rPr>
        <w:t>11</w:t>
      </w:r>
      <w:r>
        <w:rPr>
          <w:rFonts w:ascii="Times New Roman" w:hAnsi="Times New Roman" w:cs="Times New Roman"/>
          <w:sz w:val="24"/>
          <w:szCs w:val="24"/>
        </w:rPr>
        <w:t>(1), pp.9-27.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Martin, J.N. and Nakayama, T.K. (2013) </w:t>
      </w:r>
      <w:r>
        <w:rPr>
          <w:rFonts w:ascii="Times New Roman" w:hAnsi="Times New Roman" w:cs="Times New Roman"/>
          <w:i/>
          <w:iCs/>
          <w:sz w:val="24"/>
          <w:szCs w:val="24"/>
        </w:rPr>
        <w:t>Experiencing intercultural communication</w:t>
      </w:r>
      <w:r>
        <w:rPr>
          <w:rFonts w:ascii="Times New Roman" w:hAnsi="Times New Roman" w:cs="Times New Roman"/>
          <w:sz w:val="24"/>
          <w:szCs w:val="24"/>
        </w:rPr>
        <w:t>. McGraw-Hill Higher Education.</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Tamam, E. (2010) ‘Examining Chen and Starosta's model of intercultural sensitivity in a multiracial collectivistic country’, </w:t>
      </w:r>
      <w:r>
        <w:rPr>
          <w:rFonts w:ascii="Times New Roman" w:hAnsi="Times New Roman" w:cs="Times New Roman"/>
          <w:i/>
          <w:iCs/>
          <w:sz w:val="24"/>
          <w:szCs w:val="24"/>
        </w:rPr>
        <w:t>Journal of Intercultural Communication Research</w:t>
      </w:r>
      <w:r>
        <w:rPr>
          <w:rFonts w:ascii="Times New Roman" w:hAnsi="Times New Roman" w:cs="Times New Roman"/>
          <w:sz w:val="24"/>
          <w:szCs w:val="24"/>
        </w:rPr>
        <w:t>, </w:t>
      </w:r>
      <w:r>
        <w:rPr>
          <w:rFonts w:ascii="Times New Roman" w:hAnsi="Times New Roman" w:cs="Times New Roman"/>
          <w:iCs/>
          <w:sz w:val="24"/>
          <w:szCs w:val="24"/>
        </w:rPr>
        <w:t>39</w:t>
      </w:r>
      <w:r>
        <w:rPr>
          <w:rFonts w:ascii="Times New Roman" w:hAnsi="Times New Roman" w:cs="Times New Roman"/>
          <w:sz w:val="24"/>
          <w:szCs w:val="24"/>
        </w:rPr>
        <w:t>(3), pp.173-183.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Thomas, M.G., Stumpf, M.P. and Härke, H. (2006) ‘Evidence for an apartheid-like social structure in early Anglo-Saxon England’, </w:t>
      </w:r>
      <w:r>
        <w:rPr>
          <w:rFonts w:ascii="Times New Roman" w:hAnsi="Times New Roman" w:cs="Times New Roman"/>
          <w:i/>
          <w:iCs/>
          <w:sz w:val="24"/>
          <w:szCs w:val="24"/>
        </w:rPr>
        <w:t>Proceedings of the Royal Society of London B: Biological Sciences</w:t>
      </w:r>
      <w:r>
        <w:rPr>
          <w:rFonts w:ascii="Times New Roman" w:hAnsi="Times New Roman" w:cs="Times New Roman"/>
          <w:sz w:val="24"/>
          <w:szCs w:val="24"/>
        </w:rPr>
        <w:t>, </w:t>
      </w:r>
      <w:r>
        <w:rPr>
          <w:rFonts w:ascii="Times New Roman" w:hAnsi="Times New Roman" w:cs="Times New Roman"/>
          <w:iCs/>
          <w:sz w:val="24"/>
          <w:szCs w:val="24"/>
        </w:rPr>
        <w:t>273</w:t>
      </w:r>
      <w:r>
        <w:rPr>
          <w:rFonts w:ascii="Times New Roman" w:hAnsi="Times New Roman" w:cs="Times New Roman"/>
          <w:sz w:val="24"/>
          <w:szCs w:val="24"/>
        </w:rPr>
        <w:t>(1601), pp.2651-2657.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Trompenaars, F. and Hampden-Turner, C. (2011) </w:t>
      </w:r>
      <w:r>
        <w:rPr>
          <w:rFonts w:ascii="Times New Roman" w:hAnsi="Times New Roman" w:cs="Times New Roman"/>
          <w:i/>
          <w:iCs/>
          <w:sz w:val="24"/>
          <w:szCs w:val="24"/>
        </w:rPr>
        <w:t>Riding the waves of culture: Understanding diversity in global business</w:t>
      </w:r>
      <w:r>
        <w:rPr>
          <w:rFonts w:ascii="Times New Roman" w:hAnsi="Times New Roman" w:cs="Times New Roman"/>
          <w:sz w:val="24"/>
          <w:szCs w:val="24"/>
        </w:rPr>
        <w:t>. Nicholas Brealey Publishing.</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Turner, G. (2003) </w:t>
      </w:r>
      <w:r>
        <w:rPr>
          <w:rFonts w:ascii="Times New Roman" w:hAnsi="Times New Roman" w:cs="Times New Roman"/>
          <w:i/>
          <w:iCs/>
          <w:sz w:val="24"/>
          <w:szCs w:val="24"/>
        </w:rPr>
        <w:t>British cultural studies: An introduction</w:t>
      </w:r>
      <w:r>
        <w:rPr>
          <w:rFonts w:ascii="Times New Roman" w:hAnsi="Times New Roman" w:cs="Times New Roman"/>
          <w:sz w:val="24"/>
          <w:szCs w:val="24"/>
        </w:rPr>
        <w:t>. Psychology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Wilson, S. (2011) </w:t>
      </w:r>
      <w:r>
        <w:rPr>
          <w:rFonts w:ascii="Times New Roman" w:hAnsi="Times New Roman" w:cs="Times New Roman"/>
          <w:i/>
          <w:iCs/>
          <w:sz w:val="24"/>
          <w:szCs w:val="24"/>
        </w:rPr>
        <w:t>Culture Shock! Egypt</w:t>
      </w:r>
      <w:r>
        <w:rPr>
          <w:rFonts w:ascii="Times New Roman" w:hAnsi="Times New Roman" w:cs="Times New Roman"/>
          <w:sz w:val="24"/>
          <w:szCs w:val="24"/>
        </w:rPr>
        <w:t>. Marshall Cavendish International Asia Pte Ltd.</w:t>
      </w:r>
    </w:p>
    <w:sectPr>
      <w:footerReference r:id="rId4"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Arial">
    <w:panose1 w:val="020B0604020202020204"/>
    <w:charset w:val="00"/>
    <w:family w:val="swiss"/>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tabs>
        <w:tab w:val="center" w:pos="4513"/>
        <w:tab w:val="left" w:pos="4995"/>
      </w:tabs>
    </w:pPr>
    <w:r>
      <w:tab/>
    </w:r>
    <w:r>
      <w:tab/>
    </w:r>
  </w:p>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11616198"/>
      <w:docPartObj>
        <w:docPartGallery w:val="AutoText"/>
      </w:docPartObj>
    </w:sdtPr>
    <w:sdtContent>
      <w:p>
        <w:pPr>
          <w:pStyle w:val="4"/>
          <w:jc w:val="center"/>
        </w:pPr>
        <w:r>
          <w:fldChar w:fldCharType="begin"/>
        </w:r>
        <w:r>
          <w:instrText xml:space="preserve"> PAGE   \* MERGEFORMAT </w:instrText>
        </w:r>
        <w:r>
          <w:fldChar w:fldCharType="separate"/>
        </w:r>
        <w:r>
          <w:t>7</w:t>
        </w:r>
        <w:r>
          <w:fldChar w:fldCharType="end"/>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3145"/>
    <w:rsid w:val="00002B04"/>
    <w:rsid w:val="00002DAC"/>
    <w:rsid w:val="00007778"/>
    <w:rsid w:val="000141B5"/>
    <w:rsid w:val="00017EFD"/>
    <w:rsid w:val="000304AA"/>
    <w:rsid w:val="00032151"/>
    <w:rsid w:val="00033D21"/>
    <w:rsid w:val="00033E35"/>
    <w:rsid w:val="00062B55"/>
    <w:rsid w:val="00063D8C"/>
    <w:rsid w:val="00075D82"/>
    <w:rsid w:val="000A3F88"/>
    <w:rsid w:val="000A5108"/>
    <w:rsid w:val="000A5220"/>
    <w:rsid w:val="000A6999"/>
    <w:rsid w:val="000A7C07"/>
    <w:rsid w:val="000C0482"/>
    <w:rsid w:val="000C4CAA"/>
    <w:rsid w:val="000D1C30"/>
    <w:rsid w:val="000D4B6C"/>
    <w:rsid w:val="000E0533"/>
    <w:rsid w:val="000E4DDC"/>
    <w:rsid w:val="000F3411"/>
    <w:rsid w:val="000F6DEF"/>
    <w:rsid w:val="000F74F0"/>
    <w:rsid w:val="000F7D58"/>
    <w:rsid w:val="00102C6C"/>
    <w:rsid w:val="00103145"/>
    <w:rsid w:val="00103A9A"/>
    <w:rsid w:val="00130ED6"/>
    <w:rsid w:val="0013781D"/>
    <w:rsid w:val="00143333"/>
    <w:rsid w:val="0015327F"/>
    <w:rsid w:val="001535F7"/>
    <w:rsid w:val="00154A81"/>
    <w:rsid w:val="001660E9"/>
    <w:rsid w:val="001779E3"/>
    <w:rsid w:val="00196D86"/>
    <w:rsid w:val="001A3EF5"/>
    <w:rsid w:val="001B27EB"/>
    <w:rsid w:val="001B5955"/>
    <w:rsid w:val="001C4F84"/>
    <w:rsid w:val="001D5933"/>
    <w:rsid w:val="001D69B8"/>
    <w:rsid w:val="001E5C23"/>
    <w:rsid w:val="00202DEC"/>
    <w:rsid w:val="002178C6"/>
    <w:rsid w:val="0022307F"/>
    <w:rsid w:val="0023644D"/>
    <w:rsid w:val="00240EF4"/>
    <w:rsid w:val="00241837"/>
    <w:rsid w:val="00241BF9"/>
    <w:rsid w:val="00242908"/>
    <w:rsid w:val="00246473"/>
    <w:rsid w:val="00251A5C"/>
    <w:rsid w:val="002709F2"/>
    <w:rsid w:val="00270E8B"/>
    <w:rsid w:val="002760CE"/>
    <w:rsid w:val="00294121"/>
    <w:rsid w:val="0029668E"/>
    <w:rsid w:val="002A0CF2"/>
    <w:rsid w:val="002A168D"/>
    <w:rsid w:val="002E575F"/>
    <w:rsid w:val="002E5C7E"/>
    <w:rsid w:val="00300489"/>
    <w:rsid w:val="00301256"/>
    <w:rsid w:val="00301B92"/>
    <w:rsid w:val="0030268E"/>
    <w:rsid w:val="00307B2E"/>
    <w:rsid w:val="0031451C"/>
    <w:rsid w:val="0032051E"/>
    <w:rsid w:val="00340EE4"/>
    <w:rsid w:val="00341A2B"/>
    <w:rsid w:val="0035469F"/>
    <w:rsid w:val="00357B61"/>
    <w:rsid w:val="003770DF"/>
    <w:rsid w:val="0039064E"/>
    <w:rsid w:val="00390FFB"/>
    <w:rsid w:val="00392A68"/>
    <w:rsid w:val="003A1567"/>
    <w:rsid w:val="003B09E1"/>
    <w:rsid w:val="003B6286"/>
    <w:rsid w:val="003B6E9D"/>
    <w:rsid w:val="003C315F"/>
    <w:rsid w:val="003D3C47"/>
    <w:rsid w:val="003E1C98"/>
    <w:rsid w:val="004044A0"/>
    <w:rsid w:val="0041428F"/>
    <w:rsid w:val="004177A5"/>
    <w:rsid w:val="00432AB0"/>
    <w:rsid w:val="004346E0"/>
    <w:rsid w:val="00442819"/>
    <w:rsid w:val="0046170D"/>
    <w:rsid w:val="004636DC"/>
    <w:rsid w:val="00463B45"/>
    <w:rsid w:val="004805A7"/>
    <w:rsid w:val="00482415"/>
    <w:rsid w:val="00486163"/>
    <w:rsid w:val="00493830"/>
    <w:rsid w:val="004952DF"/>
    <w:rsid w:val="004B69D9"/>
    <w:rsid w:val="004C105E"/>
    <w:rsid w:val="004D0001"/>
    <w:rsid w:val="004D3F4B"/>
    <w:rsid w:val="004E3509"/>
    <w:rsid w:val="004E51B0"/>
    <w:rsid w:val="004F410D"/>
    <w:rsid w:val="004F6B02"/>
    <w:rsid w:val="004F6E86"/>
    <w:rsid w:val="0050188D"/>
    <w:rsid w:val="00502C2F"/>
    <w:rsid w:val="00505D1C"/>
    <w:rsid w:val="00506889"/>
    <w:rsid w:val="0050730E"/>
    <w:rsid w:val="00522911"/>
    <w:rsid w:val="0052461B"/>
    <w:rsid w:val="00526A51"/>
    <w:rsid w:val="005309EB"/>
    <w:rsid w:val="0053127E"/>
    <w:rsid w:val="00541AFA"/>
    <w:rsid w:val="00552E9F"/>
    <w:rsid w:val="0055309C"/>
    <w:rsid w:val="005636D9"/>
    <w:rsid w:val="00571A7F"/>
    <w:rsid w:val="00583D28"/>
    <w:rsid w:val="005B1126"/>
    <w:rsid w:val="005B41CF"/>
    <w:rsid w:val="005B4AA9"/>
    <w:rsid w:val="005C31A8"/>
    <w:rsid w:val="005C6751"/>
    <w:rsid w:val="005D1B73"/>
    <w:rsid w:val="005E0F22"/>
    <w:rsid w:val="005E5648"/>
    <w:rsid w:val="005F2E0B"/>
    <w:rsid w:val="00614FFF"/>
    <w:rsid w:val="006160D4"/>
    <w:rsid w:val="00625BF1"/>
    <w:rsid w:val="00652ACD"/>
    <w:rsid w:val="00666AC9"/>
    <w:rsid w:val="006702FA"/>
    <w:rsid w:val="00671FA3"/>
    <w:rsid w:val="00672B46"/>
    <w:rsid w:val="006763B4"/>
    <w:rsid w:val="00682EFC"/>
    <w:rsid w:val="00684D1B"/>
    <w:rsid w:val="006909B0"/>
    <w:rsid w:val="006915A7"/>
    <w:rsid w:val="006928A6"/>
    <w:rsid w:val="006A1D9B"/>
    <w:rsid w:val="006A220D"/>
    <w:rsid w:val="006A5E50"/>
    <w:rsid w:val="006A7E64"/>
    <w:rsid w:val="006B6435"/>
    <w:rsid w:val="006D1D6C"/>
    <w:rsid w:val="006D4794"/>
    <w:rsid w:val="006E7D04"/>
    <w:rsid w:val="006F038D"/>
    <w:rsid w:val="006F2188"/>
    <w:rsid w:val="007003F6"/>
    <w:rsid w:val="00706E0E"/>
    <w:rsid w:val="00707FE3"/>
    <w:rsid w:val="00712190"/>
    <w:rsid w:val="00714034"/>
    <w:rsid w:val="0072511D"/>
    <w:rsid w:val="00737091"/>
    <w:rsid w:val="00746716"/>
    <w:rsid w:val="00746787"/>
    <w:rsid w:val="0075778F"/>
    <w:rsid w:val="00774ACA"/>
    <w:rsid w:val="0078670D"/>
    <w:rsid w:val="00792CF7"/>
    <w:rsid w:val="007B2019"/>
    <w:rsid w:val="007B564F"/>
    <w:rsid w:val="007D014E"/>
    <w:rsid w:val="007D2A5A"/>
    <w:rsid w:val="007D5816"/>
    <w:rsid w:val="007D5F78"/>
    <w:rsid w:val="007D77BD"/>
    <w:rsid w:val="007E40DD"/>
    <w:rsid w:val="007F2BA4"/>
    <w:rsid w:val="007F2FEF"/>
    <w:rsid w:val="00800A12"/>
    <w:rsid w:val="00806AE9"/>
    <w:rsid w:val="00821A5D"/>
    <w:rsid w:val="0082741B"/>
    <w:rsid w:val="008275E8"/>
    <w:rsid w:val="008279EC"/>
    <w:rsid w:val="00830167"/>
    <w:rsid w:val="00830CFD"/>
    <w:rsid w:val="0083416A"/>
    <w:rsid w:val="00840BA3"/>
    <w:rsid w:val="00856A74"/>
    <w:rsid w:val="00877248"/>
    <w:rsid w:val="00885320"/>
    <w:rsid w:val="00886ACD"/>
    <w:rsid w:val="0089518A"/>
    <w:rsid w:val="008A3051"/>
    <w:rsid w:val="008B5050"/>
    <w:rsid w:val="008E0905"/>
    <w:rsid w:val="008E7200"/>
    <w:rsid w:val="008F21CE"/>
    <w:rsid w:val="00900755"/>
    <w:rsid w:val="009059E1"/>
    <w:rsid w:val="009252C9"/>
    <w:rsid w:val="009363E4"/>
    <w:rsid w:val="0094556C"/>
    <w:rsid w:val="00953E95"/>
    <w:rsid w:val="00955F3C"/>
    <w:rsid w:val="00962691"/>
    <w:rsid w:val="00980C05"/>
    <w:rsid w:val="0098534C"/>
    <w:rsid w:val="00985807"/>
    <w:rsid w:val="00986A67"/>
    <w:rsid w:val="00993746"/>
    <w:rsid w:val="00994DF5"/>
    <w:rsid w:val="009B6424"/>
    <w:rsid w:val="009D071A"/>
    <w:rsid w:val="009D5D73"/>
    <w:rsid w:val="009E0848"/>
    <w:rsid w:val="009F75FE"/>
    <w:rsid w:val="00A017E5"/>
    <w:rsid w:val="00A25CA5"/>
    <w:rsid w:val="00A30A6C"/>
    <w:rsid w:val="00A72B3C"/>
    <w:rsid w:val="00A7449C"/>
    <w:rsid w:val="00A91A1E"/>
    <w:rsid w:val="00A9575E"/>
    <w:rsid w:val="00AB58B4"/>
    <w:rsid w:val="00AC795A"/>
    <w:rsid w:val="00AD3D4F"/>
    <w:rsid w:val="00AD4E28"/>
    <w:rsid w:val="00B13700"/>
    <w:rsid w:val="00B31C22"/>
    <w:rsid w:val="00B35B2D"/>
    <w:rsid w:val="00B37290"/>
    <w:rsid w:val="00B455CA"/>
    <w:rsid w:val="00B53320"/>
    <w:rsid w:val="00B53443"/>
    <w:rsid w:val="00B56D01"/>
    <w:rsid w:val="00B70F49"/>
    <w:rsid w:val="00B7189F"/>
    <w:rsid w:val="00B82436"/>
    <w:rsid w:val="00B84A33"/>
    <w:rsid w:val="00B873B5"/>
    <w:rsid w:val="00BA03BF"/>
    <w:rsid w:val="00BA6D2E"/>
    <w:rsid w:val="00BB6485"/>
    <w:rsid w:val="00BC64D2"/>
    <w:rsid w:val="00BD7187"/>
    <w:rsid w:val="00BE0FF7"/>
    <w:rsid w:val="00BE3D2B"/>
    <w:rsid w:val="00BE513B"/>
    <w:rsid w:val="00BE6CAF"/>
    <w:rsid w:val="00BF0805"/>
    <w:rsid w:val="00BF2CB8"/>
    <w:rsid w:val="00BF37BC"/>
    <w:rsid w:val="00C0011F"/>
    <w:rsid w:val="00C011DC"/>
    <w:rsid w:val="00C127B9"/>
    <w:rsid w:val="00C2789E"/>
    <w:rsid w:val="00C34C33"/>
    <w:rsid w:val="00C455EF"/>
    <w:rsid w:val="00C704A9"/>
    <w:rsid w:val="00C7441F"/>
    <w:rsid w:val="00C95626"/>
    <w:rsid w:val="00CA29B5"/>
    <w:rsid w:val="00CA5DF3"/>
    <w:rsid w:val="00CA628A"/>
    <w:rsid w:val="00CA778E"/>
    <w:rsid w:val="00CB0293"/>
    <w:rsid w:val="00CC7AF7"/>
    <w:rsid w:val="00CD0D41"/>
    <w:rsid w:val="00CD1039"/>
    <w:rsid w:val="00CD6391"/>
    <w:rsid w:val="00CE4FB9"/>
    <w:rsid w:val="00CE7CB3"/>
    <w:rsid w:val="00CF1414"/>
    <w:rsid w:val="00CF465D"/>
    <w:rsid w:val="00CF701E"/>
    <w:rsid w:val="00CF7FAD"/>
    <w:rsid w:val="00D31C23"/>
    <w:rsid w:val="00D32FCA"/>
    <w:rsid w:val="00D41B0C"/>
    <w:rsid w:val="00D5742F"/>
    <w:rsid w:val="00DB4886"/>
    <w:rsid w:val="00DC00D4"/>
    <w:rsid w:val="00DC7ED5"/>
    <w:rsid w:val="00DD6D46"/>
    <w:rsid w:val="00DD7038"/>
    <w:rsid w:val="00DD76A5"/>
    <w:rsid w:val="00DE0892"/>
    <w:rsid w:val="00E04C94"/>
    <w:rsid w:val="00E1179E"/>
    <w:rsid w:val="00E20526"/>
    <w:rsid w:val="00E50F2C"/>
    <w:rsid w:val="00E605FE"/>
    <w:rsid w:val="00E6216B"/>
    <w:rsid w:val="00E67540"/>
    <w:rsid w:val="00E70D17"/>
    <w:rsid w:val="00E75365"/>
    <w:rsid w:val="00E8474C"/>
    <w:rsid w:val="00E91D72"/>
    <w:rsid w:val="00E922BE"/>
    <w:rsid w:val="00EA4F41"/>
    <w:rsid w:val="00EC1E8E"/>
    <w:rsid w:val="00EC234E"/>
    <w:rsid w:val="00ED7978"/>
    <w:rsid w:val="00EE6CAB"/>
    <w:rsid w:val="00EF3365"/>
    <w:rsid w:val="00F02654"/>
    <w:rsid w:val="00F0521A"/>
    <w:rsid w:val="00F20331"/>
    <w:rsid w:val="00F20B56"/>
    <w:rsid w:val="00F22605"/>
    <w:rsid w:val="00F33945"/>
    <w:rsid w:val="00F437F4"/>
    <w:rsid w:val="00F51A06"/>
    <w:rsid w:val="00F53828"/>
    <w:rsid w:val="00F55333"/>
    <w:rsid w:val="00F5696A"/>
    <w:rsid w:val="00F722A8"/>
    <w:rsid w:val="00F94513"/>
    <w:rsid w:val="00FB19EC"/>
    <w:rsid w:val="00FB3FA3"/>
    <w:rsid w:val="00FD4DF7"/>
    <w:rsid w:val="00FD5B31"/>
    <w:rsid w:val="00FE3E74"/>
    <w:rsid w:val="00FE3E90"/>
    <w:rsid w:val="00FF6AC5"/>
    <w:rsid w:val="00FF6FCB"/>
    <w:rsid w:val="00FF72A1"/>
    <w:rsid w:val="722E45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9">
    <w:name w:val="Default Paragraph Font"/>
    <w:semiHidden/>
    <w:unhideWhenUsed/>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8"/>
    <w:unhideWhenUsed/>
    <w:uiPriority w:val="99"/>
    <w:pPr>
      <w:tabs>
        <w:tab w:val="center" w:pos="4153"/>
        <w:tab w:val="right" w:pos="8306"/>
      </w:tabs>
      <w:spacing w:after="0" w:line="240" w:lineRule="auto"/>
    </w:pPr>
  </w:style>
  <w:style w:type="paragraph" w:styleId="5">
    <w:name w:val="header"/>
    <w:basedOn w:val="1"/>
    <w:link w:val="17"/>
    <w:unhideWhenUsed/>
    <w:uiPriority w:val="99"/>
    <w:pPr>
      <w:tabs>
        <w:tab w:val="center" w:pos="4153"/>
        <w:tab w:val="right" w:pos="830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uiPriority w:val="39"/>
    <w:pPr>
      <w:spacing w:after="100"/>
      <w:ind w:left="220"/>
    </w:pPr>
  </w:style>
  <w:style w:type="paragraph" w:styleId="8">
    <w:name w:val="Title"/>
    <w:basedOn w:val="1"/>
    <w:next w:val="1"/>
    <w:link w:val="13"/>
    <w:qFormat/>
    <w:uiPriority w:val="10"/>
    <w:pPr>
      <w:spacing w:after="0" w:line="240" w:lineRule="auto"/>
      <w:contextualSpacing/>
    </w:pPr>
    <w:rPr>
      <w:rFonts w:asciiTheme="majorHAnsi" w:hAnsiTheme="majorHAnsi" w:eastAsiaTheme="majorEastAsia" w:cstheme="majorBidi"/>
      <w:spacing w:val="-10"/>
      <w:kern w:val="28"/>
      <w:sz w:val="56"/>
      <w:szCs w:val="56"/>
    </w:rPr>
  </w:style>
  <w:style w:type="character" w:styleId="10">
    <w:name w:val="Hyperlink"/>
    <w:basedOn w:val="9"/>
    <w:unhideWhenUsed/>
    <w:uiPriority w:val="99"/>
    <w:rPr>
      <w:color w:val="0563C1" w:themeColor="hyperlink"/>
      <w:u w:val="single"/>
      <w14:textFill>
        <w14:solidFill>
          <w14:schemeClr w14:val="hlink"/>
        </w14:solidFill>
      </w14:textFill>
    </w:rPr>
  </w:style>
  <w:style w:type="paragraph" w:styleId="12">
    <w:name w:val="List Paragraph"/>
    <w:basedOn w:val="1"/>
    <w:qFormat/>
    <w:uiPriority w:val="34"/>
    <w:pPr>
      <w:ind w:left="720"/>
      <w:contextualSpacing/>
    </w:pPr>
  </w:style>
  <w:style w:type="character" w:customStyle="1" w:styleId="13">
    <w:name w:val="Title Char"/>
    <w:basedOn w:val="9"/>
    <w:link w:val="8"/>
    <w:uiPriority w:val="10"/>
    <w:rPr>
      <w:rFonts w:asciiTheme="majorHAnsi" w:hAnsiTheme="majorHAnsi" w:eastAsiaTheme="majorEastAsia" w:cstheme="majorBidi"/>
      <w:spacing w:val="-10"/>
      <w:kern w:val="28"/>
      <w:sz w:val="56"/>
      <w:szCs w:val="56"/>
    </w:rPr>
  </w:style>
  <w:style w:type="character" w:customStyle="1" w:styleId="14">
    <w:name w:val="Heading 1 Char"/>
    <w:basedOn w:val="9"/>
    <w:link w:val="2"/>
    <w:uiPriority w:val="9"/>
    <w:rPr>
      <w:rFonts w:asciiTheme="majorHAnsi" w:hAnsiTheme="majorHAnsi" w:eastAsiaTheme="majorEastAsia" w:cstheme="majorBidi"/>
      <w:color w:val="2E75B6" w:themeColor="accent1" w:themeShade="BF"/>
      <w:sz w:val="32"/>
      <w:szCs w:val="32"/>
    </w:rPr>
  </w:style>
  <w:style w:type="character" w:customStyle="1" w:styleId="15">
    <w:name w:val="Heading 2 Char"/>
    <w:basedOn w:val="9"/>
    <w:link w:val="3"/>
    <w:uiPriority w:val="9"/>
    <w:rPr>
      <w:rFonts w:asciiTheme="majorHAnsi" w:hAnsiTheme="majorHAnsi" w:eastAsiaTheme="majorEastAsia" w:cstheme="majorBidi"/>
      <w:color w:val="2E75B6" w:themeColor="accent1" w:themeShade="BF"/>
      <w:sz w:val="26"/>
      <w:szCs w:val="26"/>
    </w:rPr>
  </w:style>
  <w:style w:type="paragraph" w:customStyle="1" w:styleId="16">
    <w:name w:val="TOC Heading"/>
    <w:basedOn w:val="2"/>
    <w:next w:val="1"/>
    <w:unhideWhenUsed/>
    <w:qFormat/>
    <w:uiPriority w:val="39"/>
    <w:pPr>
      <w:outlineLvl w:val="9"/>
    </w:pPr>
    <w:rPr>
      <w:lang w:val="en-US" w:eastAsia="en-US"/>
    </w:rPr>
  </w:style>
  <w:style w:type="character" w:customStyle="1" w:styleId="17">
    <w:name w:val="Header Char"/>
    <w:basedOn w:val="9"/>
    <w:link w:val="5"/>
    <w:uiPriority w:val="99"/>
  </w:style>
  <w:style w:type="character" w:customStyle="1" w:styleId="18">
    <w:name w:val="Footer Char"/>
    <w:basedOn w:val="9"/>
    <w:link w:val="4"/>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1E5D800-C0BB-4128-B783-C5E43DC5CAFA}">
  <ds:schemaRefs/>
</ds:datastoreItem>
</file>

<file path=docProps/app.xml><?xml version="1.0" encoding="utf-8"?>
<Properties xmlns="http://schemas.openxmlformats.org/officeDocument/2006/extended-properties" xmlns:vt="http://schemas.openxmlformats.org/officeDocument/2006/docPropsVTypes">
  <Template>Normal.dotm</Template>
  <Company>Newcastle University</Company>
  <Pages>1</Pages>
  <Words>3053</Words>
  <Characters>17405</Characters>
  <Lines>145</Lines>
  <Paragraphs>40</Paragraphs>
  <TotalTime>0</TotalTime>
  <ScaleCrop>false</ScaleCrop>
  <LinksUpToDate>false</LinksUpToDate>
  <CharactersWithSpaces>20418</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2018-01-12T16:06:00Z</dcterms:created>
  <dc:creator>Yichen Zhu</dc:creator>
  <cp:lastModifiedBy>Ellan</cp:lastModifiedBy>
  <dcterms:modified xsi:type="dcterms:W3CDTF">2018-01-18T12:12:03Z</dcterms:modified>
  <cp:revision>279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