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37D91D" w14:textId="5CACE89D" w:rsidR="00971928" w:rsidRDefault="00F56CEF">
      <w:pPr>
        <w:rPr>
          <w:u w:val="single"/>
        </w:rPr>
      </w:pPr>
      <w:r w:rsidRPr="00F56CEF">
        <w:rPr>
          <w:u w:val="single"/>
        </w:rPr>
        <w:t>What influenced the success of Demosthenes more: his education or his experience</w:t>
      </w:r>
    </w:p>
    <w:p w14:paraId="7064A92C" w14:textId="60BAEA87" w:rsidR="00F56CEF" w:rsidRDefault="00F56CEF">
      <w:pPr>
        <w:rPr>
          <w:u w:val="single"/>
        </w:rPr>
      </w:pPr>
    </w:p>
    <w:p w14:paraId="2F992560" w14:textId="6EE94B94" w:rsidR="00F56CEF" w:rsidRPr="005B4EA1" w:rsidRDefault="00F56CEF" w:rsidP="005B4EA1">
      <w:pPr>
        <w:spacing w:line="480" w:lineRule="auto"/>
        <w:rPr>
          <w:color w:val="000000" w:themeColor="text1"/>
          <w:sz w:val="20"/>
          <w:szCs w:val="20"/>
        </w:rPr>
      </w:pPr>
      <w:r w:rsidRPr="005B4EA1">
        <w:rPr>
          <w:color w:val="000000" w:themeColor="text1"/>
          <w:sz w:val="20"/>
          <w:szCs w:val="20"/>
        </w:rPr>
        <w:t>In order to ascertain to what degree the education or experience of Demosthenes was most pertinent to his success I will first examine the supposed sources of his education analysing which I believe to be the most reliable and then look into the training itself</w:t>
      </w:r>
      <w:r w:rsidR="005B4EA1" w:rsidRPr="005B4EA1">
        <w:rPr>
          <w:color w:val="000000" w:themeColor="text1"/>
          <w:sz w:val="20"/>
          <w:szCs w:val="20"/>
        </w:rPr>
        <w:t xml:space="preserve"> and the skills he gained from this which will conclude the education analysis. From there I shall move onto looking at Demosthenes’ early practical exposure to oratory and move onto his legal career. After this I will take a look at some of the cases which Demosthenes was involved in in his political career and using the information covered earlier try to ascertain the source of the resulting success or failure. </w:t>
      </w:r>
      <w:proofErr w:type="gramStart"/>
      <w:r w:rsidR="005B4EA1" w:rsidRPr="005B4EA1">
        <w:rPr>
          <w:color w:val="000000" w:themeColor="text1"/>
          <w:sz w:val="20"/>
          <w:szCs w:val="20"/>
        </w:rPr>
        <w:t>Finally</w:t>
      </w:r>
      <w:proofErr w:type="gramEnd"/>
      <w:r w:rsidR="005B4EA1" w:rsidRPr="005B4EA1">
        <w:rPr>
          <w:color w:val="000000" w:themeColor="text1"/>
          <w:sz w:val="20"/>
          <w:szCs w:val="20"/>
        </w:rPr>
        <w:t xml:space="preserve"> to conclude I will examine the legacy which has been created for Demosthenes</w:t>
      </w:r>
      <w:r w:rsidR="00ED4D06">
        <w:rPr>
          <w:color w:val="000000" w:themeColor="text1"/>
          <w:sz w:val="20"/>
          <w:szCs w:val="20"/>
        </w:rPr>
        <w:t xml:space="preserve"> examining different periods of time and influence he had on their orators and politics</w:t>
      </w:r>
      <w:r w:rsidR="005B4EA1" w:rsidRPr="005B4EA1">
        <w:rPr>
          <w:color w:val="000000" w:themeColor="text1"/>
          <w:sz w:val="20"/>
          <w:szCs w:val="20"/>
        </w:rPr>
        <w:t>.</w:t>
      </w:r>
    </w:p>
    <w:p w14:paraId="4370B745" w14:textId="77777777" w:rsidR="005B4EA1" w:rsidRDefault="005B4EA1" w:rsidP="005B4EA1">
      <w:pPr>
        <w:spacing w:line="480" w:lineRule="auto"/>
        <w:rPr>
          <w:color w:val="000000" w:themeColor="text1"/>
          <w:sz w:val="20"/>
          <w:szCs w:val="20"/>
        </w:rPr>
      </w:pPr>
    </w:p>
    <w:p w14:paraId="4F6E9D26" w14:textId="5D73EDA5" w:rsidR="005B4EA1" w:rsidRPr="005B4EA1" w:rsidRDefault="005B4EA1" w:rsidP="005B4EA1">
      <w:pPr>
        <w:spacing w:line="480" w:lineRule="auto"/>
        <w:rPr>
          <w:color w:val="000000" w:themeColor="text1"/>
          <w:sz w:val="20"/>
          <w:szCs w:val="20"/>
        </w:rPr>
      </w:pPr>
      <w:r w:rsidRPr="005B4EA1">
        <w:rPr>
          <w:color w:val="000000" w:themeColor="text1"/>
          <w:sz w:val="20"/>
          <w:szCs w:val="20"/>
        </w:rPr>
        <w:t>Before beginning the look at into the Demosthenes’ education it is important to agree upon who was Demosthenes’ instructor. For t</w:t>
      </w:r>
      <w:r w:rsidR="00F56CEF" w:rsidRPr="005B4EA1">
        <w:rPr>
          <w:color w:val="000000" w:themeColor="text1"/>
          <w:sz w:val="20"/>
          <w:szCs w:val="20"/>
        </w:rPr>
        <w:t xml:space="preserve">here are many differing accounts regarding the source of </w:t>
      </w:r>
      <w:r w:rsidRPr="005B4EA1">
        <w:rPr>
          <w:color w:val="000000" w:themeColor="text1"/>
          <w:sz w:val="20"/>
          <w:szCs w:val="20"/>
        </w:rPr>
        <w:t>Demosthenes’</w:t>
      </w:r>
      <w:r w:rsidR="00F56CEF" w:rsidRPr="005B4EA1">
        <w:rPr>
          <w:color w:val="000000" w:themeColor="text1"/>
          <w:sz w:val="20"/>
          <w:szCs w:val="20"/>
        </w:rPr>
        <w:t xml:space="preserve"> education</w:t>
      </w:r>
      <w:r w:rsidRPr="005B4EA1">
        <w:rPr>
          <w:color w:val="000000" w:themeColor="text1"/>
          <w:sz w:val="20"/>
          <w:szCs w:val="20"/>
        </w:rPr>
        <w:t>;</w:t>
      </w:r>
      <w:r w:rsidR="00F56CEF" w:rsidRPr="005B4EA1">
        <w:rPr>
          <w:color w:val="000000" w:themeColor="text1"/>
          <w:sz w:val="20"/>
          <w:szCs w:val="20"/>
        </w:rPr>
        <w:t xml:space="preserve"> </w:t>
      </w:r>
      <w:r w:rsidRPr="005B4EA1">
        <w:rPr>
          <w:color w:val="000000" w:themeColor="text1"/>
          <w:sz w:val="20"/>
          <w:szCs w:val="20"/>
        </w:rPr>
        <w:t>Plutarch</w:t>
      </w:r>
      <w:r w:rsidR="00F56CEF" w:rsidRPr="005B4EA1">
        <w:rPr>
          <w:color w:val="000000" w:themeColor="text1"/>
          <w:sz w:val="20"/>
          <w:szCs w:val="20"/>
        </w:rPr>
        <w:t xml:space="preserve"> states that Demosthenes began his journey into oratory at a young age from </w:t>
      </w:r>
      <w:proofErr w:type="spellStart"/>
      <w:r w:rsidR="00F56CEF" w:rsidRPr="005B4EA1">
        <w:rPr>
          <w:color w:val="000000" w:themeColor="text1"/>
          <w:sz w:val="20"/>
          <w:szCs w:val="20"/>
        </w:rPr>
        <w:t>Callistatus</w:t>
      </w:r>
      <w:proofErr w:type="spellEnd"/>
      <w:r w:rsidR="00F56CEF" w:rsidRPr="005B4EA1">
        <w:rPr>
          <w:color w:val="000000" w:themeColor="text1"/>
          <w:sz w:val="20"/>
          <w:szCs w:val="20"/>
        </w:rPr>
        <w:t xml:space="preserve"> the noted orator</w:t>
      </w:r>
      <w:r w:rsidRPr="005B4EA1">
        <w:rPr>
          <w:color w:val="000000" w:themeColor="text1"/>
          <w:sz w:val="20"/>
          <w:szCs w:val="20"/>
        </w:rPr>
        <w:t>:</w:t>
      </w:r>
      <w:r w:rsidR="00F56CEF" w:rsidRPr="005B4EA1">
        <w:rPr>
          <w:color w:val="000000" w:themeColor="text1"/>
          <w:sz w:val="20"/>
          <w:szCs w:val="20"/>
        </w:rPr>
        <w:t xml:space="preserve"> </w:t>
      </w:r>
    </w:p>
    <w:p w14:paraId="02DAF25F" w14:textId="1BC4BE1B" w:rsidR="00F56CEF" w:rsidRPr="005B4EA1" w:rsidRDefault="00444436" w:rsidP="005B4EA1">
      <w:pPr>
        <w:spacing w:line="480" w:lineRule="auto"/>
        <w:rPr>
          <w:color w:val="000000" w:themeColor="text1"/>
          <w:sz w:val="20"/>
          <w:szCs w:val="20"/>
        </w:rPr>
      </w:pPr>
      <w:r>
        <w:rPr>
          <w:color w:val="000000" w:themeColor="text1"/>
          <w:sz w:val="20"/>
          <w:szCs w:val="20"/>
        </w:rPr>
        <w:t>“</w:t>
      </w:r>
      <w:r w:rsidR="00F56CEF" w:rsidRPr="005B4EA1">
        <w:rPr>
          <w:i/>
          <w:iCs/>
          <w:color w:val="000000" w:themeColor="text1"/>
          <w:sz w:val="20"/>
          <w:szCs w:val="20"/>
        </w:rPr>
        <w:t xml:space="preserve"> </w:t>
      </w:r>
      <w:proofErr w:type="spellStart"/>
      <w:r w:rsidR="00F56CEF" w:rsidRPr="005B4EA1">
        <w:rPr>
          <w:i/>
          <w:iCs/>
          <w:color w:val="000000" w:themeColor="text1"/>
          <w:sz w:val="20"/>
          <w:szCs w:val="20"/>
        </w:rPr>
        <w:t>Callistratus</w:t>
      </w:r>
      <w:proofErr w:type="spellEnd"/>
      <w:r w:rsidR="00F56CEF" w:rsidRPr="005B4EA1">
        <w:rPr>
          <w:i/>
          <w:iCs/>
          <w:color w:val="000000" w:themeColor="text1"/>
          <w:sz w:val="20"/>
          <w:szCs w:val="20"/>
        </w:rPr>
        <w:t xml:space="preserve"> the orator was going to make a plea in court</w:t>
      </w:r>
      <w:r>
        <w:rPr>
          <w:i/>
          <w:iCs/>
          <w:color w:val="000000" w:themeColor="text1"/>
          <w:sz w:val="20"/>
          <w:szCs w:val="20"/>
        </w:rPr>
        <w:t xml:space="preserve">… </w:t>
      </w:r>
      <w:r w:rsidR="00F56CEF" w:rsidRPr="005B4EA1">
        <w:rPr>
          <w:i/>
          <w:iCs/>
          <w:color w:val="000000" w:themeColor="text1"/>
          <w:sz w:val="20"/>
          <w:szCs w:val="20"/>
        </w:rPr>
        <w:t>the trial was eagerly awaited, not only because of the ability of the orator, who was then at the very height of his reputation</w:t>
      </w:r>
      <w:r>
        <w:rPr>
          <w:i/>
          <w:iCs/>
          <w:color w:val="000000" w:themeColor="text1"/>
          <w:sz w:val="20"/>
          <w:szCs w:val="20"/>
        </w:rPr>
        <w:t>...</w:t>
      </w:r>
      <w:r w:rsidR="00F56CEF" w:rsidRPr="005B4EA1">
        <w:rPr>
          <w:i/>
          <w:iCs/>
          <w:color w:val="000000" w:themeColor="text1"/>
          <w:sz w:val="20"/>
          <w:szCs w:val="20"/>
        </w:rPr>
        <w:t>Accordingly, when Demosthenes heard the teachers and tutors agreeing among themselves to be present at the trial, with great importunity he persuaded his own tutor to take him to the hearing. This tutor, having an acquaintance with the public officials who opened the courts, succeeded in procuring a place where the boy could sit unseen and listen to what was said. </w:t>
      </w:r>
      <w:proofErr w:type="spellStart"/>
      <w:r w:rsidR="00F56CEF" w:rsidRPr="005B4EA1">
        <w:rPr>
          <w:i/>
          <w:iCs/>
          <w:color w:val="000000" w:themeColor="text1"/>
          <w:sz w:val="20"/>
          <w:szCs w:val="20"/>
        </w:rPr>
        <w:t>Callistratus</w:t>
      </w:r>
      <w:proofErr w:type="spellEnd"/>
      <w:r w:rsidR="00F56CEF" w:rsidRPr="005B4EA1">
        <w:rPr>
          <w:i/>
          <w:iCs/>
          <w:color w:val="000000" w:themeColor="text1"/>
          <w:sz w:val="20"/>
          <w:szCs w:val="20"/>
        </w:rPr>
        <w:t xml:space="preserve"> won his case and was extravagantly admired, and Demosthenes conceived a desire to emulate his fame</w:t>
      </w:r>
      <w:r>
        <w:rPr>
          <w:i/>
          <w:iCs/>
          <w:color w:val="000000" w:themeColor="text1"/>
          <w:sz w:val="20"/>
          <w:szCs w:val="20"/>
        </w:rPr>
        <w:t>…</w:t>
      </w:r>
      <w:r w:rsidR="00F56CEF" w:rsidRPr="005B4EA1">
        <w:rPr>
          <w:i/>
          <w:iCs/>
          <w:color w:val="000000" w:themeColor="text1"/>
          <w:sz w:val="20"/>
          <w:szCs w:val="20"/>
        </w:rPr>
        <w:t>Wherefore, bidding farewell to his other studies and to the usual pursuits of boyhood, he practised himself laboriously in declamation, with the idea that he too was to be an orator</w:t>
      </w:r>
      <w:r w:rsidR="00F56CEF" w:rsidRPr="005B4EA1">
        <w:rPr>
          <w:color w:val="000000" w:themeColor="text1"/>
          <w:sz w:val="20"/>
          <w:szCs w:val="20"/>
        </w:rPr>
        <w:t>.</w:t>
      </w:r>
      <w:r w:rsidR="00F56CEF" w:rsidRPr="005B4EA1">
        <w:rPr>
          <w:color w:val="000000" w:themeColor="text1"/>
          <w:sz w:val="20"/>
          <w:szCs w:val="20"/>
        </w:rPr>
        <w:t>”</w:t>
      </w:r>
      <w:r w:rsidR="00F56CEF" w:rsidRPr="005B4EA1">
        <w:rPr>
          <w:rStyle w:val="FootnoteReference"/>
          <w:color w:val="000000" w:themeColor="text1"/>
          <w:sz w:val="20"/>
          <w:szCs w:val="20"/>
        </w:rPr>
        <w:footnoteReference w:id="1"/>
      </w:r>
      <w:r w:rsidR="00F56CEF" w:rsidRPr="005B4EA1">
        <w:rPr>
          <w:color w:val="000000" w:themeColor="text1"/>
          <w:sz w:val="20"/>
          <w:szCs w:val="20"/>
        </w:rPr>
        <w:t xml:space="preserve"> </w:t>
      </w:r>
    </w:p>
    <w:p w14:paraId="40AE10B8" w14:textId="64FCFFA1" w:rsidR="00F56CEF" w:rsidRPr="005B4EA1" w:rsidRDefault="00F56CEF" w:rsidP="005B4EA1">
      <w:pPr>
        <w:spacing w:line="480" w:lineRule="auto"/>
        <w:rPr>
          <w:color w:val="000000" w:themeColor="text1"/>
          <w:sz w:val="20"/>
          <w:szCs w:val="20"/>
        </w:rPr>
      </w:pPr>
      <w:r w:rsidRPr="005B4EA1">
        <w:rPr>
          <w:color w:val="000000" w:themeColor="text1"/>
          <w:sz w:val="20"/>
          <w:szCs w:val="20"/>
        </w:rPr>
        <w:t xml:space="preserve">Cicero, </w:t>
      </w:r>
      <w:proofErr w:type="spellStart"/>
      <w:r w:rsidRPr="005B4EA1">
        <w:rPr>
          <w:color w:val="000000" w:themeColor="text1"/>
          <w:sz w:val="20"/>
          <w:szCs w:val="20"/>
        </w:rPr>
        <w:t>Quintillian</w:t>
      </w:r>
      <w:proofErr w:type="spellEnd"/>
      <w:r w:rsidRPr="005B4EA1">
        <w:rPr>
          <w:color w:val="000000" w:themeColor="text1"/>
          <w:sz w:val="20"/>
          <w:szCs w:val="20"/>
        </w:rPr>
        <w:t xml:space="preserve"> and </w:t>
      </w:r>
      <w:proofErr w:type="spellStart"/>
      <w:r w:rsidRPr="005B4EA1">
        <w:rPr>
          <w:color w:val="000000" w:themeColor="text1"/>
          <w:sz w:val="20"/>
          <w:szCs w:val="20"/>
        </w:rPr>
        <w:t>Hermippus</w:t>
      </w:r>
      <w:proofErr w:type="spellEnd"/>
      <w:r w:rsidRPr="005B4EA1">
        <w:rPr>
          <w:color w:val="000000" w:themeColor="text1"/>
          <w:sz w:val="20"/>
          <w:szCs w:val="20"/>
        </w:rPr>
        <w:t xml:space="preserve"> on the other hand propose that he was a student of </w:t>
      </w:r>
      <w:r w:rsidR="005B4EA1" w:rsidRPr="005B4EA1">
        <w:rPr>
          <w:color w:val="000000" w:themeColor="text1"/>
          <w:sz w:val="20"/>
          <w:szCs w:val="20"/>
        </w:rPr>
        <w:t>P</w:t>
      </w:r>
      <w:r w:rsidRPr="005B4EA1">
        <w:rPr>
          <w:color w:val="000000" w:themeColor="text1"/>
          <w:sz w:val="20"/>
          <w:szCs w:val="20"/>
        </w:rPr>
        <w:t>lato “</w:t>
      </w:r>
      <w:r w:rsidRPr="005B4EA1">
        <w:rPr>
          <w:i/>
          <w:iCs/>
          <w:color w:val="000000" w:themeColor="text1"/>
          <w:sz w:val="20"/>
          <w:szCs w:val="20"/>
        </w:rPr>
        <w:t xml:space="preserve">But </w:t>
      </w:r>
      <w:proofErr w:type="spellStart"/>
      <w:r w:rsidRPr="005B4EA1">
        <w:rPr>
          <w:i/>
          <w:iCs/>
          <w:color w:val="000000" w:themeColor="text1"/>
          <w:sz w:val="20"/>
          <w:szCs w:val="20"/>
        </w:rPr>
        <w:t>Hermippus</w:t>
      </w:r>
      <w:proofErr w:type="spellEnd"/>
      <w:r w:rsidRPr="005B4EA1">
        <w:rPr>
          <w:i/>
          <w:iCs/>
          <w:color w:val="000000" w:themeColor="text1"/>
          <w:sz w:val="20"/>
          <w:szCs w:val="20"/>
        </w:rPr>
        <w:t xml:space="preserve"> says that he once came upon some anonymous memoirs in which it was recorded that Demosthenes was a pupil of Plato and got most help from him in his rhetorical studies.</w:t>
      </w:r>
      <w:r w:rsidRPr="005B4EA1">
        <w:rPr>
          <w:color w:val="000000" w:themeColor="text1"/>
          <w:sz w:val="20"/>
          <w:szCs w:val="20"/>
        </w:rPr>
        <w:t>”</w:t>
      </w:r>
      <w:r w:rsidRPr="005B4EA1">
        <w:rPr>
          <w:rStyle w:val="FootnoteReference"/>
          <w:color w:val="000000" w:themeColor="text1"/>
          <w:sz w:val="20"/>
          <w:szCs w:val="20"/>
        </w:rPr>
        <w:footnoteReference w:id="2"/>
      </w:r>
    </w:p>
    <w:p w14:paraId="7123069B" w14:textId="19445C5D" w:rsidR="00F56CEF" w:rsidRPr="005B4EA1" w:rsidRDefault="00F56CEF" w:rsidP="005B4EA1">
      <w:pPr>
        <w:spacing w:line="480" w:lineRule="auto"/>
        <w:rPr>
          <w:color w:val="000000" w:themeColor="text1"/>
          <w:sz w:val="20"/>
          <w:szCs w:val="20"/>
        </w:rPr>
      </w:pPr>
      <w:r w:rsidRPr="005B4EA1">
        <w:rPr>
          <w:color w:val="000000" w:themeColor="text1"/>
          <w:sz w:val="20"/>
          <w:szCs w:val="20"/>
        </w:rPr>
        <w:t xml:space="preserve">Lucan </w:t>
      </w:r>
      <w:r w:rsidR="005B4EA1" w:rsidRPr="005B4EA1">
        <w:rPr>
          <w:color w:val="000000" w:themeColor="text1"/>
          <w:sz w:val="20"/>
          <w:szCs w:val="20"/>
        </w:rPr>
        <w:t>p</w:t>
      </w:r>
      <w:r w:rsidR="005B4EA1">
        <w:rPr>
          <w:color w:val="000000" w:themeColor="text1"/>
          <w:sz w:val="20"/>
          <w:szCs w:val="20"/>
        </w:rPr>
        <w:t>r</w:t>
      </w:r>
      <w:r w:rsidR="005B4EA1" w:rsidRPr="005B4EA1">
        <w:rPr>
          <w:color w:val="000000" w:themeColor="text1"/>
          <w:sz w:val="20"/>
          <w:szCs w:val="20"/>
        </w:rPr>
        <w:t>opose</w:t>
      </w:r>
      <w:r w:rsidRPr="005B4EA1">
        <w:rPr>
          <w:color w:val="000000" w:themeColor="text1"/>
          <w:sz w:val="20"/>
          <w:szCs w:val="20"/>
        </w:rPr>
        <w:t xml:space="preserve">s that many were </w:t>
      </w:r>
      <w:r w:rsidR="005B4EA1" w:rsidRPr="005B4EA1">
        <w:rPr>
          <w:color w:val="000000" w:themeColor="text1"/>
          <w:sz w:val="20"/>
          <w:szCs w:val="20"/>
        </w:rPr>
        <w:t xml:space="preserve">in fact </w:t>
      </w:r>
      <w:r w:rsidRPr="005B4EA1">
        <w:rPr>
          <w:color w:val="000000" w:themeColor="text1"/>
          <w:sz w:val="20"/>
          <w:szCs w:val="20"/>
        </w:rPr>
        <w:t xml:space="preserve">responsible for </w:t>
      </w:r>
      <w:r w:rsidR="005B4EA1" w:rsidRPr="005B4EA1">
        <w:rPr>
          <w:color w:val="000000" w:themeColor="text1"/>
          <w:sz w:val="20"/>
          <w:szCs w:val="20"/>
        </w:rPr>
        <w:t xml:space="preserve">the </w:t>
      </w:r>
      <w:r w:rsidRPr="005B4EA1">
        <w:rPr>
          <w:color w:val="000000" w:themeColor="text1"/>
          <w:sz w:val="20"/>
          <w:szCs w:val="20"/>
        </w:rPr>
        <w:t xml:space="preserve">education of Demosthenes and in a discussion with </w:t>
      </w:r>
      <w:proofErr w:type="spellStart"/>
      <w:r w:rsidRPr="005B4EA1">
        <w:rPr>
          <w:color w:val="000000" w:themeColor="text1"/>
          <w:sz w:val="20"/>
          <w:szCs w:val="20"/>
        </w:rPr>
        <w:t>Thersagoras</w:t>
      </w:r>
      <w:proofErr w:type="spellEnd"/>
      <w:r w:rsidRPr="005B4EA1">
        <w:rPr>
          <w:color w:val="000000" w:themeColor="text1"/>
          <w:sz w:val="20"/>
          <w:szCs w:val="20"/>
        </w:rPr>
        <w:t xml:space="preserve"> comparing </w:t>
      </w:r>
      <w:r w:rsidR="005B4EA1" w:rsidRPr="005B4EA1">
        <w:rPr>
          <w:color w:val="000000" w:themeColor="text1"/>
          <w:sz w:val="20"/>
          <w:szCs w:val="20"/>
        </w:rPr>
        <w:t>H</w:t>
      </w:r>
      <w:r w:rsidRPr="005B4EA1">
        <w:rPr>
          <w:color w:val="000000" w:themeColor="text1"/>
          <w:sz w:val="20"/>
          <w:szCs w:val="20"/>
        </w:rPr>
        <w:t xml:space="preserve">omer </w:t>
      </w:r>
      <w:r w:rsidR="005B4EA1" w:rsidRPr="005B4EA1">
        <w:rPr>
          <w:color w:val="000000" w:themeColor="text1"/>
          <w:sz w:val="20"/>
          <w:szCs w:val="20"/>
        </w:rPr>
        <w:t>t</w:t>
      </w:r>
      <w:r w:rsidRPr="005B4EA1">
        <w:rPr>
          <w:color w:val="000000" w:themeColor="text1"/>
          <w:sz w:val="20"/>
          <w:szCs w:val="20"/>
        </w:rPr>
        <w:t xml:space="preserve">o </w:t>
      </w:r>
      <w:r w:rsidR="005B4EA1" w:rsidRPr="005B4EA1">
        <w:rPr>
          <w:color w:val="000000" w:themeColor="text1"/>
          <w:sz w:val="20"/>
          <w:szCs w:val="20"/>
        </w:rPr>
        <w:t>Demosthenes</w:t>
      </w:r>
      <w:r w:rsidRPr="005B4EA1">
        <w:rPr>
          <w:color w:val="000000" w:themeColor="text1"/>
          <w:sz w:val="20"/>
          <w:szCs w:val="20"/>
        </w:rPr>
        <w:t xml:space="preserve"> says “</w:t>
      </w:r>
      <w:r w:rsidRPr="005B4EA1">
        <w:rPr>
          <w:i/>
          <w:iCs/>
          <w:color w:val="000000" w:themeColor="text1"/>
          <w:sz w:val="20"/>
          <w:szCs w:val="20"/>
        </w:rPr>
        <w:t xml:space="preserve">Tradition gives us no hint of how Homer was educated or developed his powers; the panegyrist must plunge straight into his works, and can find nothing to talk about in </w:t>
      </w:r>
      <w:r w:rsidRPr="005B4EA1">
        <w:rPr>
          <w:i/>
          <w:iCs/>
          <w:color w:val="000000" w:themeColor="text1"/>
          <w:sz w:val="20"/>
          <w:szCs w:val="20"/>
        </w:rPr>
        <w:lastRenderedPageBreak/>
        <w:t xml:space="preserve">his breeding and training and </w:t>
      </w:r>
      <w:r w:rsidR="005B4EA1" w:rsidRPr="005B4EA1">
        <w:rPr>
          <w:i/>
          <w:iCs/>
          <w:color w:val="000000" w:themeColor="text1"/>
          <w:sz w:val="20"/>
          <w:szCs w:val="20"/>
        </w:rPr>
        <w:t>pupillage</w:t>
      </w:r>
      <w:r w:rsidRPr="005B4EA1">
        <w:rPr>
          <w:i/>
          <w:iCs/>
          <w:color w:val="000000" w:themeColor="text1"/>
          <w:sz w:val="20"/>
          <w:szCs w:val="20"/>
        </w:rPr>
        <w:t xml:space="preserve">; he has not even the resource of that Hesiodic sprig of bay which could make a facile poet out of a shepherd. But think of your abundance in this branch of the subject. There is </w:t>
      </w:r>
      <w:proofErr w:type="spellStart"/>
      <w:r w:rsidRPr="005B4EA1">
        <w:rPr>
          <w:i/>
          <w:iCs/>
          <w:color w:val="000000" w:themeColor="text1"/>
          <w:sz w:val="20"/>
          <w:szCs w:val="20"/>
        </w:rPr>
        <w:t>Callistratus</w:t>
      </w:r>
      <w:proofErr w:type="spellEnd"/>
      <w:r w:rsidRPr="005B4EA1">
        <w:rPr>
          <w:i/>
          <w:iCs/>
          <w:color w:val="000000" w:themeColor="text1"/>
          <w:sz w:val="20"/>
          <w:szCs w:val="20"/>
        </w:rPr>
        <w:t xml:space="preserve"> and all the mighty roll of orators, </w:t>
      </w:r>
      <w:proofErr w:type="spellStart"/>
      <w:r w:rsidRPr="005B4EA1">
        <w:rPr>
          <w:i/>
          <w:iCs/>
          <w:color w:val="000000" w:themeColor="text1"/>
          <w:sz w:val="20"/>
          <w:szCs w:val="20"/>
        </w:rPr>
        <w:t>Alcidamas</w:t>
      </w:r>
      <w:proofErr w:type="spellEnd"/>
      <w:r w:rsidRPr="005B4EA1">
        <w:rPr>
          <w:i/>
          <w:iCs/>
          <w:color w:val="000000" w:themeColor="text1"/>
          <w:sz w:val="20"/>
          <w:szCs w:val="20"/>
        </w:rPr>
        <w:t xml:space="preserve">, Isocrates, </w:t>
      </w:r>
      <w:proofErr w:type="spellStart"/>
      <w:r w:rsidRPr="005B4EA1">
        <w:rPr>
          <w:i/>
          <w:iCs/>
          <w:color w:val="000000" w:themeColor="text1"/>
          <w:sz w:val="20"/>
          <w:szCs w:val="20"/>
        </w:rPr>
        <w:t>Isaeus</w:t>
      </w:r>
      <w:proofErr w:type="spellEnd"/>
      <w:r w:rsidRPr="005B4EA1">
        <w:rPr>
          <w:i/>
          <w:iCs/>
          <w:color w:val="000000" w:themeColor="text1"/>
          <w:sz w:val="20"/>
          <w:szCs w:val="20"/>
        </w:rPr>
        <w:t xml:space="preserve">, </w:t>
      </w:r>
      <w:proofErr w:type="spellStart"/>
      <w:r w:rsidRPr="005B4EA1">
        <w:rPr>
          <w:i/>
          <w:iCs/>
          <w:color w:val="000000" w:themeColor="text1"/>
          <w:sz w:val="20"/>
          <w:szCs w:val="20"/>
        </w:rPr>
        <w:t>Eubulides</w:t>
      </w:r>
      <w:proofErr w:type="spellEnd"/>
      <w:r w:rsidRPr="005B4EA1">
        <w:rPr>
          <w:i/>
          <w:iCs/>
          <w:color w:val="000000" w:themeColor="text1"/>
          <w:sz w:val="20"/>
          <w:szCs w:val="20"/>
        </w:rPr>
        <w:t xml:space="preserve">. Then again, at Athens even those who were subject to paternal control had countless temptations to indulgence, youth is the susceptible time, a neglected ward could have lived as irregular a life as he chose, and yet the objects that Demosthenes set up for himself were philosophy and patriotism, and the doors they took him to not Phryne's, but those of Aristotle and Theophrastus, </w:t>
      </w:r>
      <w:proofErr w:type="spellStart"/>
      <w:r w:rsidRPr="005B4EA1">
        <w:rPr>
          <w:i/>
          <w:iCs/>
          <w:color w:val="000000" w:themeColor="text1"/>
          <w:sz w:val="20"/>
          <w:szCs w:val="20"/>
        </w:rPr>
        <w:t>Xenocrates</w:t>
      </w:r>
      <w:proofErr w:type="spellEnd"/>
      <w:r w:rsidRPr="005B4EA1">
        <w:rPr>
          <w:i/>
          <w:iCs/>
          <w:color w:val="000000" w:themeColor="text1"/>
          <w:sz w:val="20"/>
          <w:szCs w:val="20"/>
        </w:rPr>
        <w:t xml:space="preserve"> and Plato.</w:t>
      </w:r>
      <w:r w:rsidRPr="005B4EA1">
        <w:rPr>
          <w:i/>
          <w:iCs/>
          <w:color w:val="000000" w:themeColor="text1"/>
          <w:sz w:val="20"/>
          <w:szCs w:val="20"/>
        </w:rPr>
        <w:t>”</w:t>
      </w:r>
      <w:r w:rsidRPr="005B4EA1">
        <w:rPr>
          <w:rStyle w:val="FootnoteReference"/>
          <w:i/>
          <w:iCs/>
          <w:color w:val="000000" w:themeColor="text1"/>
          <w:sz w:val="20"/>
          <w:szCs w:val="20"/>
        </w:rPr>
        <w:footnoteReference w:id="3"/>
      </w:r>
    </w:p>
    <w:p w14:paraId="6C245418" w14:textId="7B2DDDD6" w:rsidR="00F56CEF" w:rsidRPr="005B4EA1" w:rsidRDefault="00F56CEF" w:rsidP="005B4EA1">
      <w:pPr>
        <w:spacing w:line="480" w:lineRule="auto"/>
        <w:rPr>
          <w:color w:val="000000" w:themeColor="text1"/>
          <w:sz w:val="20"/>
          <w:szCs w:val="20"/>
        </w:rPr>
      </w:pPr>
      <w:r w:rsidRPr="005B4EA1">
        <w:rPr>
          <w:color w:val="000000" w:themeColor="text1"/>
          <w:sz w:val="20"/>
          <w:szCs w:val="20"/>
        </w:rPr>
        <w:t>Plutarch however does go on to say “</w:t>
      </w:r>
      <w:r w:rsidRPr="005B4EA1">
        <w:rPr>
          <w:i/>
          <w:iCs/>
          <w:color w:val="000000" w:themeColor="text1"/>
          <w:sz w:val="20"/>
          <w:szCs w:val="20"/>
        </w:rPr>
        <w:t xml:space="preserve">He also employed </w:t>
      </w:r>
      <w:proofErr w:type="spellStart"/>
      <w:r w:rsidRPr="005B4EA1">
        <w:rPr>
          <w:i/>
          <w:iCs/>
          <w:color w:val="000000" w:themeColor="text1"/>
          <w:sz w:val="20"/>
          <w:szCs w:val="20"/>
        </w:rPr>
        <w:t>Isaeus</w:t>
      </w:r>
      <w:proofErr w:type="spellEnd"/>
      <w:r w:rsidRPr="005B4EA1">
        <w:rPr>
          <w:i/>
          <w:iCs/>
          <w:color w:val="000000" w:themeColor="text1"/>
          <w:sz w:val="20"/>
          <w:szCs w:val="20"/>
        </w:rPr>
        <w:t xml:space="preserve"> as his guide to the art of speaking, although Isocrates was lecturing at the time; either, as some say, because he was an orphan and unable to pay Isocrates his stipulated fee of ten minas,</w:t>
      </w:r>
      <w:hyperlink r:id="rId8" w:anchor="note1" w:history="1">
        <w:r w:rsidRPr="005B4EA1">
          <w:rPr>
            <w:i/>
            <w:iCs/>
            <w:color w:val="000000" w:themeColor="text1"/>
            <w:sz w:val="20"/>
            <w:szCs w:val="20"/>
            <w:vertAlign w:val="superscript"/>
          </w:rPr>
          <w:t>1</w:t>
        </w:r>
      </w:hyperlink>
      <w:r w:rsidRPr="005B4EA1">
        <w:rPr>
          <w:i/>
          <w:iCs/>
          <w:color w:val="000000" w:themeColor="text1"/>
          <w:sz w:val="20"/>
          <w:szCs w:val="20"/>
        </w:rPr>
        <w:t xml:space="preserve"> or because he preferred the style of </w:t>
      </w:r>
      <w:proofErr w:type="spellStart"/>
      <w:r w:rsidRPr="005B4EA1">
        <w:rPr>
          <w:i/>
          <w:iCs/>
          <w:color w:val="000000" w:themeColor="text1"/>
          <w:sz w:val="20"/>
          <w:szCs w:val="20"/>
        </w:rPr>
        <w:t>Isaeus</w:t>
      </w:r>
      <w:proofErr w:type="spellEnd"/>
      <w:r w:rsidRPr="005B4EA1">
        <w:rPr>
          <w:i/>
          <w:iCs/>
          <w:color w:val="000000" w:themeColor="text1"/>
          <w:sz w:val="20"/>
          <w:szCs w:val="20"/>
        </w:rPr>
        <w:t xml:space="preserve"> for its effectiveness and adaptability in actual use.</w:t>
      </w:r>
      <w:r w:rsidRPr="005B4EA1">
        <w:rPr>
          <w:i/>
          <w:iCs/>
          <w:color w:val="000000" w:themeColor="text1"/>
          <w:sz w:val="20"/>
          <w:szCs w:val="20"/>
        </w:rPr>
        <w:t>”</w:t>
      </w:r>
      <w:r w:rsidRPr="005B4EA1">
        <w:rPr>
          <w:rStyle w:val="FootnoteReference"/>
          <w:i/>
          <w:iCs/>
          <w:color w:val="000000" w:themeColor="text1"/>
          <w:sz w:val="20"/>
          <w:szCs w:val="20"/>
        </w:rPr>
        <w:footnoteReference w:id="4"/>
      </w:r>
    </w:p>
    <w:p w14:paraId="3E9B8CAA" w14:textId="2AE824D2" w:rsidR="00F56CEF" w:rsidRPr="005B4EA1" w:rsidRDefault="00F56CEF" w:rsidP="005B4EA1">
      <w:pPr>
        <w:spacing w:line="480" w:lineRule="auto"/>
        <w:rPr>
          <w:color w:val="000000" w:themeColor="text1"/>
          <w:sz w:val="20"/>
          <w:szCs w:val="20"/>
        </w:rPr>
      </w:pPr>
      <w:r w:rsidRPr="005B4EA1">
        <w:rPr>
          <w:color w:val="000000" w:themeColor="text1"/>
          <w:sz w:val="20"/>
          <w:szCs w:val="20"/>
        </w:rPr>
        <w:t>What we need to consider though is the reliability of these sources as Demosthenes lived between 384 BCE and 322BCE and a trend we notice about all the aforementioned scholars is that they all lived at min</w:t>
      </w:r>
      <w:r w:rsidR="005B4EA1">
        <w:rPr>
          <w:color w:val="000000" w:themeColor="text1"/>
          <w:sz w:val="20"/>
          <w:szCs w:val="20"/>
        </w:rPr>
        <w:t>im</w:t>
      </w:r>
      <w:r w:rsidRPr="005B4EA1">
        <w:rPr>
          <w:color w:val="000000" w:themeColor="text1"/>
          <w:sz w:val="20"/>
          <w:szCs w:val="20"/>
        </w:rPr>
        <w:t>um</w:t>
      </w:r>
      <w:r w:rsidR="005B4EA1">
        <w:rPr>
          <w:color w:val="000000" w:themeColor="text1"/>
          <w:sz w:val="20"/>
          <w:szCs w:val="20"/>
        </w:rPr>
        <w:t xml:space="preserve"> of</w:t>
      </w:r>
      <w:r w:rsidRPr="005B4EA1">
        <w:rPr>
          <w:color w:val="000000" w:themeColor="text1"/>
          <w:sz w:val="20"/>
          <w:szCs w:val="20"/>
        </w:rPr>
        <w:t xml:space="preserve"> around 400 years after Demosthenes died and at most over a thousand years later. Due to this extended gap between the source and the recording of this information we must treat it with a certain degree of scepticism, with that in mind which are the most reliable of our sources, the two closest two the time </w:t>
      </w:r>
      <w:r w:rsidR="005B4EA1" w:rsidRPr="005B4EA1">
        <w:rPr>
          <w:color w:val="000000" w:themeColor="text1"/>
          <w:sz w:val="20"/>
          <w:szCs w:val="20"/>
        </w:rPr>
        <w:t>Demosthenes</w:t>
      </w:r>
      <w:r w:rsidRPr="005B4EA1">
        <w:rPr>
          <w:color w:val="000000" w:themeColor="text1"/>
          <w:sz w:val="20"/>
          <w:szCs w:val="20"/>
        </w:rPr>
        <w:t xml:space="preserve"> was alive. </w:t>
      </w:r>
      <w:proofErr w:type="gramStart"/>
      <w:r w:rsidR="005B4EA1">
        <w:rPr>
          <w:color w:val="000000" w:themeColor="text1"/>
          <w:sz w:val="20"/>
          <w:szCs w:val="20"/>
        </w:rPr>
        <w:t>Thus</w:t>
      </w:r>
      <w:proofErr w:type="gramEnd"/>
      <w:r w:rsidRPr="005B4EA1">
        <w:rPr>
          <w:color w:val="000000" w:themeColor="text1"/>
          <w:sz w:val="20"/>
          <w:szCs w:val="20"/>
        </w:rPr>
        <w:t xml:space="preserve"> we have identified </w:t>
      </w:r>
      <w:proofErr w:type="spellStart"/>
      <w:r w:rsidR="005B4EA1">
        <w:rPr>
          <w:color w:val="000000" w:themeColor="text1"/>
          <w:sz w:val="20"/>
          <w:szCs w:val="20"/>
        </w:rPr>
        <w:t>Hermippus</w:t>
      </w:r>
      <w:proofErr w:type="spellEnd"/>
      <w:r w:rsidR="005B4EA1">
        <w:rPr>
          <w:color w:val="000000" w:themeColor="text1"/>
          <w:sz w:val="20"/>
          <w:szCs w:val="20"/>
        </w:rPr>
        <w:t xml:space="preserve">, </w:t>
      </w:r>
      <w:r w:rsidR="005B4EA1" w:rsidRPr="005B4EA1">
        <w:rPr>
          <w:color w:val="000000" w:themeColor="text1"/>
          <w:sz w:val="20"/>
          <w:szCs w:val="20"/>
        </w:rPr>
        <w:t>Quintilian</w:t>
      </w:r>
      <w:r w:rsidRPr="005B4EA1">
        <w:rPr>
          <w:color w:val="000000" w:themeColor="text1"/>
          <w:sz w:val="20"/>
          <w:szCs w:val="20"/>
        </w:rPr>
        <w:t xml:space="preserve"> and Plutarch as the most reliable however they offer different accounts of events, with </w:t>
      </w:r>
      <w:r w:rsidR="005B4EA1" w:rsidRPr="005B4EA1">
        <w:rPr>
          <w:color w:val="000000" w:themeColor="text1"/>
          <w:sz w:val="20"/>
          <w:szCs w:val="20"/>
        </w:rPr>
        <w:t>Quintilian</w:t>
      </w:r>
      <w:r w:rsidRPr="005B4EA1">
        <w:rPr>
          <w:color w:val="000000" w:themeColor="text1"/>
          <w:sz w:val="20"/>
          <w:szCs w:val="20"/>
        </w:rPr>
        <w:t xml:space="preserve"> stating </w:t>
      </w:r>
      <w:r w:rsidR="005B4EA1" w:rsidRPr="005B4EA1">
        <w:rPr>
          <w:color w:val="000000" w:themeColor="text1"/>
          <w:sz w:val="20"/>
          <w:szCs w:val="20"/>
        </w:rPr>
        <w:t>Plato</w:t>
      </w:r>
      <w:r w:rsidRPr="005B4EA1">
        <w:rPr>
          <w:color w:val="000000" w:themeColor="text1"/>
          <w:sz w:val="20"/>
          <w:szCs w:val="20"/>
        </w:rPr>
        <w:t xml:space="preserve"> was </w:t>
      </w:r>
      <w:r w:rsidR="005B4EA1">
        <w:rPr>
          <w:color w:val="000000" w:themeColor="text1"/>
          <w:sz w:val="20"/>
          <w:szCs w:val="20"/>
        </w:rPr>
        <w:t xml:space="preserve">Demosthenes </w:t>
      </w:r>
      <w:r w:rsidRPr="005B4EA1">
        <w:rPr>
          <w:color w:val="000000" w:themeColor="text1"/>
          <w:sz w:val="20"/>
          <w:szCs w:val="20"/>
        </w:rPr>
        <w:t xml:space="preserve">tutor and Plutarch favouring </w:t>
      </w:r>
      <w:proofErr w:type="spellStart"/>
      <w:r w:rsidRPr="005B4EA1">
        <w:rPr>
          <w:color w:val="000000" w:themeColor="text1"/>
          <w:sz w:val="20"/>
          <w:szCs w:val="20"/>
        </w:rPr>
        <w:t>Isaeus</w:t>
      </w:r>
      <w:proofErr w:type="spellEnd"/>
      <w:r w:rsidR="005B4EA1">
        <w:rPr>
          <w:color w:val="000000" w:themeColor="text1"/>
          <w:sz w:val="20"/>
          <w:szCs w:val="20"/>
        </w:rPr>
        <w:t xml:space="preserve">. In my research however I found a lot of academics referring to </w:t>
      </w:r>
      <w:proofErr w:type="spellStart"/>
      <w:r w:rsidR="005B4EA1">
        <w:rPr>
          <w:color w:val="000000" w:themeColor="text1"/>
          <w:sz w:val="20"/>
          <w:szCs w:val="20"/>
        </w:rPr>
        <w:t>Hermippus</w:t>
      </w:r>
      <w:proofErr w:type="spellEnd"/>
      <w:r w:rsidR="005B4EA1">
        <w:rPr>
          <w:color w:val="000000" w:themeColor="text1"/>
          <w:sz w:val="20"/>
          <w:szCs w:val="20"/>
        </w:rPr>
        <w:t xml:space="preserve">’ version of events and Plato being Demosthenes tutor as the widely accepted version of events; in Harvey Yunis’ review of The Reception of Demosthenes by L. </w:t>
      </w:r>
      <w:proofErr w:type="spellStart"/>
      <w:r w:rsidR="005B4EA1">
        <w:rPr>
          <w:color w:val="000000" w:themeColor="text1"/>
          <w:sz w:val="20"/>
          <w:szCs w:val="20"/>
        </w:rPr>
        <w:t>Pernot</w:t>
      </w:r>
      <w:proofErr w:type="spellEnd"/>
      <w:r w:rsidR="005B4EA1">
        <w:rPr>
          <w:color w:val="000000" w:themeColor="text1"/>
          <w:sz w:val="20"/>
          <w:szCs w:val="20"/>
        </w:rPr>
        <w:t xml:space="preserve"> he says “</w:t>
      </w:r>
      <w:r w:rsidR="005B4EA1">
        <w:rPr>
          <w:i/>
          <w:iCs/>
          <w:color w:val="000000" w:themeColor="text1"/>
          <w:sz w:val="20"/>
          <w:szCs w:val="20"/>
        </w:rPr>
        <w:t xml:space="preserve">With regard to the tradition that Demosthenes was a student of Plato: P. is right to emphasise that there is nothing inherently impossible or improbable about the tradition itself. But having traced the tradition back to </w:t>
      </w:r>
      <w:proofErr w:type="spellStart"/>
      <w:r w:rsidR="005B4EA1">
        <w:rPr>
          <w:i/>
          <w:iCs/>
          <w:color w:val="000000" w:themeColor="text1"/>
          <w:sz w:val="20"/>
          <w:szCs w:val="20"/>
        </w:rPr>
        <w:t>Hermippus</w:t>
      </w:r>
      <w:proofErr w:type="spellEnd"/>
      <w:r w:rsidR="005B4EA1">
        <w:rPr>
          <w:i/>
          <w:iCs/>
          <w:color w:val="000000" w:themeColor="text1"/>
          <w:sz w:val="20"/>
          <w:szCs w:val="20"/>
        </w:rPr>
        <w:t xml:space="preserve">, beyond whom we are unable to go, P. is unaccountably reluctant to admit </w:t>
      </w:r>
      <w:proofErr w:type="spellStart"/>
      <w:r w:rsidR="005B4EA1">
        <w:rPr>
          <w:i/>
          <w:iCs/>
          <w:color w:val="000000" w:themeColor="text1"/>
          <w:sz w:val="20"/>
          <w:szCs w:val="20"/>
        </w:rPr>
        <w:t>Hermippus</w:t>
      </w:r>
      <w:proofErr w:type="spellEnd"/>
      <w:r w:rsidR="005B4EA1">
        <w:rPr>
          <w:i/>
          <w:iCs/>
          <w:color w:val="000000" w:themeColor="text1"/>
          <w:sz w:val="20"/>
          <w:szCs w:val="20"/>
        </w:rPr>
        <w:t>’ evident tendency to mythologise the lives of his literary subjects, and this fails to acknowledge that we have good reason to doubt the veracity of the tradition.”</w:t>
      </w:r>
      <w:r w:rsidR="005B4EA1">
        <w:rPr>
          <w:rStyle w:val="FootnoteReference"/>
          <w:i/>
          <w:iCs/>
          <w:color w:val="000000" w:themeColor="text1"/>
          <w:sz w:val="20"/>
          <w:szCs w:val="20"/>
        </w:rPr>
        <w:footnoteReference w:id="5"/>
      </w:r>
      <w:r w:rsidR="005B4EA1">
        <w:rPr>
          <w:i/>
          <w:iCs/>
          <w:color w:val="000000" w:themeColor="text1"/>
          <w:sz w:val="20"/>
          <w:szCs w:val="20"/>
        </w:rPr>
        <w:t xml:space="preserve"> </w:t>
      </w:r>
      <w:r w:rsidR="005B4EA1">
        <w:rPr>
          <w:color w:val="000000" w:themeColor="text1"/>
          <w:sz w:val="20"/>
          <w:szCs w:val="20"/>
        </w:rPr>
        <w:t xml:space="preserve">With this in mind though the source I found most widely spoken of was </w:t>
      </w:r>
      <w:proofErr w:type="spellStart"/>
      <w:r w:rsidR="005B4EA1">
        <w:rPr>
          <w:color w:val="000000" w:themeColor="text1"/>
          <w:sz w:val="20"/>
          <w:szCs w:val="20"/>
        </w:rPr>
        <w:t>Plutarchs</w:t>
      </w:r>
      <w:proofErr w:type="spellEnd"/>
      <w:r w:rsidR="005B4EA1">
        <w:rPr>
          <w:color w:val="000000" w:themeColor="text1"/>
          <w:sz w:val="20"/>
          <w:szCs w:val="20"/>
        </w:rPr>
        <w:t xml:space="preserve"> version of events he discusses in his Live’s; it is for this reason, and that his </w:t>
      </w:r>
      <w:r w:rsidR="005B4EA1">
        <w:rPr>
          <w:color w:val="000000" w:themeColor="text1"/>
          <w:sz w:val="20"/>
          <w:szCs w:val="20"/>
        </w:rPr>
        <w:lastRenderedPageBreak/>
        <w:t>account is one of the more reliable in terms of being closer to the time he is writing about, that I shall focus on his work as a primary source when discussing Demosthenes.</w:t>
      </w:r>
    </w:p>
    <w:p w14:paraId="2274BE19" w14:textId="577327CD" w:rsidR="00F56CEF" w:rsidRDefault="00F56CEF" w:rsidP="005B4EA1">
      <w:pPr>
        <w:spacing w:line="480" w:lineRule="auto"/>
        <w:rPr>
          <w:color w:val="000000" w:themeColor="text1"/>
          <w:sz w:val="20"/>
          <w:szCs w:val="20"/>
        </w:rPr>
      </w:pPr>
    </w:p>
    <w:p w14:paraId="74A80C5B" w14:textId="69714057" w:rsidR="00F56CEF" w:rsidRPr="005B4EA1" w:rsidRDefault="005B4EA1" w:rsidP="005B4EA1">
      <w:pPr>
        <w:spacing w:line="480" w:lineRule="auto"/>
      </w:pPr>
      <w:r>
        <w:rPr>
          <w:color w:val="000000" w:themeColor="text1"/>
          <w:sz w:val="20"/>
          <w:szCs w:val="20"/>
        </w:rPr>
        <w:t xml:space="preserve">On Demosthenes first attempt at public speaking we know from Plutarch that he was not entirely successful </w:t>
      </w:r>
      <w:r w:rsidRPr="005B4EA1">
        <w:rPr>
          <w:color w:val="000000" w:themeColor="text1"/>
          <w:sz w:val="20"/>
          <w:szCs w:val="20"/>
        </w:rPr>
        <w:t>“</w:t>
      </w:r>
      <w:r w:rsidRPr="005B4EA1">
        <w:rPr>
          <w:color w:val="000000"/>
          <w:sz w:val="20"/>
          <w:szCs w:val="20"/>
        </w:rPr>
        <w:t>And yet when he first addressed the people he was interrupted by their clamours and laughed at for his inexperience, since his discourse seemed to them confused by long periods and too harshly and immoderately tortured by formal arguments. He had also, as it would appear, a certain weakness of voice and indistinctness of speech and shortness of breath which disturbed the sense of what he said by disjoining his sentences</w:t>
      </w:r>
      <w:r w:rsidRPr="005B4EA1">
        <w:rPr>
          <w:rFonts w:ascii="Georgia" w:hAnsi="Georgia"/>
          <w:color w:val="000000"/>
          <w:sz w:val="20"/>
          <w:szCs w:val="20"/>
        </w:rPr>
        <w:t>.</w:t>
      </w:r>
      <w:r w:rsidRPr="005B4EA1">
        <w:rPr>
          <w:rFonts w:ascii="Georgia" w:hAnsi="Georgia"/>
          <w:color w:val="000000"/>
          <w:sz w:val="20"/>
          <w:szCs w:val="20"/>
        </w:rPr>
        <w:t>”</w:t>
      </w:r>
      <w:r w:rsidRPr="005B4EA1">
        <w:rPr>
          <w:rStyle w:val="FootnoteReference"/>
          <w:rFonts w:ascii="Georgia" w:hAnsi="Georgia"/>
          <w:color w:val="000000"/>
          <w:sz w:val="20"/>
          <w:szCs w:val="20"/>
        </w:rPr>
        <w:footnoteReference w:id="6"/>
      </w:r>
      <w:r>
        <w:t xml:space="preserve"> </w:t>
      </w:r>
      <w:r>
        <w:rPr>
          <w:color w:val="000000" w:themeColor="text1"/>
          <w:sz w:val="20"/>
          <w:szCs w:val="20"/>
        </w:rPr>
        <w:t>T</w:t>
      </w:r>
      <w:r w:rsidRPr="005B4EA1">
        <w:rPr>
          <w:color w:val="000000" w:themeColor="text1"/>
          <w:sz w:val="20"/>
          <w:szCs w:val="20"/>
        </w:rPr>
        <w:t xml:space="preserve">his opinion was not shared by everyone however as </w:t>
      </w:r>
      <w:proofErr w:type="spellStart"/>
      <w:r w:rsidRPr="005B4EA1">
        <w:rPr>
          <w:color w:val="000000" w:themeColor="text1"/>
          <w:sz w:val="20"/>
          <w:szCs w:val="20"/>
        </w:rPr>
        <w:t>Eunomus</w:t>
      </w:r>
      <w:proofErr w:type="spellEnd"/>
      <w:r w:rsidRPr="005B4EA1">
        <w:rPr>
          <w:color w:val="000000" w:themeColor="text1"/>
          <w:sz w:val="20"/>
          <w:szCs w:val="20"/>
        </w:rPr>
        <w:t xml:space="preserve"> encouraged the young Demosthenes to continue his pursuit as his way of </w:t>
      </w:r>
      <w:proofErr w:type="spellStart"/>
      <w:r w:rsidRPr="005B4EA1">
        <w:rPr>
          <w:color w:val="000000" w:themeColor="text1"/>
          <w:sz w:val="20"/>
          <w:szCs w:val="20"/>
        </w:rPr>
        <w:t>speeking</w:t>
      </w:r>
      <w:proofErr w:type="spellEnd"/>
      <w:r w:rsidRPr="005B4EA1">
        <w:rPr>
          <w:color w:val="000000" w:themeColor="text1"/>
          <w:sz w:val="20"/>
          <w:szCs w:val="20"/>
        </w:rPr>
        <w:t xml:space="preserve"> was akin to that of Pericles. This was not however the last time Demosthenes would face failure as he would be refused the opportunity to speak, only for an actor by the name of </w:t>
      </w:r>
      <w:proofErr w:type="spellStart"/>
      <w:r w:rsidRPr="005B4EA1">
        <w:rPr>
          <w:color w:val="000000" w:themeColor="text1"/>
          <w:sz w:val="20"/>
          <w:szCs w:val="20"/>
        </w:rPr>
        <w:t>Satyrus</w:t>
      </w:r>
      <w:proofErr w:type="spellEnd"/>
      <w:r w:rsidRPr="005B4EA1">
        <w:rPr>
          <w:color w:val="000000" w:themeColor="text1"/>
          <w:sz w:val="20"/>
          <w:szCs w:val="20"/>
        </w:rPr>
        <w:t xml:space="preserve"> to approach him and converse</w:t>
      </w:r>
      <w:r w:rsidR="00F56CEF" w:rsidRPr="005B4EA1">
        <w:rPr>
          <w:color w:val="000000" w:themeColor="text1"/>
          <w:sz w:val="20"/>
          <w:szCs w:val="20"/>
        </w:rPr>
        <w:t xml:space="preserve"> </w:t>
      </w:r>
      <w:r>
        <w:rPr>
          <w:color w:val="000000" w:themeColor="text1"/>
          <w:sz w:val="20"/>
          <w:szCs w:val="20"/>
        </w:rPr>
        <w:t>“</w:t>
      </w:r>
      <w:r w:rsidR="00F56CEF" w:rsidRPr="005B4EA1">
        <w:rPr>
          <w:i/>
          <w:iCs/>
          <w:color w:val="000000" w:themeColor="text1"/>
          <w:sz w:val="20"/>
          <w:szCs w:val="20"/>
        </w:rPr>
        <w:t xml:space="preserve">You are right, Demosthenes,’ said </w:t>
      </w:r>
      <w:proofErr w:type="spellStart"/>
      <w:r w:rsidR="00F56CEF" w:rsidRPr="005B4EA1">
        <w:rPr>
          <w:i/>
          <w:iCs/>
          <w:color w:val="000000" w:themeColor="text1"/>
          <w:sz w:val="20"/>
          <w:szCs w:val="20"/>
        </w:rPr>
        <w:t>Satyrus</w:t>
      </w:r>
      <w:proofErr w:type="spellEnd"/>
      <w:r w:rsidR="00F56CEF" w:rsidRPr="005B4EA1">
        <w:rPr>
          <w:i/>
          <w:iCs/>
          <w:color w:val="000000" w:themeColor="text1"/>
          <w:sz w:val="20"/>
          <w:szCs w:val="20"/>
        </w:rPr>
        <w:t xml:space="preserve">, ‘but I will quickly remedy the cause of all this, if you will consent to recite off-hand for me some narrative speech from Euripides or Sophocles.’ Demosthenes did so, whereupon </w:t>
      </w:r>
      <w:proofErr w:type="spellStart"/>
      <w:r w:rsidR="00F56CEF" w:rsidRPr="005B4EA1">
        <w:rPr>
          <w:i/>
          <w:iCs/>
          <w:color w:val="000000" w:themeColor="text1"/>
          <w:sz w:val="20"/>
          <w:szCs w:val="20"/>
        </w:rPr>
        <w:t>Satyrus</w:t>
      </w:r>
      <w:proofErr w:type="spellEnd"/>
      <w:r w:rsidR="00F56CEF" w:rsidRPr="005B4EA1">
        <w:rPr>
          <w:i/>
          <w:iCs/>
          <w:color w:val="000000" w:themeColor="text1"/>
          <w:sz w:val="20"/>
          <w:szCs w:val="20"/>
        </w:rPr>
        <w:t>, taking up the same speech after him, gave it such a form and recited it with such appropriate sentiment and disposition that it appeared to Demosthenes to be quite another. Persuaded, now, how much of ornament and grace action lends to oratory, he considered it of little or no use for a man to practise declaiming if he neglected the delivery and disposition of his words</w:t>
      </w:r>
      <w:r w:rsidR="00F56CEF" w:rsidRPr="005B4EA1">
        <w:rPr>
          <w:color w:val="000000" w:themeColor="text1"/>
          <w:sz w:val="20"/>
          <w:szCs w:val="20"/>
        </w:rPr>
        <w:t>.</w:t>
      </w:r>
      <w:r w:rsidR="00F56CEF" w:rsidRPr="005B4EA1">
        <w:rPr>
          <w:rStyle w:val="FootnoteReference"/>
          <w:color w:val="000000" w:themeColor="text1"/>
          <w:sz w:val="20"/>
          <w:szCs w:val="20"/>
        </w:rPr>
        <w:footnoteReference w:id="7"/>
      </w:r>
      <w:r>
        <w:rPr>
          <w:color w:val="000000" w:themeColor="text1"/>
          <w:sz w:val="20"/>
          <w:szCs w:val="20"/>
        </w:rPr>
        <w:t>” What this demonstrates to us is that despite receiving an excellent tutelage in the art of oratory Demosthenes was not a natural and he in fact struggled like many on his initial attempts; this taken into consideration does lead one to come to the conclusion that although the education he received did lay a good ground work, the experience he gained by practical application was of vital importance to his success.</w:t>
      </w:r>
    </w:p>
    <w:p w14:paraId="559F4619" w14:textId="01779B73" w:rsidR="00F56CEF" w:rsidRPr="00444436" w:rsidRDefault="005B4EA1" w:rsidP="005B4EA1">
      <w:pPr>
        <w:spacing w:line="480" w:lineRule="auto"/>
      </w:pPr>
      <w:r>
        <w:rPr>
          <w:color w:val="000000" w:themeColor="text1"/>
          <w:sz w:val="20"/>
          <w:szCs w:val="20"/>
        </w:rPr>
        <w:t>We know from Plutarch that in his youth Demosthenes suffered from a speech impediment “</w:t>
      </w:r>
      <w:r w:rsidR="00444436" w:rsidRPr="00444436">
        <w:rPr>
          <w:color w:val="000000"/>
          <w:sz w:val="20"/>
          <w:szCs w:val="20"/>
        </w:rPr>
        <w:t>He had also, as it would appear, a certain weakness of voice and indistinctness of speech and shortness of breath which disturbed the sense of what he said by disjoining his sentences</w:t>
      </w:r>
      <w:r w:rsidR="00F56CEF" w:rsidRPr="005B4EA1">
        <w:rPr>
          <w:color w:val="000000" w:themeColor="text1"/>
          <w:sz w:val="20"/>
          <w:szCs w:val="20"/>
        </w:rPr>
        <w:t>."</w:t>
      </w:r>
      <w:r w:rsidRPr="005B4EA1">
        <w:rPr>
          <w:rStyle w:val="FootnoteReference"/>
          <w:color w:val="000000" w:themeColor="text1"/>
          <w:sz w:val="20"/>
          <w:szCs w:val="20"/>
        </w:rPr>
        <w:footnoteReference w:id="8"/>
      </w:r>
      <w:r w:rsidRPr="005B4EA1">
        <w:rPr>
          <w:color w:val="000000" w:themeColor="text1"/>
          <w:sz w:val="20"/>
          <w:szCs w:val="20"/>
        </w:rPr>
        <w:t xml:space="preserve"> </w:t>
      </w:r>
      <w:r>
        <w:rPr>
          <w:color w:val="000000" w:themeColor="text1"/>
          <w:sz w:val="20"/>
          <w:szCs w:val="20"/>
        </w:rPr>
        <w:t xml:space="preserve">But how did the famous orator overcome this impediment, it seems from Plutarch that it took simply time and dedication on the part of Demosthenes </w:t>
      </w:r>
      <w:r>
        <w:rPr>
          <w:color w:val="000000" w:themeColor="text1"/>
          <w:sz w:val="20"/>
          <w:szCs w:val="20"/>
        </w:rPr>
        <w:t>“</w:t>
      </w:r>
      <w:r w:rsidRPr="005B4EA1">
        <w:rPr>
          <w:i/>
          <w:iCs/>
          <w:color w:val="000000" w:themeColor="text1"/>
          <w:sz w:val="20"/>
          <w:szCs w:val="20"/>
        </w:rPr>
        <w:t>After this, we are told, he built a subterranean study, which, in fact, was preserved in our time,</w:t>
      </w:r>
      <w:hyperlink r:id="rId9" w:anchor="note1" w:history="1">
        <w:r w:rsidRPr="005B4EA1">
          <w:rPr>
            <w:i/>
            <w:iCs/>
            <w:color w:val="000000" w:themeColor="text1"/>
            <w:sz w:val="20"/>
            <w:szCs w:val="20"/>
            <w:vertAlign w:val="superscript"/>
          </w:rPr>
          <w:t>1</w:t>
        </w:r>
      </w:hyperlink>
      <w:r w:rsidRPr="005B4EA1">
        <w:rPr>
          <w:i/>
          <w:iCs/>
          <w:color w:val="000000" w:themeColor="text1"/>
          <w:sz w:val="20"/>
          <w:szCs w:val="20"/>
        </w:rPr>
        <w:t xml:space="preserve"> and into this he would descend every day without exception in order to form his action and cultivate his voice, and he would often remain there even for two or three months together, shaving one side of his head in order that shame </w:t>
      </w:r>
      <w:r w:rsidRPr="005B4EA1">
        <w:rPr>
          <w:i/>
          <w:iCs/>
          <w:color w:val="000000" w:themeColor="text1"/>
          <w:sz w:val="20"/>
          <w:szCs w:val="20"/>
        </w:rPr>
        <w:lastRenderedPageBreak/>
        <w:t>might keep him from going abroad even though he greatly wished to do so.”</w:t>
      </w:r>
      <w:r w:rsidRPr="005B4EA1">
        <w:rPr>
          <w:rStyle w:val="FootnoteReference"/>
          <w:i/>
          <w:iCs/>
          <w:color w:val="000000" w:themeColor="text1"/>
          <w:sz w:val="20"/>
          <w:szCs w:val="20"/>
        </w:rPr>
        <w:footnoteReference w:id="9"/>
      </w:r>
      <w:r w:rsidRPr="005B4EA1">
        <w:rPr>
          <w:color w:val="000000" w:themeColor="text1"/>
          <w:sz w:val="20"/>
          <w:szCs w:val="20"/>
        </w:rPr>
        <w:t xml:space="preserve"> In Cicero’s work De </w:t>
      </w:r>
      <w:proofErr w:type="spellStart"/>
      <w:r w:rsidRPr="005B4EA1">
        <w:rPr>
          <w:color w:val="000000" w:themeColor="text1"/>
          <w:sz w:val="20"/>
          <w:szCs w:val="20"/>
        </w:rPr>
        <w:t>Oratore</w:t>
      </w:r>
      <w:proofErr w:type="spellEnd"/>
      <w:r w:rsidRPr="005B4EA1">
        <w:rPr>
          <w:color w:val="000000" w:themeColor="text1"/>
          <w:sz w:val="20"/>
          <w:szCs w:val="20"/>
        </w:rPr>
        <w:t xml:space="preserve"> the tells the story of when asked what the key components were in order to excel in oratory, Demosthenes responded “</w:t>
      </w:r>
      <w:proofErr w:type="spellStart"/>
      <w:r w:rsidRPr="005B4EA1">
        <w:rPr>
          <w:color w:val="000000"/>
          <w:sz w:val="20"/>
          <w:szCs w:val="20"/>
        </w:rPr>
        <w:t>Huice</w:t>
      </w:r>
      <w:proofErr w:type="spellEnd"/>
      <w:r w:rsidRPr="005B4EA1">
        <w:rPr>
          <w:color w:val="000000"/>
          <w:sz w:val="20"/>
          <w:szCs w:val="20"/>
        </w:rPr>
        <w:t xml:space="preserve"> </w:t>
      </w:r>
      <w:proofErr w:type="spellStart"/>
      <w:r w:rsidRPr="005B4EA1">
        <w:rPr>
          <w:color w:val="000000"/>
          <w:sz w:val="20"/>
          <w:szCs w:val="20"/>
        </w:rPr>
        <w:t>primas</w:t>
      </w:r>
      <w:proofErr w:type="spellEnd"/>
      <w:r w:rsidRPr="005B4EA1">
        <w:rPr>
          <w:color w:val="000000"/>
          <w:sz w:val="20"/>
          <w:szCs w:val="20"/>
        </w:rPr>
        <w:t xml:space="preserve"> </w:t>
      </w:r>
      <w:proofErr w:type="spellStart"/>
      <w:r w:rsidRPr="005B4EA1">
        <w:rPr>
          <w:color w:val="000000"/>
          <w:sz w:val="20"/>
          <w:szCs w:val="20"/>
        </w:rPr>
        <w:t>dedisse</w:t>
      </w:r>
      <w:proofErr w:type="spellEnd"/>
      <w:r w:rsidRPr="005B4EA1">
        <w:rPr>
          <w:color w:val="000000"/>
          <w:sz w:val="20"/>
          <w:szCs w:val="20"/>
        </w:rPr>
        <w:t xml:space="preserve"> Demosthenes </w:t>
      </w:r>
      <w:proofErr w:type="spellStart"/>
      <w:r w:rsidRPr="005B4EA1">
        <w:rPr>
          <w:color w:val="000000"/>
          <w:sz w:val="20"/>
          <w:szCs w:val="20"/>
        </w:rPr>
        <w:t>dicitur</w:t>
      </w:r>
      <w:proofErr w:type="spellEnd"/>
      <w:r w:rsidRPr="005B4EA1">
        <w:rPr>
          <w:color w:val="000000"/>
          <w:sz w:val="20"/>
          <w:szCs w:val="20"/>
        </w:rPr>
        <w:t xml:space="preserve">, cum </w:t>
      </w:r>
      <w:proofErr w:type="spellStart"/>
      <w:r w:rsidRPr="005B4EA1">
        <w:rPr>
          <w:color w:val="000000"/>
          <w:sz w:val="20"/>
          <w:szCs w:val="20"/>
        </w:rPr>
        <w:t>rogaretur</w:t>
      </w:r>
      <w:proofErr w:type="spellEnd"/>
      <w:r w:rsidRPr="005B4EA1">
        <w:rPr>
          <w:color w:val="000000"/>
          <w:sz w:val="20"/>
          <w:szCs w:val="20"/>
        </w:rPr>
        <w:t xml:space="preserve">, quid in </w:t>
      </w:r>
      <w:proofErr w:type="spellStart"/>
      <w:r w:rsidRPr="005B4EA1">
        <w:rPr>
          <w:color w:val="000000"/>
          <w:sz w:val="20"/>
          <w:szCs w:val="20"/>
        </w:rPr>
        <w:t>dicendo</w:t>
      </w:r>
      <w:proofErr w:type="spellEnd"/>
      <w:r w:rsidRPr="005B4EA1">
        <w:rPr>
          <w:color w:val="000000"/>
          <w:sz w:val="20"/>
          <w:szCs w:val="20"/>
        </w:rPr>
        <w:t xml:space="preserve"> </w:t>
      </w:r>
      <w:proofErr w:type="spellStart"/>
      <w:r w:rsidRPr="005B4EA1">
        <w:rPr>
          <w:color w:val="000000"/>
          <w:sz w:val="20"/>
          <w:szCs w:val="20"/>
        </w:rPr>
        <w:t>essetpri</w:t>
      </w:r>
      <w:proofErr w:type="spellEnd"/>
      <w:r w:rsidRPr="005B4EA1">
        <w:rPr>
          <w:color w:val="000000"/>
          <w:sz w:val="20"/>
          <w:szCs w:val="20"/>
        </w:rPr>
        <w:t xml:space="preserve"> mum; </w:t>
      </w:r>
      <w:proofErr w:type="spellStart"/>
      <w:r w:rsidRPr="005B4EA1">
        <w:rPr>
          <w:color w:val="000000"/>
          <w:sz w:val="20"/>
          <w:szCs w:val="20"/>
        </w:rPr>
        <w:t>huic</w:t>
      </w:r>
      <w:proofErr w:type="spellEnd"/>
      <w:r w:rsidRPr="005B4EA1">
        <w:rPr>
          <w:color w:val="000000"/>
          <w:sz w:val="20"/>
          <w:szCs w:val="20"/>
        </w:rPr>
        <w:t xml:space="preserve"> </w:t>
      </w:r>
      <w:proofErr w:type="spellStart"/>
      <w:r w:rsidRPr="005B4EA1">
        <w:rPr>
          <w:color w:val="000000"/>
          <w:sz w:val="20"/>
          <w:szCs w:val="20"/>
        </w:rPr>
        <w:t>secundas</w:t>
      </w:r>
      <w:proofErr w:type="spellEnd"/>
      <w:r w:rsidRPr="005B4EA1">
        <w:rPr>
          <w:color w:val="000000"/>
          <w:sz w:val="20"/>
          <w:szCs w:val="20"/>
        </w:rPr>
        <w:t xml:space="preserve">, </w:t>
      </w:r>
      <w:proofErr w:type="spellStart"/>
      <w:r w:rsidRPr="005B4EA1">
        <w:rPr>
          <w:color w:val="000000"/>
          <w:sz w:val="20"/>
          <w:szCs w:val="20"/>
        </w:rPr>
        <w:t>huic</w:t>
      </w:r>
      <w:proofErr w:type="spellEnd"/>
      <w:r w:rsidRPr="005B4EA1">
        <w:rPr>
          <w:color w:val="000000"/>
          <w:sz w:val="20"/>
          <w:szCs w:val="20"/>
        </w:rPr>
        <w:t xml:space="preserve"> </w:t>
      </w:r>
      <w:proofErr w:type="spellStart"/>
      <w:r w:rsidRPr="005B4EA1">
        <w:rPr>
          <w:color w:val="000000"/>
          <w:sz w:val="20"/>
          <w:szCs w:val="20"/>
        </w:rPr>
        <w:t>tertias</w:t>
      </w:r>
      <w:proofErr w:type="spellEnd"/>
      <w:r>
        <w:rPr>
          <w:color w:val="000000"/>
          <w:sz w:val="20"/>
          <w:szCs w:val="20"/>
        </w:rPr>
        <w:t>”</w:t>
      </w:r>
      <w:r>
        <w:rPr>
          <w:rStyle w:val="FootnoteReference"/>
          <w:color w:val="000000"/>
          <w:sz w:val="20"/>
          <w:szCs w:val="20"/>
        </w:rPr>
        <w:footnoteReference w:id="10"/>
      </w:r>
      <w:r>
        <w:rPr>
          <w:color w:val="000000"/>
          <w:sz w:val="20"/>
          <w:szCs w:val="20"/>
        </w:rPr>
        <w:t xml:space="preserve"> which translates as “Demosthenes said delivery; once, twice and three times”. This teaches us something about the amount Demosthenes had to hone his craft to excel at it, so a factor that may need to come into considering that flies in tandem with his education and experience is the practice and time he had to dedicate as an individual.</w:t>
      </w:r>
    </w:p>
    <w:p w14:paraId="279E27E3" w14:textId="03A6A39D" w:rsidR="005B4EA1" w:rsidRDefault="005B4EA1" w:rsidP="005B4EA1">
      <w:pPr>
        <w:spacing w:line="480" w:lineRule="auto"/>
        <w:rPr>
          <w:color w:val="000000" w:themeColor="text1"/>
          <w:sz w:val="20"/>
          <w:szCs w:val="20"/>
        </w:rPr>
      </w:pPr>
    </w:p>
    <w:p w14:paraId="2ADF6BAB" w14:textId="4F23010D" w:rsidR="005B4EA1" w:rsidRDefault="005B4EA1" w:rsidP="005B4EA1">
      <w:pPr>
        <w:spacing w:line="480" w:lineRule="auto"/>
        <w:rPr>
          <w:color w:val="000000" w:themeColor="text1"/>
          <w:sz w:val="20"/>
          <w:szCs w:val="20"/>
        </w:rPr>
      </w:pPr>
      <w:r>
        <w:rPr>
          <w:color w:val="000000" w:themeColor="text1"/>
          <w:sz w:val="20"/>
          <w:szCs w:val="20"/>
        </w:rPr>
        <w:t>Before engaging with the cases of Demosthenes it is important to first identify the skills that we are look for and to find what about Demosthenes made him so influential. Some sources claim that the early works of Demosthenes very clearly have the voice of his tutor, Jeb on the other hand disagrees with this assertion</w:t>
      </w:r>
    </w:p>
    <w:p w14:paraId="13DDAE3A" w14:textId="46D84DE3" w:rsidR="005B4EA1" w:rsidRDefault="005B4EA1" w:rsidP="005B4EA1">
      <w:pPr>
        <w:spacing w:line="480" w:lineRule="auto"/>
        <w:rPr>
          <w:color w:val="000000" w:themeColor="text1"/>
          <w:sz w:val="20"/>
          <w:szCs w:val="20"/>
        </w:rPr>
      </w:pPr>
      <w:r>
        <w:rPr>
          <w:color w:val="000000"/>
          <w:sz w:val="20"/>
          <w:szCs w:val="20"/>
        </w:rPr>
        <w:t>“</w:t>
      </w:r>
      <w:r w:rsidRPr="005B4EA1">
        <w:rPr>
          <w:i/>
          <w:iCs/>
          <w:color w:val="000000"/>
          <w:sz w:val="20"/>
          <w:szCs w:val="20"/>
        </w:rPr>
        <w:t xml:space="preserve">But the decisive argument is furnished by the speeches Against </w:t>
      </w:r>
      <w:proofErr w:type="spellStart"/>
      <w:r w:rsidRPr="005B4EA1">
        <w:rPr>
          <w:i/>
          <w:iCs/>
          <w:color w:val="000000"/>
          <w:sz w:val="20"/>
          <w:szCs w:val="20"/>
        </w:rPr>
        <w:t>Aphobos</w:t>
      </w:r>
      <w:proofErr w:type="spellEnd"/>
      <w:r w:rsidRPr="005B4EA1">
        <w:rPr>
          <w:i/>
          <w:iCs/>
          <w:color w:val="000000"/>
          <w:sz w:val="20"/>
          <w:szCs w:val="20"/>
        </w:rPr>
        <w:t xml:space="preserve"> and </w:t>
      </w:r>
      <w:proofErr w:type="spellStart"/>
      <w:r w:rsidRPr="005B4EA1">
        <w:rPr>
          <w:i/>
          <w:iCs/>
          <w:color w:val="000000"/>
          <w:sz w:val="20"/>
          <w:szCs w:val="20"/>
        </w:rPr>
        <w:t>Onetor</w:t>
      </w:r>
      <w:proofErr w:type="spellEnd"/>
      <w:r w:rsidRPr="005B4EA1">
        <w:rPr>
          <w:i/>
          <w:iCs/>
          <w:color w:val="000000"/>
          <w:sz w:val="20"/>
          <w:szCs w:val="20"/>
        </w:rPr>
        <w:t xml:space="preserve">. These are not the compositions of one who had given himself wholly to the guidance of </w:t>
      </w:r>
      <w:proofErr w:type="spellStart"/>
      <w:r w:rsidRPr="005B4EA1">
        <w:rPr>
          <w:i/>
          <w:iCs/>
          <w:color w:val="000000"/>
          <w:sz w:val="20"/>
          <w:szCs w:val="20"/>
        </w:rPr>
        <w:t>Isaeos</w:t>
      </w:r>
      <w:proofErr w:type="spellEnd"/>
      <w:r w:rsidRPr="005B4EA1">
        <w:rPr>
          <w:i/>
          <w:iCs/>
          <w:color w:val="000000"/>
          <w:sz w:val="20"/>
          <w:szCs w:val="20"/>
        </w:rPr>
        <w:t xml:space="preserve">, who was sitting at the master's feet, who was working under the master's eye. On the contrary, these earliest speeches of Demosthenes have a stamp of their own as marked as it is original. Some valuable hints Demosthenes unquestionably got from </w:t>
      </w:r>
      <w:proofErr w:type="spellStart"/>
      <w:r w:rsidRPr="005B4EA1">
        <w:rPr>
          <w:i/>
          <w:iCs/>
          <w:color w:val="000000"/>
          <w:sz w:val="20"/>
          <w:szCs w:val="20"/>
        </w:rPr>
        <w:t>Isaeos</w:t>
      </w:r>
      <w:proofErr w:type="spellEnd"/>
      <w:r w:rsidRPr="005B4EA1">
        <w:rPr>
          <w:i/>
          <w:iCs/>
          <w:color w:val="000000"/>
          <w:sz w:val="20"/>
          <w:szCs w:val="20"/>
        </w:rPr>
        <w:t xml:space="preserve">, and an attempt will be made presently to show what these were. But the limits of the influence forbid us to think that the intercourse between </w:t>
      </w:r>
      <w:proofErr w:type="spellStart"/>
      <w:r w:rsidRPr="005B4EA1">
        <w:rPr>
          <w:i/>
          <w:iCs/>
          <w:color w:val="000000"/>
          <w:sz w:val="20"/>
          <w:szCs w:val="20"/>
        </w:rPr>
        <w:t>Isaeos</w:t>
      </w:r>
      <w:proofErr w:type="spellEnd"/>
      <w:r w:rsidRPr="005B4EA1">
        <w:rPr>
          <w:i/>
          <w:iCs/>
          <w:color w:val="000000"/>
          <w:sz w:val="20"/>
          <w:szCs w:val="20"/>
        </w:rPr>
        <w:t xml:space="preserve"> and Demosthenes as teacher and learner can have been either very intimate or of very long duration</w:t>
      </w:r>
      <w:r>
        <w:rPr>
          <w:i/>
          <w:iCs/>
          <w:color w:val="000000"/>
          <w:sz w:val="20"/>
          <w:szCs w:val="20"/>
        </w:rPr>
        <w:t>.</w:t>
      </w:r>
      <w:r>
        <w:rPr>
          <w:color w:val="000000"/>
          <w:sz w:val="20"/>
          <w:szCs w:val="20"/>
        </w:rPr>
        <w:t>”</w:t>
      </w:r>
      <w:r>
        <w:rPr>
          <w:rStyle w:val="FootnoteReference"/>
          <w:color w:val="000000"/>
          <w:sz w:val="20"/>
          <w:szCs w:val="20"/>
        </w:rPr>
        <w:footnoteReference w:id="11"/>
      </w:r>
      <w:r>
        <w:rPr>
          <w:color w:val="000000"/>
          <w:sz w:val="20"/>
          <w:szCs w:val="20"/>
        </w:rPr>
        <w:t xml:space="preserve"> I believe however that it is not out of the realm of possibility and is in fact highly probably that in his early work Demosthenes work would have had a flair of his tutor which would be inevitable as that is where he learnt his craft. Kenny assets that Demosthenes work “</w:t>
      </w:r>
      <w:r>
        <w:rPr>
          <w:i/>
          <w:iCs/>
          <w:color w:val="000000"/>
          <w:sz w:val="20"/>
          <w:szCs w:val="20"/>
        </w:rPr>
        <w:t>at this stage of his career, his writing was not yet remarkable for its subtlety, verbal precision and variety of effects.”</w:t>
      </w:r>
      <w:r>
        <w:rPr>
          <w:rStyle w:val="FootnoteReference"/>
          <w:i/>
          <w:iCs/>
          <w:color w:val="000000"/>
          <w:sz w:val="20"/>
          <w:szCs w:val="20"/>
        </w:rPr>
        <w:footnoteReference w:id="12"/>
      </w:r>
      <w:r>
        <w:rPr>
          <w:i/>
          <w:iCs/>
          <w:color w:val="000000"/>
          <w:sz w:val="20"/>
          <w:szCs w:val="20"/>
        </w:rPr>
        <w:t xml:space="preserve"> </w:t>
      </w:r>
      <w:r>
        <w:rPr>
          <w:color w:val="000000"/>
          <w:sz w:val="20"/>
          <w:szCs w:val="20"/>
        </w:rPr>
        <w:t>What this tells us that is although a talented and promising orator who possessed skills already he had no gained all the kills that would make him famous later in his career. Harry Thurston Peck has an interesting sentiment regarding Demosthenes speaking as they are not normally characteristics one would associate with a successful public speaker</w:t>
      </w:r>
      <w:r>
        <w:rPr>
          <w:sz w:val="18"/>
          <w:szCs w:val="18"/>
        </w:rPr>
        <w:t xml:space="preserve"> </w:t>
      </w:r>
      <w:r w:rsidR="00F56CEF" w:rsidRPr="005B4EA1">
        <w:rPr>
          <w:color w:val="000000" w:themeColor="text1"/>
          <w:sz w:val="20"/>
          <w:szCs w:val="20"/>
        </w:rPr>
        <w:t>"</w:t>
      </w:r>
      <w:r w:rsidR="00F56CEF" w:rsidRPr="005B4EA1">
        <w:rPr>
          <w:i/>
          <w:iCs/>
          <w:color w:val="000000" w:themeColor="text1"/>
          <w:sz w:val="20"/>
          <w:szCs w:val="20"/>
        </w:rPr>
        <w:t xml:space="preserve">affects no learning; he aims at no elegance; he seeks no glaring ornaments; he rarely touches the heart with a soft or melting appeal, and when he does, it is only with an effect in which a third-rate speaker would have surpassed him. He had no wit, no humour, no vivacity, in our acceptance of these terms. The secret of his </w:t>
      </w:r>
      <w:r w:rsidR="00F56CEF" w:rsidRPr="005B4EA1">
        <w:rPr>
          <w:i/>
          <w:iCs/>
          <w:color w:val="000000" w:themeColor="text1"/>
          <w:sz w:val="20"/>
          <w:szCs w:val="20"/>
        </w:rPr>
        <w:lastRenderedPageBreak/>
        <w:t>power is simple, for it lies essentially in the fact that his political principles were interwoven with his very spirit.</w:t>
      </w:r>
      <w:r>
        <w:rPr>
          <w:color w:val="000000" w:themeColor="text1"/>
          <w:sz w:val="20"/>
          <w:szCs w:val="20"/>
        </w:rPr>
        <w:t>”</w:t>
      </w:r>
      <w:r>
        <w:rPr>
          <w:rStyle w:val="FootnoteReference"/>
          <w:color w:val="000000" w:themeColor="text1"/>
          <w:sz w:val="20"/>
          <w:szCs w:val="20"/>
        </w:rPr>
        <w:footnoteReference w:id="13"/>
      </w:r>
    </w:p>
    <w:p w14:paraId="7330C731" w14:textId="40364820" w:rsidR="005B4EA1" w:rsidRPr="005B4EA1" w:rsidRDefault="005B4EA1" w:rsidP="005B4EA1">
      <w:pPr>
        <w:spacing w:line="480" w:lineRule="auto"/>
        <w:rPr>
          <w:color w:val="000000" w:themeColor="text1"/>
          <w:sz w:val="20"/>
          <w:szCs w:val="20"/>
        </w:rPr>
      </w:pPr>
      <w:r w:rsidRPr="005B4EA1">
        <w:rPr>
          <w:color w:val="000000" w:themeColor="text1"/>
          <w:sz w:val="20"/>
          <w:szCs w:val="20"/>
        </w:rPr>
        <w:t>Romilly in his work identifies a few key features that make Demosthenes work stand out from his contemporaries his “</w:t>
      </w:r>
      <w:r w:rsidRPr="005B4EA1">
        <w:rPr>
          <w:i/>
          <w:iCs/>
          <w:color w:val="000000" w:themeColor="text1"/>
          <w:sz w:val="20"/>
          <w:szCs w:val="20"/>
        </w:rPr>
        <w:t>combining abruptness with the extended period, brevity with breadth. Hence, his style harmonises with his fervent commitment</w:t>
      </w:r>
      <w:r>
        <w:rPr>
          <w:i/>
          <w:iCs/>
          <w:color w:val="000000" w:themeColor="text1"/>
          <w:sz w:val="20"/>
          <w:szCs w:val="20"/>
        </w:rPr>
        <w:t>.</w:t>
      </w:r>
      <w:r w:rsidRPr="005B4EA1">
        <w:rPr>
          <w:i/>
          <w:iCs/>
          <w:color w:val="000000" w:themeColor="text1"/>
          <w:sz w:val="20"/>
          <w:szCs w:val="20"/>
        </w:rPr>
        <w:t>”</w:t>
      </w:r>
      <w:r w:rsidRPr="005B4EA1">
        <w:rPr>
          <w:rStyle w:val="FootnoteReference"/>
          <w:i/>
          <w:iCs/>
          <w:color w:val="000000" w:themeColor="text1"/>
          <w:sz w:val="20"/>
          <w:szCs w:val="20"/>
        </w:rPr>
        <w:footnoteReference w:id="14"/>
      </w:r>
      <w:r>
        <w:rPr>
          <w:i/>
          <w:iCs/>
          <w:color w:val="000000" w:themeColor="text1"/>
          <w:sz w:val="20"/>
          <w:szCs w:val="20"/>
        </w:rPr>
        <w:t xml:space="preserve"> </w:t>
      </w:r>
      <w:r>
        <w:rPr>
          <w:color w:val="000000" w:themeColor="text1"/>
          <w:sz w:val="20"/>
          <w:szCs w:val="20"/>
        </w:rPr>
        <w:t>This style of speaking it seems to enrapture an audience.</w:t>
      </w:r>
    </w:p>
    <w:p w14:paraId="11FB80D6" w14:textId="245DFC07" w:rsidR="00ED4D06" w:rsidRDefault="005B4EA1" w:rsidP="005B4EA1">
      <w:pPr>
        <w:spacing w:line="480" w:lineRule="auto"/>
        <w:rPr>
          <w:color w:val="000000" w:themeColor="text1"/>
          <w:sz w:val="20"/>
          <w:szCs w:val="20"/>
        </w:rPr>
      </w:pPr>
      <w:r>
        <w:rPr>
          <w:color w:val="000000" w:themeColor="text1"/>
          <w:sz w:val="20"/>
          <w:szCs w:val="20"/>
        </w:rPr>
        <w:t>A fact I find especially interesting about Demosthenes is that he refused to speak “</w:t>
      </w:r>
      <w:r>
        <w:rPr>
          <w:i/>
          <w:iCs/>
          <w:color w:val="000000" w:themeColor="text1"/>
          <w:sz w:val="20"/>
          <w:szCs w:val="20"/>
        </w:rPr>
        <w:t>ex tempore”</w:t>
      </w:r>
      <w:r>
        <w:rPr>
          <w:rStyle w:val="FootnoteReference"/>
          <w:i/>
          <w:iCs/>
          <w:color w:val="000000" w:themeColor="text1"/>
          <w:sz w:val="20"/>
          <w:szCs w:val="20"/>
        </w:rPr>
        <w:footnoteReference w:id="15"/>
      </w:r>
      <w:r>
        <w:rPr>
          <w:i/>
          <w:iCs/>
          <w:color w:val="000000" w:themeColor="text1"/>
          <w:sz w:val="20"/>
          <w:szCs w:val="20"/>
        </w:rPr>
        <w:t xml:space="preserve">, </w:t>
      </w:r>
      <w:r>
        <w:rPr>
          <w:color w:val="000000" w:themeColor="text1"/>
          <w:sz w:val="20"/>
          <w:szCs w:val="20"/>
        </w:rPr>
        <w:t>meaning his refusal to enter into a back and forth or debate if he had not first researched the matter</w:t>
      </w:r>
      <w:r>
        <w:rPr>
          <w:rStyle w:val="FootnoteReference"/>
          <w:color w:val="000000" w:themeColor="text1"/>
          <w:sz w:val="20"/>
          <w:szCs w:val="20"/>
        </w:rPr>
        <w:footnoteReference w:id="16"/>
      </w:r>
      <w:r>
        <w:rPr>
          <w:color w:val="000000" w:themeColor="text1"/>
          <w:sz w:val="20"/>
          <w:szCs w:val="20"/>
        </w:rPr>
        <w:t xml:space="preserve">. I find this to be both a positive and a negative; on one hand it means that any matter he would be thoroughly educated on and as a result would be able to give coherent and concise opinions on the matter however the converse of this is not being able to engage immediately to some degree conveys a level of lack of </w:t>
      </w:r>
      <w:proofErr w:type="spellStart"/>
      <w:r>
        <w:rPr>
          <w:color w:val="000000" w:themeColor="text1"/>
          <w:sz w:val="20"/>
          <w:szCs w:val="20"/>
        </w:rPr>
        <w:t>self belief</w:t>
      </w:r>
      <w:proofErr w:type="spellEnd"/>
      <w:r>
        <w:rPr>
          <w:color w:val="000000" w:themeColor="text1"/>
          <w:sz w:val="20"/>
          <w:szCs w:val="20"/>
        </w:rPr>
        <w:t>, confidence and quick wit that one might normally associate with an orator. One could potentially make a connection between this and Demosthenes aforementioned speech impediment and his firm belief that delivery was the most important feature in successful oratory and that in order for him to successfully vocalise his views he needed time to prepare and the information.</w:t>
      </w:r>
      <w:r>
        <w:rPr>
          <w:rStyle w:val="FootnoteReference"/>
          <w:color w:val="000000" w:themeColor="text1"/>
          <w:sz w:val="20"/>
          <w:szCs w:val="20"/>
        </w:rPr>
        <w:footnoteReference w:id="17"/>
      </w:r>
      <w:r w:rsidR="00ED4D06">
        <w:rPr>
          <w:color w:val="000000" w:themeColor="text1"/>
          <w:sz w:val="20"/>
          <w:szCs w:val="20"/>
        </w:rPr>
        <w:t xml:space="preserve"> Cicero also comments on his appreciation for Demosthenes rhythm and the lay out of his work</w:t>
      </w:r>
      <w:r w:rsidR="00ED4D06">
        <w:rPr>
          <w:rStyle w:val="FootnoteReference"/>
          <w:color w:val="000000" w:themeColor="text1"/>
          <w:sz w:val="20"/>
          <w:szCs w:val="20"/>
        </w:rPr>
        <w:footnoteReference w:id="18"/>
      </w:r>
      <w:r w:rsidR="00ED4D06">
        <w:rPr>
          <w:color w:val="000000" w:themeColor="text1"/>
          <w:sz w:val="20"/>
          <w:szCs w:val="20"/>
        </w:rPr>
        <w:t>, this would link back as one of the advantages of him taking time to prepare before he spoke. Cicero believed that Demosthenes’ mannerisms and the way he characterised his delivery were far more important than the overall style</w:t>
      </w:r>
      <w:r w:rsidR="00ED4D06">
        <w:rPr>
          <w:rStyle w:val="FootnoteReference"/>
          <w:color w:val="000000" w:themeColor="text1"/>
          <w:sz w:val="20"/>
          <w:szCs w:val="20"/>
        </w:rPr>
        <w:footnoteReference w:id="19"/>
      </w:r>
      <w:r w:rsidR="00ED4D06">
        <w:rPr>
          <w:color w:val="000000" w:themeColor="text1"/>
          <w:sz w:val="20"/>
          <w:szCs w:val="20"/>
        </w:rPr>
        <w:t>. Another interesting aspect of Demosthenes delivery was that he emphasised his points by using body language to express himself</w:t>
      </w:r>
      <w:r w:rsidR="00ED4D06">
        <w:rPr>
          <w:rStyle w:val="FootnoteReference"/>
          <w:color w:val="000000" w:themeColor="text1"/>
          <w:sz w:val="20"/>
          <w:szCs w:val="20"/>
        </w:rPr>
        <w:footnoteReference w:id="20"/>
      </w:r>
      <w:r w:rsidR="00ED4D06">
        <w:rPr>
          <w:color w:val="000000" w:themeColor="text1"/>
          <w:sz w:val="20"/>
          <w:szCs w:val="20"/>
        </w:rPr>
        <w:t>, which by our modern standards is nothing out of the ordinary and those who do not are often seen as stiff and having poor delivery skills, at the time though Demosthenes was mocked for this as it wasn’t the norm or something orators received training in</w:t>
      </w:r>
      <w:r w:rsidR="00ED4D06">
        <w:rPr>
          <w:rStyle w:val="FootnoteReference"/>
          <w:color w:val="000000" w:themeColor="text1"/>
          <w:sz w:val="20"/>
          <w:szCs w:val="20"/>
        </w:rPr>
        <w:footnoteReference w:id="21"/>
      </w:r>
      <w:r w:rsidR="00ED4D06">
        <w:rPr>
          <w:color w:val="000000" w:themeColor="text1"/>
          <w:sz w:val="20"/>
          <w:szCs w:val="20"/>
        </w:rPr>
        <w:t xml:space="preserve">. This different method of delivery, now that it has been established as something Demosthenes did not pick up in his education it must have been something that over </w:t>
      </w:r>
      <w:proofErr w:type="gramStart"/>
      <w:r w:rsidR="00ED4D06">
        <w:rPr>
          <w:color w:val="000000" w:themeColor="text1"/>
          <w:sz w:val="20"/>
          <w:szCs w:val="20"/>
        </w:rPr>
        <w:t>time</w:t>
      </w:r>
      <w:proofErr w:type="gramEnd"/>
      <w:r w:rsidR="00ED4D06">
        <w:rPr>
          <w:color w:val="000000" w:themeColor="text1"/>
          <w:sz w:val="20"/>
          <w:szCs w:val="20"/>
        </w:rPr>
        <w:t xml:space="preserve"> he developed for himself through his experience. Another arrow in Demosthenes quiver was the use of repetition to emphasise a point further and he would often find an </w:t>
      </w:r>
      <w:r w:rsidR="00ED4D06">
        <w:rPr>
          <w:color w:val="000000" w:themeColor="text1"/>
          <w:sz w:val="20"/>
          <w:szCs w:val="20"/>
        </w:rPr>
        <w:lastRenderedPageBreak/>
        <w:t>equilibrium between the matter that he was talking about and the language he used as Demosthenes would not use complex language but discuss complex subjects thus making them easy to understand.</w:t>
      </w:r>
      <w:r w:rsidR="00ED4D06">
        <w:rPr>
          <w:rStyle w:val="FootnoteReference"/>
          <w:color w:val="000000" w:themeColor="text1"/>
          <w:sz w:val="20"/>
          <w:szCs w:val="20"/>
        </w:rPr>
        <w:footnoteReference w:id="22"/>
      </w:r>
    </w:p>
    <w:p w14:paraId="01D89FD6" w14:textId="33D1C83C" w:rsidR="00ED4D06" w:rsidRDefault="00ED4D06" w:rsidP="005B4EA1">
      <w:pPr>
        <w:spacing w:line="480" w:lineRule="auto"/>
        <w:rPr>
          <w:color w:val="000000" w:themeColor="text1"/>
          <w:sz w:val="20"/>
          <w:szCs w:val="20"/>
        </w:rPr>
      </w:pPr>
      <w:r>
        <w:rPr>
          <w:color w:val="000000" w:themeColor="text1"/>
          <w:sz w:val="20"/>
          <w:szCs w:val="20"/>
        </w:rPr>
        <w:t>Dionysius of Halicarnassus created a comprehensive but concise summary of what separated Demosthenes from his contemporaries, he combined the most useful components of all the fundamentals of oratory, the middle style, the archaic and the elegant he all had at his disposal and as a result he was able to use the style which best suited the audience he was speaking to and was supposedly better at all three than the specialised masters</w:t>
      </w:r>
      <w:r>
        <w:rPr>
          <w:rStyle w:val="FootnoteReference"/>
          <w:color w:val="000000" w:themeColor="text1"/>
          <w:sz w:val="20"/>
          <w:szCs w:val="20"/>
        </w:rPr>
        <w:footnoteReference w:id="23"/>
      </w:r>
      <w:r>
        <w:rPr>
          <w:color w:val="000000" w:themeColor="text1"/>
          <w:sz w:val="20"/>
          <w:szCs w:val="20"/>
        </w:rPr>
        <w:t>. It was potentially this ability to alter his manner of speaking that made him such a formidable orator and so successful.</w:t>
      </w:r>
    </w:p>
    <w:p w14:paraId="3857B68C" w14:textId="1F512E71" w:rsidR="00ED4D06" w:rsidRDefault="00ED4D06" w:rsidP="005B4EA1">
      <w:pPr>
        <w:spacing w:line="480" w:lineRule="auto"/>
        <w:rPr>
          <w:color w:val="000000" w:themeColor="text1"/>
          <w:sz w:val="20"/>
          <w:szCs w:val="20"/>
        </w:rPr>
      </w:pPr>
      <w:r>
        <w:rPr>
          <w:color w:val="000000" w:themeColor="text1"/>
          <w:sz w:val="20"/>
          <w:szCs w:val="20"/>
        </w:rPr>
        <w:t xml:space="preserve">Demosthenes early career is something we must take into consideration as it was where we will find the bulk of his formative experience. Demosthenes became a logographer and a speaker, </w:t>
      </w:r>
      <w:proofErr w:type="gramStart"/>
      <w:r>
        <w:rPr>
          <w:color w:val="000000" w:themeColor="text1"/>
          <w:sz w:val="20"/>
          <w:szCs w:val="20"/>
        </w:rPr>
        <w:t>essentially</w:t>
      </w:r>
      <w:proofErr w:type="gramEnd"/>
      <w:r>
        <w:rPr>
          <w:color w:val="000000" w:themeColor="text1"/>
          <w:sz w:val="20"/>
          <w:szCs w:val="20"/>
        </w:rPr>
        <w:t xml:space="preserve"> he wrote speeches and then delivered them in the legal system. Thanks to his teaching in his youth he was able to excel in this field being successful in the majority of cases. Although it is likely that he kept writing speeches</w:t>
      </w:r>
      <w:r>
        <w:rPr>
          <w:rStyle w:val="FootnoteReference"/>
          <w:color w:val="000000" w:themeColor="text1"/>
          <w:sz w:val="20"/>
          <w:szCs w:val="20"/>
        </w:rPr>
        <w:footnoteReference w:id="24"/>
      </w:r>
      <w:r>
        <w:rPr>
          <w:color w:val="000000" w:themeColor="text1"/>
          <w:sz w:val="20"/>
          <w:szCs w:val="20"/>
        </w:rPr>
        <w:t xml:space="preserve"> as soon as he started interacting in the political </w:t>
      </w:r>
      <w:proofErr w:type="gramStart"/>
      <w:r>
        <w:rPr>
          <w:color w:val="000000" w:themeColor="text1"/>
          <w:sz w:val="20"/>
          <w:szCs w:val="20"/>
        </w:rPr>
        <w:t>sphere</w:t>
      </w:r>
      <w:proofErr w:type="gramEnd"/>
      <w:r>
        <w:rPr>
          <w:color w:val="000000" w:themeColor="text1"/>
          <w:sz w:val="20"/>
          <w:szCs w:val="20"/>
        </w:rPr>
        <w:t xml:space="preserve"> he ceased to give the speeches</w:t>
      </w:r>
      <w:r>
        <w:rPr>
          <w:rStyle w:val="FootnoteReference"/>
          <w:color w:val="000000" w:themeColor="text1"/>
          <w:sz w:val="20"/>
          <w:szCs w:val="20"/>
        </w:rPr>
        <w:footnoteReference w:id="25"/>
      </w:r>
      <w:r>
        <w:rPr>
          <w:color w:val="000000" w:themeColor="text1"/>
          <w:sz w:val="20"/>
          <w:szCs w:val="20"/>
        </w:rPr>
        <w:t>.</w:t>
      </w:r>
    </w:p>
    <w:p w14:paraId="4ABEA258" w14:textId="26589EE5" w:rsidR="00ED4D06" w:rsidRDefault="00ED4D06" w:rsidP="005B4EA1">
      <w:pPr>
        <w:spacing w:before="120" w:after="120" w:line="480" w:lineRule="auto"/>
        <w:rPr>
          <w:color w:val="000000" w:themeColor="text1"/>
          <w:sz w:val="20"/>
          <w:szCs w:val="20"/>
        </w:rPr>
      </w:pPr>
      <w:r>
        <w:rPr>
          <w:color w:val="000000" w:themeColor="text1"/>
          <w:sz w:val="20"/>
          <w:szCs w:val="20"/>
        </w:rPr>
        <w:t>Demosthenes was able to make the shift from law to politics as he would have had dealings with the rich and poor alike and in the Athenian legal system the speech writers were able to keep their identity a secret which prevented Demosthenes from alienating potential influential people</w:t>
      </w:r>
      <w:r>
        <w:rPr>
          <w:rStyle w:val="FootnoteReference"/>
          <w:color w:val="000000" w:themeColor="text1"/>
          <w:sz w:val="20"/>
          <w:szCs w:val="20"/>
        </w:rPr>
        <w:footnoteReference w:id="26"/>
      </w:r>
      <w:r>
        <w:rPr>
          <w:color w:val="000000" w:themeColor="text1"/>
          <w:sz w:val="20"/>
          <w:szCs w:val="20"/>
        </w:rPr>
        <w:t>.</w:t>
      </w:r>
    </w:p>
    <w:p w14:paraId="57F8812B" w14:textId="6C32C990" w:rsidR="00444436" w:rsidRDefault="00444436" w:rsidP="005B4EA1">
      <w:pPr>
        <w:spacing w:before="120" w:after="120" w:line="480" w:lineRule="auto"/>
        <w:rPr>
          <w:color w:val="000000" w:themeColor="text1"/>
          <w:sz w:val="20"/>
          <w:szCs w:val="20"/>
        </w:rPr>
      </w:pPr>
      <w:r>
        <w:rPr>
          <w:color w:val="000000" w:themeColor="text1"/>
          <w:sz w:val="20"/>
          <w:szCs w:val="20"/>
        </w:rPr>
        <w:t>Demosthenes did not immediately make this change as and seemingly steadily became more involved in politics while continuing his work on legal cases, his early speeches contained the same themes as much of his political stances would be in the future, focusing on patriotism</w:t>
      </w:r>
      <w:r>
        <w:rPr>
          <w:rStyle w:val="FootnoteReference"/>
          <w:color w:val="000000" w:themeColor="text1"/>
          <w:sz w:val="20"/>
          <w:szCs w:val="20"/>
        </w:rPr>
        <w:footnoteReference w:id="27"/>
      </w:r>
      <w:r>
        <w:rPr>
          <w:color w:val="000000" w:themeColor="text1"/>
          <w:sz w:val="20"/>
          <w:szCs w:val="20"/>
        </w:rPr>
        <w:t xml:space="preserve">. Demosthenes first political oration very much went the same way of his first oration in that it was not very well received; it was </w:t>
      </w:r>
      <w:r>
        <w:rPr>
          <w:i/>
          <w:iCs/>
          <w:color w:val="000000" w:themeColor="text1"/>
          <w:sz w:val="20"/>
          <w:szCs w:val="20"/>
        </w:rPr>
        <w:t>On the Navy</w:t>
      </w:r>
      <w:r>
        <w:rPr>
          <w:rStyle w:val="FootnoteReference"/>
          <w:i/>
          <w:iCs/>
          <w:color w:val="000000" w:themeColor="text1"/>
          <w:sz w:val="20"/>
          <w:szCs w:val="20"/>
        </w:rPr>
        <w:footnoteReference w:id="28"/>
      </w:r>
      <w:r>
        <w:rPr>
          <w:i/>
          <w:iCs/>
          <w:color w:val="000000" w:themeColor="text1"/>
          <w:sz w:val="20"/>
          <w:szCs w:val="20"/>
        </w:rPr>
        <w:t xml:space="preserve"> </w:t>
      </w:r>
      <w:r>
        <w:rPr>
          <w:color w:val="000000" w:themeColor="text1"/>
          <w:sz w:val="20"/>
          <w:szCs w:val="20"/>
        </w:rPr>
        <w:t xml:space="preserve">and although not successful it did pit him up against </w:t>
      </w:r>
      <w:proofErr w:type="spellStart"/>
      <w:r>
        <w:rPr>
          <w:color w:val="000000" w:themeColor="text1"/>
          <w:sz w:val="20"/>
          <w:szCs w:val="20"/>
        </w:rPr>
        <w:t>Eubulus</w:t>
      </w:r>
      <w:proofErr w:type="spellEnd"/>
      <w:r>
        <w:rPr>
          <w:color w:val="000000" w:themeColor="text1"/>
          <w:sz w:val="20"/>
          <w:szCs w:val="20"/>
        </w:rPr>
        <w:t xml:space="preserve">, a significant figure in Athenian politics at the time. Demosthenes called for a more passive approach by allying with Megapolis whereas </w:t>
      </w:r>
      <w:proofErr w:type="spellStart"/>
      <w:r>
        <w:rPr>
          <w:color w:val="000000" w:themeColor="text1"/>
          <w:sz w:val="20"/>
          <w:szCs w:val="20"/>
        </w:rPr>
        <w:t>Eubulus</w:t>
      </w:r>
      <w:proofErr w:type="spellEnd"/>
      <w:r>
        <w:rPr>
          <w:color w:val="000000" w:themeColor="text1"/>
          <w:sz w:val="20"/>
          <w:szCs w:val="20"/>
        </w:rPr>
        <w:t xml:space="preserve"> favoured a more aggressive approach.</w:t>
      </w:r>
      <w:r w:rsidR="002D4FC9">
        <w:rPr>
          <w:color w:val="000000" w:themeColor="text1"/>
          <w:sz w:val="20"/>
          <w:szCs w:val="20"/>
        </w:rPr>
        <w:t xml:space="preserve"> The reasoning for </w:t>
      </w:r>
      <w:proofErr w:type="spellStart"/>
      <w:r w:rsidR="002D4FC9">
        <w:rPr>
          <w:color w:val="000000" w:themeColor="text1"/>
          <w:sz w:val="20"/>
          <w:szCs w:val="20"/>
        </w:rPr>
        <w:t>he</w:t>
      </w:r>
      <w:proofErr w:type="spellEnd"/>
      <w:r w:rsidR="002D4FC9">
        <w:rPr>
          <w:color w:val="000000" w:themeColor="text1"/>
          <w:sz w:val="20"/>
          <w:szCs w:val="20"/>
        </w:rPr>
        <w:t xml:space="preserve"> lack of success at the beginning was the he displayed “a lack of coherent </w:t>
      </w:r>
      <w:r w:rsidR="002D4FC9">
        <w:rPr>
          <w:color w:val="000000" w:themeColor="text1"/>
          <w:sz w:val="20"/>
          <w:szCs w:val="20"/>
        </w:rPr>
        <w:lastRenderedPageBreak/>
        <w:t xml:space="preserve">strategic and political prioritisation” </w:t>
      </w:r>
      <w:r w:rsidR="002D4FC9">
        <w:rPr>
          <w:rStyle w:val="FootnoteReference"/>
          <w:color w:val="000000" w:themeColor="text1"/>
          <w:sz w:val="20"/>
          <w:szCs w:val="20"/>
        </w:rPr>
        <w:footnoteReference w:id="29"/>
      </w:r>
      <w:r w:rsidR="002D4FC9">
        <w:rPr>
          <w:color w:val="000000" w:themeColor="text1"/>
          <w:sz w:val="20"/>
          <w:szCs w:val="20"/>
        </w:rPr>
        <w:t xml:space="preserve">The interaction with </w:t>
      </w:r>
      <w:proofErr w:type="spellStart"/>
      <w:r w:rsidR="002D4FC9">
        <w:rPr>
          <w:color w:val="000000" w:themeColor="text1"/>
          <w:sz w:val="20"/>
          <w:szCs w:val="20"/>
        </w:rPr>
        <w:t>Eubulus</w:t>
      </w:r>
      <w:proofErr w:type="spellEnd"/>
      <w:r w:rsidR="002D4FC9">
        <w:rPr>
          <w:color w:val="000000" w:themeColor="text1"/>
          <w:sz w:val="20"/>
          <w:szCs w:val="20"/>
        </w:rPr>
        <w:t xml:space="preserve"> allowed Demosthenes to be recognised as a political figure and allowed him to go on to become the leader of his own party</w:t>
      </w:r>
      <w:r w:rsidR="002D4FC9">
        <w:rPr>
          <w:rStyle w:val="FootnoteReference"/>
          <w:color w:val="000000" w:themeColor="text1"/>
          <w:sz w:val="20"/>
          <w:szCs w:val="20"/>
        </w:rPr>
        <w:footnoteReference w:id="30"/>
      </w:r>
      <w:r w:rsidR="002D4FC9">
        <w:rPr>
          <w:color w:val="000000" w:themeColor="text1"/>
          <w:sz w:val="20"/>
          <w:szCs w:val="20"/>
        </w:rPr>
        <w:t>.</w:t>
      </w:r>
    </w:p>
    <w:p w14:paraId="1A833553" w14:textId="1AAE85DE" w:rsidR="00F56CEF" w:rsidRPr="005B4EA1" w:rsidRDefault="00F56CEF" w:rsidP="005B4EA1">
      <w:pPr>
        <w:spacing w:line="480" w:lineRule="auto"/>
        <w:rPr>
          <w:color w:val="000000" w:themeColor="text1"/>
          <w:sz w:val="20"/>
          <w:szCs w:val="20"/>
        </w:rPr>
      </w:pPr>
      <w:r w:rsidRPr="005B4EA1">
        <w:rPr>
          <w:color w:val="000000" w:themeColor="text1"/>
          <w:sz w:val="20"/>
          <w:szCs w:val="20"/>
        </w:rPr>
        <w:t xml:space="preserve">A final consideration to be made is the legacy that </w:t>
      </w:r>
      <w:r w:rsidR="005B4EA1" w:rsidRPr="005B4EA1">
        <w:rPr>
          <w:color w:val="000000" w:themeColor="text1"/>
          <w:sz w:val="20"/>
          <w:szCs w:val="20"/>
        </w:rPr>
        <w:t>Demosthenes</w:t>
      </w:r>
      <w:r w:rsidRPr="005B4EA1">
        <w:rPr>
          <w:color w:val="000000" w:themeColor="text1"/>
          <w:sz w:val="20"/>
          <w:szCs w:val="20"/>
        </w:rPr>
        <w:t xml:space="preserve"> created for himself, is he remembered more for his skills in oratory or his politics, or perhaps we should consider them one in the same.</w:t>
      </w:r>
    </w:p>
    <w:p w14:paraId="54DAB7C6" w14:textId="0DC89CB7" w:rsidR="00ED4D06" w:rsidRDefault="00F56CEF" w:rsidP="005B4EA1">
      <w:pPr>
        <w:spacing w:line="480" w:lineRule="auto"/>
        <w:rPr>
          <w:color w:val="000000" w:themeColor="text1"/>
          <w:sz w:val="20"/>
          <w:szCs w:val="20"/>
        </w:rPr>
      </w:pPr>
      <w:r w:rsidRPr="005B4EA1">
        <w:rPr>
          <w:color w:val="000000" w:themeColor="text1"/>
          <w:sz w:val="20"/>
          <w:szCs w:val="20"/>
        </w:rPr>
        <w:t>This question c</w:t>
      </w:r>
      <w:r w:rsidR="005B4EA1">
        <w:rPr>
          <w:color w:val="000000" w:themeColor="text1"/>
          <w:sz w:val="20"/>
          <w:szCs w:val="20"/>
        </w:rPr>
        <w:t>a</w:t>
      </w:r>
      <w:r w:rsidRPr="005B4EA1">
        <w:rPr>
          <w:color w:val="000000" w:themeColor="text1"/>
          <w:sz w:val="20"/>
          <w:szCs w:val="20"/>
        </w:rPr>
        <w:t>n be broken down lo</w:t>
      </w:r>
      <w:r w:rsidR="005B4EA1">
        <w:rPr>
          <w:color w:val="000000" w:themeColor="text1"/>
          <w:sz w:val="20"/>
          <w:szCs w:val="20"/>
        </w:rPr>
        <w:t>osely</w:t>
      </w:r>
      <w:r w:rsidRPr="005B4EA1">
        <w:rPr>
          <w:color w:val="000000" w:themeColor="text1"/>
          <w:sz w:val="20"/>
          <w:szCs w:val="20"/>
        </w:rPr>
        <w:t xml:space="preserve"> into 3 time periods; the ancient, </w:t>
      </w:r>
      <w:r w:rsidR="005B4EA1" w:rsidRPr="005B4EA1">
        <w:rPr>
          <w:color w:val="000000" w:themeColor="text1"/>
          <w:sz w:val="20"/>
          <w:szCs w:val="20"/>
        </w:rPr>
        <w:t>ren</w:t>
      </w:r>
      <w:r w:rsidR="005B4EA1">
        <w:rPr>
          <w:color w:val="000000" w:themeColor="text1"/>
          <w:sz w:val="20"/>
          <w:szCs w:val="20"/>
        </w:rPr>
        <w:t xml:space="preserve">aissance </w:t>
      </w:r>
      <w:r w:rsidRPr="005B4EA1">
        <w:rPr>
          <w:color w:val="000000" w:themeColor="text1"/>
          <w:sz w:val="20"/>
          <w:szCs w:val="20"/>
        </w:rPr>
        <w:t xml:space="preserve">and modern. </w:t>
      </w:r>
      <w:r w:rsidRPr="005B4EA1">
        <w:rPr>
          <w:color w:val="000000" w:themeColor="text1"/>
          <w:sz w:val="20"/>
          <w:szCs w:val="20"/>
        </w:rPr>
        <w:t>Demosthenes' fame has continued down the ages</w:t>
      </w:r>
      <w:r w:rsidR="00ED4D06">
        <w:rPr>
          <w:color w:val="000000" w:themeColor="text1"/>
          <w:sz w:val="20"/>
          <w:szCs w:val="20"/>
        </w:rPr>
        <w:t xml:space="preserve"> he was admired by many in the ancient world, Dionysus of Halicarnassus supposedly said that Demosthenes represented the final stage in the development of attic pros. Then furthermore by the likes of </w:t>
      </w:r>
      <w:proofErr w:type="spellStart"/>
      <w:r w:rsidR="00ED4D06">
        <w:rPr>
          <w:color w:val="000000" w:themeColor="text1"/>
          <w:sz w:val="20"/>
          <w:szCs w:val="20"/>
        </w:rPr>
        <w:t>Caecilius</w:t>
      </w:r>
      <w:proofErr w:type="spellEnd"/>
      <w:r w:rsidR="00ED4D06">
        <w:rPr>
          <w:color w:val="000000" w:themeColor="text1"/>
          <w:sz w:val="20"/>
          <w:szCs w:val="20"/>
        </w:rPr>
        <w:t xml:space="preserve"> and Longinus</w:t>
      </w:r>
      <w:r w:rsidR="00ED4D06">
        <w:rPr>
          <w:rStyle w:val="FootnoteReference"/>
          <w:color w:val="000000" w:themeColor="text1"/>
          <w:sz w:val="20"/>
          <w:szCs w:val="20"/>
        </w:rPr>
        <w:footnoteReference w:id="31"/>
      </w:r>
      <w:r w:rsidR="00ED4D06">
        <w:rPr>
          <w:color w:val="000000" w:themeColor="text1"/>
          <w:sz w:val="20"/>
          <w:szCs w:val="20"/>
        </w:rPr>
        <w:t xml:space="preserve"> but perhaps the most eminent of his admirers was Cicero; in fact Cicero admired Demosthenes to such an extent that he named his speeches against Mark Antony the Philippics; one scholar ,Wooten, has gone so far as to propose that Cicero was actually trying to emulate Demosthenes when he went into politics.</w:t>
      </w:r>
      <w:r w:rsidR="00ED4D06">
        <w:rPr>
          <w:rStyle w:val="FootnoteReference"/>
          <w:color w:val="000000" w:themeColor="text1"/>
          <w:sz w:val="20"/>
          <w:szCs w:val="20"/>
        </w:rPr>
        <w:footnoteReference w:id="32"/>
      </w:r>
      <w:r w:rsidR="00ED4D06">
        <w:rPr>
          <w:color w:val="000000" w:themeColor="text1"/>
          <w:sz w:val="20"/>
          <w:szCs w:val="20"/>
        </w:rPr>
        <w:t xml:space="preserve"> There is then of course Plutarch who not only recorded but compared the lives of Demosthenes and Cicero.</w:t>
      </w:r>
      <w:r w:rsidR="00ED4D06">
        <w:rPr>
          <w:rStyle w:val="FootnoteReference"/>
          <w:color w:val="000000" w:themeColor="text1"/>
          <w:sz w:val="20"/>
          <w:szCs w:val="20"/>
        </w:rPr>
        <w:footnoteReference w:id="33"/>
      </w:r>
      <w:r w:rsidR="00ED4D06">
        <w:rPr>
          <w:color w:val="000000" w:themeColor="text1"/>
          <w:sz w:val="20"/>
          <w:szCs w:val="20"/>
        </w:rPr>
        <w:t xml:space="preserve"> How do we quantify this information so that we are able to draw a conclusion, well we know that these men all admired Demosthenes for his oratory skills but what about them, from my interpretation it is clear that it is not his education that made Demosthenes unique but his personal flair and delivery, which I think comes down to his experience and dedication, especially when we consider again the fact that he was mocked for using body language because it wasn’t taught at the time as a skill of oratory.</w:t>
      </w:r>
    </w:p>
    <w:p w14:paraId="2B424E60" w14:textId="6A5F261F" w:rsidR="00ED4D06" w:rsidRPr="00ED4D06" w:rsidRDefault="00ED4D06" w:rsidP="005B4EA1">
      <w:pPr>
        <w:spacing w:line="480" w:lineRule="auto"/>
        <w:rPr>
          <w:color w:val="000000" w:themeColor="text1"/>
          <w:sz w:val="20"/>
          <w:szCs w:val="20"/>
        </w:rPr>
      </w:pPr>
      <w:r>
        <w:rPr>
          <w:color w:val="000000" w:themeColor="text1"/>
          <w:sz w:val="20"/>
          <w:szCs w:val="20"/>
        </w:rPr>
        <w:t>Onto the renaissance period appreciation for Demosthenes was increasing and many orators of the time were basing their speeches on the techniques used by Demosthenes, Gibson even says that he was read more than any other ancient orator.</w:t>
      </w:r>
      <w:r>
        <w:rPr>
          <w:rStyle w:val="FootnoteReference"/>
          <w:color w:val="000000" w:themeColor="text1"/>
          <w:sz w:val="20"/>
          <w:szCs w:val="20"/>
        </w:rPr>
        <w:footnoteReference w:id="34"/>
      </w:r>
      <w:r>
        <w:rPr>
          <w:color w:val="000000" w:themeColor="text1"/>
          <w:sz w:val="20"/>
          <w:szCs w:val="20"/>
        </w:rPr>
        <w:t xml:space="preserve"> When looking at the comments made by the renaissance orators they complement Demosthenes arrangement, eloquence and style</w:t>
      </w:r>
      <w:r>
        <w:rPr>
          <w:rStyle w:val="FootnoteReference"/>
          <w:color w:val="000000" w:themeColor="text1"/>
          <w:sz w:val="20"/>
          <w:szCs w:val="20"/>
        </w:rPr>
        <w:footnoteReference w:id="35"/>
      </w:r>
      <w:r>
        <w:rPr>
          <w:color w:val="000000" w:themeColor="text1"/>
          <w:sz w:val="20"/>
          <w:szCs w:val="20"/>
        </w:rPr>
        <w:t>; these are the things they try to emulate in their own work, they do not try to follow or attempt to reproduce the conditions of his education they just want to replicate his style, which is something we know from the quote from Kennedy “</w:t>
      </w:r>
      <w:r>
        <w:rPr>
          <w:i/>
          <w:iCs/>
          <w:color w:val="000000"/>
          <w:sz w:val="20"/>
          <w:szCs w:val="20"/>
        </w:rPr>
        <w:t>at this stage of his career, his writing was not yet remarkable for its subtlety, verbal precision and variety of effects</w:t>
      </w:r>
      <w:r>
        <w:rPr>
          <w:i/>
          <w:iCs/>
          <w:color w:val="000000"/>
          <w:sz w:val="20"/>
          <w:szCs w:val="20"/>
        </w:rPr>
        <w:t>’</w:t>
      </w:r>
      <w:r>
        <w:rPr>
          <w:rStyle w:val="FootnoteReference"/>
          <w:i/>
          <w:iCs/>
          <w:color w:val="000000"/>
          <w:sz w:val="20"/>
          <w:szCs w:val="20"/>
        </w:rPr>
        <w:footnoteReference w:id="36"/>
      </w:r>
      <w:r>
        <w:rPr>
          <w:i/>
          <w:iCs/>
          <w:color w:val="000000"/>
          <w:sz w:val="20"/>
          <w:szCs w:val="20"/>
        </w:rPr>
        <w:t xml:space="preserve">, </w:t>
      </w:r>
      <w:r>
        <w:rPr>
          <w:color w:val="000000"/>
          <w:sz w:val="20"/>
          <w:szCs w:val="20"/>
        </w:rPr>
        <w:t>he did not develop until he had some experience.</w:t>
      </w:r>
    </w:p>
    <w:p w14:paraId="3D137142" w14:textId="62798FDE" w:rsidR="00ED4D06" w:rsidRDefault="00ED4D06" w:rsidP="005B4EA1">
      <w:pPr>
        <w:spacing w:line="480" w:lineRule="auto"/>
        <w:rPr>
          <w:color w:val="000000" w:themeColor="text1"/>
          <w:sz w:val="20"/>
          <w:szCs w:val="20"/>
        </w:rPr>
      </w:pPr>
      <w:r>
        <w:rPr>
          <w:color w:val="000000" w:themeColor="text1"/>
          <w:sz w:val="20"/>
          <w:szCs w:val="20"/>
        </w:rPr>
        <w:lastRenderedPageBreak/>
        <w:t>The modern examples of Demosthenes legacy continue to imitate that of the ancient and renaissance, that being orators attempting to recreate, copy, mimic, reproduce the style of Demosthenes. Which in itself is a testament to the impact Demosthenes has had on our political and oratorical lives. Demosthenes ideas and style have even had an impact on the way our modern nations have formed for example he influenced the orators in the French revolution and the writers of the Federalist papers</w:t>
      </w:r>
      <w:r>
        <w:rPr>
          <w:rStyle w:val="FootnoteReference"/>
          <w:color w:val="000000" w:themeColor="text1"/>
          <w:sz w:val="20"/>
          <w:szCs w:val="20"/>
        </w:rPr>
        <w:footnoteReference w:id="37"/>
      </w:r>
      <w:r>
        <w:rPr>
          <w:color w:val="000000" w:themeColor="text1"/>
          <w:sz w:val="20"/>
          <w:szCs w:val="20"/>
        </w:rPr>
        <w:t xml:space="preserve">.  Friedrich </w:t>
      </w:r>
      <w:proofErr w:type="spellStart"/>
      <w:r>
        <w:rPr>
          <w:color w:val="000000" w:themeColor="text1"/>
          <w:sz w:val="20"/>
          <w:szCs w:val="20"/>
        </w:rPr>
        <w:t>Nietzche</w:t>
      </w:r>
      <w:proofErr w:type="spellEnd"/>
      <w:r>
        <w:rPr>
          <w:color w:val="000000" w:themeColor="text1"/>
          <w:sz w:val="20"/>
          <w:szCs w:val="20"/>
        </w:rPr>
        <w:t xml:space="preserve"> also referenced Demosthenes as an inspiration for his style of writing</w:t>
      </w:r>
      <w:r>
        <w:rPr>
          <w:rStyle w:val="FootnoteReference"/>
          <w:color w:val="000000" w:themeColor="text1"/>
          <w:sz w:val="20"/>
          <w:szCs w:val="20"/>
        </w:rPr>
        <w:footnoteReference w:id="38"/>
      </w:r>
      <w:r>
        <w:rPr>
          <w:color w:val="000000" w:themeColor="text1"/>
          <w:sz w:val="20"/>
          <w:szCs w:val="20"/>
        </w:rPr>
        <w:t xml:space="preserve">. Throughout this list of influential </w:t>
      </w:r>
      <w:proofErr w:type="gramStart"/>
      <w:r>
        <w:rPr>
          <w:color w:val="000000" w:themeColor="text1"/>
          <w:sz w:val="20"/>
          <w:szCs w:val="20"/>
        </w:rPr>
        <w:t>figures</w:t>
      </w:r>
      <w:proofErr w:type="gramEnd"/>
      <w:r>
        <w:rPr>
          <w:color w:val="000000" w:themeColor="text1"/>
          <w:sz w:val="20"/>
          <w:szCs w:val="20"/>
        </w:rPr>
        <w:t xml:space="preserve"> we can see the ripples through time to our modern day of the legacy of a man who lived, spoke and died 2344 years ago.</w:t>
      </w:r>
    </w:p>
    <w:p w14:paraId="150FF9FC" w14:textId="77777777" w:rsidR="00ED4D06" w:rsidRDefault="00ED4D06" w:rsidP="005B4EA1">
      <w:pPr>
        <w:spacing w:line="480" w:lineRule="auto"/>
        <w:rPr>
          <w:color w:val="000000" w:themeColor="text1"/>
          <w:sz w:val="20"/>
          <w:szCs w:val="20"/>
        </w:rPr>
      </w:pPr>
    </w:p>
    <w:p w14:paraId="11A3BA11" w14:textId="317B8D2E" w:rsidR="00F56CEF" w:rsidRDefault="00ED4D06" w:rsidP="005B4EA1">
      <w:pPr>
        <w:spacing w:line="480" w:lineRule="auto"/>
        <w:rPr>
          <w:color w:val="000000" w:themeColor="text1"/>
          <w:sz w:val="20"/>
          <w:szCs w:val="20"/>
        </w:rPr>
      </w:pPr>
      <w:r>
        <w:rPr>
          <w:color w:val="000000" w:themeColor="text1"/>
          <w:sz w:val="20"/>
          <w:szCs w:val="20"/>
        </w:rPr>
        <w:t>Demosthenes was a great orator who set the standard by which we measure ourselves even today, he was a man of great dedication to his craft who through many years of learning, experience and practice became the panicle of attic pros. But to what influenced the creation of this great legacy more; was this due to his education or his experience, I use the word more here because I feel it would be foolish to discount either as they both did undoubtedly have an impact. On one hand you have his education from a prominent figure in oratory at the time without which he would most likely never developed into the celebrated orator he is. The detail that stands out the most to me is that although he had an excellent teaching it would have still been the same that everyone else received, what made him special was how he learnt from his experiences and adapted and improved from them and how he independently overcame his speech impediment, not to mention the fact that he was using techniques such as body language to emphasis points which was a skill not even taught at the time that makes his experience the key factor in determining his success.</w:t>
      </w:r>
    </w:p>
    <w:p w14:paraId="6BE3DC6C" w14:textId="1F8C1CB6" w:rsidR="00444436" w:rsidRDefault="00444436" w:rsidP="005B4EA1">
      <w:pPr>
        <w:spacing w:line="480" w:lineRule="auto"/>
        <w:rPr>
          <w:color w:val="000000" w:themeColor="text1"/>
          <w:sz w:val="20"/>
          <w:szCs w:val="20"/>
        </w:rPr>
      </w:pPr>
    </w:p>
    <w:p w14:paraId="5B220D1A" w14:textId="445D78CF" w:rsidR="00444436" w:rsidRDefault="00444436" w:rsidP="005B4EA1">
      <w:pPr>
        <w:spacing w:line="480" w:lineRule="auto"/>
        <w:rPr>
          <w:color w:val="000000" w:themeColor="text1"/>
          <w:sz w:val="20"/>
          <w:szCs w:val="20"/>
        </w:rPr>
      </w:pPr>
    </w:p>
    <w:p w14:paraId="09AD50DA" w14:textId="77777777" w:rsidR="00E62BD3" w:rsidRDefault="00E62BD3" w:rsidP="00444436">
      <w:pPr>
        <w:spacing w:line="480" w:lineRule="auto"/>
      </w:pPr>
    </w:p>
    <w:p w14:paraId="71A2E635" w14:textId="77777777" w:rsidR="00E62BD3" w:rsidRDefault="00E62BD3" w:rsidP="00444436">
      <w:pPr>
        <w:spacing w:line="480" w:lineRule="auto"/>
      </w:pPr>
    </w:p>
    <w:p w14:paraId="24067F52" w14:textId="77777777" w:rsidR="00E62BD3" w:rsidRDefault="00E62BD3" w:rsidP="00444436">
      <w:pPr>
        <w:spacing w:line="480" w:lineRule="auto"/>
      </w:pPr>
    </w:p>
    <w:p w14:paraId="03B18789" w14:textId="77777777" w:rsidR="00E62BD3" w:rsidRDefault="00E62BD3" w:rsidP="00444436">
      <w:pPr>
        <w:spacing w:line="480" w:lineRule="auto"/>
      </w:pPr>
    </w:p>
    <w:p w14:paraId="159C8931" w14:textId="77777777" w:rsidR="00E62BD3" w:rsidRDefault="00E62BD3" w:rsidP="00444436">
      <w:pPr>
        <w:spacing w:line="480" w:lineRule="auto"/>
      </w:pPr>
    </w:p>
    <w:p w14:paraId="3469C86D" w14:textId="4CA94A84" w:rsidR="00444436" w:rsidRPr="00E62BD3" w:rsidRDefault="00444436" w:rsidP="00444436">
      <w:pPr>
        <w:spacing w:line="480" w:lineRule="auto"/>
        <w:rPr>
          <w:u w:val="single"/>
        </w:rPr>
      </w:pPr>
      <w:r w:rsidRPr="00E62BD3">
        <w:rPr>
          <w:u w:val="single"/>
        </w:rPr>
        <w:lastRenderedPageBreak/>
        <w:t>Bibliography</w:t>
      </w:r>
    </w:p>
    <w:p w14:paraId="07C0E767"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"Demosthenes". </w:t>
      </w:r>
      <w:proofErr w:type="spellStart"/>
      <w:r w:rsidRPr="00E62BD3">
        <w:rPr>
          <w:color w:val="000000" w:themeColor="text1"/>
          <w:sz w:val="20"/>
          <w:szCs w:val="20"/>
        </w:rPr>
        <w:t>Encyclopædia</w:t>
      </w:r>
      <w:proofErr w:type="spellEnd"/>
      <w:r w:rsidRPr="00E62BD3">
        <w:rPr>
          <w:color w:val="000000" w:themeColor="text1"/>
          <w:sz w:val="20"/>
          <w:szCs w:val="20"/>
        </w:rPr>
        <w:t xml:space="preserve"> Britannica. 2002.; K. </w:t>
      </w:r>
      <w:proofErr w:type="spellStart"/>
      <w:r w:rsidRPr="00E62BD3">
        <w:rPr>
          <w:color w:val="000000" w:themeColor="text1"/>
          <w:sz w:val="20"/>
          <w:szCs w:val="20"/>
        </w:rPr>
        <w:t>Tsatsos</w:t>
      </w:r>
      <w:proofErr w:type="spellEnd"/>
      <w:r w:rsidRPr="00E62BD3">
        <w:rPr>
          <w:color w:val="000000" w:themeColor="text1"/>
          <w:sz w:val="20"/>
          <w:szCs w:val="20"/>
        </w:rPr>
        <w:t xml:space="preserve">, Demosthenes, 90; H. Weil, Biography of </w:t>
      </w:r>
      <w:proofErr w:type="spellStart"/>
      <w:r w:rsidRPr="00E62BD3">
        <w:rPr>
          <w:color w:val="000000" w:themeColor="text1"/>
          <w:sz w:val="20"/>
          <w:szCs w:val="20"/>
        </w:rPr>
        <w:t>Demothenes</w:t>
      </w:r>
      <w:proofErr w:type="spellEnd"/>
      <w:r w:rsidRPr="00E62BD3">
        <w:rPr>
          <w:color w:val="000000" w:themeColor="text1"/>
          <w:sz w:val="20"/>
          <w:szCs w:val="20"/>
        </w:rPr>
        <w:t>, 17.</w:t>
      </w:r>
    </w:p>
    <w:p w14:paraId="7E5C5A5D"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C. Wooten, "Cicero's Reactions to Demosthenes", 37.</w:t>
      </w:r>
    </w:p>
    <w:p w14:paraId="7F5E8D96"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Cicero, Brutus, </w:t>
      </w:r>
      <w:hyperlink r:id="rId10" w:anchor="38" w:history="1">
        <w:r w:rsidRPr="00E62BD3">
          <w:rPr>
            <w:rStyle w:val="Hyperlink"/>
            <w:color w:val="000000" w:themeColor="text1"/>
            <w:sz w:val="20"/>
            <w:szCs w:val="20"/>
            <w:u w:val="none"/>
          </w:rPr>
          <w:t>38</w:t>
        </w:r>
      </w:hyperlink>
      <w:r w:rsidRPr="00E62BD3">
        <w:rPr>
          <w:color w:val="000000" w:themeColor="text1"/>
          <w:sz w:val="20"/>
          <w:szCs w:val="20"/>
        </w:rPr>
        <w:t> </w:t>
      </w:r>
      <w:hyperlink r:id="rId11" w:history="1">
        <w:r w:rsidRPr="00E62BD3">
          <w:rPr>
            <w:rStyle w:val="Hyperlink"/>
            <w:color w:val="000000" w:themeColor="text1"/>
            <w:sz w:val="20"/>
            <w:szCs w:val="20"/>
            <w:u w:val="none"/>
          </w:rPr>
          <w:t>Archived</w:t>
        </w:r>
      </w:hyperlink>
      <w:r w:rsidRPr="00E62BD3">
        <w:rPr>
          <w:color w:val="000000" w:themeColor="text1"/>
          <w:sz w:val="20"/>
          <w:szCs w:val="20"/>
        </w:rPr>
        <w:t> 29 June 2011 at the </w:t>
      </w:r>
      <w:proofErr w:type="spellStart"/>
      <w:r w:rsidRPr="00E62BD3">
        <w:rPr>
          <w:color w:val="000000" w:themeColor="text1"/>
          <w:sz w:val="20"/>
          <w:szCs w:val="20"/>
        </w:rPr>
        <w:fldChar w:fldCharType="begin"/>
      </w:r>
      <w:r w:rsidRPr="00E62BD3">
        <w:rPr>
          <w:color w:val="000000" w:themeColor="text1"/>
          <w:sz w:val="20"/>
          <w:szCs w:val="20"/>
        </w:rPr>
        <w:instrText xml:space="preserve"> HYPERLINK "https://en.wikipedia.org/wiki/Wayback_Machine" \o "Wayback Machine" </w:instrText>
      </w:r>
      <w:r w:rsidRPr="00E62BD3">
        <w:rPr>
          <w:color w:val="000000" w:themeColor="text1"/>
          <w:sz w:val="20"/>
          <w:szCs w:val="20"/>
        </w:rPr>
        <w:fldChar w:fldCharType="separate"/>
      </w:r>
      <w:r w:rsidRPr="00E62BD3">
        <w:rPr>
          <w:rStyle w:val="Hyperlink"/>
          <w:color w:val="000000" w:themeColor="text1"/>
          <w:sz w:val="20"/>
          <w:szCs w:val="20"/>
          <w:u w:val="none"/>
        </w:rPr>
        <w:t>Wayback</w:t>
      </w:r>
      <w:proofErr w:type="spellEnd"/>
      <w:r w:rsidRPr="00E62BD3">
        <w:rPr>
          <w:rStyle w:val="Hyperlink"/>
          <w:color w:val="000000" w:themeColor="text1"/>
          <w:sz w:val="20"/>
          <w:szCs w:val="20"/>
          <w:u w:val="none"/>
        </w:rPr>
        <w:t xml:space="preserve"> Machine</w:t>
      </w:r>
      <w:r w:rsidRPr="00E62BD3">
        <w:rPr>
          <w:color w:val="000000" w:themeColor="text1"/>
          <w:sz w:val="20"/>
          <w:szCs w:val="20"/>
        </w:rPr>
        <w:fldChar w:fldCharType="end"/>
      </w:r>
      <w:r w:rsidRPr="00E62BD3">
        <w:rPr>
          <w:color w:val="000000" w:themeColor="text1"/>
          <w:sz w:val="20"/>
          <w:szCs w:val="20"/>
        </w:rPr>
        <w:t>, </w:t>
      </w:r>
      <w:hyperlink r:id="rId12" w:anchor="142" w:history="1">
        <w:r w:rsidRPr="00E62BD3">
          <w:rPr>
            <w:rStyle w:val="Hyperlink"/>
            <w:color w:val="000000" w:themeColor="text1"/>
            <w:sz w:val="20"/>
            <w:szCs w:val="20"/>
            <w:u w:val="none"/>
          </w:rPr>
          <w:t>142</w:t>
        </w:r>
      </w:hyperlink>
    </w:p>
    <w:p w14:paraId="696AAE39"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Cicero, Orator, </w:t>
      </w:r>
      <w:hyperlink r:id="rId13" w:anchor="76" w:history="1">
        <w:r w:rsidRPr="00E62BD3">
          <w:rPr>
            <w:rStyle w:val="Hyperlink"/>
            <w:color w:val="000000" w:themeColor="text1"/>
            <w:sz w:val="20"/>
            <w:szCs w:val="20"/>
            <w:u w:val="none"/>
          </w:rPr>
          <w:t>76–101</w:t>
        </w:r>
      </w:hyperlink>
      <w:r w:rsidRPr="00E62BD3">
        <w:rPr>
          <w:color w:val="000000" w:themeColor="text1"/>
          <w:sz w:val="20"/>
          <w:szCs w:val="20"/>
        </w:rPr>
        <w:t> </w:t>
      </w:r>
      <w:hyperlink r:id="rId14" w:history="1">
        <w:r w:rsidRPr="00E62BD3">
          <w:rPr>
            <w:rStyle w:val="Hyperlink"/>
            <w:color w:val="000000" w:themeColor="text1"/>
            <w:sz w:val="20"/>
            <w:szCs w:val="20"/>
            <w:u w:val="none"/>
          </w:rPr>
          <w:t>Archived</w:t>
        </w:r>
      </w:hyperlink>
      <w:r w:rsidRPr="00E62BD3">
        <w:rPr>
          <w:color w:val="000000" w:themeColor="text1"/>
          <w:sz w:val="20"/>
          <w:szCs w:val="20"/>
        </w:rPr>
        <w:t> 22 June 2015 at the </w:t>
      </w:r>
      <w:proofErr w:type="spellStart"/>
      <w:r w:rsidRPr="00E62BD3">
        <w:rPr>
          <w:color w:val="000000" w:themeColor="text1"/>
          <w:sz w:val="20"/>
          <w:szCs w:val="20"/>
        </w:rPr>
        <w:fldChar w:fldCharType="begin"/>
      </w:r>
      <w:r w:rsidRPr="00E62BD3">
        <w:rPr>
          <w:color w:val="000000" w:themeColor="text1"/>
          <w:sz w:val="20"/>
          <w:szCs w:val="20"/>
        </w:rPr>
        <w:instrText xml:space="preserve"> HYPERLINK "https://en.wikipedia.org/wiki/Wayback_Machine" \o "Wayback Machine" </w:instrText>
      </w:r>
      <w:r w:rsidRPr="00E62BD3">
        <w:rPr>
          <w:color w:val="000000" w:themeColor="text1"/>
          <w:sz w:val="20"/>
          <w:szCs w:val="20"/>
        </w:rPr>
        <w:fldChar w:fldCharType="separate"/>
      </w:r>
      <w:r w:rsidRPr="00E62BD3">
        <w:rPr>
          <w:rStyle w:val="Hyperlink"/>
          <w:color w:val="000000" w:themeColor="text1"/>
          <w:sz w:val="20"/>
          <w:szCs w:val="20"/>
          <w:u w:val="none"/>
        </w:rPr>
        <w:t>Wayback</w:t>
      </w:r>
      <w:proofErr w:type="spellEnd"/>
      <w:r w:rsidRPr="00E62BD3">
        <w:rPr>
          <w:rStyle w:val="Hyperlink"/>
          <w:color w:val="000000" w:themeColor="text1"/>
          <w:sz w:val="20"/>
          <w:szCs w:val="20"/>
          <w:u w:val="none"/>
        </w:rPr>
        <w:t xml:space="preserve"> Machine</w:t>
      </w:r>
      <w:r w:rsidRPr="00E62BD3">
        <w:rPr>
          <w:color w:val="000000" w:themeColor="text1"/>
          <w:sz w:val="20"/>
          <w:szCs w:val="20"/>
        </w:rPr>
        <w:fldChar w:fldCharType="end"/>
      </w:r>
      <w:r w:rsidRPr="00E62BD3">
        <w:rPr>
          <w:color w:val="000000" w:themeColor="text1"/>
          <w:sz w:val="20"/>
          <w:szCs w:val="20"/>
        </w:rPr>
        <w:t>; Dionysius, On the Admirable Style of Demosthenes, 46</w:t>
      </w:r>
    </w:p>
    <w:p w14:paraId="3CAAAEED"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shd w:val="clear" w:color="auto" w:fill="FFFFFF"/>
        </w:rPr>
        <w:t>D. M. MacDowell, </w:t>
      </w:r>
      <w:r w:rsidRPr="00E62BD3">
        <w:rPr>
          <w:color w:val="000000" w:themeColor="text1"/>
          <w:sz w:val="20"/>
          <w:szCs w:val="20"/>
        </w:rPr>
        <w:t>Demosthenes the Orator</w:t>
      </w:r>
      <w:r w:rsidRPr="00E62BD3">
        <w:rPr>
          <w:color w:val="000000" w:themeColor="text1"/>
          <w:sz w:val="20"/>
          <w:szCs w:val="20"/>
          <w:shd w:val="clear" w:color="auto" w:fill="FFFFFF"/>
        </w:rPr>
        <w:t xml:space="preserve">, </w:t>
      </w:r>
      <w:proofErr w:type="spellStart"/>
      <w:r w:rsidRPr="00E62BD3">
        <w:rPr>
          <w:color w:val="000000" w:themeColor="text1"/>
          <w:sz w:val="20"/>
          <w:szCs w:val="20"/>
          <w:shd w:val="clear" w:color="auto" w:fill="FFFFFF"/>
        </w:rPr>
        <w:t>ch.</w:t>
      </w:r>
      <w:proofErr w:type="spellEnd"/>
      <w:r w:rsidRPr="00E62BD3">
        <w:rPr>
          <w:color w:val="000000" w:themeColor="text1"/>
          <w:sz w:val="20"/>
          <w:szCs w:val="20"/>
          <w:shd w:val="clear" w:color="auto" w:fill="FFFFFF"/>
        </w:rPr>
        <w:t xml:space="preserve"> 7</w:t>
      </w:r>
    </w:p>
    <w:p w14:paraId="7B059B5A"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 xml:space="preserve">D.C. Innes, 'Longinus and </w:t>
      </w:r>
      <w:proofErr w:type="spellStart"/>
      <w:r w:rsidRPr="00E62BD3">
        <w:rPr>
          <w:color w:val="000000" w:themeColor="text1"/>
          <w:sz w:val="20"/>
          <w:szCs w:val="20"/>
        </w:rPr>
        <w:t>Caecilius</w:t>
      </w:r>
      <w:proofErr w:type="spellEnd"/>
      <w:r w:rsidRPr="00E62BD3">
        <w:rPr>
          <w:color w:val="000000" w:themeColor="text1"/>
          <w:sz w:val="20"/>
          <w:szCs w:val="20"/>
        </w:rPr>
        <w:t>", passim.</w:t>
      </w:r>
    </w:p>
    <w:p w14:paraId="2125C30F"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shd w:val="clear" w:color="auto" w:fill="FFFFFF"/>
        </w:rPr>
        <w:t> </w:t>
      </w:r>
      <w:r w:rsidRPr="00E62BD3">
        <w:rPr>
          <w:color w:val="000000" w:themeColor="text1"/>
          <w:sz w:val="20"/>
          <w:szCs w:val="20"/>
        </w:rPr>
        <w:t xml:space="preserve">E. </w:t>
      </w:r>
      <w:proofErr w:type="spellStart"/>
      <w:r w:rsidRPr="00E62BD3">
        <w:rPr>
          <w:color w:val="000000" w:themeColor="text1"/>
          <w:sz w:val="20"/>
          <w:szCs w:val="20"/>
        </w:rPr>
        <w:t>Badian</w:t>
      </w:r>
      <w:proofErr w:type="spellEnd"/>
      <w:r w:rsidRPr="00E62BD3">
        <w:rPr>
          <w:color w:val="000000" w:themeColor="text1"/>
          <w:sz w:val="20"/>
          <w:szCs w:val="20"/>
        </w:rPr>
        <w:t>, "The Road to Prominence", 29–30</w:t>
      </w:r>
    </w:p>
    <w:p w14:paraId="40B8D790"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F. Nietzsche, Beyond Good and Evil, 247</w:t>
      </w:r>
    </w:p>
    <w:p w14:paraId="0E32833C"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F. Nietzsche, Lessons of Rhetoric, 233–235</w:t>
      </w:r>
    </w:p>
    <w:p w14:paraId="42E1590F"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G. Gibson, Interpreting a Classic, 1</w:t>
      </w:r>
    </w:p>
    <w:p w14:paraId="5A225A22"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G. Kennedy, "Oratory", 514–515.</w:t>
      </w:r>
    </w:p>
    <w:p w14:paraId="72E8A157"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H. T. Peck, </w:t>
      </w:r>
      <w:hyperlink r:id="rId15" w:history="1">
        <w:r w:rsidRPr="00E62BD3">
          <w:rPr>
            <w:rStyle w:val="Hyperlink"/>
            <w:color w:val="000000" w:themeColor="text1"/>
            <w:sz w:val="20"/>
            <w:szCs w:val="20"/>
            <w:u w:val="none"/>
          </w:rPr>
          <w:t>Harpers Dictionary of Classical Antiquities.</w:t>
        </w:r>
      </w:hyperlink>
      <w:r w:rsidRPr="00E62BD3">
        <w:rPr>
          <w:color w:val="000000" w:themeColor="text1"/>
          <w:sz w:val="20"/>
          <w:szCs w:val="20"/>
        </w:rPr>
        <w:t> </w:t>
      </w:r>
      <w:hyperlink r:id="rId16" w:history="1">
        <w:r w:rsidRPr="00E62BD3">
          <w:rPr>
            <w:rStyle w:val="Hyperlink"/>
            <w:color w:val="000000" w:themeColor="text1"/>
            <w:sz w:val="20"/>
            <w:szCs w:val="20"/>
            <w:u w:val="none"/>
          </w:rPr>
          <w:t>Archived</w:t>
        </w:r>
      </w:hyperlink>
      <w:r w:rsidRPr="00E62BD3">
        <w:rPr>
          <w:color w:val="000000" w:themeColor="text1"/>
          <w:sz w:val="20"/>
          <w:szCs w:val="20"/>
        </w:rPr>
        <w:t> 20 May 2012 at the </w:t>
      </w:r>
      <w:proofErr w:type="spellStart"/>
      <w:r w:rsidRPr="00E62BD3">
        <w:rPr>
          <w:color w:val="000000" w:themeColor="text1"/>
          <w:sz w:val="20"/>
          <w:szCs w:val="20"/>
        </w:rPr>
        <w:fldChar w:fldCharType="begin"/>
      </w:r>
      <w:r w:rsidRPr="00E62BD3">
        <w:rPr>
          <w:color w:val="000000" w:themeColor="text1"/>
          <w:sz w:val="20"/>
          <w:szCs w:val="20"/>
        </w:rPr>
        <w:instrText xml:space="preserve"> HYPERLINK "https://en.wikipedia.org/wiki/Wayback_Machine" \o "Wayback Machine" </w:instrText>
      </w:r>
      <w:r w:rsidRPr="00E62BD3">
        <w:rPr>
          <w:color w:val="000000" w:themeColor="text1"/>
          <w:sz w:val="20"/>
          <w:szCs w:val="20"/>
        </w:rPr>
        <w:fldChar w:fldCharType="separate"/>
      </w:r>
      <w:r w:rsidRPr="00E62BD3">
        <w:rPr>
          <w:rStyle w:val="Hyperlink"/>
          <w:color w:val="000000" w:themeColor="text1"/>
          <w:sz w:val="20"/>
          <w:szCs w:val="20"/>
          <w:u w:val="none"/>
        </w:rPr>
        <w:t>Wayback</w:t>
      </w:r>
      <w:proofErr w:type="spellEnd"/>
      <w:r w:rsidRPr="00E62BD3">
        <w:rPr>
          <w:rStyle w:val="Hyperlink"/>
          <w:color w:val="000000" w:themeColor="text1"/>
          <w:sz w:val="20"/>
          <w:szCs w:val="20"/>
          <w:u w:val="none"/>
        </w:rPr>
        <w:t xml:space="preserve"> Machine</w:t>
      </w:r>
      <w:r w:rsidRPr="00E62BD3">
        <w:rPr>
          <w:color w:val="000000" w:themeColor="text1"/>
          <w:sz w:val="20"/>
          <w:szCs w:val="20"/>
        </w:rPr>
        <w:fldChar w:fldCharType="end"/>
      </w:r>
    </w:p>
    <w:p w14:paraId="61828263"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 xml:space="preserve">H. Yunis, Demosthenes: On </w:t>
      </w:r>
      <w:proofErr w:type="gramStart"/>
      <w:r w:rsidRPr="00E62BD3">
        <w:rPr>
          <w:color w:val="000000" w:themeColor="text1"/>
          <w:sz w:val="20"/>
          <w:szCs w:val="20"/>
        </w:rPr>
        <w:t>The</w:t>
      </w:r>
      <w:proofErr w:type="gramEnd"/>
      <w:r w:rsidRPr="00E62BD3">
        <w:rPr>
          <w:color w:val="000000" w:themeColor="text1"/>
          <w:sz w:val="20"/>
          <w:szCs w:val="20"/>
        </w:rPr>
        <w:t xml:space="preserve"> Crown, 238 (note 232).</w:t>
      </w:r>
    </w:p>
    <w:p w14:paraId="780DD0D9"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 xml:space="preserve">J. </w:t>
      </w:r>
      <w:proofErr w:type="spellStart"/>
      <w:r w:rsidRPr="00E62BD3">
        <w:rPr>
          <w:color w:val="000000" w:themeColor="text1"/>
          <w:sz w:val="20"/>
          <w:szCs w:val="20"/>
        </w:rPr>
        <w:t>Bollansie</w:t>
      </w:r>
      <w:proofErr w:type="spellEnd"/>
      <w:r w:rsidRPr="00E62BD3">
        <w:rPr>
          <w:color w:val="000000" w:themeColor="text1"/>
          <w:sz w:val="20"/>
          <w:szCs w:val="20"/>
        </w:rPr>
        <w:t>, </w:t>
      </w:r>
      <w:proofErr w:type="spellStart"/>
      <w:r w:rsidRPr="00E62BD3">
        <w:rPr>
          <w:color w:val="000000" w:themeColor="text1"/>
          <w:sz w:val="20"/>
          <w:szCs w:val="20"/>
        </w:rPr>
        <w:t>Hermippos</w:t>
      </w:r>
      <w:proofErr w:type="spellEnd"/>
      <w:r w:rsidRPr="00E62BD3">
        <w:rPr>
          <w:color w:val="000000" w:themeColor="text1"/>
          <w:sz w:val="20"/>
          <w:szCs w:val="20"/>
        </w:rPr>
        <w:t xml:space="preserve"> of Smyrna, 415</w:t>
      </w:r>
    </w:p>
    <w:p w14:paraId="451219AE"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J. De Romilly, A Short History of Greek Literature, 120–122.</w:t>
      </w:r>
    </w:p>
    <w:p w14:paraId="627003FF"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 xml:space="preserve">K. </w:t>
      </w:r>
      <w:proofErr w:type="spellStart"/>
      <w:r w:rsidRPr="00E62BD3">
        <w:rPr>
          <w:color w:val="000000" w:themeColor="text1"/>
          <w:sz w:val="20"/>
          <w:szCs w:val="20"/>
        </w:rPr>
        <w:t>Tsatsos</w:t>
      </w:r>
      <w:proofErr w:type="spellEnd"/>
      <w:r w:rsidRPr="00E62BD3">
        <w:rPr>
          <w:color w:val="000000" w:themeColor="text1"/>
          <w:sz w:val="20"/>
          <w:szCs w:val="20"/>
        </w:rPr>
        <w:t>, Demosthenes, 352.</w:t>
      </w:r>
    </w:p>
    <w:p w14:paraId="7E563B07"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Lucian. </w:t>
      </w:r>
      <w:proofErr w:type="spellStart"/>
      <w:r w:rsidRPr="00E62BD3">
        <w:rPr>
          <w:color w:val="000000" w:themeColor="text1"/>
          <w:sz w:val="20"/>
          <w:szCs w:val="20"/>
        </w:rPr>
        <w:t>Soloecista</w:t>
      </w:r>
      <w:proofErr w:type="spellEnd"/>
      <w:r w:rsidRPr="00E62BD3">
        <w:rPr>
          <w:color w:val="000000" w:themeColor="text1"/>
          <w:sz w:val="20"/>
          <w:szCs w:val="20"/>
        </w:rPr>
        <w:t xml:space="preserve">. Lucius or The Ass. </w:t>
      </w:r>
      <w:proofErr w:type="spellStart"/>
      <w:r w:rsidRPr="00E62BD3">
        <w:rPr>
          <w:color w:val="000000" w:themeColor="text1"/>
          <w:sz w:val="20"/>
          <w:szCs w:val="20"/>
        </w:rPr>
        <w:t>Amores</w:t>
      </w:r>
      <w:proofErr w:type="spellEnd"/>
      <w:r w:rsidRPr="00E62BD3">
        <w:rPr>
          <w:color w:val="000000" w:themeColor="text1"/>
          <w:sz w:val="20"/>
          <w:szCs w:val="20"/>
        </w:rPr>
        <w:t xml:space="preserve">. Halcyon. Demosthenes. Podagra. </w:t>
      </w:r>
      <w:proofErr w:type="spellStart"/>
      <w:r w:rsidRPr="00E62BD3">
        <w:rPr>
          <w:color w:val="000000" w:themeColor="text1"/>
          <w:sz w:val="20"/>
          <w:szCs w:val="20"/>
        </w:rPr>
        <w:t>Ocypus</w:t>
      </w:r>
      <w:proofErr w:type="spellEnd"/>
      <w:r w:rsidRPr="00E62BD3">
        <w:rPr>
          <w:color w:val="000000" w:themeColor="text1"/>
          <w:sz w:val="20"/>
          <w:szCs w:val="20"/>
        </w:rPr>
        <w:t xml:space="preserve">. </w:t>
      </w:r>
      <w:proofErr w:type="spellStart"/>
      <w:r w:rsidRPr="00E62BD3">
        <w:rPr>
          <w:color w:val="000000" w:themeColor="text1"/>
          <w:sz w:val="20"/>
          <w:szCs w:val="20"/>
        </w:rPr>
        <w:t>Cyniscus</w:t>
      </w:r>
      <w:proofErr w:type="spellEnd"/>
      <w:r w:rsidRPr="00E62BD3">
        <w:rPr>
          <w:color w:val="000000" w:themeColor="text1"/>
          <w:sz w:val="20"/>
          <w:szCs w:val="20"/>
        </w:rPr>
        <w:t xml:space="preserve">. </w:t>
      </w:r>
      <w:proofErr w:type="spellStart"/>
      <w:r w:rsidRPr="00E62BD3">
        <w:rPr>
          <w:color w:val="000000" w:themeColor="text1"/>
          <w:sz w:val="20"/>
          <w:szCs w:val="20"/>
        </w:rPr>
        <w:t>Philopatris</w:t>
      </w:r>
      <w:proofErr w:type="spellEnd"/>
      <w:r w:rsidRPr="00E62BD3">
        <w:rPr>
          <w:color w:val="000000" w:themeColor="text1"/>
          <w:sz w:val="20"/>
          <w:szCs w:val="20"/>
        </w:rPr>
        <w:t xml:space="preserve">. </w:t>
      </w:r>
      <w:proofErr w:type="spellStart"/>
      <w:r w:rsidRPr="00E62BD3">
        <w:rPr>
          <w:color w:val="000000" w:themeColor="text1"/>
          <w:sz w:val="20"/>
          <w:szCs w:val="20"/>
        </w:rPr>
        <w:t>Charidemus</w:t>
      </w:r>
      <w:proofErr w:type="spellEnd"/>
      <w:r w:rsidRPr="00E62BD3">
        <w:rPr>
          <w:color w:val="000000" w:themeColor="text1"/>
          <w:sz w:val="20"/>
          <w:szCs w:val="20"/>
        </w:rPr>
        <w:t>. Nero. Translated by M. D. MacLeod. Loeb Classical Library 432. Cambridge, MA: Harvard University Press, 1967.</w:t>
      </w:r>
    </w:p>
    <w:p w14:paraId="4D23833D"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 xml:space="preserve">M. </w:t>
      </w:r>
      <w:proofErr w:type="spellStart"/>
      <w:r w:rsidRPr="00E62BD3">
        <w:rPr>
          <w:color w:val="000000" w:themeColor="text1"/>
          <w:sz w:val="20"/>
          <w:szCs w:val="20"/>
        </w:rPr>
        <w:t>Tulli</w:t>
      </w:r>
      <w:proofErr w:type="spellEnd"/>
      <w:r w:rsidRPr="00E62BD3">
        <w:rPr>
          <w:color w:val="000000" w:themeColor="text1"/>
          <w:sz w:val="20"/>
          <w:szCs w:val="20"/>
        </w:rPr>
        <w:t xml:space="preserve"> </w:t>
      </w:r>
      <w:proofErr w:type="spellStart"/>
      <w:r w:rsidRPr="00E62BD3">
        <w:rPr>
          <w:color w:val="000000" w:themeColor="text1"/>
          <w:sz w:val="20"/>
          <w:szCs w:val="20"/>
        </w:rPr>
        <w:t>Ciceronis</w:t>
      </w:r>
      <w:proofErr w:type="spellEnd"/>
      <w:r w:rsidRPr="00E62BD3">
        <w:rPr>
          <w:color w:val="000000" w:themeColor="text1"/>
          <w:sz w:val="20"/>
          <w:szCs w:val="20"/>
        </w:rPr>
        <w:t xml:space="preserve"> </w:t>
      </w:r>
      <w:proofErr w:type="spellStart"/>
      <w:r w:rsidRPr="00E62BD3">
        <w:rPr>
          <w:color w:val="000000" w:themeColor="text1"/>
          <w:sz w:val="20"/>
          <w:szCs w:val="20"/>
        </w:rPr>
        <w:t>Rhetorica</w:t>
      </w:r>
      <w:proofErr w:type="spellEnd"/>
      <w:r w:rsidRPr="00E62BD3">
        <w:rPr>
          <w:color w:val="000000" w:themeColor="text1"/>
          <w:sz w:val="20"/>
          <w:szCs w:val="20"/>
        </w:rPr>
        <w:t>. M. Tullius Cicero. A. S. Wilkins. 1902.</w:t>
      </w:r>
    </w:p>
    <w:p w14:paraId="666E9333"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shd w:val="clear" w:color="auto" w:fill="FFFFFF"/>
        </w:rPr>
        <w:t>M.H. Hansen, </w:t>
      </w:r>
      <w:r w:rsidRPr="00E62BD3">
        <w:rPr>
          <w:color w:val="000000" w:themeColor="text1"/>
          <w:sz w:val="20"/>
          <w:szCs w:val="20"/>
        </w:rPr>
        <w:t>The Athenian Democracy</w:t>
      </w:r>
    </w:p>
    <w:p w14:paraId="3B11F5C7" w14:textId="77777777" w:rsidR="00E62BD3" w:rsidRPr="00E62BD3" w:rsidRDefault="00E62BD3" w:rsidP="00E62BD3">
      <w:pPr>
        <w:pStyle w:val="ListParagraph"/>
        <w:numPr>
          <w:ilvl w:val="0"/>
          <w:numId w:val="9"/>
        </w:numPr>
        <w:spacing w:line="480" w:lineRule="auto"/>
        <w:rPr>
          <w:color w:val="000000" w:themeColor="text1"/>
          <w:sz w:val="20"/>
          <w:szCs w:val="20"/>
        </w:rPr>
      </w:pPr>
      <w:proofErr w:type="spellStart"/>
      <w:r w:rsidRPr="00E62BD3">
        <w:rPr>
          <w:color w:val="000000" w:themeColor="text1"/>
          <w:sz w:val="20"/>
          <w:szCs w:val="20"/>
        </w:rPr>
        <w:t>Paparregopoulus</w:t>
      </w:r>
      <w:proofErr w:type="spellEnd"/>
      <w:r w:rsidRPr="00E62BD3">
        <w:rPr>
          <w:color w:val="000000" w:themeColor="text1"/>
          <w:sz w:val="20"/>
          <w:szCs w:val="20"/>
        </w:rPr>
        <w:t>, Ab, 396–398.</w:t>
      </w:r>
    </w:p>
    <w:p w14:paraId="3B0E9C80"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Plutarch, Demosthenes, </w:t>
      </w:r>
      <w:hyperlink r:id="rId17" w:history="1">
        <w:r w:rsidRPr="00E62BD3">
          <w:rPr>
            <w:rStyle w:val="Hyperlink"/>
            <w:color w:val="000000" w:themeColor="text1"/>
            <w:sz w:val="20"/>
            <w:szCs w:val="20"/>
            <w:u w:val="none"/>
          </w:rPr>
          <w:t>3.</w:t>
        </w:r>
      </w:hyperlink>
      <w:r w:rsidRPr="00E62BD3">
        <w:rPr>
          <w:color w:val="000000" w:themeColor="text1"/>
          <w:sz w:val="20"/>
          <w:szCs w:val="20"/>
        </w:rPr>
        <w:t> </w:t>
      </w:r>
      <w:hyperlink r:id="rId18" w:history="1">
        <w:r w:rsidRPr="00E62BD3">
          <w:rPr>
            <w:rStyle w:val="Hyperlink"/>
            <w:color w:val="000000" w:themeColor="text1"/>
            <w:sz w:val="20"/>
            <w:szCs w:val="20"/>
            <w:u w:val="none"/>
          </w:rPr>
          <w:t>Archived</w:t>
        </w:r>
      </w:hyperlink>
      <w:r w:rsidRPr="00E62BD3">
        <w:rPr>
          <w:color w:val="000000" w:themeColor="text1"/>
          <w:sz w:val="20"/>
          <w:szCs w:val="20"/>
        </w:rPr>
        <w:t> 20 May 2012 at the </w:t>
      </w:r>
      <w:proofErr w:type="spellStart"/>
      <w:r w:rsidRPr="00E62BD3">
        <w:rPr>
          <w:color w:val="000000" w:themeColor="text1"/>
          <w:sz w:val="20"/>
          <w:szCs w:val="20"/>
        </w:rPr>
        <w:fldChar w:fldCharType="begin"/>
      </w:r>
      <w:r w:rsidRPr="00E62BD3">
        <w:rPr>
          <w:color w:val="000000" w:themeColor="text1"/>
          <w:sz w:val="20"/>
          <w:szCs w:val="20"/>
        </w:rPr>
        <w:instrText xml:space="preserve"> HYPERLINK "https://en.wikipedia.org/wiki/Wayback_Machine" \o "Wayback Machine" </w:instrText>
      </w:r>
      <w:r w:rsidRPr="00E62BD3">
        <w:rPr>
          <w:color w:val="000000" w:themeColor="text1"/>
          <w:sz w:val="20"/>
          <w:szCs w:val="20"/>
        </w:rPr>
        <w:fldChar w:fldCharType="separate"/>
      </w:r>
      <w:r w:rsidRPr="00E62BD3">
        <w:rPr>
          <w:rStyle w:val="Hyperlink"/>
          <w:color w:val="000000" w:themeColor="text1"/>
          <w:sz w:val="20"/>
          <w:szCs w:val="20"/>
          <w:u w:val="none"/>
        </w:rPr>
        <w:t>Wayback</w:t>
      </w:r>
      <w:proofErr w:type="spellEnd"/>
      <w:r w:rsidRPr="00E62BD3">
        <w:rPr>
          <w:rStyle w:val="Hyperlink"/>
          <w:color w:val="000000" w:themeColor="text1"/>
          <w:sz w:val="20"/>
          <w:szCs w:val="20"/>
          <w:u w:val="none"/>
        </w:rPr>
        <w:t xml:space="preserve"> Machine</w:t>
      </w:r>
      <w:r w:rsidRPr="00E62BD3">
        <w:rPr>
          <w:color w:val="000000" w:themeColor="text1"/>
          <w:sz w:val="20"/>
          <w:szCs w:val="20"/>
        </w:rPr>
        <w:fldChar w:fldCharType="end"/>
      </w:r>
    </w:p>
    <w:p w14:paraId="3A969FBC"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Plutarch. Plutarch's Lives. with an English Translation by. Bernadotte Perrin. Cambridge, MA. Harvard University Press. London. William Heinemann Ltd. 1919. 7.</w:t>
      </w:r>
    </w:p>
    <w:p w14:paraId="3F7AC2D8"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lastRenderedPageBreak/>
        <w:t xml:space="preserve">The Attic Orators from Antiphon to </w:t>
      </w:r>
      <w:proofErr w:type="spellStart"/>
      <w:r w:rsidRPr="00E62BD3">
        <w:rPr>
          <w:color w:val="000000" w:themeColor="text1"/>
          <w:sz w:val="20"/>
          <w:szCs w:val="20"/>
        </w:rPr>
        <w:t>Isaeos</w:t>
      </w:r>
      <w:proofErr w:type="spellEnd"/>
      <w:r w:rsidRPr="00E62BD3">
        <w:rPr>
          <w:color w:val="000000" w:themeColor="text1"/>
          <w:sz w:val="20"/>
          <w:szCs w:val="20"/>
        </w:rPr>
        <w:t xml:space="preserve">. Sir Richard C. </w:t>
      </w:r>
      <w:proofErr w:type="spellStart"/>
      <w:r w:rsidRPr="00E62BD3">
        <w:rPr>
          <w:color w:val="000000" w:themeColor="text1"/>
          <w:sz w:val="20"/>
          <w:szCs w:val="20"/>
        </w:rPr>
        <w:t>Jebb</w:t>
      </w:r>
      <w:proofErr w:type="spellEnd"/>
      <w:r w:rsidRPr="00E62BD3">
        <w:rPr>
          <w:color w:val="000000" w:themeColor="text1"/>
          <w:sz w:val="20"/>
          <w:szCs w:val="20"/>
        </w:rPr>
        <w:t>. London. Macmillan. 1876.</w:t>
      </w:r>
    </w:p>
    <w:p w14:paraId="6391A040"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The Parallel Lives by Plutarch published in Vol. VII of the Loeb Classical Library edition, 1919</w:t>
      </w:r>
    </w:p>
    <w:p w14:paraId="64BD9189"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 xml:space="preserve">W. A. </w:t>
      </w:r>
      <w:proofErr w:type="spellStart"/>
      <w:r w:rsidRPr="00E62BD3">
        <w:rPr>
          <w:color w:val="000000" w:themeColor="text1"/>
          <w:sz w:val="20"/>
          <w:szCs w:val="20"/>
        </w:rPr>
        <w:t>Rebhorn</w:t>
      </w:r>
      <w:proofErr w:type="spellEnd"/>
      <w:r w:rsidRPr="00E62BD3">
        <w:rPr>
          <w:color w:val="000000" w:themeColor="text1"/>
          <w:sz w:val="20"/>
          <w:szCs w:val="20"/>
        </w:rPr>
        <w:t>, Renaissance Debates on Rhetoric, 139, 167, 258.</w:t>
      </w:r>
    </w:p>
    <w:p w14:paraId="57853040"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Wooten, Cecil (1999). "A Triple Division in Demosthenes". Classical Philology. 94 (4): 450–454</w:t>
      </w:r>
    </w:p>
    <w:p w14:paraId="2B98EE47" w14:textId="77777777" w:rsidR="00E62BD3" w:rsidRPr="00E62BD3" w:rsidRDefault="00E62BD3" w:rsidP="00E62BD3">
      <w:pPr>
        <w:pStyle w:val="ListParagraph"/>
        <w:numPr>
          <w:ilvl w:val="0"/>
          <w:numId w:val="9"/>
        </w:numPr>
        <w:spacing w:line="480" w:lineRule="auto"/>
        <w:rPr>
          <w:color w:val="000000" w:themeColor="text1"/>
          <w:sz w:val="20"/>
          <w:szCs w:val="20"/>
        </w:rPr>
      </w:pPr>
      <w:r w:rsidRPr="00E62BD3">
        <w:rPr>
          <w:color w:val="000000" w:themeColor="text1"/>
          <w:sz w:val="20"/>
          <w:szCs w:val="20"/>
        </w:rPr>
        <w:t>Yunis, H. (2007). The Reception of Demosthenes. The Classical Review, 57(2), 299-301. Retrieved May 10, 2020, from www.jstor.org/stable/4497541</w:t>
      </w:r>
    </w:p>
    <w:p w14:paraId="50F07949" w14:textId="77777777" w:rsidR="00444436" w:rsidRPr="005B4EA1" w:rsidRDefault="00444436" w:rsidP="005B4EA1">
      <w:pPr>
        <w:spacing w:line="480" w:lineRule="auto"/>
        <w:rPr>
          <w:color w:val="000000" w:themeColor="text1"/>
          <w:sz w:val="20"/>
          <w:szCs w:val="20"/>
        </w:rPr>
      </w:pPr>
    </w:p>
    <w:sectPr w:rsidR="00444436" w:rsidRPr="005B4EA1" w:rsidSect="006837B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D48AC" w14:textId="77777777" w:rsidR="002107DD" w:rsidRDefault="002107DD" w:rsidP="00F56CEF">
      <w:r>
        <w:separator/>
      </w:r>
    </w:p>
  </w:endnote>
  <w:endnote w:type="continuationSeparator" w:id="0">
    <w:p w14:paraId="46B00190" w14:textId="77777777" w:rsidR="002107DD" w:rsidRDefault="002107DD" w:rsidP="00F56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7E09A6" w14:textId="77777777" w:rsidR="002107DD" w:rsidRDefault="002107DD" w:rsidP="00F56CEF">
      <w:r>
        <w:separator/>
      </w:r>
    </w:p>
  </w:footnote>
  <w:footnote w:type="continuationSeparator" w:id="0">
    <w:p w14:paraId="07644FF4" w14:textId="77777777" w:rsidR="002107DD" w:rsidRDefault="002107DD" w:rsidP="00F56CEF">
      <w:r>
        <w:continuationSeparator/>
      </w:r>
    </w:p>
  </w:footnote>
  <w:footnote w:id="1">
    <w:p w14:paraId="586C972A" w14:textId="4BC7DD34" w:rsidR="00F56CEF" w:rsidRPr="00E62BD3" w:rsidRDefault="00F56CEF" w:rsidP="005B4EA1">
      <w:pPr>
        <w:rPr>
          <w:color w:val="000000" w:themeColor="text1"/>
          <w:sz w:val="18"/>
          <w:szCs w:val="18"/>
        </w:rPr>
      </w:pPr>
      <w:r w:rsidRPr="00E62BD3">
        <w:rPr>
          <w:rStyle w:val="FootnoteReference"/>
          <w:sz w:val="18"/>
          <w:szCs w:val="18"/>
        </w:rPr>
        <w:footnoteRef/>
      </w:r>
      <w:r w:rsidRPr="00E62BD3">
        <w:rPr>
          <w:sz w:val="18"/>
          <w:szCs w:val="18"/>
        </w:rPr>
        <w:t xml:space="preserve"> </w:t>
      </w:r>
      <w:r w:rsidRPr="00E62BD3">
        <w:rPr>
          <w:color w:val="000000" w:themeColor="text1"/>
          <w:sz w:val="18"/>
          <w:szCs w:val="18"/>
        </w:rPr>
        <w:t>The Parallel Lives </w:t>
      </w:r>
      <w:r w:rsidRPr="00E62BD3">
        <w:rPr>
          <w:color w:val="000000" w:themeColor="text1"/>
          <w:sz w:val="18"/>
          <w:szCs w:val="18"/>
        </w:rPr>
        <w:t>b</w:t>
      </w:r>
      <w:r w:rsidRPr="00E62BD3">
        <w:rPr>
          <w:color w:val="000000" w:themeColor="text1"/>
          <w:sz w:val="18"/>
          <w:szCs w:val="18"/>
        </w:rPr>
        <w:t>y Plutarch </w:t>
      </w:r>
    </w:p>
  </w:footnote>
  <w:footnote w:id="2">
    <w:p w14:paraId="70184408" w14:textId="4079FFA0" w:rsidR="00F56CEF" w:rsidRDefault="00F56CEF">
      <w:pPr>
        <w:pStyle w:val="FootnoteText"/>
      </w:pPr>
      <w:r w:rsidRPr="00E62BD3">
        <w:rPr>
          <w:rStyle w:val="FootnoteReference"/>
          <w:sz w:val="18"/>
          <w:szCs w:val="18"/>
        </w:rPr>
        <w:footnoteRef/>
      </w:r>
      <w:r w:rsidRPr="00E62BD3">
        <w:rPr>
          <w:sz w:val="18"/>
          <w:szCs w:val="18"/>
        </w:rPr>
        <w:t xml:space="preserve"> </w:t>
      </w:r>
      <w:proofErr w:type="spellStart"/>
      <w:r w:rsidRPr="00E62BD3">
        <w:rPr>
          <w:sz w:val="18"/>
          <w:szCs w:val="18"/>
        </w:rPr>
        <w:t>Plu</w:t>
      </w:r>
      <w:proofErr w:type="spellEnd"/>
      <w:r w:rsidRPr="00E62BD3">
        <w:rPr>
          <w:sz w:val="18"/>
          <w:szCs w:val="18"/>
        </w:rPr>
        <w:t>, Dem 5.5</w:t>
      </w:r>
    </w:p>
  </w:footnote>
  <w:footnote w:id="3">
    <w:p w14:paraId="10E8E56C" w14:textId="58D308D5" w:rsidR="00F56CEF" w:rsidRPr="00E62BD3" w:rsidRDefault="00F56CEF" w:rsidP="00E62BD3">
      <w:pPr>
        <w:rPr>
          <w:sz w:val="18"/>
          <w:szCs w:val="18"/>
        </w:rPr>
      </w:pPr>
      <w:r w:rsidRPr="00E62BD3">
        <w:rPr>
          <w:rStyle w:val="FootnoteReference"/>
          <w:sz w:val="18"/>
          <w:szCs w:val="18"/>
        </w:rPr>
        <w:footnoteRef/>
      </w:r>
      <w:r w:rsidRPr="00E62BD3">
        <w:rPr>
          <w:sz w:val="18"/>
          <w:szCs w:val="18"/>
        </w:rPr>
        <w:t xml:space="preserve"> </w:t>
      </w:r>
      <w:r w:rsidRPr="00E62BD3">
        <w:rPr>
          <w:color w:val="333333"/>
          <w:sz w:val="18"/>
          <w:szCs w:val="18"/>
        </w:rPr>
        <w:t>Lucian</w:t>
      </w:r>
      <w:r w:rsidRPr="00E62BD3">
        <w:rPr>
          <w:color w:val="333333"/>
          <w:sz w:val="18"/>
          <w:szCs w:val="18"/>
          <w:shd w:val="clear" w:color="auto" w:fill="FFFFFF"/>
        </w:rPr>
        <w:t>. </w:t>
      </w:r>
      <w:proofErr w:type="spellStart"/>
      <w:r w:rsidRPr="00E62BD3">
        <w:rPr>
          <w:i/>
          <w:iCs/>
          <w:color w:val="333333"/>
          <w:sz w:val="18"/>
          <w:szCs w:val="18"/>
        </w:rPr>
        <w:t>Soloecista</w:t>
      </w:r>
      <w:proofErr w:type="spellEnd"/>
      <w:r w:rsidRPr="00E62BD3">
        <w:rPr>
          <w:i/>
          <w:iCs/>
          <w:color w:val="333333"/>
          <w:sz w:val="18"/>
          <w:szCs w:val="18"/>
        </w:rPr>
        <w:t xml:space="preserve">. Lucius or The Ass. </w:t>
      </w:r>
      <w:proofErr w:type="spellStart"/>
      <w:r w:rsidRPr="00E62BD3">
        <w:rPr>
          <w:i/>
          <w:iCs/>
          <w:color w:val="333333"/>
          <w:sz w:val="18"/>
          <w:szCs w:val="18"/>
        </w:rPr>
        <w:t>Amores</w:t>
      </w:r>
      <w:proofErr w:type="spellEnd"/>
      <w:r w:rsidRPr="00E62BD3">
        <w:rPr>
          <w:i/>
          <w:iCs/>
          <w:color w:val="333333"/>
          <w:sz w:val="18"/>
          <w:szCs w:val="18"/>
        </w:rPr>
        <w:t xml:space="preserve">. Halcyon. Demosthenes. Podagra. </w:t>
      </w:r>
      <w:proofErr w:type="spellStart"/>
      <w:r w:rsidRPr="00E62BD3">
        <w:rPr>
          <w:i/>
          <w:iCs/>
          <w:color w:val="333333"/>
          <w:sz w:val="18"/>
          <w:szCs w:val="18"/>
        </w:rPr>
        <w:t>Ocypus</w:t>
      </w:r>
      <w:proofErr w:type="spellEnd"/>
      <w:r w:rsidRPr="00E62BD3">
        <w:rPr>
          <w:i/>
          <w:iCs/>
          <w:color w:val="333333"/>
          <w:sz w:val="18"/>
          <w:szCs w:val="18"/>
        </w:rPr>
        <w:t xml:space="preserve">. </w:t>
      </w:r>
      <w:proofErr w:type="spellStart"/>
      <w:r w:rsidRPr="00E62BD3">
        <w:rPr>
          <w:i/>
          <w:iCs/>
          <w:color w:val="333333"/>
          <w:sz w:val="18"/>
          <w:szCs w:val="18"/>
        </w:rPr>
        <w:t>Cyniscus</w:t>
      </w:r>
      <w:proofErr w:type="spellEnd"/>
      <w:r w:rsidRPr="00E62BD3">
        <w:rPr>
          <w:i/>
          <w:iCs/>
          <w:color w:val="333333"/>
          <w:sz w:val="18"/>
          <w:szCs w:val="18"/>
        </w:rPr>
        <w:t xml:space="preserve">. </w:t>
      </w:r>
      <w:proofErr w:type="spellStart"/>
      <w:r w:rsidRPr="00E62BD3">
        <w:rPr>
          <w:i/>
          <w:iCs/>
          <w:color w:val="333333"/>
          <w:sz w:val="18"/>
          <w:szCs w:val="18"/>
        </w:rPr>
        <w:t>Philopatris</w:t>
      </w:r>
      <w:proofErr w:type="spellEnd"/>
      <w:r w:rsidRPr="00E62BD3">
        <w:rPr>
          <w:i/>
          <w:iCs/>
          <w:color w:val="333333"/>
          <w:sz w:val="18"/>
          <w:szCs w:val="18"/>
        </w:rPr>
        <w:t xml:space="preserve">. </w:t>
      </w:r>
      <w:proofErr w:type="spellStart"/>
      <w:r w:rsidRPr="00E62BD3">
        <w:rPr>
          <w:i/>
          <w:iCs/>
          <w:color w:val="333333"/>
          <w:sz w:val="18"/>
          <w:szCs w:val="18"/>
        </w:rPr>
        <w:t>Charidemus</w:t>
      </w:r>
      <w:proofErr w:type="spellEnd"/>
      <w:r w:rsidRPr="00E62BD3">
        <w:rPr>
          <w:i/>
          <w:iCs/>
          <w:color w:val="333333"/>
          <w:sz w:val="18"/>
          <w:szCs w:val="18"/>
        </w:rPr>
        <w:t>. Nero.</w:t>
      </w:r>
    </w:p>
  </w:footnote>
  <w:footnote w:id="4">
    <w:p w14:paraId="29A46570" w14:textId="6A9C0421" w:rsidR="00F56CEF" w:rsidRPr="00E62BD3" w:rsidRDefault="00F56CEF">
      <w:pPr>
        <w:pStyle w:val="FootnoteText"/>
        <w:rPr>
          <w:sz w:val="18"/>
          <w:szCs w:val="18"/>
        </w:rPr>
      </w:pPr>
      <w:r w:rsidRPr="00E62BD3">
        <w:rPr>
          <w:rStyle w:val="FootnoteReference"/>
          <w:sz w:val="18"/>
          <w:szCs w:val="18"/>
        </w:rPr>
        <w:footnoteRef/>
      </w:r>
      <w:r w:rsidRPr="00E62BD3">
        <w:rPr>
          <w:sz w:val="18"/>
          <w:szCs w:val="18"/>
        </w:rPr>
        <w:t xml:space="preserve"> </w:t>
      </w:r>
      <w:proofErr w:type="spellStart"/>
      <w:r w:rsidRPr="00E62BD3">
        <w:rPr>
          <w:sz w:val="18"/>
          <w:szCs w:val="18"/>
        </w:rPr>
        <w:t>Plut</w:t>
      </w:r>
      <w:proofErr w:type="spellEnd"/>
      <w:r w:rsidRPr="00E62BD3">
        <w:rPr>
          <w:sz w:val="18"/>
          <w:szCs w:val="18"/>
        </w:rPr>
        <w:t>. Dem. 5.4</w:t>
      </w:r>
    </w:p>
  </w:footnote>
  <w:footnote w:id="5">
    <w:p w14:paraId="2CC6FA4B" w14:textId="290D85DF" w:rsidR="005B4EA1" w:rsidRPr="005B4EA1" w:rsidRDefault="005B4EA1" w:rsidP="005B4EA1">
      <w:r w:rsidRPr="00E62BD3">
        <w:rPr>
          <w:rStyle w:val="FootnoteReference"/>
          <w:sz w:val="18"/>
          <w:szCs w:val="18"/>
        </w:rPr>
        <w:footnoteRef/>
      </w:r>
      <w:r w:rsidRPr="00E62BD3">
        <w:rPr>
          <w:sz w:val="18"/>
          <w:szCs w:val="18"/>
        </w:rPr>
        <w:t xml:space="preserve"> </w:t>
      </w:r>
      <w:r w:rsidRPr="00E62BD3">
        <w:rPr>
          <w:color w:val="333333"/>
          <w:sz w:val="18"/>
          <w:szCs w:val="18"/>
          <w:shd w:val="clear" w:color="auto" w:fill="FFFFFF"/>
        </w:rPr>
        <w:t>Yunis, H. (2007). The Reception of Demosthenes. </w:t>
      </w:r>
      <w:r w:rsidRPr="00E62BD3">
        <w:rPr>
          <w:i/>
          <w:iCs/>
          <w:color w:val="333333"/>
          <w:sz w:val="18"/>
          <w:szCs w:val="18"/>
        </w:rPr>
        <w:t>The Classical Review,</w:t>
      </w:r>
      <w:r w:rsidRPr="00E62BD3">
        <w:rPr>
          <w:color w:val="333333"/>
          <w:sz w:val="18"/>
          <w:szCs w:val="18"/>
          <w:shd w:val="clear" w:color="auto" w:fill="FFFFFF"/>
        </w:rPr>
        <w:t> </w:t>
      </w:r>
      <w:r w:rsidRPr="00E62BD3">
        <w:rPr>
          <w:i/>
          <w:iCs/>
          <w:color w:val="333333"/>
          <w:sz w:val="18"/>
          <w:szCs w:val="18"/>
        </w:rPr>
        <w:t>57</w:t>
      </w:r>
      <w:r w:rsidRPr="00E62BD3">
        <w:rPr>
          <w:color w:val="333333"/>
          <w:sz w:val="18"/>
          <w:szCs w:val="18"/>
          <w:shd w:val="clear" w:color="auto" w:fill="FFFFFF"/>
        </w:rPr>
        <w:t>(2), 299</w:t>
      </w:r>
    </w:p>
  </w:footnote>
  <w:footnote w:id="6">
    <w:p w14:paraId="43A2B9E8" w14:textId="6AA366B0" w:rsidR="005B4EA1" w:rsidRPr="00E62BD3" w:rsidRDefault="005B4EA1">
      <w:pPr>
        <w:pStyle w:val="FootnoteText"/>
        <w:rPr>
          <w:sz w:val="18"/>
          <w:szCs w:val="18"/>
        </w:rPr>
      </w:pPr>
      <w:r w:rsidRPr="00E62BD3">
        <w:rPr>
          <w:rStyle w:val="FootnoteReference"/>
          <w:sz w:val="18"/>
          <w:szCs w:val="18"/>
        </w:rPr>
        <w:footnoteRef/>
      </w:r>
      <w:r w:rsidRPr="00E62BD3">
        <w:rPr>
          <w:sz w:val="18"/>
          <w:szCs w:val="18"/>
        </w:rPr>
        <w:t xml:space="preserve"> </w:t>
      </w:r>
      <w:proofErr w:type="spellStart"/>
      <w:r w:rsidRPr="00E62BD3">
        <w:rPr>
          <w:sz w:val="18"/>
          <w:szCs w:val="18"/>
        </w:rPr>
        <w:t>Plut</w:t>
      </w:r>
      <w:proofErr w:type="spellEnd"/>
      <w:r w:rsidRPr="00E62BD3">
        <w:rPr>
          <w:sz w:val="18"/>
          <w:szCs w:val="18"/>
        </w:rPr>
        <w:t>. Dem. 6.3</w:t>
      </w:r>
    </w:p>
  </w:footnote>
  <w:footnote w:id="7">
    <w:p w14:paraId="00EE1A85" w14:textId="7E8939BF" w:rsidR="00F56CEF" w:rsidRPr="00E62BD3" w:rsidRDefault="00F56CEF">
      <w:pPr>
        <w:pStyle w:val="FootnoteText"/>
        <w:rPr>
          <w:sz w:val="18"/>
          <w:szCs w:val="18"/>
        </w:rPr>
      </w:pPr>
      <w:r w:rsidRPr="00E62BD3">
        <w:rPr>
          <w:rStyle w:val="FootnoteReference"/>
          <w:sz w:val="18"/>
          <w:szCs w:val="18"/>
        </w:rPr>
        <w:footnoteRef/>
      </w:r>
      <w:r w:rsidRPr="00E62BD3">
        <w:rPr>
          <w:sz w:val="18"/>
          <w:szCs w:val="18"/>
        </w:rPr>
        <w:t xml:space="preserve"> </w:t>
      </w:r>
      <w:proofErr w:type="spellStart"/>
      <w:r w:rsidRPr="00E62BD3">
        <w:rPr>
          <w:sz w:val="18"/>
          <w:szCs w:val="18"/>
        </w:rPr>
        <w:t>Plut</w:t>
      </w:r>
      <w:proofErr w:type="spellEnd"/>
      <w:r w:rsidRPr="00E62BD3">
        <w:rPr>
          <w:sz w:val="18"/>
          <w:szCs w:val="18"/>
        </w:rPr>
        <w:t>. Dem. 7.</w:t>
      </w:r>
      <w:r w:rsidRPr="00E62BD3">
        <w:rPr>
          <w:sz w:val="18"/>
          <w:szCs w:val="18"/>
        </w:rPr>
        <w:t>2</w:t>
      </w:r>
    </w:p>
  </w:footnote>
  <w:footnote w:id="8">
    <w:p w14:paraId="4D37E1AA" w14:textId="080FD1DA" w:rsidR="005B4EA1" w:rsidRDefault="005B4EA1">
      <w:pPr>
        <w:pStyle w:val="FootnoteText"/>
      </w:pPr>
      <w:r w:rsidRPr="00E62BD3">
        <w:rPr>
          <w:rStyle w:val="FootnoteReference"/>
          <w:sz w:val="18"/>
          <w:szCs w:val="18"/>
        </w:rPr>
        <w:footnoteRef/>
      </w:r>
      <w:r w:rsidRPr="00E62BD3">
        <w:rPr>
          <w:sz w:val="18"/>
          <w:szCs w:val="18"/>
        </w:rPr>
        <w:t xml:space="preserve"> </w:t>
      </w:r>
      <w:proofErr w:type="spellStart"/>
      <w:r w:rsidRPr="00E62BD3">
        <w:rPr>
          <w:sz w:val="18"/>
          <w:szCs w:val="18"/>
        </w:rPr>
        <w:t>Plut</w:t>
      </w:r>
      <w:proofErr w:type="spellEnd"/>
      <w:r w:rsidRPr="00E62BD3">
        <w:rPr>
          <w:sz w:val="18"/>
          <w:szCs w:val="18"/>
        </w:rPr>
        <w:t>. Dem. 6.3</w:t>
      </w:r>
    </w:p>
  </w:footnote>
  <w:footnote w:id="9">
    <w:p w14:paraId="26AA78E8" w14:textId="77777777" w:rsidR="005B4EA1" w:rsidRPr="00E62BD3" w:rsidRDefault="005B4EA1" w:rsidP="005B4EA1">
      <w:pPr>
        <w:pStyle w:val="FootnoteText"/>
        <w:rPr>
          <w:sz w:val="18"/>
          <w:szCs w:val="18"/>
        </w:rPr>
      </w:pPr>
      <w:r w:rsidRPr="00E62BD3">
        <w:rPr>
          <w:rStyle w:val="FootnoteReference"/>
          <w:sz w:val="18"/>
          <w:szCs w:val="18"/>
        </w:rPr>
        <w:footnoteRef/>
      </w:r>
      <w:r w:rsidRPr="00E62BD3">
        <w:rPr>
          <w:sz w:val="18"/>
          <w:szCs w:val="18"/>
        </w:rPr>
        <w:t xml:space="preserve"> </w:t>
      </w:r>
      <w:proofErr w:type="spellStart"/>
      <w:r w:rsidRPr="00E62BD3">
        <w:rPr>
          <w:sz w:val="18"/>
          <w:szCs w:val="18"/>
        </w:rPr>
        <w:t>Plut</w:t>
      </w:r>
      <w:proofErr w:type="spellEnd"/>
      <w:r w:rsidRPr="00E62BD3">
        <w:rPr>
          <w:sz w:val="18"/>
          <w:szCs w:val="18"/>
        </w:rPr>
        <w:t>. Dem. 7.3</w:t>
      </w:r>
    </w:p>
  </w:footnote>
  <w:footnote w:id="10">
    <w:p w14:paraId="30A0B6FE" w14:textId="003E62DD" w:rsidR="005B4EA1" w:rsidRPr="00E62BD3" w:rsidRDefault="005B4EA1">
      <w:pPr>
        <w:pStyle w:val="FootnoteText"/>
        <w:rPr>
          <w:sz w:val="18"/>
          <w:szCs w:val="18"/>
        </w:rPr>
      </w:pPr>
      <w:r w:rsidRPr="00E62BD3">
        <w:rPr>
          <w:rStyle w:val="FootnoteReference"/>
          <w:sz w:val="18"/>
          <w:szCs w:val="18"/>
        </w:rPr>
        <w:footnoteRef/>
      </w:r>
      <w:r w:rsidRPr="00E62BD3">
        <w:rPr>
          <w:sz w:val="18"/>
          <w:szCs w:val="18"/>
        </w:rPr>
        <w:t xml:space="preserve"> </w:t>
      </w:r>
      <w:proofErr w:type="spellStart"/>
      <w:r w:rsidRPr="00E62BD3">
        <w:rPr>
          <w:sz w:val="18"/>
          <w:szCs w:val="18"/>
        </w:rPr>
        <w:t>Cic</w:t>
      </w:r>
      <w:proofErr w:type="spellEnd"/>
      <w:r w:rsidRPr="00E62BD3">
        <w:rPr>
          <w:sz w:val="18"/>
          <w:szCs w:val="18"/>
        </w:rPr>
        <w:t xml:space="preserve">. de </w:t>
      </w:r>
      <w:proofErr w:type="spellStart"/>
      <w:r w:rsidRPr="00E62BD3">
        <w:rPr>
          <w:sz w:val="18"/>
          <w:szCs w:val="18"/>
        </w:rPr>
        <w:t>Orat</w:t>
      </w:r>
      <w:proofErr w:type="spellEnd"/>
      <w:r w:rsidRPr="00E62BD3">
        <w:rPr>
          <w:sz w:val="18"/>
          <w:szCs w:val="18"/>
        </w:rPr>
        <w:t>. 3.213</w:t>
      </w:r>
    </w:p>
  </w:footnote>
  <w:footnote w:id="11">
    <w:p w14:paraId="02DB91BD" w14:textId="3B5AE63A" w:rsidR="005B4EA1" w:rsidRPr="00E62BD3" w:rsidRDefault="005B4EA1" w:rsidP="00E62BD3">
      <w:pPr>
        <w:rPr>
          <w:sz w:val="18"/>
          <w:szCs w:val="18"/>
        </w:rPr>
      </w:pPr>
      <w:r w:rsidRPr="00E62BD3">
        <w:rPr>
          <w:rStyle w:val="FootnoteReference"/>
          <w:sz w:val="18"/>
          <w:szCs w:val="18"/>
        </w:rPr>
        <w:footnoteRef/>
      </w:r>
      <w:r w:rsidRPr="00E62BD3">
        <w:rPr>
          <w:sz w:val="18"/>
          <w:szCs w:val="18"/>
        </w:rPr>
        <w:t xml:space="preserve"> </w:t>
      </w:r>
      <w:proofErr w:type="spellStart"/>
      <w:r w:rsidRPr="00E62BD3">
        <w:rPr>
          <w:sz w:val="18"/>
          <w:szCs w:val="18"/>
        </w:rPr>
        <w:t>Jebb</w:t>
      </w:r>
      <w:proofErr w:type="spellEnd"/>
      <w:r w:rsidRPr="00E62BD3">
        <w:rPr>
          <w:sz w:val="18"/>
          <w:szCs w:val="18"/>
        </w:rPr>
        <w:t xml:space="preserve"> Orators 19.4</w:t>
      </w:r>
    </w:p>
  </w:footnote>
  <w:footnote w:id="12">
    <w:p w14:paraId="5785D5B3" w14:textId="77777777" w:rsidR="005B4EA1" w:rsidRPr="00E62BD3" w:rsidRDefault="005B4EA1" w:rsidP="005B4EA1">
      <w:pPr>
        <w:rPr>
          <w:sz w:val="18"/>
          <w:szCs w:val="18"/>
        </w:rPr>
      </w:pPr>
      <w:r w:rsidRPr="00E62BD3">
        <w:rPr>
          <w:rStyle w:val="FootnoteReference"/>
          <w:sz w:val="18"/>
          <w:szCs w:val="18"/>
        </w:rPr>
        <w:footnoteRef/>
      </w:r>
      <w:r w:rsidRPr="00E62BD3">
        <w:rPr>
          <w:sz w:val="18"/>
          <w:szCs w:val="18"/>
        </w:rPr>
        <w:t xml:space="preserve"> </w:t>
      </w:r>
      <w:r w:rsidRPr="00E62BD3">
        <w:rPr>
          <w:color w:val="202122"/>
          <w:sz w:val="18"/>
          <w:szCs w:val="18"/>
          <w:shd w:val="clear" w:color="auto" w:fill="FFFFFF"/>
        </w:rPr>
        <w:t>G. Kennedy, "Oratory", 514–515.</w:t>
      </w:r>
    </w:p>
    <w:p w14:paraId="3C595BBF" w14:textId="44641416" w:rsidR="005B4EA1" w:rsidRDefault="005B4EA1">
      <w:pPr>
        <w:pStyle w:val="FootnoteText"/>
      </w:pPr>
    </w:p>
  </w:footnote>
  <w:footnote w:id="13">
    <w:p w14:paraId="501CA7A9" w14:textId="6012A888" w:rsidR="005B4EA1" w:rsidRPr="00E62BD3" w:rsidRDefault="005B4EA1">
      <w:pPr>
        <w:pStyle w:val="FootnoteText"/>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rPr>
        <w:t>D.4.demosthenes-harpers</w:t>
      </w:r>
    </w:p>
  </w:footnote>
  <w:footnote w:id="14">
    <w:p w14:paraId="082006C1" w14:textId="1B39AE0B" w:rsidR="005B4EA1" w:rsidRPr="00E62BD3" w:rsidRDefault="005B4EA1" w:rsidP="005B4EA1">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J. De Romilly, </w:t>
      </w:r>
      <w:r w:rsidRPr="00E62BD3">
        <w:rPr>
          <w:i/>
          <w:iCs/>
          <w:color w:val="000000" w:themeColor="text1"/>
          <w:sz w:val="18"/>
          <w:szCs w:val="18"/>
        </w:rPr>
        <w:t>A Short History of Greek Literature,</w:t>
      </w:r>
      <w:r w:rsidRPr="00E62BD3">
        <w:rPr>
          <w:color w:val="000000" w:themeColor="text1"/>
          <w:sz w:val="18"/>
          <w:szCs w:val="18"/>
          <w:shd w:val="clear" w:color="auto" w:fill="FFFFFF"/>
        </w:rPr>
        <w:t> 120–122.</w:t>
      </w:r>
    </w:p>
  </w:footnote>
  <w:footnote w:id="15">
    <w:p w14:paraId="695EB61D" w14:textId="3774EC63" w:rsidR="005B4EA1" w:rsidRPr="00E62BD3" w:rsidRDefault="005B4EA1" w:rsidP="005B4EA1">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 xml:space="preserve">J. </w:t>
      </w:r>
      <w:proofErr w:type="spellStart"/>
      <w:r w:rsidRPr="00E62BD3">
        <w:rPr>
          <w:color w:val="000000" w:themeColor="text1"/>
          <w:sz w:val="18"/>
          <w:szCs w:val="18"/>
          <w:shd w:val="clear" w:color="auto" w:fill="FFFFFF"/>
        </w:rPr>
        <w:t>Bollansie</w:t>
      </w:r>
      <w:proofErr w:type="spellEnd"/>
      <w:r w:rsidRPr="00E62BD3">
        <w:rPr>
          <w:color w:val="000000" w:themeColor="text1"/>
          <w:sz w:val="18"/>
          <w:szCs w:val="18"/>
          <w:shd w:val="clear" w:color="auto" w:fill="FFFFFF"/>
        </w:rPr>
        <w:t>, </w:t>
      </w:r>
      <w:proofErr w:type="spellStart"/>
      <w:r w:rsidRPr="00E62BD3">
        <w:rPr>
          <w:i/>
          <w:iCs/>
          <w:color w:val="000000" w:themeColor="text1"/>
          <w:sz w:val="18"/>
          <w:szCs w:val="18"/>
        </w:rPr>
        <w:t>Hermippos</w:t>
      </w:r>
      <w:proofErr w:type="spellEnd"/>
      <w:r w:rsidRPr="00E62BD3">
        <w:rPr>
          <w:i/>
          <w:iCs/>
          <w:color w:val="000000" w:themeColor="text1"/>
          <w:sz w:val="18"/>
          <w:szCs w:val="18"/>
        </w:rPr>
        <w:t xml:space="preserve"> of Smyrna</w:t>
      </w:r>
      <w:r w:rsidRPr="00E62BD3">
        <w:rPr>
          <w:color w:val="000000" w:themeColor="text1"/>
          <w:sz w:val="18"/>
          <w:szCs w:val="18"/>
          <w:shd w:val="clear" w:color="auto" w:fill="FFFFFF"/>
        </w:rPr>
        <w:t>, 415</w:t>
      </w:r>
    </w:p>
  </w:footnote>
  <w:footnote w:id="16">
    <w:p w14:paraId="0060AB30" w14:textId="72B372F5" w:rsidR="005B4EA1" w:rsidRPr="00E62BD3" w:rsidRDefault="005B4EA1">
      <w:pPr>
        <w:pStyle w:val="FootnoteText"/>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proofErr w:type="spellStart"/>
      <w:r w:rsidRPr="00E62BD3">
        <w:rPr>
          <w:color w:val="000000" w:themeColor="text1"/>
          <w:sz w:val="18"/>
          <w:szCs w:val="18"/>
        </w:rPr>
        <w:t>Plut</w:t>
      </w:r>
      <w:proofErr w:type="spellEnd"/>
      <w:r w:rsidRPr="00E62BD3">
        <w:rPr>
          <w:color w:val="000000" w:themeColor="text1"/>
          <w:sz w:val="18"/>
          <w:szCs w:val="18"/>
        </w:rPr>
        <w:t>. Dem. 8.3</w:t>
      </w:r>
    </w:p>
  </w:footnote>
  <w:footnote w:id="17">
    <w:p w14:paraId="0B48619B" w14:textId="36FEDFD5" w:rsidR="005B4EA1" w:rsidRPr="00E62BD3" w:rsidRDefault="005B4EA1">
      <w:pPr>
        <w:pStyle w:val="FootnoteText"/>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proofErr w:type="spellStart"/>
      <w:r w:rsidRPr="00E62BD3">
        <w:rPr>
          <w:color w:val="000000" w:themeColor="text1"/>
          <w:sz w:val="18"/>
          <w:szCs w:val="18"/>
        </w:rPr>
        <w:t>Plut</w:t>
      </w:r>
      <w:proofErr w:type="spellEnd"/>
      <w:r w:rsidRPr="00E62BD3">
        <w:rPr>
          <w:color w:val="000000" w:themeColor="text1"/>
          <w:sz w:val="18"/>
          <w:szCs w:val="18"/>
        </w:rPr>
        <w:t>. Dem. 8.3</w:t>
      </w:r>
    </w:p>
  </w:footnote>
  <w:footnote w:id="18">
    <w:p w14:paraId="0CFBD28D" w14:textId="054D7AD5" w:rsidR="00ED4D06" w:rsidRPr="00E62BD3" w:rsidRDefault="00ED4D06" w:rsidP="00ED4D06">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C. Wooten, "Cicero's Reactions to Demosthenes", 38–40</w:t>
      </w:r>
    </w:p>
  </w:footnote>
  <w:footnote w:id="19">
    <w:p w14:paraId="1AE3A902" w14:textId="23720088" w:rsidR="00ED4D06" w:rsidRPr="00E62BD3" w:rsidRDefault="00ED4D06" w:rsidP="00ED4D06">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Cicero, </w:t>
      </w:r>
      <w:r w:rsidRPr="00E62BD3">
        <w:rPr>
          <w:i/>
          <w:iCs/>
          <w:color w:val="000000" w:themeColor="text1"/>
          <w:sz w:val="18"/>
          <w:szCs w:val="18"/>
        </w:rPr>
        <w:t>Brutus</w:t>
      </w:r>
      <w:r w:rsidRPr="00E62BD3">
        <w:rPr>
          <w:color w:val="000000" w:themeColor="text1"/>
          <w:sz w:val="18"/>
          <w:szCs w:val="18"/>
          <w:shd w:val="clear" w:color="auto" w:fill="FFFFFF"/>
        </w:rPr>
        <w:t>, </w:t>
      </w:r>
      <w:hyperlink r:id="rId1" w:anchor="38" w:history="1">
        <w:r w:rsidRPr="00E62BD3">
          <w:rPr>
            <w:color w:val="000000" w:themeColor="text1"/>
            <w:sz w:val="18"/>
            <w:szCs w:val="18"/>
          </w:rPr>
          <w:t>38</w:t>
        </w:r>
      </w:hyperlink>
      <w:r w:rsidRPr="00E62BD3">
        <w:rPr>
          <w:color w:val="000000" w:themeColor="text1"/>
          <w:sz w:val="18"/>
          <w:szCs w:val="18"/>
          <w:shd w:val="clear" w:color="auto" w:fill="FFFFFF"/>
        </w:rPr>
        <w:t> </w:t>
      </w:r>
      <w:r w:rsidRPr="00E62BD3">
        <w:rPr>
          <w:color w:val="000000" w:themeColor="text1"/>
          <w:sz w:val="18"/>
          <w:szCs w:val="18"/>
        </w:rPr>
        <w:t>Archived</w:t>
      </w:r>
      <w:r w:rsidRPr="00E62BD3">
        <w:rPr>
          <w:color w:val="000000" w:themeColor="text1"/>
          <w:sz w:val="18"/>
          <w:szCs w:val="18"/>
          <w:shd w:val="clear" w:color="auto" w:fill="FFFFFF"/>
        </w:rPr>
        <w:t> 29 June 2011 at the </w:t>
      </w:r>
      <w:proofErr w:type="spellStart"/>
      <w:r w:rsidRPr="00E62BD3">
        <w:rPr>
          <w:color w:val="000000" w:themeColor="text1"/>
          <w:sz w:val="18"/>
          <w:szCs w:val="18"/>
        </w:rPr>
        <w:fldChar w:fldCharType="begin"/>
      </w:r>
      <w:r w:rsidRPr="00E62BD3">
        <w:rPr>
          <w:color w:val="000000" w:themeColor="text1"/>
          <w:sz w:val="18"/>
          <w:szCs w:val="18"/>
        </w:rPr>
        <w:instrText xml:space="preserve"> HYPERLINK "https://en.wikipedia.org/wiki/Wayback_Machine" \o "Wayback Machine" </w:instrText>
      </w:r>
      <w:r w:rsidRPr="00E62BD3">
        <w:rPr>
          <w:color w:val="000000" w:themeColor="text1"/>
          <w:sz w:val="18"/>
          <w:szCs w:val="18"/>
        </w:rPr>
        <w:fldChar w:fldCharType="separate"/>
      </w:r>
      <w:r w:rsidRPr="00E62BD3">
        <w:rPr>
          <w:color w:val="000000" w:themeColor="text1"/>
          <w:sz w:val="18"/>
          <w:szCs w:val="18"/>
        </w:rPr>
        <w:t>Wayback</w:t>
      </w:r>
      <w:proofErr w:type="spellEnd"/>
      <w:r w:rsidRPr="00E62BD3">
        <w:rPr>
          <w:color w:val="000000" w:themeColor="text1"/>
          <w:sz w:val="18"/>
          <w:szCs w:val="18"/>
        </w:rPr>
        <w:t xml:space="preserve"> Machine</w:t>
      </w:r>
      <w:r w:rsidRPr="00E62BD3">
        <w:rPr>
          <w:color w:val="000000" w:themeColor="text1"/>
          <w:sz w:val="18"/>
          <w:szCs w:val="18"/>
        </w:rPr>
        <w:fldChar w:fldCharType="end"/>
      </w:r>
      <w:r w:rsidRPr="00E62BD3">
        <w:rPr>
          <w:color w:val="000000" w:themeColor="text1"/>
          <w:sz w:val="18"/>
          <w:szCs w:val="18"/>
          <w:shd w:val="clear" w:color="auto" w:fill="FFFFFF"/>
        </w:rPr>
        <w:t>, </w:t>
      </w:r>
      <w:hyperlink r:id="rId2" w:anchor="142" w:history="1">
        <w:r w:rsidRPr="00E62BD3">
          <w:rPr>
            <w:color w:val="000000" w:themeColor="text1"/>
            <w:sz w:val="18"/>
            <w:szCs w:val="18"/>
          </w:rPr>
          <w:t>142</w:t>
        </w:r>
      </w:hyperlink>
    </w:p>
  </w:footnote>
  <w:footnote w:id="20">
    <w:p w14:paraId="0C236124" w14:textId="293F03A2" w:rsidR="00ED4D06" w:rsidRPr="00E62BD3" w:rsidRDefault="00ED4D06" w:rsidP="00ED4D06">
      <w:pPr>
        <w:rPr>
          <w:rFonts w:eastAsiaTheme="minorHAnsi"/>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rPr>
        <w:t>F. Nietzsche, </w:t>
      </w:r>
      <w:r w:rsidRPr="00E62BD3">
        <w:rPr>
          <w:i/>
          <w:iCs/>
          <w:color w:val="000000" w:themeColor="text1"/>
          <w:sz w:val="18"/>
          <w:szCs w:val="18"/>
        </w:rPr>
        <w:t>Lessons of Rhetoric</w:t>
      </w:r>
      <w:r w:rsidRPr="00E62BD3">
        <w:rPr>
          <w:color w:val="000000" w:themeColor="text1"/>
          <w:sz w:val="18"/>
          <w:szCs w:val="18"/>
        </w:rPr>
        <w:t>, 233–235.</w:t>
      </w:r>
    </w:p>
  </w:footnote>
  <w:footnote w:id="21">
    <w:p w14:paraId="56D31141" w14:textId="77777777" w:rsidR="00ED4D06" w:rsidRPr="00E62BD3" w:rsidRDefault="00ED4D06" w:rsidP="00ED4D06">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H. Yunis, </w:t>
      </w:r>
      <w:r w:rsidRPr="00E62BD3">
        <w:rPr>
          <w:i/>
          <w:iCs/>
          <w:color w:val="000000" w:themeColor="text1"/>
          <w:sz w:val="18"/>
          <w:szCs w:val="18"/>
        </w:rPr>
        <w:t xml:space="preserve">Demosthenes: On </w:t>
      </w:r>
      <w:proofErr w:type="gramStart"/>
      <w:r w:rsidRPr="00E62BD3">
        <w:rPr>
          <w:i/>
          <w:iCs/>
          <w:color w:val="000000" w:themeColor="text1"/>
          <w:sz w:val="18"/>
          <w:szCs w:val="18"/>
        </w:rPr>
        <w:t>The</w:t>
      </w:r>
      <w:proofErr w:type="gramEnd"/>
      <w:r w:rsidRPr="00E62BD3">
        <w:rPr>
          <w:i/>
          <w:iCs/>
          <w:color w:val="000000" w:themeColor="text1"/>
          <w:sz w:val="18"/>
          <w:szCs w:val="18"/>
        </w:rPr>
        <w:t xml:space="preserve"> Crown</w:t>
      </w:r>
      <w:r w:rsidRPr="00E62BD3">
        <w:rPr>
          <w:color w:val="000000" w:themeColor="text1"/>
          <w:sz w:val="18"/>
          <w:szCs w:val="18"/>
          <w:shd w:val="clear" w:color="auto" w:fill="FFFFFF"/>
        </w:rPr>
        <w:t>, 238 (note 232).</w:t>
      </w:r>
    </w:p>
    <w:p w14:paraId="6ECC7832" w14:textId="7A49C44D" w:rsidR="00ED4D06" w:rsidRDefault="00ED4D06" w:rsidP="00ED4D06"/>
  </w:footnote>
  <w:footnote w:id="22">
    <w:p w14:paraId="1092F415" w14:textId="717B190B" w:rsidR="00ED4D06" w:rsidRPr="00E62BD3" w:rsidRDefault="00ED4D06" w:rsidP="00E62BD3">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Wooten, Cecil (1999). "A Triple Division in Demosthenes". </w:t>
      </w:r>
      <w:r w:rsidRPr="00E62BD3">
        <w:rPr>
          <w:color w:val="000000" w:themeColor="text1"/>
          <w:sz w:val="18"/>
          <w:szCs w:val="18"/>
        </w:rPr>
        <w:t>Classical Philology</w:t>
      </w:r>
      <w:r w:rsidRPr="00E62BD3">
        <w:rPr>
          <w:color w:val="000000" w:themeColor="text1"/>
          <w:sz w:val="18"/>
          <w:szCs w:val="18"/>
          <w:shd w:val="clear" w:color="auto" w:fill="FFFFFF"/>
        </w:rPr>
        <w:t>. </w:t>
      </w:r>
      <w:r w:rsidRPr="00E62BD3">
        <w:rPr>
          <w:color w:val="000000" w:themeColor="text1"/>
          <w:sz w:val="18"/>
          <w:szCs w:val="18"/>
        </w:rPr>
        <w:t>94</w:t>
      </w:r>
      <w:r w:rsidRPr="00E62BD3">
        <w:rPr>
          <w:color w:val="000000" w:themeColor="text1"/>
          <w:sz w:val="18"/>
          <w:szCs w:val="18"/>
          <w:shd w:val="clear" w:color="auto" w:fill="FFFFFF"/>
        </w:rPr>
        <w:t> (4): 450–454</w:t>
      </w:r>
    </w:p>
  </w:footnote>
  <w:footnote w:id="23">
    <w:p w14:paraId="62419DC6" w14:textId="228CB75F" w:rsidR="00ED4D06" w:rsidRPr="00E62BD3" w:rsidRDefault="00ED4D06" w:rsidP="00E62BD3">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Cicero, </w:t>
      </w:r>
      <w:r w:rsidRPr="00E62BD3">
        <w:rPr>
          <w:color w:val="000000" w:themeColor="text1"/>
          <w:sz w:val="18"/>
          <w:szCs w:val="18"/>
        </w:rPr>
        <w:t>Orator</w:t>
      </w:r>
      <w:r w:rsidRPr="00E62BD3">
        <w:rPr>
          <w:color w:val="000000" w:themeColor="text1"/>
          <w:sz w:val="18"/>
          <w:szCs w:val="18"/>
          <w:shd w:val="clear" w:color="auto" w:fill="FFFFFF"/>
        </w:rPr>
        <w:t>, </w:t>
      </w:r>
      <w:hyperlink r:id="rId3" w:anchor="76" w:history="1">
        <w:r w:rsidRPr="00E62BD3">
          <w:rPr>
            <w:color w:val="000000" w:themeColor="text1"/>
            <w:sz w:val="18"/>
            <w:szCs w:val="18"/>
          </w:rPr>
          <w:t>76–101</w:t>
        </w:r>
      </w:hyperlink>
      <w:r w:rsidRPr="00E62BD3">
        <w:rPr>
          <w:color w:val="000000" w:themeColor="text1"/>
          <w:sz w:val="18"/>
          <w:szCs w:val="18"/>
          <w:shd w:val="clear" w:color="auto" w:fill="FFFFFF"/>
        </w:rPr>
        <w:t xml:space="preserve"> Dionysius, </w:t>
      </w:r>
      <w:r w:rsidRPr="00E62BD3">
        <w:rPr>
          <w:color w:val="000000" w:themeColor="text1"/>
          <w:sz w:val="18"/>
          <w:szCs w:val="18"/>
        </w:rPr>
        <w:t>On the Admirable Style of Demosthenes</w:t>
      </w:r>
      <w:r w:rsidRPr="00E62BD3">
        <w:rPr>
          <w:color w:val="000000" w:themeColor="text1"/>
          <w:sz w:val="18"/>
          <w:szCs w:val="18"/>
          <w:shd w:val="clear" w:color="auto" w:fill="FFFFFF"/>
        </w:rPr>
        <w:t>, 46</w:t>
      </w:r>
    </w:p>
  </w:footnote>
  <w:footnote w:id="24">
    <w:p w14:paraId="57C4EDE8" w14:textId="3B40C6A4" w:rsidR="00ED4D06" w:rsidRPr="00E62BD3" w:rsidRDefault="00ED4D06" w:rsidP="00ED4D06">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rStyle w:val="apple-converted-space"/>
          <w:color w:val="000000" w:themeColor="text1"/>
          <w:sz w:val="18"/>
          <w:szCs w:val="18"/>
        </w:rPr>
        <w:t> </w:t>
      </w:r>
      <w:r w:rsidRPr="00E62BD3">
        <w:rPr>
          <w:rStyle w:val="HTMLCite"/>
          <w:color w:val="000000" w:themeColor="text1"/>
          <w:sz w:val="18"/>
          <w:szCs w:val="18"/>
        </w:rPr>
        <w:t>"Demosthenes".</w:t>
      </w:r>
      <w:r w:rsidRPr="00E62BD3">
        <w:rPr>
          <w:rStyle w:val="apple-converted-space"/>
          <w:color w:val="000000" w:themeColor="text1"/>
          <w:sz w:val="18"/>
          <w:szCs w:val="18"/>
        </w:rPr>
        <w:t> </w:t>
      </w:r>
      <w:proofErr w:type="spellStart"/>
      <w:r w:rsidRPr="00E62BD3">
        <w:rPr>
          <w:rStyle w:val="HTMLCite"/>
          <w:color w:val="000000" w:themeColor="text1"/>
          <w:sz w:val="18"/>
          <w:szCs w:val="18"/>
        </w:rPr>
        <w:t>Encyclopædia</w:t>
      </w:r>
      <w:proofErr w:type="spellEnd"/>
      <w:r w:rsidRPr="00E62BD3">
        <w:rPr>
          <w:rStyle w:val="HTMLCite"/>
          <w:color w:val="000000" w:themeColor="text1"/>
          <w:sz w:val="18"/>
          <w:szCs w:val="18"/>
        </w:rPr>
        <w:t xml:space="preserve"> Britannica. 2002.</w:t>
      </w:r>
      <w:r w:rsidRPr="00E62BD3">
        <w:rPr>
          <w:rStyle w:val="reference-text"/>
          <w:color w:val="000000" w:themeColor="text1"/>
          <w:sz w:val="18"/>
          <w:szCs w:val="18"/>
        </w:rPr>
        <w:t xml:space="preserve">; K. </w:t>
      </w:r>
      <w:proofErr w:type="spellStart"/>
      <w:r w:rsidRPr="00E62BD3">
        <w:rPr>
          <w:rStyle w:val="reference-text"/>
          <w:color w:val="000000" w:themeColor="text1"/>
          <w:sz w:val="18"/>
          <w:szCs w:val="18"/>
        </w:rPr>
        <w:t>Tsatsos</w:t>
      </w:r>
      <w:proofErr w:type="spellEnd"/>
      <w:r w:rsidRPr="00E62BD3">
        <w:rPr>
          <w:rStyle w:val="reference-text"/>
          <w:color w:val="000000" w:themeColor="text1"/>
          <w:sz w:val="18"/>
          <w:szCs w:val="18"/>
        </w:rPr>
        <w:t>,</w:t>
      </w:r>
      <w:r w:rsidRPr="00E62BD3">
        <w:rPr>
          <w:rStyle w:val="apple-converted-space"/>
          <w:color w:val="000000" w:themeColor="text1"/>
          <w:sz w:val="18"/>
          <w:szCs w:val="18"/>
        </w:rPr>
        <w:t> </w:t>
      </w:r>
      <w:r w:rsidRPr="00E62BD3">
        <w:rPr>
          <w:rStyle w:val="reference-text"/>
          <w:color w:val="000000" w:themeColor="text1"/>
          <w:sz w:val="18"/>
          <w:szCs w:val="18"/>
        </w:rPr>
        <w:t>Demosthenes, 90; H. Weil,</w:t>
      </w:r>
      <w:r w:rsidRPr="00E62BD3">
        <w:rPr>
          <w:rStyle w:val="apple-converted-space"/>
          <w:color w:val="000000" w:themeColor="text1"/>
          <w:sz w:val="18"/>
          <w:szCs w:val="18"/>
        </w:rPr>
        <w:t> </w:t>
      </w:r>
      <w:r w:rsidRPr="00E62BD3">
        <w:rPr>
          <w:rStyle w:val="reference-text"/>
          <w:color w:val="000000" w:themeColor="text1"/>
          <w:sz w:val="18"/>
          <w:szCs w:val="18"/>
        </w:rPr>
        <w:t xml:space="preserve">Biography of </w:t>
      </w:r>
      <w:proofErr w:type="spellStart"/>
      <w:r w:rsidRPr="00E62BD3">
        <w:rPr>
          <w:rStyle w:val="reference-text"/>
          <w:color w:val="000000" w:themeColor="text1"/>
          <w:sz w:val="18"/>
          <w:szCs w:val="18"/>
        </w:rPr>
        <w:t>Demothenes</w:t>
      </w:r>
      <w:proofErr w:type="spellEnd"/>
      <w:r w:rsidRPr="00E62BD3">
        <w:rPr>
          <w:rStyle w:val="reference-text"/>
          <w:color w:val="000000" w:themeColor="text1"/>
          <w:sz w:val="18"/>
          <w:szCs w:val="18"/>
        </w:rPr>
        <w:t>, 17.</w:t>
      </w:r>
    </w:p>
  </w:footnote>
  <w:footnote w:id="25">
    <w:p w14:paraId="4B7D04DD" w14:textId="50817E00" w:rsidR="00ED4D06" w:rsidRPr="00E62BD3" w:rsidRDefault="00ED4D06" w:rsidP="00ED4D06">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Cicero, </w:t>
      </w:r>
      <w:r w:rsidRPr="00E62BD3">
        <w:rPr>
          <w:color w:val="000000" w:themeColor="text1"/>
          <w:sz w:val="18"/>
          <w:szCs w:val="18"/>
        </w:rPr>
        <w:t>Brutus</w:t>
      </w:r>
      <w:r w:rsidRPr="00E62BD3">
        <w:rPr>
          <w:color w:val="000000" w:themeColor="text1"/>
          <w:sz w:val="18"/>
          <w:szCs w:val="18"/>
          <w:shd w:val="clear" w:color="auto" w:fill="FFFFFF"/>
        </w:rPr>
        <w:t>, </w:t>
      </w:r>
      <w:hyperlink r:id="rId4" w:anchor="142" w:history="1">
        <w:r w:rsidRPr="00E62BD3">
          <w:rPr>
            <w:color w:val="000000" w:themeColor="text1"/>
            <w:sz w:val="18"/>
            <w:szCs w:val="18"/>
          </w:rPr>
          <w:t>142</w:t>
        </w:r>
      </w:hyperlink>
    </w:p>
  </w:footnote>
  <w:footnote w:id="26">
    <w:p w14:paraId="7DA907DF" w14:textId="3B8A20BA" w:rsidR="00ED4D06" w:rsidRPr="00E62BD3" w:rsidRDefault="00ED4D06" w:rsidP="00E62BD3">
      <w:r w:rsidRPr="00E62BD3">
        <w:rPr>
          <w:sz w:val="18"/>
          <w:szCs w:val="18"/>
          <w:vertAlign w:val="superscript"/>
        </w:rPr>
        <w:footnoteRef/>
      </w:r>
      <w:r w:rsidRPr="00E62BD3">
        <w:rPr>
          <w:sz w:val="18"/>
          <w:szCs w:val="18"/>
        </w:rPr>
        <w:t xml:space="preserve"> Demosthenes". </w:t>
      </w:r>
      <w:proofErr w:type="spellStart"/>
      <w:r w:rsidRPr="00E62BD3">
        <w:rPr>
          <w:sz w:val="18"/>
          <w:szCs w:val="18"/>
        </w:rPr>
        <w:t>Encyclopædia</w:t>
      </w:r>
      <w:proofErr w:type="spellEnd"/>
      <w:r w:rsidRPr="00E62BD3">
        <w:rPr>
          <w:sz w:val="18"/>
          <w:szCs w:val="18"/>
        </w:rPr>
        <w:t xml:space="preserve"> Britannica. 2002.; K. </w:t>
      </w:r>
      <w:proofErr w:type="spellStart"/>
      <w:r w:rsidRPr="00E62BD3">
        <w:rPr>
          <w:sz w:val="18"/>
          <w:szCs w:val="18"/>
        </w:rPr>
        <w:t>Tsatsos</w:t>
      </w:r>
      <w:proofErr w:type="spellEnd"/>
      <w:r w:rsidRPr="00E62BD3">
        <w:rPr>
          <w:sz w:val="18"/>
          <w:szCs w:val="18"/>
        </w:rPr>
        <w:t xml:space="preserve">, Demosthenes, 90; H. Weil, Biography of </w:t>
      </w:r>
      <w:proofErr w:type="spellStart"/>
      <w:r w:rsidRPr="00E62BD3">
        <w:rPr>
          <w:sz w:val="18"/>
          <w:szCs w:val="18"/>
        </w:rPr>
        <w:t>Demothenes</w:t>
      </w:r>
      <w:proofErr w:type="spellEnd"/>
      <w:r w:rsidRPr="00E62BD3">
        <w:rPr>
          <w:sz w:val="18"/>
          <w:szCs w:val="18"/>
        </w:rPr>
        <w:t>, 17.</w:t>
      </w:r>
    </w:p>
  </w:footnote>
  <w:footnote w:id="27">
    <w:p w14:paraId="4A62384F" w14:textId="0C8DEB57" w:rsidR="00444436" w:rsidRPr="00E62BD3" w:rsidRDefault="00444436" w:rsidP="00E62BD3">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D. M. MacDowell, </w:t>
      </w:r>
      <w:r w:rsidRPr="00E62BD3">
        <w:rPr>
          <w:color w:val="000000" w:themeColor="text1"/>
          <w:sz w:val="18"/>
          <w:szCs w:val="18"/>
        </w:rPr>
        <w:t>Demosthenes the Orator</w:t>
      </w:r>
      <w:r w:rsidRPr="00E62BD3">
        <w:rPr>
          <w:color w:val="000000" w:themeColor="text1"/>
          <w:sz w:val="18"/>
          <w:szCs w:val="18"/>
          <w:shd w:val="clear" w:color="auto" w:fill="FFFFFF"/>
        </w:rPr>
        <w:t xml:space="preserve">, </w:t>
      </w:r>
      <w:proofErr w:type="spellStart"/>
      <w:r w:rsidRPr="00E62BD3">
        <w:rPr>
          <w:color w:val="000000" w:themeColor="text1"/>
          <w:sz w:val="18"/>
          <w:szCs w:val="18"/>
          <w:shd w:val="clear" w:color="auto" w:fill="FFFFFF"/>
        </w:rPr>
        <w:t>ch.</w:t>
      </w:r>
      <w:proofErr w:type="spellEnd"/>
      <w:r w:rsidRPr="00E62BD3">
        <w:rPr>
          <w:color w:val="000000" w:themeColor="text1"/>
          <w:sz w:val="18"/>
          <w:szCs w:val="18"/>
          <w:shd w:val="clear" w:color="auto" w:fill="FFFFFF"/>
        </w:rPr>
        <w:t xml:space="preserve"> 7</w:t>
      </w:r>
    </w:p>
  </w:footnote>
  <w:footnote w:id="28">
    <w:p w14:paraId="0C477C2B" w14:textId="77777777" w:rsidR="002D4FC9" w:rsidRPr="00E62BD3" w:rsidRDefault="00444436" w:rsidP="002D4FC9">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002D4FC9" w:rsidRPr="00E62BD3">
        <w:rPr>
          <w:color w:val="000000" w:themeColor="text1"/>
          <w:sz w:val="18"/>
          <w:szCs w:val="18"/>
          <w:shd w:val="clear" w:color="auto" w:fill="FFFFFF"/>
        </w:rPr>
        <w:t> </w:t>
      </w:r>
      <w:r w:rsidR="002D4FC9" w:rsidRPr="00E62BD3">
        <w:rPr>
          <w:color w:val="000000" w:themeColor="text1"/>
          <w:sz w:val="18"/>
          <w:szCs w:val="18"/>
        </w:rPr>
        <w:t xml:space="preserve">E. </w:t>
      </w:r>
      <w:proofErr w:type="spellStart"/>
      <w:r w:rsidR="002D4FC9" w:rsidRPr="00E62BD3">
        <w:rPr>
          <w:color w:val="000000" w:themeColor="text1"/>
          <w:sz w:val="18"/>
          <w:szCs w:val="18"/>
        </w:rPr>
        <w:t>Badian</w:t>
      </w:r>
      <w:proofErr w:type="spellEnd"/>
      <w:r w:rsidR="002D4FC9" w:rsidRPr="00E62BD3">
        <w:rPr>
          <w:color w:val="000000" w:themeColor="text1"/>
          <w:sz w:val="18"/>
          <w:szCs w:val="18"/>
        </w:rPr>
        <w:t>, "The Road to Prominence", 29–30</w:t>
      </w:r>
    </w:p>
    <w:p w14:paraId="29B04227" w14:textId="2D7328A2" w:rsidR="00444436" w:rsidRDefault="00444436">
      <w:pPr>
        <w:pStyle w:val="FootnoteText"/>
      </w:pPr>
    </w:p>
  </w:footnote>
  <w:footnote w:id="29">
    <w:p w14:paraId="0D0BEC17" w14:textId="38766F3D" w:rsidR="002D4FC9" w:rsidRPr="00E62BD3" w:rsidRDefault="002D4FC9" w:rsidP="00E62BD3">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 xml:space="preserve">E. </w:t>
      </w:r>
      <w:proofErr w:type="spellStart"/>
      <w:r w:rsidRPr="00E62BD3">
        <w:rPr>
          <w:color w:val="000000" w:themeColor="text1"/>
          <w:sz w:val="18"/>
          <w:szCs w:val="18"/>
          <w:shd w:val="clear" w:color="auto" w:fill="FFFFFF"/>
        </w:rPr>
        <w:t>Badian</w:t>
      </w:r>
      <w:proofErr w:type="spellEnd"/>
      <w:r w:rsidRPr="00E62BD3">
        <w:rPr>
          <w:color w:val="000000" w:themeColor="text1"/>
          <w:sz w:val="18"/>
          <w:szCs w:val="18"/>
          <w:shd w:val="clear" w:color="auto" w:fill="FFFFFF"/>
        </w:rPr>
        <w:t>, "The Road to Prominence", 36</w:t>
      </w:r>
    </w:p>
  </w:footnote>
  <w:footnote w:id="30">
    <w:p w14:paraId="1F7F2DD3" w14:textId="32965725" w:rsidR="002D4FC9" w:rsidRPr="00E62BD3" w:rsidRDefault="002D4FC9" w:rsidP="00E62BD3">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M.H. Hansen, </w:t>
      </w:r>
      <w:r w:rsidRPr="00E62BD3">
        <w:rPr>
          <w:color w:val="000000" w:themeColor="text1"/>
          <w:sz w:val="18"/>
          <w:szCs w:val="18"/>
        </w:rPr>
        <w:t>The Athenian Democracy</w:t>
      </w:r>
    </w:p>
  </w:footnote>
  <w:footnote w:id="31">
    <w:p w14:paraId="77113D21" w14:textId="4C99F411" w:rsidR="00ED4D06" w:rsidRPr="00E62BD3" w:rsidRDefault="00ED4D06" w:rsidP="00E62BD3">
      <w:r w:rsidRPr="00E62BD3">
        <w:rPr>
          <w:sz w:val="18"/>
          <w:szCs w:val="18"/>
          <w:vertAlign w:val="superscript"/>
        </w:rPr>
        <w:footnoteRef/>
      </w:r>
      <w:r w:rsidRPr="00E62BD3">
        <w:rPr>
          <w:sz w:val="18"/>
          <w:szCs w:val="18"/>
        </w:rPr>
        <w:t xml:space="preserve">  D.C. Innes, 'Longinus and </w:t>
      </w:r>
      <w:proofErr w:type="spellStart"/>
      <w:r w:rsidRPr="00E62BD3">
        <w:rPr>
          <w:sz w:val="18"/>
          <w:szCs w:val="18"/>
        </w:rPr>
        <w:t>Caecilius</w:t>
      </w:r>
      <w:proofErr w:type="spellEnd"/>
      <w:r w:rsidRPr="00E62BD3">
        <w:rPr>
          <w:sz w:val="18"/>
          <w:szCs w:val="18"/>
        </w:rPr>
        <w:t>", passim.</w:t>
      </w:r>
    </w:p>
  </w:footnote>
  <w:footnote w:id="32">
    <w:p w14:paraId="5C59C371" w14:textId="493510E8" w:rsidR="00ED4D06" w:rsidRPr="00E62BD3" w:rsidRDefault="00ED4D06" w:rsidP="00E62BD3">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C. Wooten, "Cicero's Reactions to Demosthenes", 37.</w:t>
      </w:r>
    </w:p>
  </w:footnote>
  <w:footnote w:id="33">
    <w:p w14:paraId="20AF2AA1" w14:textId="28836F7F" w:rsidR="00ED4D06" w:rsidRPr="00E62BD3" w:rsidRDefault="00ED4D06" w:rsidP="00E62BD3">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Plutarch, </w:t>
      </w:r>
      <w:r w:rsidRPr="00E62BD3">
        <w:rPr>
          <w:color w:val="000000" w:themeColor="text1"/>
          <w:sz w:val="18"/>
          <w:szCs w:val="18"/>
        </w:rPr>
        <w:t>Demosthenes</w:t>
      </w:r>
      <w:r w:rsidRPr="00E62BD3">
        <w:rPr>
          <w:color w:val="000000" w:themeColor="text1"/>
          <w:sz w:val="18"/>
          <w:szCs w:val="18"/>
          <w:shd w:val="clear" w:color="auto" w:fill="FFFFFF"/>
        </w:rPr>
        <w:t>, </w:t>
      </w:r>
      <w:hyperlink r:id="rId5" w:history="1">
        <w:r w:rsidRPr="00E62BD3">
          <w:rPr>
            <w:color w:val="000000" w:themeColor="text1"/>
            <w:sz w:val="18"/>
            <w:szCs w:val="18"/>
          </w:rPr>
          <w:t>3.</w:t>
        </w:r>
      </w:hyperlink>
      <w:r w:rsidRPr="00E62BD3">
        <w:rPr>
          <w:color w:val="000000" w:themeColor="text1"/>
          <w:sz w:val="18"/>
          <w:szCs w:val="18"/>
          <w:shd w:val="clear" w:color="auto" w:fill="FFFFFF"/>
        </w:rPr>
        <w:t> </w:t>
      </w:r>
      <w:r w:rsidR="00E62BD3" w:rsidRPr="00E62BD3">
        <w:rPr>
          <w:color w:val="000000" w:themeColor="text1"/>
          <w:sz w:val="18"/>
          <w:szCs w:val="18"/>
        </w:rPr>
        <w:t xml:space="preserve"> </w:t>
      </w:r>
    </w:p>
  </w:footnote>
  <w:footnote w:id="34">
    <w:p w14:paraId="1975F86E" w14:textId="27286BF5" w:rsidR="00ED4D06" w:rsidRPr="00E62BD3" w:rsidRDefault="00ED4D06" w:rsidP="00ED4D06">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G. Gibson, </w:t>
      </w:r>
      <w:r w:rsidRPr="00E62BD3">
        <w:rPr>
          <w:color w:val="000000" w:themeColor="text1"/>
          <w:sz w:val="18"/>
          <w:szCs w:val="18"/>
        </w:rPr>
        <w:t>Interpreting a Classic</w:t>
      </w:r>
      <w:r w:rsidRPr="00E62BD3">
        <w:rPr>
          <w:color w:val="000000" w:themeColor="text1"/>
          <w:sz w:val="18"/>
          <w:szCs w:val="18"/>
          <w:shd w:val="clear" w:color="auto" w:fill="FFFFFF"/>
        </w:rPr>
        <w:t>, 1</w:t>
      </w:r>
    </w:p>
  </w:footnote>
  <w:footnote w:id="35">
    <w:p w14:paraId="2F076F83" w14:textId="54C26055" w:rsidR="00ED4D06" w:rsidRPr="00E62BD3" w:rsidRDefault="00ED4D06" w:rsidP="00ED4D06">
      <w:pPr>
        <w:rPr>
          <w:color w:val="000000" w:themeColor="text1"/>
          <w:sz w:val="18"/>
          <w:szCs w:val="18"/>
        </w:rPr>
      </w:pPr>
      <w:r w:rsidRPr="00E62BD3">
        <w:rPr>
          <w:rStyle w:val="FootnoteReference"/>
          <w:color w:val="000000" w:themeColor="text1"/>
          <w:sz w:val="18"/>
          <w:szCs w:val="18"/>
        </w:rPr>
        <w:footnoteRef/>
      </w:r>
      <w:r w:rsidRPr="00E62BD3">
        <w:rPr>
          <w:color w:val="000000" w:themeColor="text1"/>
          <w:sz w:val="18"/>
          <w:szCs w:val="18"/>
        </w:rPr>
        <w:t xml:space="preserve"> </w:t>
      </w:r>
      <w:r w:rsidRPr="00E62BD3">
        <w:rPr>
          <w:color w:val="000000" w:themeColor="text1"/>
          <w:sz w:val="18"/>
          <w:szCs w:val="18"/>
          <w:shd w:val="clear" w:color="auto" w:fill="FFFFFF"/>
        </w:rPr>
        <w:t xml:space="preserve">W. A. </w:t>
      </w:r>
      <w:proofErr w:type="spellStart"/>
      <w:r w:rsidRPr="00E62BD3">
        <w:rPr>
          <w:color w:val="000000" w:themeColor="text1"/>
          <w:sz w:val="18"/>
          <w:szCs w:val="18"/>
          <w:shd w:val="clear" w:color="auto" w:fill="FFFFFF"/>
        </w:rPr>
        <w:t>Rebhorn</w:t>
      </w:r>
      <w:proofErr w:type="spellEnd"/>
      <w:r w:rsidRPr="00E62BD3">
        <w:rPr>
          <w:color w:val="000000" w:themeColor="text1"/>
          <w:sz w:val="18"/>
          <w:szCs w:val="18"/>
          <w:shd w:val="clear" w:color="auto" w:fill="FFFFFF"/>
        </w:rPr>
        <w:t>,</w:t>
      </w:r>
      <w:r w:rsidRPr="00E62BD3">
        <w:rPr>
          <w:rStyle w:val="apple-converted-space"/>
          <w:color w:val="000000" w:themeColor="text1"/>
          <w:sz w:val="18"/>
          <w:szCs w:val="18"/>
          <w:shd w:val="clear" w:color="auto" w:fill="FFFFFF"/>
        </w:rPr>
        <w:t> </w:t>
      </w:r>
      <w:r w:rsidRPr="00E62BD3">
        <w:rPr>
          <w:color w:val="000000" w:themeColor="text1"/>
          <w:sz w:val="18"/>
          <w:szCs w:val="18"/>
        </w:rPr>
        <w:t>Renaissance Debates on Rhetoric</w:t>
      </w:r>
      <w:r w:rsidRPr="00E62BD3">
        <w:rPr>
          <w:color w:val="000000" w:themeColor="text1"/>
          <w:sz w:val="18"/>
          <w:szCs w:val="18"/>
          <w:shd w:val="clear" w:color="auto" w:fill="FFFFFF"/>
        </w:rPr>
        <w:t>, 139, 167, 258.</w:t>
      </w:r>
    </w:p>
  </w:footnote>
  <w:footnote w:id="36">
    <w:p w14:paraId="55434C04" w14:textId="4EC4ED42" w:rsidR="00ED4D06" w:rsidRDefault="00ED4D06" w:rsidP="00ED4D06">
      <w:r w:rsidRPr="00E62BD3">
        <w:rPr>
          <w:rStyle w:val="FootnoteReference"/>
          <w:sz w:val="18"/>
          <w:szCs w:val="18"/>
        </w:rPr>
        <w:footnoteRef/>
      </w:r>
      <w:r w:rsidRPr="00E62BD3">
        <w:rPr>
          <w:sz w:val="18"/>
          <w:szCs w:val="18"/>
        </w:rPr>
        <w:t xml:space="preserve"> </w:t>
      </w:r>
      <w:r w:rsidRPr="00E62BD3">
        <w:rPr>
          <w:sz w:val="18"/>
          <w:szCs w:val="18"/>
          <w:shd w:val="clear" w:color="auto" w:fill="FFFFFF"/>
        </w:rPr>
        <w:t>G. Kennedy, "Oratory", 514–515.</w:t>
      </w:r>
    </w:p>
  </w:footnote>
  <w:footnote w:id="37">
    <w:p w14:paraId="25BE79B6" w14:textId="3FF67DE9" w:rsidR="00ED4D06" w:rsidRPr="00E62BD3" w:rsidRDefault="00ED4D06" w:rsidP="00E62BD3">
      <w:pPr>
        <w:spacing w:before="100" w:beforeAutospacing="1" w:after="24"/>
        <w:rPr>
          <w:color w:val="202122"/>
          <w:sz w:val="18"/>
          <w:szCs w:val="18"/>
        </w:rPr>
      </w:pPr>
      <w:r w:rsidRPr="00E62BD3">
        <w:rPr>
          <w:rStyle w:val="FootnoteReference"/>
          <w:sz w:val="18"/>
          <w:szCs w:val="18"/>
        </w:rPr>
        <w:footnoteRef/>
      </w:r>
      <w:r w:rsidRPr="00E62BD3">
        <w:rPr>
          <w:sz w:val="18"/>
          <w:szCs w:val="18"/>
        </w:rPr>
        <w:t xml:space="preserve"> </w:t>
      </w:r>
      <w:r w:rsidRPr="00E62BD3">
        <w:rPr>
          <w:color w:val="202122"/>
          <w:sz w:val="18"/>
          <w:szCs w:val="18"/>
        </w:rPr>
        <w:t xml:space="preserve"> K. </w:t>
      </w:r>
      <w:proofErr w:type="spellStart"/>
      <w:r w:rsidRPr="00E62BD3">
        <w:rPr>
          <w:color w:val="202122"/>
          <w:sz w:val="18"/>
          <w:szCs w:val="18"/>
        </w:rPr>
        <w:t>Tsatsos</w:t>
      </w:r>
      <w:proofErr w:type="spellEnd"/>
      <w:r w:rsidRPr="00E62BD3">
        <w:rPr>
          <w:color w:val="202122"/>
          <w:sz w:val="18"/>
          <w:szCs w:val="18"/>
        </w:rPr>
        <w:t>, Demosthenes, 352.</w:t>
      </w:r>
    </w:p>
  </w:footnote>
  <w:footnote w:id="38">
    <w:p w14:paraId="12C7B5B1" w14:textId="77777777" w:rsidR="00ED4D06" w:rsidRPr="00E62BD3" w:rsidRDefault="00ED4D06" w:rsidP="00ED4D06">
      <w:pPr>
        <w:rPr>
          <w:sz w:val="18"/>
          <w:szCs w:val="18"/>
        </w:rPr>
      </w:pPr>
      <w:r w:rsidRPr="00E62BD3">
        <w:rPr>
          <w:rStyle w:val="FootnoteReference"/>
          <w:sz w:val="18"/>
          <w:szCs w:val="18"/>
        </w:rPr>
        <w:footnoteRef/>
      </w:r>
      <w:r w:rsidRPr="00E62BD3">
        <w:rPr>
          <w:sz w:val="18"/>
          <w:szCs w:val="18"/>
        </w:rPr>
        <w:t xml:space="preserve"> </w:t>
      </w:r>
      <w:r w:rsidRPr="00E62BD3">
        <w:rPr>
          <w:color w:val="202122"/>
          <w:sz w:val="18"/>
          <w:szCs w:val="18"/>
          <w:shd w:val="clear" w:color="auto" w:fill="FFFFFF"/>
        </w:rPr>
        <w:t>F. Nietzsche, </w:t>
      </w:r>
      <w:r w:rsidRPr="00E62BD3">
        <w:rPr>
          <w:color w:val="202122"/>
          <w:sz w:val="18"/>
          <w:szCs w:val="18"/>
        </w:rPr>
        <w:t>Beyond Good and Evil</w:t>
      </w:r>
      <w:r w:rsidRPr="00E62BD3">
        <w:rPr>
          <w:color w:val="202122"/>
          <w:sz w:val="18"/>
          <w:szCs w:val="18"/>
          <w:shd w:val="clear" w:color="auto" w:fill="FFFFFF"/>
        </w:rPr>
        <w:t>, 247</w:t>
      </w:r>
    </w:p>
    <w:p w14:paraId="2D105C23" w14:textId="12920053" w:rsidR="00ED4D06" w:rsidRDefault="00ED4D0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78556D"/>
    <w:multiLevelType w:val="hybridMultilevel"/>
    <w:tmpl w:val="D6C25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76402D"/>
    <w:multiLevelType w:val="multilevel"/>
    <w:tmpl w:val="8922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5C7549"/>
    <w:multiLevelType w:val="multilevel"/>
    <w:tmpl w:val="6EE6D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72A47"/>
    <w:multiLevelType w:val="hybridMultilevel"/>
    <w:tmpl w:val="35F2047E"/>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BA2AB0"/>
    <w:multiLevelType w:val="hybridMultilevel"/>
    <w:tmpl w:val="D74071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BF32164"/>
    <w:multiLevelType w:val="multilevel"/>
    <w:tmpl w:val="4302F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C8096D"/>
    <w:multiLevelType w:val="hybridMultilevel"/>
    <w:tmpl w:val="8954C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392E43"/>
    <w:multiLevelType w:val="multilevel"/>
    <w:tmpl w:val="E066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EE0CEE"/>
    <w:multiLevelType w:val="multilevel"/>
    <w:tmpl w:val="552A8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7"/>
  </w:num>
  <w:num w:numId="4">
    <w:abstractNumId w:val="8"/>
  </w:num>
  <w:num w:numId="5">
    <w:abstractNumId w:val="1"/>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CEF"/>
    <w:rsid w:val="002107DD"/>
    <w:rsid w:val="002D4FC9"/>
    <w:rsid w:val="00444436"/>
    <w:rsid w:val="005B4EA1"/>
    <w:rsid w:val="006837BC"/>
    <w:rsid w:val="00971928"/>
    <w:rsid w:val="00E62BD3"/>
    <w:rsid w:val="00ED4D06"/>
    <w:rsid w:val="00F5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F5B28"/>
  <w15:chartTrackingRefBased/>
  <w15:docId w15:val="{E118D4A2-0FFF-0841-90D6-6B6B1A981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D0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D4D0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56CEF"/>
  </w:style>
  <w:style w:type="character" w:styleId="Hyperlink">
    <w:name w:val="Hyperlink"/>
    <w:basedOn w:val="DefaultParagraphFont"/>
    <w:uiPriority w:val="99"/>
    <w:unhideWhenUsed/>
    <w:rsid w:val="00F56CEF"/>
    <w:rPr>
      <w:color w:val="0000FF"/>
      <w:u w:val="single"/>
    </w:rPr>
  </w:style>
  <w:style w:type="character" w:customStyle="1" w:styleId="pagenum">
    <w:name w:val="pagenum"/>
    <w:basedOn w:val="DefaultParagraphFont"/>
    <w:rsid w:val="00F56CEF"/>
  </w:style>
  <w:style w:type="paragraph" w:styleId="FootnoteText">
    <w:name w:val="footnote text"/>
    <w:basedOn w:val="Normal"/>
    <w:link w:val="FootnoteTextChar"/>
    <w:uiPriority w:val="99"/>
    <w:semiHidden/>
    <w:unhideWhenUsed/>
    <w:rsid w:val="00F56CEF"/>
    <w:rPr>
      <w:sz w:val="20"/>
      <w:szCs w:val="20"/>
    </w:rPr>
  </w:style>
  <w:style w:type="character" w:customStyle="1" w:styleId="FootnoteTextChar">
    <w:name w:val="Footnote Text Char"/>
    <w:basedOn w:val="DefaultParagraphFont"/>
    <w:link w:val="FootnoteText"/>
    <w:uiPriority w:val="99"/>
    <w:semiHidden/>
    <w:rsid w:val="00F56CEF"/>
    <w:rPr>
      <w:sz w:val="20"/>
      <w:szCs w:val="20"/>
    </w:rPr>
  </w:style>
  <w:style w:type="character" w:styleId="FootnoteReference">
    <w:name w:val="footnote reference"/>
    <w:basedOn w:val="DefaultParagraphFont"/>
    <w:uiPriority w:val="99"/>
    <w:semiHidden/>
    <w:unhideWhenUsed/>
    <w:rsid w:val="00F56CEF"/>
    <w:rPr>
      <w:vertAlign w:val="superscript"/>
    </w:rPr>
  </w:style>
  <w:style w:type="character" w:customStyle="1" w:styleId="bibliographicauthorname">
    <w:name w:val="bibliographicauthorname"/>
    <w:basedOn w:val="DefaultParagraphFont"/>
    <w:rsid w:val="00F56CEF"/>
  </w:style>
  <w:style w:type="character" w:customStyle="1" w:styleId="translators">
    <w:name w:val="translators"/>
    <w:basedOn w:val="DefaultParagraphFont"/>
    <w:rsid w:val="00F56CEF"/>
  </w:style>
  <w:style w:type="character" w:customStyle="1" w:styleId="contributorname">
    <w:name w:val="contributorname"/>
    <w:basedOn w:val="DefaultParagraphFont"/>
    <w:rsid w:val="00F56CEF"/>
  </w:style>
  <w:style w:type="character" w:customStyle="1" w:styleId="reference-text">
    <w:name w:val="reference-text"/>
    <w:basedOn w:val="DefaultParagraphFont"/>
    <w:rsid w:val="00ED4D06"/>
  </w:style>
  <w:style w:type="character" w:customStyle="1" w:styleId="mw-cite-backlink">
    <w:name w:val="mw-cite-backlink"/>
    <w:basedOn w:val="DefaultParagraphFont"/>
    <w:rsid w:val="00ED4D06"/>
  </w:style>
  <w:style w:type="character" w:customStyle="1" w:styleId="Heading1Char">
    <w:name w:val="Heading 1 Char"/>
    <w:basedOn w:val="DefaultParagraphFont"/>
    <w:link w:val="Heading1"/>
    <w:uiPriority w:val="9"/>
    <w:rsid w:val="00ED4D06"/>
    <w:rPr>
      <w:rFonts w:asciiTheme="majorHAnsi" w:eastAsiaTheme="majorEastAsia" w:hAnsiTheme="majorHAnsi" w:cstheme="majorBidi"/>
      <w:b/>
      <w:bCs/>
      <w:color w:val="2F5496" w:themeColor="accent1" w:themeShade="BF"/>
      <w:sz w:val="28"/>
      <w:szCs w:val="28"/>
      <w:lang w:val="en-US" w:bidi="en-US"/>
    </w:rPr>
  </w:style>
  <w:style w:type="character" w:styleId="HTMLCite">
    <w:name w:val="HTML Cite"/>
    <w:basedOn w:val="DefaultParagraphFont"/>
    <w:uiPriority w:val="99"/>
    <w:semiHidden/>
    <w:unhideWhenUsed/>
    <w:rsid w:val="00ED4D06"/>
    <w:rPr>
      <w:i/>
      <w:iCs/>
    </w:rPr>
  </w:style>
  <w:style w:type="paragraph" w:styleId="ListParagraph">
    <w:name w:val="List Paragraph"/>
    <w:basedOn w:val="Normal"/>
    <w:uiPriority w:val="34"/>
    <w:qFormat/>
    <w:rsid w:val="00444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7109">
      <w:bodyDiv w:val="1"/>
      <w:marLeft w:val="0"/>
      <w:marRight w:val="0"/>
      <w:marTop w:val="0"/>
      <w:marBottom w:val="0"/>
      <w:divBdr>
        <w:top w:val="none" w:sz="0" w:space="0" w:color="auto"/>
        <w:left w:val="none" w:sz="0" w:space="0" w:color="auto"/>
        <w:bottom w:val="none" w:sz="0" w:space="0" w:color="auto"/>
        <w:right w:val="none" w:sz="0" w:space="0" w:color="auto"/>
      </w:divBdr>
    </w:div>
    <w:div w:id="78142990">
      <w:bodyDiv w:val="1"/>
      <w:marLeft w:val="0"/>
      <w:marRight w:val="0"/>
      <w:marTop w:val="0"/>
      <w:marBottom w:val="0"/>
      <w:divBdr>
        <w:top w:val="none" w:sz="0" w:space="0" w:color="auto"/>
        <w:left w:val="none" w:sz="0" w:space="0" w:color="auto"/>
        <w:bottom w:val="none" w:sz="0" w:space="0" w:color="auto"/>
        <w:right w:val="none" w:sz="0" w:space="0" w:color="auto"/>
      </w:divBdr>
    </w:div>
    <w:div w:id="79372278">
      <w:bodyDiv w:val="1"/>
      <w:marLeft w:val="0"/>
      <w:marRight w:val="0"/>
      <w:marTop w:val="0"/>
      <w:marBottom w:val="0"/>
      <w:divBdr>
        <w:top w:val="none" w:sz="0" w:space="0" w:color="auto"/>
        <w:left w:val="none" w:sz="0" w:space="0" w:color="auto"/>
        <w:bottom w:val="none" w:sz="0" w:space="0" w:color="auto"/>
        <w:right w:val="none" w:sz="0" w:space="0" w:color="auto"/>
      </w:divBdr>
    </w:div>
    <w:div w:id="171067941">
      <w:bodyDiv w:val="1"/>
      <w:marLeft w:val="0"/>
      <w:marRight w:val="0"/>
      <w:marTop w:val="0"/>
      <w:marBottom w:val="0"/>
      <w:divBdr>
        <w:top w:val="none" w:sz="0" w:space="0" w:color="auto"/>
        <w:left w:val="none" w:sz="0" w:space="0" w:color="auto"/>
        <w:bottom w:val="none" w:sz="0" w:space="0" w:color="auto"/>
        <w:right w:val="none" w:sz="0" w:space="0" w:color="auto"/>
      </w:divBdr>
    </w:div>
    <w:div w:id="194394962">
      <w:bodyDiv w:val="1"/>
      <w:marLeft w:val="0"/>
      <w:marRight w:val="0"/>
      <w:marTop w:val="0"/>
      <w:marBottom w:val="0"/>
      <w:divBdr>
        <w:top w:val="none" w:sz="0" w:space="0" w:color="auto"/>
        <w:left w:val="none" w:sz="0" w:space="0" w:color="auto"/>
        <w:bottom w:val="none" w:sz="0" w:space="0" w:color="auto"/>
        <w:right w:val="none" w:sz="0" w:space="0" w:color="auto"/>
      </w:divBdr>
    </w:div>
    <w:div w:id="224024203">
      <w:bodyDiv w:val="1"/>
      <w:marLeft w:val="0"/>
      <w:marRight w:val="0"/>
      <w:marTop w:val="0"/>
      <w:marBottom w:val="0"/>
      <w:divBdr>
        <w:top w:val="none" w:sz="0" w:space="0" w:color="auto"/>
        <w:left w:val="none" w:sz="0" w:space="0" w:color="auto"/>
        <w:bottom w:val="none" w:sz="0" w:space="0" w:color="auto"/>
        <w:right w:val="none" w:sz="0" w:space="0" w:color="auto"/>
      </w:divBdr>
    </w:div>
    <w:div w:id="296837489">
      <w:bodyDiv w:val="1"/>
      <w:marLeft w:val="0"/>
      <w:marRight w:val="0"/>
      <w:marTop w:val="0"/>
      <w:marBottom w:val="0"/>
      <w:divBdr>
        <w:top w:val="none" w:sz="0" w:space="0" w:color="auto"/>
        <w:left w:val="none" w:sz="0" w:space="0" w:color="auto"/>
        <w:bottom w:val="none" w:sz="0" w:space="0" w:color="auto"/>
        <w:right w:val="none" w:sz="0" w:space="0" w:color="auto"/>
      </w:divBdr>
    </w:div>
    <w:div w:id="325860486">
      <w:bodyDiv w:val="1"/>
      <w:marLeft w:val="0"/>
      <w:marRight w:val="0"/>
      <w:marTop w:val="0"/>
      <w:marBottom w:val="0"/>
      <w:divBdr>
        <w:top w:val="none" w:sz="0" w:space="0" w:color="auto"/>
        <w:left w:val="none" w:sz="0" w:space="0" w:color="auto"/>
        <w:bottom w:val="none" w:sz="0" w:space="0" w:color="auto"/>
        <w:right w:val="none" w:sz="0" w:space="0" w:color="auto"/>
      </w:divBdr>
    </w:div>
    <w:div w:id="365495957">
      <w:bodyDiv w:val="1"/>
      <w:marLeft w:val="0"/>
      <w:marRight w:val="0"/>
      <w:marTop w:val="0"/>
      <w:marBottom w:val="0"/>
      <w:divBdr>
        <w:top w:val="none" w:sz="0" w:space="0" w:color="auto"/>
        <w:left w:val="none" w:sz="0" w:space="0" w:color="auto"/>
        <w:bottom w:val="none" w:sz="0" w:space="0" w:color="auto"/>
        <w:right w:val="none" w:sz="0" w:space="0" w:color="auto"/>
      </w:divBdr>
    </w:div>
    <w:div w:id="434129483">
      <w:bodyDiv w:val="1"/>
      <w:marLeft w:val="0"/>
      <w:marRight w:val="0"/>
      <w:marTop w:val="0"/>
      <w:marBottom w:val="0"/>
      <w:divBdr>
        <w:top w:val="none" w:sz="0" w:space="0" w:color="auto"/>
        <w:left w:val="none" w:sz="0" w:space="0" w:color="auto"/>
        <w:bottom w:val="none" w:sz="0" w:space="0" w:color="auto"/>
        <w:right w:val="none" w:sz="0" w:space="0" w:color="auto"/>
      </w:divBdr>
    </w:div>
    <w:div w:id="658114132">
      <w:bodyDiv w:val="1"/>
      <w:marLeft w:val="0"/>
      <w:marRight w:val="0"/>
      <w:marTop w:val="0"/>
      <w:marBottom w:val="0"/>
      <w:divBdr>
        <w:top w:val="none" w:sz="0" w:space="0" w:color="auto"/>
        <w:left w:val="none" w:sz="0" w:space="0" w:color="auto"/>
        <w:bottom w:val="none" w:sz="0" w:space="0" w:color="auto"/>
        <w:right w:val="none" w:sz="0" w:space="0" w:color="auto"/>
      </w:divBdr>
    </w:div>
    <w:div w:id="697660207">
      <w:bodyDiv w:val="1"/>
      <w:marLeft w:val="0"/>
      <w:marRight w:val="0"/>
      <w:marTop w:val="0"/>
      <w:marBottom w:val="0"/>
      <w:divBdr>
        <w:top w:val="none" w:sz="0" w:space="0" w:color="auto"/>
        <w:left w:val="none" w:sz="0" w:space="0" w:color="auto"/>
        <w:bottom w:val="none" w:sz="0" w:space="0" w:color="auto"/>
        <w:right w:val="none" w:sz="0" w:space="0" w:color="auto"/>
      </w:divBdr>
    </w:div>
    <w:div w:id="734086882">
      <w:bodyDiv w:val="1"/>
      <w:marLeft w:val="0"/>
      <w:marRight w:val="0"/>
      <w:marTop w:val="0"/>
      <w:marBottom w:val="0"/>
      <w:divBdr>
        <w:top w:val="none" w:sz="0" w:space="0" w:color="auto"/>
        <w:left w:val="none" w:sz="0" w:space="0" w:color="auto"/>
        <w:bottom w:val="none" w:sz="0" w:space="0" w:color="auto"/>
        <w:right w:val="none" w:sz="0" w:space="0" w:color="auto"/>
      </w:divBdr>
    </w:div>
    <w:div w:id="759567034">
      <w:bodyDiv w:val="1"/>
      <w:marLeft w:val="0"/>
      <w:marRight w:val="0"/>
      <w:marTop w:val="0"/>
      <w:marBottom w:val="0"/>
      <w:divBdr>
        <w:top w:val="none" w:sz="0" w:space="0" w:color="auto"/>
        <w:left w:val="none" w:sz="0" w:space="0" w:color="auto"/>
        <w:bottom w:val="none" w:sz="0" w:space="0" w:color="auto"/>
        <w:right w:val="none" w:sz="0" w:space="0" w:color="auto"/>
      </w:divBdr>
    </w:div>
    <w:div w:id="805050595">
      <w:bodyDiv w:val="1"/>
      <w:marLeft w:val="0"/>
      <w:marRight w:val="0"/>
      <w:marTop w:val="0"/>
      <w:marBottom w:val="0"/>
      <w:divBdr>
        <w:top w:val="none" w:sz="0" w:space="0" w:color="auto"/>
        <w:left w:val="none" w:sz="0" w:space="0" w:color="auto"/>
        <w:bottom w:val="none" w:sz="0" w:space="0" w:color="auto"/>
        <w:right w:val="none" w:sz="0" w:space="0" w:color="auto"/>
      </w:divBdr>
    </w:div>
    <w:div w:id="919800877">
      <w:bodyDiv w:val="1"/>
      <w:marLeft w:val="0"/>
      <w:marRight w:val="0"/>
      <w:marTop w:val="0"/>
      <w:marBottom w:val="0"/>
      <w:divBdr>
        <w:top w:val="none" w:sz="0" w:space="0" w:color="auto"/>
        <w:left w:val="none" w:sz="0" w:space="0" w:color="auto"/>
        <w:bottom w:val="none" w:sz="0" w:space="0" w:color="auto"/>
        <w:right w:val="none" w:sz="0" w:space="0" w:color="auto"/>
      </w:divBdr>
    </w:div>
    <w:div w:id="929199612">
      <w:bodyDiv w:val="1"/>
      <w:marLeft w:val="0"/>
      <w:marRight w:val="0"/>
      <w:marTop w:val="0"/>
      <w:marBottom w:val="0"/>
      <w:divBdr>
        <w:top w:val="none" w:sz="0" w:space="0" w:color="auto"/>
        <w:left w:val="none" w:sz="0" w:space="0" w:color="auto"/>
        <w:bottom w:val="none" w:sz="0" w:space="0" w:color="auto"/>
        <w:right w:val="none" w:sz="0" w:space="0" w:color="auto"/>
      </w:divBdr>
    </w:div>
    <w:div w:id="949163304">
      <w:bodyDiv w:val="1"/>
      <w:marLeft w:val="0"/>
      <w:marRight w:val="0"/>
      <w:marTop w:val="0"/>
      <w:marBottom w:val="0"/>
      <w:divBdr>
        <w:top w:val="none" w:sz="0" w:space="0" w:color="auto"/>
        <w:left w:val="none" w:sz="0" w:space="0" w:color="auto"/>
        <w:bottom w:val="none" w:sz="0" w:space="0" w:color="auto"/>
        <w:right w:val="none" w:sz="0" w:space="0" w:color="auto"/>
      </w:divBdr>
    </w:div>
    <w:div w:id="1095978877">
      <w:bodyDiv w:val="1"/>
      <w:marLeft w:val="0"/>
      <w:marRight w:val="0"/>
      <w:marTop w:val="0"/>
      <w:marBottom w:val="0"/>
      <w:divBdr>
        <w:top w:val="none" w:sz="0" w:space="0" w:color="auto"/>
        <w:left w:val="none" w:sz="0" w:space="0" w:color="auto"/>
        <w:bottom w:val="none" w:sz="0" w:space="0" w:color="auto"/>
        <w:right w:val="none" w:sz="0" w:space="0" w:color="auto"/>
      </w:divBdr>
    </w:div>
    <w:div w:id="1257977707">
      <w:bodyDiv w:val="1"/>
      <w:marLeft w:val="0"/>
      <w:marRight w:val="0"/>
      <w:marTop w:val="0"/>
      <w:marBottom w:val="0"/>
      <w:divBdr>
        <w:top w:val="none" w:sz="0" w:space="0" w:color="auto"/>
        <w:left w:val="none" w:sz="0" w:space="0" w:color="auto"/>
        <w:bottom w:val="none" w:sz="0" w:space="0" w:color="auto"/>
        <w:right w:val="none" w:sz="0" w:space="0" w:color="auto"/>
      </w:divBdr>
    </w:div>
    <w:div w:id="1432048361">
      <w:bodyDiv w:val="1"/>
      <w:marLeft w:val="0"/>
      <w:marRight w:val="0"/>
      <w:marTop w:val="0"/>
      <w:marBottom w:val="0"/>
      <w:divBdr>
        <w:top w:val="none" w:sz="0" w:space="0" w:color="auto"/>
        <w:left w:val="none" w:sz="0" w:space="0" w:color="auto"/>
        <w:bottom w:val="none" w:sz="0" w:space="0" w:color="auto"/>
        <w:right w:val="none" w:sz="0" w:space="0" w:color="auto"/>
      </w:divBdr>
    </w:div>
    <w:div w:id="1436824433">
      <w:bodyDiv w:val="1"/>
      <w:marLeft w:val="0"/>
      <w:marRight w:val="0"/>
      <w:marTop w:val="0"/>
      <w:marBottom w:val="0"/>
      <w:divBdr>
        <w:top w:val="none" w:sz="0" w:space="0" w:color="auto"/>
        <w:left w:val="none" w:sz="0" w:space="0" w:color="auto"/>
        <w:bottom w:val="none" w:sz="0" w:space="0" w:color="auto"/>
        <w:right w:val="none" w:sz="0" w:space="0" w:color="auto"/>
      </w:divBdr>
    </w:div>
    <w:div w:id="1496455065">
      <w:bodyDiv w:val="1"/>
      <w:marLeft w:val="0"/>
      <w:marRight w:val="0"/>
      <w:marTop w:val="0"/>
      <w:marBottom w:val="0"/>
      <w:divBdr>
        <w:top w:val="none" w:sz="0" w:space="0" w:color="auto"/>
        <w:left w:val="none" w:sz="0" w:space="0" w:color="auto"/>
        <w:bottom w:val="none" w:sz="0" w:space="0" w:color="auto"/>
        <w:right w:val="none" w:sz="0" w:space="0" w:color="auto"/>
      </w:divBdr>
    </w:div>
    <w:div w:id="1508717875">
      <w:bodyDiv w:val="1"/>
      <w:marLeft w:val="0"/>
      <w:marRight w:val="0"/>
      <w:marTop w:val="0"/>
      <w:marBottom w:val="0"/>
      <w:divBdr>
        <w:top w:val="none" w:sz="0" w:space="0" w:color="auto"/>
        <w:left w:val="none" w:sz="0" w:space="0" w:color="auto"/>
        <w:bottom w:val="none" w:sz="0" w:space="0" w:color="auto"/>
        <w:right w:val="none" w:sz="0" w:space="0" w:color="auto"/>
      </w:divBdr>
    </w:div>
    <w:div w:id="1564215876">
      <w:bodyDiv w:val="1"/>
      <w:marLeft w:val="0"/>
      <w:marRight w:val="0"/>
      <w:marTop w:val="0"/>
      <w:marBottom w:val="0"/>
      <w:divBdr>
        <w:top w:val="none" w:sz="0" w:space="0" w:color="auto"/>
        <w:left w:val="none" w:sz="0" w:space="0" w:color="auto"/>
        <w:bottom w:val="none" w:sz="0" w:space="0" w:color="auto"/>
        <w:right w:val="none" w:sz="0" w:space="0" w:color="auto"/>
      </w:divBdr>
    </w:div>
    <w:div w:id="1634365956">
      <w:bodyDiv w:val="1"/>
      <w:marLeft w:val="0"/>
      <w:marRight w:val="0"/>
      <w:marTop w:val="0"/>
      <w:marBottom w:val="0"/>
      <w:divBdr>
        <w:top w:val="none" w:sz="0" w:space="0" w:color="auto"/>
        <w:left w:val="none" w:sz="0" w:space="0" w:color="auto"/>
        <w:bottom w:val="none" w:sz="0" w:space="0" w:color="auto"/>
        <w:right w:val="none" w:sz="0" w:space="0" w:color="auto"/>
      </w:divBdr>
    </w:div>
    <w:div w:id="1657027096">
      <w:bodyDiv w:val="1"/>
      <w:marLeft w:val="0"/>
      <w:marRight w:val="0"/>
      <w:marTop w:val="0"/>
      <w:marBottom w:val="0"/>
      <w:divBdr>
        <w:top w:val="none" w:sz="0" w:space="0" w:color="auto"/>
        <w:left w:val="none" w:sz="0" w:space="0" w:color="auto"/>
        <w:bottom w:val="none" w:sz="0" w:space="0" w:color="auto"/>
        <w:right w:val="none" w:sz="0" w:space="0" w:color="auto"/>
      </w:divBdr>
    </w:div>
    <w:div w:id="1674533623">
      <w:bodyDiv w:val="1"/>
      <w:marLeft w:val="0"/>
      <w:marRight w:val="0"/>
      <w:marTop w:val="0"/>
      <w:marBottom w:val="0"/>
      <w:divBdr>
        <w:top w:val="none" w:sz="0" w:space="0" w:color="auto"/>
        <w:left w:val="none" w:sz="0" w:space="0" w:color="auto"/>
        <w:bottom w:val="none" w:sz="0" w:space="0" w:color="auto"/>
        <w:right w:val="none" w:sz="0" w:space="0" w:color="auto"/>
      </w:divBdr>
    </w:div>
    <w:div w:id="1700005556">
      <w:bodyDiv w:val="1"/>
      <w:marLeft w:val="0"/>
      <w:marRight w:val="0"/>
      <w:marTop w:val="0"/>
      <w:marBottom w:val="0"/>
      <w:divBdr>
        <w:top w:val="none" w:sz="0" w:space="0" w:color="auto"/>
        <w:left w:val="none" w:sz="0" w:space="0" w:color="auto"/>
        <w:bottom w:val="none" w:sz="0" w:space="0" w:color="auto"/>
        <w:right w:val="none" w:sz="0" w:space="0" w:color="auto"/>
      </w:divBdr>
    </w:div>
    <w:div w:id="1784768104">
      <w:bodyDiv w:val="1"/>
      <w:marLeft w:val="0"/>
      <w:marRight w:val="0"/>
      <w:marTop w:val="0"/>
      <w:marBottom w:val="0"/>
      <w:divBdr>
        <w:top w:val="none" w:sz="0" w:space="0" w:color="auto"/>
        <w:left w:val="none" w:sz="0" w:space="0" w:color="auto"/>
        <w:bottom w:val="none" w:sz="0" w:space="0" w:color="auto"/>
        <w:right w:val="none" w:sz="0" w:space="0" w:color="auto"/>
      </w:divBdr>
    </w:div>
    <w:div w:id="1860239972">
      <w:bodyDiv w:val="1"/>
      <w:marLeft w:val="0"/>
      <w:marRight w:val="0"/>
      <w:marTop w:val="0"/>
      <w:marBottom w:val="0"/>
      <w:divBdr>
        <w:top w:val="none" w:sz="0" w:space="0" w:color="auto"/>
        <w:left w:val="none" w:sz="0" w:space="0" w:color="auto"/>
        <w:bottom w:val="none" w:sz="0" w:space="0" w:color="auto"/>
        <w:right w:val="none" w:sz="0" w:space="0" w:color="auto"/>
      </w:divBdr>
    </w:div>
    <w:div w:id="1879511656">
      <w:bodyDiv w:val="1"/>
      <w:marLeft w:val="0"/>
      <w:marRight w:val="0"/>
      <w:marTop w:val="0"/>
      <w:marBottom w:val="0"/>
      <w:divBdr>
        <w:top w:val="none" w:sz="0" w:space="0" w:color="auto"/>
        <w:left w:val="none" w:sz="0" w:space="0" w:color="auto"/>
        <w:bottom w:val="none" w:sz="0" w:space="0" w:color="auto"/>
        <w:right w:val="none" w:sz="0" w:space="0" w:color="auto"/>
      </w:divBdr>
    </w:div>
    <w:div w:id="1890649247">
      <w:bodyDiv w:val="1"/>
      <w:marLeft w:val="0"/>
      <w:marRight w:val="0"/>
      <w:marTop w:val="0"/>
      <w:marBottom w:val="0"/>
      <w:divBdr>
        <w:top w:val="none" w:sz="0" w:space="0" w:color="auto"/>
        <w:left w:val="none" w:sz="0" w:space="0" w:color="auto"/>
        <w:bottom w:val="none" w:sz="0" w:space="0" w:color="auto"/>
        <w:right w:val="none" w:sz="0" w:space="0" w:color="auto"/>
      </w:divBdr>
    </w:div>
    <w:div w:id="1934433980">
      <w:bodyDiv w:val="1"/>
      <w:marLeft w:val="0"/>
      <w:marRight w:val="0"/>
      <w:marTop w:val="0"/>
      <w:marBottom w:val="0"/>
      <w:divBdr>
        <w:top w:val="none" w:sz="0" w:space="0" w:color="auto"/>
        <w:left w:val="none" w:sz="0" w:space="0" w:color="auto"/>
        <w:bottom w:val="none" w:sz="0" w:space="0" w:color="auto"/>
        <w:right w:val="none" w:sz="0" w:space="0" w:color="auto"/>
      </w:divBdr>
    </w:div>
    <w:div w:id="2000426639">
      <w:bodyDiv w:val="1"/>
      <w:marLeft w:val="0"/>
      <w:marRight w:val="0"/>
      <w:marTop w:val="0"/>
      <w:marBottom w:val="0"/>
      <w:divBdr>
        <w:top w:val="none" w:sz="0" w:space="0" w:color="auto"/>
        <w:left w:val="none" w:sz="0" w:space="0" w:color="auto"/>
        <w:bottom w:val="none" w:sz="0" w:space="0" w:color="auto"/>
        <w:right w:val="none" w:sz="0" w:space="0" w:color="auto"/>
      </w:divBdr>
    </w:div>
    <w:div w:id="2021000880">
      <w:bodyDiv w:val="1"/>
      <w:marLeft w:val="0"/>
      <w:marRight w:val="0"/>
      <w:marTop w:val="0"/>
      <w:marBottom w:val="0"/>
      <w:divBdr>
        <w:top w:val="none" w:sz="0" w:space="0" w:color="auto"/>
        <w:left w:val="none" w:sz="0" w:space="0" w:color="auto"/>
        <w:bottom w:val="none" w:sz="0" w:space="0" w:color="auto"/>
        <w:right w:val="none" w:sz="0" w:space="0" w:color="auto"/>
      </w:divBdr>
    </w:div>
    <w:div w:id="2026326694">
      <w:bodyDiv w:val="1"/>
      <w:marLeft w:val="0"/>
      <w:marRight w:val="0"/>
      <w:marTop w:val="0"/>
      <w:marBottom w:val="0"/>
      <w:divBdr>
        <w:top w:val="none" w:sz="0" w:space="0" w:color="auto"/>
        <w:left w:val="none" w:sz="0" w:space="0" w:color="auto"/>
        <w:bottom w:val="none" w:sz="0" w:space="0" w:color="auto"/>
        <w:right w:val="none" w:sz="0" w:space="0" w:color="auto"/>
      </w:divBdr>
    </w:div>
    <w:div w:id="2033068646">
      <w:bodyDiv w:val="1"/>
      <w:marLeft w:val="0"/>
      <w:marRight w:val="0"/>
      <w:marTop w:val="0"/>
      <w:marBottom w:val="0"/>
      <w:divBdr>
        <w:top w:val="none" w:sz="0" w:space="0" w:color="auto"/>
        <w:left w:val="none" w:sz="0" w:space="0" w:color="auto"/>
        <w:bottom w:val="none" w:sz="0" w:space="0" w:color="auto"/>
        <w:right w:val="none" w:sz="0" w:space="0" w:color="auto"/>
      </w:divBdr>
    </w:div>
    <w:div w:id="2062897386">
      <w:bodyDiv w:val="1"/>
      <w:marLeft w:val="0"/>
      <w:marRight w:val="0"/>
      <w:marTop w:val="0"/>
      <w:marBottom w:val="0"/>
      <w:divBdr>
        <w:top w:val="none" w:sz="0" w:space="0" w:color="auto"/>
        <w:left w:val="none" w:sz="0" w:space="0" w:color="auto"/>
        <w:bottom w:val="none" w:sz="0" w:space="0" w:color="auto"/>
        <w:right w:val="none" w:sz="0" w:space="0" w:color="auto"/>
      </w:divBdr>
    </w:div>
    <w:div w:id="2066757516">
      <w:bodyDiv w:val="1"/>
      <w:marLeft w:val="0"/>
      <w:marRight w:val="0"/>
      <w:marTop w:val="0"/>
      <w:marBottom w:val="0"/>
      <w:divBdr>
        <w:top w:val="none" w:sz="0" w:space="0" w:color="auto"/>
        <w:left w:val="none" w:sz="0" w:space="0" w:color="auto"/>
        <w:bottom w:val="none" w:sz="0" w:space="0" w:color="auto"/>
        <w:right w:val="none" w:sz="0" w:space="0" w:color="auto"/>
      </w:divBdr>
    </w:div>
    <w:div w:id="209073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2008.01.0039%3Achapter%3D5%3Asection%3D4" TargetMode="External"/><Relationship Id="rId13" Type="http://schemas.openxmlformats.org/officeDocument/2006/relationships/hyperlink" Target="http://www.thelatinlibrary.com/cicero/orator.shtml" TargetMode="External"/><Relationship Id="rId18" Type="http://schemas.openxmlformats.org/officeDocument/2006/relationships/hyperlink" Target="https://web.archive.org/web/20120520151808/http:/www.perseus.tufts.edu/hopper/text?doc=Perseus%3Atext%3A2008.01.0039%3Achapter%3D3%3Asection%3D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helatinlibrary.com/cicero/brut.shtml" TargetMode="External"/><Relationship Id="rId17" Type="http://schemas.openxmlformats.org/officeDocument/2006/relationships/hyperlink" Target="http://www.perseus.tufts.edu/hopper/text?doc=Perseus%3Atext%3A2008.01.0039%3Achapter%3D3%3Asection%3D1" TargetMode="External"/><Relationship Id="rId2" Type="http://schemas.openxmlformats.org/officeDocument/2006/relationships/numbering" Target="numbering.xml"/><Relationship Id="rId16" Type="http://schemas.openxmlformats.org/officeDocument/2006/relationships/hyperlink" Target="https://web.archive.org/web/20120520162313/http:/www.perseus.tufts.edu/hopper/text?doc=Perseus%3Atext%3A1999.04.0062%3Aalphabetic+letter%3DD%3Aentry+group%3D4%3Aentry%3Ddemosthenes-harp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rchive.org/web/20110629101345/http:/www.thelatinlibrary.com/cicero/brut.shtml" TargetMode="External"/><Relationship Id="rId5" Type="http://schemas.openxmlformats.org/officeDocument/2006/relationships/webSettings" Target="webSettings.xml"/><Relationship Id="rId15" Type="http://schemas.openxmlformats.org/officeDocument/2006/relationships/hyperlink" Target="http://www.perseus.tufts.edu/hopper/text?doc=Perseus%3Atext%3A1999.04.0062%3Aalphabetic+letter%3DD%3Aentry+group%3D4%3Aentry%3Ddemosthenes-harpers" TargetMode="External"/><Relationship Id="rId10" Type="http://schemas.openxmlformats.org/officeDocument/2006/relationships/hyperlink" Target="http://www.thelatinlibrary.com/cicero/brut.s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erseus.tufts.edu/hopper/text?doc=Perseus%3Atext%3A2008.01.0039%3Achapter%3D7%3Asection%3D3" TargetMode="External"/><Relationship Id="rId14" Type="http://schemas.openxmlformats.org/officeDocument/2006/relationships/hyperlink" Target="https://web.archive.org/web/20150622170646/http:/www.thelatinlibrary.com/cicero/orator.s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thelatinlibrary.com/cicero/orator.shtml" TargetMode="External"/><Relationship Id="rId2" Type="http://schemas.openxmlformats.org/officeDocument/2006/relationships/hyperlink" Target="http://www.thelatinlibrary.com/cicero/brut.shtml" TargetMode="External"/><Relationship Id="rId1" Type="http://schemas.openxmlformats.org/officeDocument/2006/relationships/hyperlink" Target="http://www.thelatinlibrary.com/cicero/brut.shtml" TargetMode="External"/><Relationship Id="rId5" Type="http://schemas.openxmlformats.org/officeDocument/2006/relationships/hyperlink" Target="http://www.perseus.tufts.edu/hopper/text?doc=Perseus%3Atext%3A2008.01.0039%3Achapter%3D3%3Asection%3D1" TargetMode="External"/><Relationship Id="rId4" Type="http://schemas.openxmlformats.org/officeDocument/2006/relationships/hyperlink" Target="http://www.thelatinlibrary.com/cicero/bru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A3BDE-B1E4-5448-A184-CC7C3C45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2012</TotalTime>
  <Pages>10</Pages>
  <Words>3550</Words>
  <Characters>20241</Characters>
  <Application>Microsoft Office Word</Application>
  <DocSecurity>0</DocSecurity>
  <Lines>168</Lines>
  <Paragraphs>47</Paragraphs>
  <ScaleCrop>false</ScaleCrop>
  <Company/>
  <LinksUpToDate>false</LinksUpToDate>
  <CharactersWithSpaces>23744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Watkin (1705831)</dc:creator>
  <cp:keywords/>
  <dc:description/>
  <cp:lastModifiedBy>Harry Watkin (1705831)</cp:lastModifiedBy>
  <cp:revision>6</cp:revision>
  <dcterms:created xsi:type="dcterms:W3CDTF">2020-05-08T10:36:00Z</dcterms:created>
  <dcterms:modified xsi:type="dcterms:W3CDTF">2020-05-11T21:31:00Z</dcterms:modified>
</cp:coreProperties>
</file>