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DE116" w14:textId="2D5BA8E0" w:rsidR="00E23A8A" w:rsidRDefault="00E23A8A"/>
    <w:p w14:paraId="3600E3CE" w14:textId="77777777" w:rsidR="00E23A8A" w:rsidRDefault="00E23A8A">
      <w:pPr>
        <w:jc w:val="center"/>
        <w:rPr>
          <w:b/>
          <w:sz w:val="26"/>
          <w:szCs w:val="26"/>
        </w:rPr>
      </w:pPr>
    </w:p>
    <w:p w14:paraId="5B30355E" w14:textId="77777777" w:rsidR="00E23A8A" w:rsidRDefault="00C868D8">
      <w:pPr>
        <w:jc w:val="center"/>
        <w:rPr>
          <w:sz w:val="26"/>
          <w:szCs w:val="26"/>
        </w:rPr>
      </w:pPr>
      <w:r>
        <w:rPr>
          <w:b/>
          <w:sz w:val="26"/>
          <w:szCs w:val="26"/>
        </w:rPr>
        <w:t xml:space="preserve">Student Name: </w:t>
      </w:r>
      <w:r>
        <w:rPr>
          <w:sz w:val="26"/>
          <w:szCs w:val="26"/>
        </w:rPr>
        <w:t>Somala Hortense Assoh</w:t>
      </w:r>
    </w:p>
    <w:p w14:paraId="637C47B0" w14:textId="77777777" w:rsidR="00E23A8A" w:rsidRDefault="00C868D8">
      <w:pPr>
        <w:jc w:val="center"/>
        <w:rPr>
          <w:b/>
          <w:sz w:val="26"/>
          <w:szCs w:val="26"/>
        </w:rPr>
      </w:pPr>
      <w:r>
        <w:rPr>
          <w:b/>
          <w:sz w:val="26"/>
          <w:szCs w:val="26"/>
        </w:rPr>
        <w:t>Student Number:</w:t>
      </w:r>
    </w:p>
    <w:p w14:paraId="31D72466" w14:textId="77777777" w:rsidR="00E23A8A" w:rsidRDefault="00E23A8A">
      <w:pPr>
        <w:jc w:val="center"/>
        <w:rPr>
          <w:b/>
          <w:sz w:val="26"/>
          <w:szCs w:val="26"/>
        </w:rPr>
      </w:pPr>
    </w:p>
    <w:p w14:paraId="259C2164" w14:textId="77777777" w:rsidR="00E23A8A" w:rsidRDefault="00C868D8">
      <w:pPr>
        <w:jc w:val="center"/>
        <w:rPr>
          <w:sz w:val="26"/>
          <w:szCs w:val="26"/>
        </w:rPr>
      </w:pPr>
      <w:r>
        <w:rPr>
          <w:b/>
          <w:sz w:val="26"/>
          <w:szCs w:val="26"/>
        </w:rPr>
        <w:t xml:space="preserve">Module Code: </w:t>
      </w:r>
      <w:r>
        <w:rPr>
          <w:sz w:val="26"/>
          <w:szCs w:val="26"/>
        </w:rPr>
        <w:t>BMHP5021</w:t>
      </w:r>
    </w:p>
    <w:p w14:paraId="71B9C5FA" w14:textId="77777777" w:rsidR="00E23A8A" w:rsidRDefault="00C868D8">
      <w:pPr>
        <w:jc w:val="center"/>
        <w:rPr>
          <w:sz w:val="26"/>
          <w:szCs w:val="26"/>
        </w:rPr>
      </w:pPr>
      <w:r>
        <w:rPr>
          <w:b/>
          <w:sz w:val="26"/>
          <w:szCs w:val="26"/>
        </w:rPr>
        <w:t xml:space="preserve">Module title: </w:t>
      </w:r>
      <w:r>
        <w:rPr>
          <w:sz w:val="26"/>
          <w:szCs w:val="26"/>
        </w:rPr>
        <w:t>Protecting and Supporting Families in Health and Care</w:t>
      </w:r>
    </w:p>
    <w:p w14:paraId="7EED010D" w14:textId="77777777" w:rsidR="00E23A8A" w:rsidRDefault="00E23A8A">
      <w:pPr>
        <w:jc w:val="center"/>
        <w:rPr>
          <w:b/>
          <w:sz w:val="26"/>
          <w:szCs w:val="26"/>
        </w:rPr>
      </w:pPr>
    </w:p>
    <w:p w14:paraId="3DB7C0CA" w14:textId="77777777" w:rsidR="003B41FC" w:rsidRDefault="00C868D8">
      <w:pPr>
        <w:jc w:val="center"/>
        <w:rPr>
          <w:sz w:val="26"/>
          <w:szCs w:val="26"/>
        </w:rPr>
      </w:pPr>
      <w:r>
        <w:rPr>
          <w:b/>
          <w:sz w:val="26"/>
          <w:szCs w:val="26"/>
        </w:rPr>
        <w:t xml:space="preserve">Assignment title: </w:t>
      </w:r>
      <w:r>
        <w:rPr>
          <w:sz w:val="26"/>
          <w:szCs w:val="26"/>
        </w:rPr>
        <w:t>Component 2: Written Report</w:t>
      </w:r>
    </w:p>
    <w:p w14:paraId="1E7B6CC5" w14:textId="15772FB8" w:rsidR="003B41FC" w:rsidRPr="003B41FC" w:rsidRDefault="000F3396" w:rsidP="000F3396">
      <w:pPr>
        <w:pStyle w:val="ListParagraph"/>
        <w:rPr>
          <w:sz w:val="26"/>
          <w:szCs w:val="26"/>
        </w:rPr>
      </w:pPr>
      <w:r>
        <w:rPr>
          <w:b/>
          <w:bCs/>
          <w:sz w:val="26"/>
          <w:szCs w:val="26"/>
        </w:rPr>
        <w:t xml:space="preserve">                       </w:t>
      </w:r>
      <w:r w:rsidR="003B41FC" w:rsidRPr="003B41FC">
        <w:rPr>
          <w:b/>
          <w:bCs/>
          <w:sz w:val="26"/>
          <w:szCs w:val="26"/>
        </w:rPr>
        <w:t>Student Name:</w:t>
      </w:r>
      <w:r w:rsidR="003B41FC" w:rsidRPr="003B41FC">
        <w:rPr>
          <w:sz w:val="26"/>
          <w:szCs w:val="26"/>
        </w:rPr>
        <w:t xml:space="preserve"> S. Hortense Assoh</w:t>
      </w:r>
    </w:p>
    <w:p w14:paraId="654E4C07" w14:textId="47A8ED48" w:rsidR="00E23A8A" w:rsidRDefault="003B41FC">
      <w:pPr>
        <w:jc w:val="center"/>
        <w:rPr>
          <w:sz w:val="26"/>
          <w:szCs w:val="26"/>
        </w:rPr>
      </w:pPr>
      <w:r w:rsidRPr="003B41FC">
        <w:rPr>
          <w:b/>
          <w:bCs/>
          <w:sz w:val="26"/>
          <w:szCs w:val="26"/>
        </w:rPr>
        <w:t>Student Number:</w:t>
      </w:r>
      <w:r>
        <w:rPr>
          <w:sz w:val="26"/>
          <w:szCs w:val="26"/>
        </w:rPr>
        <w:t xml:space="preserve"> 2245799</w:t>
      </w:r>
      <w:r w:rsidR="00C868D8">
        <w:br w:type="page"/>
      </w:r>
    </w:p>
    <w:sdt>
      <w:sdtPr>
        <w:rPr>
          <w:rFonts w:ascii="Arial" w:eastAsia="Arial" w:hAnsi="Arial" w:cs="Arial"/>
          <w:color w:val="auto"/>
          <w:sz w:val="22"/>
          <w:szCs w:val="22"/>
          <w:lang w:val="en-GB"/>
        </w:rPr>
        <w:id w:val="2098360307"/>
        <w:docPartObj>
          <w:docPartGallery w:val="Table of Contents"/>
          <w:docPartUnique/>
        </w:docPartObj>
      </w:sdtPr>
      <w:sdtEndPr>
        <w:rPr>
          <w:b/>
          <w:bCs/>
          <w:noProof/>
        </w:rPr>
      </w:sdtEndPr>
      <w:sdtContent>
        <w:p w14:paraId="52D5E3B2" w14:textId="1BCBE32E" w:rsidR="000B2D18" w:rsidRPr="000B2D18" w:rsidRDefault="000B2D18" w:rsidP="000B2D18">
          <w:pPr>
            <w:pStyle w:val="TOCHeading"/>
            <w:jc w:val="center"/>
            <w:rPr>
              <w:b/>
              <w:color w:val="000000" w:themeColor="text1"/>
              <w:sz w:val="28"/>
            </w:rPr>
          </w:pPr>
          <w:r w:rsidRPr="000B2D18">
            <w:rPr>
              <w:b/>
              <w:color w:val="000000" w:themeColor="text1"/>
              <w:sz w:val="28"/>
            </w:rPr>
            <w:t>TABLE OF CONTENTS</w:t>
          </w:r>
        </w:p>
        <w:p w14:paraId="4B0B31AD" w14:textId="336AAEA8" w:rsidR="000B2D18" w:rsidRDefault="000B2D18">
          <w:pPr>
            <w:pStyle w:val="TOC1"/>
            <w:tabs>
              <w:tab w:val="right" w:leader="dot" w:pos="9019"/>
            </w:tabs>
            <w:rPr>
              <w:noProof/>
            </w:rPr>
          </w:pPr>
          <w:r>
            <w:fldChar w:fldCharType="begin"/>
          </w:r>
          <w:r>
            <w:instrText xml:space="preserve"> TOC \o "1-3" \h \z \u </w:instrText>
          </w:r>
          <w:r>
            <w:fldChar w:fldCharType="separate"/>
          </w:r>
          <w:hyperlink w:anchor="_Toc211069485" w:history="1">
            <w:r w:rsidRPr="00C90302">
              <w:rPr>
                <w:rStyle w:val="Hyperlink"/>
                <w:noProof/>
              </w:rPr>
              <w:t>Introduction</w:t>
            </w:r>
            <w:r>
              <w:rPr>
                <w:noProof/>
                <w:webHidden/>
              </w:rPr>
              <w:tab/>
            </w:r>
            <w:r>
              <w:rPr>
                <w:noProof/>
                <w:webHidden/>
              </w:rPr>
              <w:fldChar w:fldCharType="begin"/>
            </w:r>
            <w:r>
              <w:rPr>
                <w:noProof/>
                <w:webHidden/>
              </w:rPr>
              <w:instrText xml:space="preserve"> PAGEREF _Toc211069485 \h </w:instrText>
            </w:r>
            <w:r>
              <w:rPr>
                <w:noProof/>
                <w:webHidden/>
              </w:rPr>
            </w:r>
            <w:r>
              <w:rPr>
                <w:noProof/>
                <w:webHidden/>
              </w:rPr>
              <w:fldChar w:fldCharType="separate"/>
            </w:r>
            <w:r>
              <w:rPr>
                <w:noProof/>
                <w:webHidden/>
              </w:rPr>
              <w:t>3</w:t>
            </w:r>
            <w:r>
              <w:rPr>
                <w:noProof/>
                <w:webHidden/>
              </w:rPr>
              <w:fldChar w:fldCharType="end"/>
            </w:r>
          </w:hyperlink>
        </w:p>
        <w:p w14:paraId="077DA380" w14:textId="717AA8CF" w:rsidR="000B2D18" w:rsidRDefault="000B2D18">
          <w:pPr>
            <w:pStyle w:val="TOC1"/>
            <w:tabs>
              <w:tab w:val="right" w:leader="dot" w:pos="9019"/>
            </w:tabs>
            <w:rPr>
              <w:noProof/>
            </w:rPr>
          </w:pPr>
          <w:hyperlink w:anchor="_Toc211069486" w:history="1">
            <w:r w:rsidRPr="00C90302">
              <w:rPr>
                <w:rStyle w:val="Hyperlink"/>
                <w:noProof/>
              </w:rPr>
              <w:t>Explanation of the Early Help System</w:t>
            </w:r>
            <w:r>
              <w:rPr>
                <w:noProof/>
                <w:webHidden/>
              </w:rPr>
              <w:tab/>
            </w:r>
            <w:r>
              <w:rPr>
                <w:noProof/>
                <w:webHidden/>
              </w:rPr>
              <w:fldChar w:fldCharType="begin"/>
            </w:r>
            <w:r>
              <w:rPr>
                <w:noProof/>
                <w:webHidden/>
              </w:rPr>
              <w:instrText xml:space="preserve"> PAGEREF _Toc211069486 \h </w:instrText>
            </w:r>
            <w:r>
              <w:rPr>
                <w:noProof/>
                <w:webHidden/>
              </w:rPr>
            </w:r>
            <w:r>
              <w:rPr>
                <w:noProof/>
                <w:webHidden/>
              </w:rPr>
              <w:fldChar w:fldCharType="separate"/>
            </w:r>
            <w:r>
              <w:rPr>
                <w:noProof/>
                <w:webHidden/>
              </w:rPr>
              <w:t>3</w:t>
            </w:r>
            <w:r>
              <w:rPr>
                <w:noProof/>
                <w:webHidden/>
              </w:rPr>
              <w:fldChar w:fldCharType="end"/>
            </w:r>
          </w:hyperlink>
        </w:p>
        <w:p w14:paraId="79F61D52" w14:textId="2700994D" w:rsidR="000B2D18" w:rsidRDefault="000B2D18">
          <w:pPr>
            <w:pStyle w:val="TOC1"/>
            <w:tabs>
              <w:tab w:val="right" w:leader="dot" w:pos="9019"/>
            </w:tabs>
            <w:rPr>
              <w:noProof/>
            </w:rPr>
          </w:pPr>
          <w:hyperlink w:anchor="_Toc211069487" w:history="1">
            <w:r w:rsidRPr="00C90302">
              <w:rPr>
                <w:rStyle w:val="Hyperlink"/>
                <w:noProof/>
              </w:rPr>
              <w:t>Explanation of multi-agency working</w:t>
            </w:r>
            <w:r>
              <w:rPr>
                <w:noProof/>
                <w:webHidden/>
              </w:rPr>
              <w:tab/>
            </w:r>
            <w:r>
              <w:rPr>
                <w:noProof/>
                <w:webHidden/>
              </w:rPr>
              <w:fldChar w:fldCharType="begin"/>
            </w:r>
            <w:r>
              <w:rPr>
                <w:noProof/>
                <w:webHidden/>
              </w:rPr>
              <w:instrText xml:space="preserve"> PAGEREF _Toc211069487 \h </w:instrText>
            </w:r>
            <w:r>
              <w:rPr>
                <w:noProof/>
                <w:webHidden/>
              </w:rPr>
            </w:r>
            <w:r>
              <w:rPr>
                <w:noProof/>
                <w:webHidden/>
              </w:rPr>
              <w:fldChar w:fldCharType="separate"/>
            </w:r>
            <w:r>
              <w:rPr>
                <w:noProof/>
                <w:webHidden/>
              </w:rPr>
              <w:t>4</w:t>
            </w:r>
            <w:r>
              <w:rPr>
                <w:noProof/>
                <w:webHidden/>
              </w:rPr>
              <w:fldChar w:fldCharType="end"/>
            </w:r>
          </w:hyperlink>
        </w:p>
        <w:p w14:paraId="71CFB8FD" w14:textId="39548D34" w:rsidR="000B2D18" w:rsidRDefault="000B2D18">
          <w:pPr>
            <w:pStyle w:val="TOC1"/>
            <w:tabs>
              <w:tab w:val="right" w:leader="dot" w:pos="9019"/>
            </w:tabs>
            <w:rPr>
              <w:noProof/>
            </w:rPr>
          </w:pPr>
          <w:hyperlink w:anchor="_Toc211069488" w:history="1">
            <w:r w:rsidRPr="00C90302">
              <w:rPr>
                <w:rStyle w:val="Hyperlink"/>
                <w:noProof/>
              </w:rPr>
              <w:t>An evaluation of each of the three local authority websites</w:t>
            </w:r>
            <w:r>
              <w:rPr>
                <w:noProof/>
                <w:webHidden/>
              </w:rPr>
              <w:tab/>
            </w:r>
            <w:r>
              <w:rPr>
                <w:noProof/>
                <w:webHidden/>
              </w:rPr>
              <w:fldChar w:fldCharType="begin"/>
            </w:r>
            <w:r>
              <w:rPr>
                <w:noProof/>
                <w:webHidden/>
              </w:rPr>
              <w:instrText xml:space="preserve"> PAGEREF _Toc211069488 \h </w:instrText>
            </w:r>
            <w:r>
              <w:rPr>
                <w:noProof/>
                <w:webHidden/>
              </w:rPr>
            </w:r>
            <w:r>
              <w:rPr>
                <w:noProof/>
                <w:webHidden/>
              </w:rPr>
              <w:fldChar w:fldCharType="separate"/>
            </w:r>
            <w:r>
              <w:rPr>
                <w:noProof/>
                <w:webHidden/>
              </w:rPr>
              <w:t>5</w:t>
            </w:r>
            <w:r>
              <w:rPr>
                <w:noProof/>
                <w:webHidden/>
              </w:rPr>
              <w:fldChar w:fldCharType="end"/>
            </w:r>
          </w:hyperlink>
        </w:p>
        <w:p w14:paraId="48F8B8D2" w14:textId="339CDA28" w:rsidR="000B2D18" w:rsidRDefault="000B2D18">
          <w:pPr>
            <w:pStyle w:val="TOC1"/>
            <w:tabs>
              <w:tab w:val="right" w:leader="dot" w:pos="9019"/>
            </w:tabs>
            <w:rPr>
              <w:noProof/>
            </w:rPr>
          </w:pPr>
          <w:hyperlink w:anchor="_Toc211069489" w:history="1">
            <w:r w:rsidRPr="00C90302">
              <w:rPr>
                <w:rStyle w:val="Hyperlink"/>
                <w:noProof/>
              </w:rPr>
              <w:t>A comparative analysis of the main strengths and weaknesses</w:t>
            </w:r>
            <w:r>
              <w:rPr>
                <w:noProof/>
                <w:webHidden/>
              </w:rPr>
              <w:tab/>
            </w:r>
            <w:r>
              <w:rPr>
                <w:noProof/>
                <w:webHidden/>
              </w:rPr>
              <w:fldChar w:fldCharType="begin"/>
            </w:r>
            <w:r>
              <w:rPr>
                <w:noProof/>
                <w:webHidden/>
              </w:rPr>
              <w:instrText xml:space="preserve"> PAGEREF _Toc211069489 \h </w:instrText>
            </w:r>
            <w:r>
              <w:rPr>
                <w:noProof/>
                <w:webHidden/>
              </w:rPr>
            </w:r>
            <w:r>
              <w:rPr>
                <w:noProof/>
                <w:webHidden/>
              </w:rPr>
              <w:fldChar w:fldCharType="separate"/>
            </w:r>
            <w:r>
              <w:rPr>
                <w:noProof/>
                <w:webHidden/>
              </w:rPr>
              <w:t>9</w:t>
            </w:r>
            <w:r>
              <w:rPr>
                <w:noProof/>
                <w:webHidden/>
              </w:rPr>
              <w:fldChar w:fldCharType="end"/>
            </w:r>
          </w:hyperlink>
        </w:p>
        <w:p w14:paraId="08D73452" w14:textId="4E89BE32" w:rsidR="000B2D18" w:rsidRDefault="000B2D18">
          <w:pPr>
            <w:pStyle w:val="TOC1"/>
            <w:tabs>
              <w:tab w:val="right" w:leader="dot" w:pos="9019"/>
            </w:tabs>
            <w:rPr>
              <w:noProof/>
            </w:rPr>
          </w:pPr>
          <w:hyperlink w:anchor="_Toc211069490" w:history="1">
            <w:r w:rsidRPr="00C90302">
              <w:rPr>
                <w:rStyle w:val="Hyperlink"/>
                <w:noProof/>
              </w:rPr>
              <w:t>Recommendations for areas for improvement</w:t>
            </w:r>
            <w:r>
              <w:rPr>
                <w:noProof/>
                <w:webHidden/>
              </w:rPr>
              <w:tab/>
            </w:r>
            <w:r>
              <w:rPr>
                <w:noProof/>
                <w:webHidden/>
              </w:rPr>
              <w:fldChar w:fldCharType="begin"/>
            </w:r>
            <w:r>
              <w:rPr>
                <w:noProof/>
                <w:webHidden/>
              </w:rPr>
              <w:instrText xml:space="preserve"> PAGEREF _Toc211069490 \h </w:instrText>
            </w:r>
            <w:r>
              <w:rPr>
                <w:noProof/>
                <w:webHidden/>
              </w:rPr>
            </w:r>
            <w:r>
              <w:rPr>
                <w:noProof/>
                <w:webHidden/>
              </w:rPr>
              <w:fldChar w:fldCharType="separate"/>
            </w:r>
            <w:r>
              <w:rPr>
                <w:noProof/>
                <w:webHidden/>
              </w:rPr>
              <w:t>10</w:t>
            </w:r>
            <w:r>
              <w:rPr>
                <w:noProof/>
                <w:webHidden/>
              </w:rPr>
              <w:fldChar w:fldCharType="end"/>
            </w:r>
          </w:hyperlink>
        </w:p>
        <w:p w14:paraId="42FEF412" w14:textId="44F103D5" w:rsidR="000B2D18" w:rsidRDefault="000B2D18">
          <w:pPr>
            <w:pStyle w:val="TOC1"/>
            <w:tabs>
              <w:tab w:val="right" w:leader="dot" w:pos="9019"/>
            </w:tabs>
            <w:rPr>
              <w:noProof/>
            </w:rPr>
          </w:pPr>
          <w:hyperlink w:anchor="_Toc211069491" w:history="1">
            <w:r w:rsidRPr="00C90302">
              <w:rPr>
                <w:rStyle w:val="Hyperlink"/>
                <w:noProof/>
              </w:rPr>
              <w:t>Conclusion</w:t>
            </w:r>
            <w:r>
              <w:rPr>
                <w:noProof/>
                <w:webHidden/>
              </w:rPr>
              <w:tab/>
            </w:r>
            <w:r>
              <w:rPr>
                <w:noProof/>
                <w:webHidden/>
              </w:rPr>
              <w:fldChar w:fldCharType="begin"/>
            </w:r>
            <w:r>
              <w:rPr>
                <w:noProof/>
                <w:webHidden/>
              </w:rPr>
              <w:instrText xml:space="preserve"> PAGEREF _Toc211069491 \h </w:instrText>
            </w:r>
            <w:r>
              <w:rPr>
                <w:noProof/>
                <w:webHidden/>
              </w:rPr>
            </w:r>
            <w:r>
              <w:rPr>
                <w:noProof/>
                <w:webHidden/>
              </w:rPr>
              <w:fldChar w:fldCharType="separate"/>
            </w:r>
            <w:r>
              <w:rPr>
                <w:noProof/>
                <w:webHidden/>
              </w:rPr>
              <w:t>10</w:t>
            </w:r>
            <w:r>
              <w:rPr>
                <w:noProof/>
                <w:webHidden/>
              </w:rPr>
              <w:fldChar w:fldCharType="end"/>
            </w:r>
          </w:hyperlink>
        </w:p>
        <w:p w14:paraId="49E63EEA" w14:textId="69A2C20A" w:rsidR="000B2D18" w:rsidRDefault="000B2D18">
          <w:pPr>
            <w:pStyle w:val="TOC1"/>
            <w:tabs>
              <w:tab w:val="right" w:leader="dot" w:pos="9019"/>
            </w:tabs>
            <w:rPr>
              <w:noProof/>
            </w:rPr>
          </w:pPr>
          <w:hyperlink w:anchor="_Toc211069492" w:history="1">
            <w:r w:rsidRPr="00C90302">
              <w:rPr>
                <w:rStyle w:val="Hyperlink"/>
                <w:noProof/>
              </w:rPr>
              <w:t>Reference List</w:t>
            </w:r>
            <w:r>
              <w:rPr>
                <w:noProof/>
                <w:webHidden/>
              </w:rPr>
              <w:tab/>
            </w:r>
            <w:r>
              <w:rPr>
                <w:noProof/>
                <w:webHidden/>
              </w:rPr>
              <w:fldChar w:fldCharType="begin"/>
            </w:r>
            <w:r>
              <w:rPr>
                <w:noProof/>
                <w:webHidden/>
              </w:rPr>
              <w:instrText xml:space="preserve"> PAGEREF _Toc211069492 \h </w:instrText>
            </w:r>
            <w:r>
              <w:rPr>
                <w:noProof/>
                <w:webHidden/>
              </w:rPr>
            </w:r>
            <w:r>
              <w:rPr>
                <w:noProof/>
                <w:webHidden/>
              </w:rPr>
              <w:fldChar w:fldCharType="separate"/>
            </w:r>
            <w:r>
              <w:rPr>
                <w:noProof/>
                <w:webHidden/>
              </w:rPr>
              <w:t>12</w:t>
            </w:r>
            <w:r>
              <w:rPr>
                <w:noProof/>
                <w:webHidden/>
              </w:rPr>
              <w:fldChar w:fldCharType="end"/>
            </w:r>
          </w:hyperlink>
        </w:p>
        <w:p w14:paraId="728D0225" w14:textId="23FAE010" w:rsidR="000B2D18" w:rsidRDefault="000B2D18">
          <w:r>
            <w:rPr>
              <w:b/>
              <w:bCs/>
              <w:noProof/>
            </w:rPr>
            <w:fldChar w:fldCharType="end"/>
          </w:r>
        </w:p>
      </w:sdtContent>
    </w:sdt>
    <w:p w14:paraId="4B961E25" w14:textId="77777777" w:rsidR="000B2D18" w:rsidRDefault="000B2D18">
      <w:pPr>
        <w:rPr>
          <w:b/>
          <w:sz w:val="28"/>
          <w:szCs w:val="28"/>
        </w:rPr>
      </w:pPr>
      <w:r>
        <w:rPr>
          <w:b/>
          <w:sz w:val="28"/>
          <w:szCs w:val="28"/>
        </w:rPr>
        <w:br w:type="page"/>
      </w:r>
    </w:p>
    <w:p w14:paraId="07C78F93" w14:textId="0A9685C2" w:rsidR="00E23A8A" w:rsidRDefault="00C868D8">
      <w:pPr>
        <w:jc w:val="center"/>
        <w:rPr>
          <w:b/>
          <w:sz w:val="28"/>
          <w:szCs w:val="28"/>
        </w:rPr>
      </w:pPr>
      <w:r>
        <w:rPr>
          <w:b/>
          <w:sz w:val="28"/>
          <w:szCs w:val="28"/>
        </w:rPr>
        <w:lastRenderedPageBreak/>
        <w:t>Protecting and Supporting Families in Health and Care</w:t>
      </w:r>
    </w:p>
    <w:p w14:paraId="0DDBA484" w14:textId="77777777" w:rsidR="00E23A8A" w:rsidRDefault="00E23A8A">
      <w:pPr>
        <w:jc w:val="center"/>
        <w:rPr>
          <w:b/>
          <w:sz w:val="28"/>
          <w:szCs w:val="28"/>
        </w:rPr>
      </w:pPr>
    </w:p>
    <w:p w14:paraId="3E431294" w14:textId="77777777" w:rsidR="00E23A8A" w:rsidRDefault="00C868D8">
      <w:pPr>
        <w:pStyle w:val="Heading1"/>
      </w:pPr>
      <w:bookmarkStart w:id="0" w:name="_626v1houkszu" w:colFirst="0" w:colLast="0"/>
      <w:bookmarkStart w:id="1" w:name="_Toc211069485"/>
      <w:bookmarkEnd w:id="0"/>
      <w:r>
        <w:t>Introduction</w:t>
      </w:r>
      <w:bookmarkEnd w:id="1"/>
    </w:p>
    <w:p w14:paraId="2E2C7B34" w14:textId="77777777" w:rsidR="00E23A8A" w:rsidRDefault="00C868D8">
      <w:r w:rsidRPr="003B41FC">
        <w:t>This report aims to critically assess and examine the presentation of the signposting of the Early Help system to families via three local authority websites in the UK, including Leicestershire County Council, Norfolk County Council and Staffordshire County Council. It will give a detailed description of the Early Help system and discuss the phenomenon of multi-agency working in helping children, young people, and families. Moreover, the report will analyse and compare how easy, transparent, and useful the communication of each of the websites is, and it will finish with evidence-based suggestions to enhance the process of service signposting and family involvement.</w:t>
      </w:r>
    </w:p>
    <w:p w14:paraId="10B5061D" w14:textId="77777777" w:rsidR="003B41FC" w:rsidRPr="003B41FC" w:rsidRDefault="003B41FC"/>
    <w:p w14:paraId="7B7F3FA5" w14:textId="77777777" w:rsidR="00E23A8A" w:rsidRDefault="00C868D8">
      <w:pPr>
        <w:pStyle w:val="Heading1"/>
      </w:pPr>
      <w:bookmarkStart w:id="2" w:name="_3gjsszfsjaml" w:colFirst="0" w:colLast="0"/>
      <w:bookmarkStart w:id="3" w:name="_Toc211069486"/>
      <w:bookmarkEnd w:id="2"/>
      <w:r>
        <w:t>Explanation of the Early Help System</w:t>
      </w:r>
      <w:bookmarkEnd w:id="3"/>
    </w:p>
    <w:p w14:paraId="5BB9A143" w14:textId="77777777" w:rsidR="00E23A8A" w:rsidRDefault="00C868D8">
      <w:pPr>
        <w:rPr>
          <w:b/>
          <w:i/>
          <w:sz w:val="24"/>
          <w:szCs w:val="24"/>
        </w:rPr>
      </w:pPr>
      <w:r>
        <w:rPr>
          <w:b/>
          <w:i/>
          <w:sz w:val="24"/>
          <w:szCs w:val="24"/>
        </w:rPr>
        <w:t>Purpose and Principles of the Early Help Framework</w:t>
      </w:r>
    </w:p>
    <w:p w14:paraId="7B6C7F26" w14:textId="77777777" w:rsidR="00E23A8A" w:rsidRDefault="00C868D8">
      <w:r>
        <w:t xml:space="preserve">The Early Help Framework intends to detect and meet emerging needs of children, young people and families as early as possible before the problems develop to become crises. It follows the principles of prevention, collaboration, and empowerment, and the families can enjoy customised support with the available services (McGeown </w:t>
      </w:r>
      <w:r>
        <w:rPr>
          <w:i/>
        </w:rPr>
        <w:t>et al.</w:t>
      </w:r>
      <w:r>
        <w:t xml:space="preserve">, 2023). Based on protection and positive health, the framework facilitates collective responsibility among the professionals involved and enhances early intervention instead of response. Through trust, inclusion and resilience, Early Help establishes a comprehensive support of the family </w:t>
      </w:r>
      <w:proofErr w:type="gramStart"/>
      <w:r>
        <w:t>in an attempt to</w:t>
      </w:r>
      <w:proofErr w:type="gramEnd"/>
      <w:r>
        <w:t xml:space="preserve"> create a lasting stability and better life results.</w:t>
      </w:r>
    </w:p>
    <w:p w14:paraId="0C56BFA8" w14:textId="77777777" w:rsidR="00E23A8A" w:rsidRDefault="00C868D8">
      <w:pPr>
        <w:jc w:val="center"/>
      </w:pPr>
      <w:r>
        <w:rPr>
          <w:noProof/>
        </w:rPr>
        <w:drawing>
          <wp:inline distT="114300" distB="114300" distL="114300" distR="114300" wp14:anchorId="43E8094F" wp14:editId="0FE4A20B">
            <wp:extent cx="4472940" cy="2910840"/>
            <wp:effectExtent l="0" t="0" r="3810" b="381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474017" cy="2911541"/>
                    </a:xfrm>
                    <a:prstGeom prst="rect">
                      <a:avLst/>
                    </a:prstGeom>
                    <a:ln/>
                  </pic:spPr>
                </pic:pic>
              </a:graphicData>
            </a:graphic>
          </wp:inline>
        </w:drawing>
      </w:r>
    </w:p>
    <w:p w14:paraId="77034467" w14:textId="77777777" w:rsidR="00E23A8A" w:rsidRDefault="00C868D8">
      <w:pPr>
        <w:jc w:val="center"/>
        <w:rPr>
          <w:b/>
        </w:rPr>
      </w:pPr>
      <w:r>
        <w:rPr>
          <w:b/>
        </w:rPr>
        <w:t>Figure 1: Safeguarding Early Help and the threshold of needs</w:t>
      </w:r>
    </w:p>
    <w:p w14:paraId="53642258" w14:textId="77777777" w:rsidR="00E23A8A" w:rsidRDefault="00C868D8">
      <w:pPr>
        <w:jc w:val="center"/>
      </w:pPr>
      <w:r>
        <w:lastRenderedPageBreak/>
        <w:t>(Source: Newbery, 2024)</w:t>
      </w:r>
    </w:p>
    <w:p w14:paraId="43867EC8" w14:textId="77777777" w:rsidR="00E23A8A" w:rsidRDefault="00C868D8">
      <w:pPr>
        <w:rPr>
          <w:b/>
          <w:i/>
          <w:sz w:val="24"/>
          <w:szCs w:val="24"/>
        </w:rPr>
      </w:pPr>
      <w:r>
        <w:rPr>
          <w:b/>
          <w:i/>
          <w:sz w:val="24"/>
          <w:szCs w:val="24"/>
        </w:rPr>
        <w:t>Key Components and Delivery Mechanisms</w:t>
      </w:r>
    </w:p>
    <w:p w14:paraId="19BA9F51" w14:textId="77777777" w:rsidR="00E23A8A" w:rsidRDefault="00C868D8">
      <w:r>
        <w:t xml:space="preserve">Early Help is a system of work that is based on the multi-agency approach and the use of assessments, action plans, and a family-centred approach. The key to the delivery is the Early Help Assessment (EHA) that detects targeted needs and allows sharing information between different agencies, including education, health, and social care (Newbery, 2024). The support is offered by key workers or lead professionals who do the multi-disciplinary response coordination. The mechanisms of delivery focus on collaboration with partners, involvement of the local community, and adaptability to service channels </w:t>
      </w:r>
      <w:proofErr w:type="gramStart"/>
      <w:r>
        <w:t>in order to</w:t>
      </w:r>
      <w:proofErr w:type="gramEnd"/>
      <w:r>
        <w:t xml:space="preserve"> provide support, in line with time and in a proper manner. </w:t>
      </w:r>
    </w:p>
    <w:p w14:paraId="0C4D4BEA" w14:textId="77777777" w:rsidR="003B41FC" w:rsidRDefault="003B41FC"/>
    <w:p w14:paraId="277EA60B" w14:textId="77777777" w:rsidR="00E23A8A" w:rsidRDefault="00C868D8">
      <w:r>
        <w:rPr>
          <w:b/>
          <w:i/>
          <w:sz w:val="24"/>
          <w:szCs w:val="24"/>
        </w:rPr>
        <w:t>Strengths and weaknesses of the Early Help System</w:t>
      </w:r>
    </w:p>
    <w:p w14:paraId="40B4AFA4" w14:textId="77777777" w:rsidR="00E23A8A" w:rsidRDefault="00C868D8">
      <w:r>
        <w:t xml:space="preserve">The Early Help initiative has been observed to have evident strengths in facilitating the use of early intervention, as more than 300,000 families in England have been assisted every year by local authority-led programs (Whittaker </w:t>
      </w:r>
      <w:r>
        <w:rPr>
          <w:i/>
        </w:rPr>
        <w:t>et al.</w:t>
      </w:r>
      <w:r>
        <w:t xml:space="preserve">, 2022). As an example, the Early Help hubs in Norfolk managed to decrease the number of cases referred to the statutory social care by about 4,000 cases during 2021-2023, which displays better prevention outcomes. The ability to work together with other agencies </w:t>
      </w:r>
      <w:proofErr w:type="gramStart"/>
      <w:r>
        <w:t>coordinated, and</w:t>
      </w:r>
      <w:proofErr w:type="gramEnd"/>
      <w:r>
        <w:t xml:space="preserve"> identify risks in time can be considered a strength. However, there are still areas of weakness, including the lack of collaborative funding between authorities. In 2022, Staffordshire had a budget shortfall of £2.6 million. </w:t>
      </w:r>
    </w:p>
    <w:p w14:paraId="6EC2F088" w14:textId="77777777" w:rsidR="00E23A8A" w:rsidRDefault="00C868D8">
      <w:pPr>
        <w:pStyle w:val="Heading1"/>
      </w:pPr>
      <w:bookmarkStart w:id="4" w:name="_byez7h6n31ij" w:colFirst="0" w:colLast="0"/>
      <w:bookmarkStart w:id="5" w:name="_Toc211069487"/>
      <w:bookmarkEnd w:id="4"/>
      <w:r>
        <w:t>Explanation of multi-agency working</w:t>
      </w:r>
      <w:bookmarkEnd w:id="5"/>
    </w:p>
    <w:p w14:paraId="479275F6" w14:textId="77777777" w:rsidR="00E23A8A" w:rsidRDefault="00C868D8">
      <w:pPr>
        <w:rPr>
          <w:b/>
          <w:i/>
        </w:rPr>
      </w:pPr>
      <w:r>
        <w:rPr>
          <w:b/>
          <w:i/>
        </w:rPr>
        <w:t>Definition and Core Principles of Multi-Agency Collaboration</w:t>
      </w:r>
    </w:p>
    <w:p w14:paraId="58C42F37" w14:textId="77777777" w:rsidR="00E23A8A" w:rsidRDefault="00C868D8">
      <w:pPr>
        <w:rPr>
          <w:b/>
          <w:i/>
        </w:rPr>
      </w:pPr>
      <w:r>
        <w:t xml:space="preserve">Multi-agency cooperation is the coordinated efforts of professionals working in the fields of health, education, social services and law enforcement to meet the needs of complex families. Shared accountability, information exchange, and decision-making are core values to provide effective and early interventions. As an illustration, Leicestershire safeguarding partnership involves more than 120 organisations to deliver a smooth Early Help pathway (Keighley </w:t>
      </w:r>
      <w:r>
        <w:rPr>
          <w:i/>
        </w:rPr>
        <w:t>et al.</w:t>
      </w:r>
      <w:r>
        <w:t>, 2023). This division improves the way communication is carried out and eliminates redundancy of services. Nevertheless, difficulties arise when the agencies do not share priorities or even have a differing data system which operates and assays at a different time and at times slows down the entire intervention efficiency.</w:t>
      </w:r>
    </w:p>
    <w:p w14:paraId="79542A71" w14:textId="77777777" w:rsidR="00E23A8A" w:rsidRDefault="00C868D8">
      <w:pPr>
        <w:rPr>
          <w:b/>
          <w:i/>
        </w:rPr>
      </w:pPr>
      <w:r>
        <w:rPr>
          <w:b/>
          <w:i/>
        </w:rPr>
        <w:t>Roles and Responsibilities of Professionals in Partnership Working</w:t>
      </w:r>
    </w:p>
    <w:p w14:paraId="2CED2C9C" w14:textId="77777777" w:rsidR="00E23A8A" w:rsidRDefault="00C868D8">
      <w:r>
        <w:t xml:space="preserve">Agencies have professionals whose roles are different, but related to each other, within Early Help. Risk assessment is done by social workers, well-being is monitored by health visitors, and developmental or behavioural issues are detected by education staff. In Norfolk, more than 1,800 professionals lead the joint family support plans every year. Service coordination </w:t>
      </w:r>
      <w:r>
        <w:lastRenderedPageBreak/>
        <w:t xml:space="preserve">is done by lead practitioners, making sure of continuity and accountability (Khatri </w:t>
      </w:r>
      <w:r>
        <w:rPr>
          <w:i/>
        </w:rPr>
        <w:t>et al.</w:t>
      </w:r>
      <w:r>
        <w:t xml:space="preserve">, 2023). The definite division of roles contributes to trust and eliminates overlaps, whereas the common frameworks facilitate the decision-making process. However, the situation may become strained in case duties </w:t>
      </w:r>
      <w:proofErr w:type="gramStart"/>
      <w:r>
        <w:t>overload</w:t>
      </w:r>
      <w:proofErr w:type="gramEnd"/>
      <w:r>
        <w:t xml:space="preserve"> or a lack of leadership hinders teamwork.</w:t>
      </w:r>
    </w:p>
    <w:p w14:paraId="37386333" w14:textId="77777777" w:rsidR="003B41FC" w:rsidRDefault="003B41FC">
      <w:pPr>
        <w:rPr>
          <w:b/>
          <w:i/>
        </w:rPr>
      </w:pPr>
    </w:p>
    <w:p w14:paraId="21D52461" w14:textId="77777777" w:rsidR="00E23A8A" w:rsidRDefault="00C868D8">
      <w:pPr>
        <w:rPr>
          <w:b/>
          <w:i/>
        </w:rPr>
      </w:pPr>
      <w:r>
        <w:rPr>
          <w:b/>
          <w:i/>
        </w:rPr>
        <w:t>Benefits and Challenges of Multi-Agency Approaches</w:t>
      </w:r>
    </w:p>
    <w:p w14:paraId="08E17090" w14:textId="77777777" w:rsidR="00E23A8A" w:rsidRDefault="00C868D8">
      <w:r>
        <w:t xml:space="preserve">The advantages of multi-agency working are significant, as they include better security results, quicker service response and the comprehensive provision of support to families. Integrated Early Help teams in Staffordshire saved 2,500 cases of child protection recurrence cases in 2020-23, which proves the effectiveness of coordinated care (Ellins </w:t>
      </w:r>
      <w:r>
        <w:rPr>
          <w:i/>
        </w:rPr>
        <w:t>et al.</w:t>
      </w:r>
      <w:r>
        <w:t>, 2023). Teamwork leads to the sharing of resources and professional development. Nevertheless, there are such challenges as barriers to communication, limitations to data protection and divergent priorities of different agencies. Irregular funding and workforce disproportions may also add to the burden of partnerships, and administrative burdens sometimes slow down responses in time, which contradicts the proactive intention of the Early Help system.</w:t>
      </w:r>
    </w:p>
    <w:p w14:paraId="555E2BAA" w14:textId="77777777" w:rsidR="003B41FC" w:rsidRDefault="003B41FC"/>
    <w:p w14:paraId="4BA7F730" w14:textId="77777777" w:rsidR="00E23A8A" w:rsidRDefault="00C868D8">
      <w:pPr>
        <w:pStyle w:val="Heading1"/>
      </w:pPr>
      <w:bookmarkStart w:id="6" w:name="_4zu2ignhxaf4" w:colFirst="0" w:colLast="0"/>
      <w:bookmarkStart w:id="7" w:name="_Toc211069488"/>
      <w:bookmarkEnd w:id="6"/>
      <w:r>
        <w:t>An evaluation of each of the three local authority websites</w:t>
      </w:r>
      <w:bookmarkEnd w:id="7"/>
    </w:p>
    <w:p w14:paraId="05C2D318" w14:textId="77777777" w:rsidR="00E23A8A" w:rsidRDefault="00C868D8">
      <w:pPr>
        <w:rPr>
          <w:b/>
          <w:i/>
        </w:rPr>
      </w:pPr>
      <w:r>
        <w:rPr>
          <w:b/>
          <w:i/>
        </w:rPr>
        <w:t>Evaluation of Leicestershire County Council’s Early Help Web Resources</w:t>
      </w:r>
    </w:p>
    <w:p w14:paraId="1E28ED5A" w14:textId="77777777" w:rsidR="00E23A8A" w:rsidRDefault="00C868D8">
      <w:r>
        <w:t xml:space="preserve">The County Council of Leicestershire has offered a well-organised Early Help section on the site, which includes stepwise instructions on suggestive referrals, assessment forms and professional contacts. Family Information Directory has more than 650 registered support services, whereby families have a variety of options (Baillot </w:t>
      </w:r>
      <w:r>
        <w:rPr>
          <w:i/>
        </w:rPr>
        <w:t>et al.</w:t>
      </w:r>
      <w:r>
        <w:t>, 2023). The advantages are interactive online forms, multilingual accessibility, and the presence of signposts to parenting classes and youth support. There are, however, restrictions in navigation where some of the hyperlinks direct to an outdated PDF and disjointed page layouts. Less digitally literate families would find it difficult to find essential information, especially on mobile platforms, when menus would shrink large amounts of information and make it unusable by first-time users.</w:t>
      </w:r>
    </w:p>
    <w:p w14:paraId="232660ED" w14:textId="77777777" w:rsidR="00E23A8A" w:rsidRDefault="00C868D8">
      <w:pPr>
        <w:jc w:val="center"/>
      </w:pPr>
      <w:r>
        <w:rPr>
          <w:noProof/>
        </w:rPr>
        <w:lastRenderedPageBreak/>
        <w:drawing>
          <wp:inline distT="114300" distB="114300" distL="114300" distR="114300" wp14:anchorId="71FF7878" wp14:editId="64058DD3">
            <wp:extent cx="4764887" cy="3383280"/>
            <wp:effectExtent l="0" t="0" r="0" b="762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76382" cy="3391442"/>
                    </a:xfrm>
                    <a:prstGeom prst="rect">
                      <a:avLst/>
                    </a:prstGeom>
                    <a:ln/>
                  </pic:spPr>
                </pic:pic>
              </a:graphicData>
            </a:graphic>
          </wp:inline>
        </w:drawing>
      </w:r>
    </w:p>
    <w:p w14:paraId="126125AA" w14:textId="77777777" w:rsidR="00E23A8A" w:rsidRDefault="00C868D8">
      <w:pPr>
        <w:jc w:val="center"/>
        <w:rPr>
          <w:b/>
        </w:rPr>
      </w:pPr>
      <w:r>
        <w:rPr>
          <w:b/>
        </w:rPr>
        <w:t>Figure 2: Leicestershire County Council</w:t>
      </w:r>
    </w:p>
    <w:p w14:paraId="33EE9BC3" w14:textId="77777777" w:rsidR="00E23A8A" w:rsidRDefault="00C868D8">
      <w:pPr>
        <w:jc w:val="center"/>
      </w:pPr>
      <w:r>
        <w:rPr>
          <w:sz w:val="24"/>
          <w:szCs w:val="24"/>
        </w:rPr>
        <w:t xml:space="preserve">(Source: </w:t>
      </w:r>
      <w:r>
        <w:t xml:space="preserve">Baillot </w:t>
      </w:r>
      <w:r>
        <w:rPr>
          <w:i/>
        </w:rPr>
        <w:t>et al.</w:t>
      </w:r>
      <w:r>
        <w:t>, 2023)</w:t>
      </w:r>
    </w:p>
    <w:p w14:paraId="63DA59BC" w14:textId="77777777" w:rsidR="00E23A8A" w:rsidRDefault="00C868D8">
      <w:pPr>
        <w:rPr>
          <w:b/>
          <w:i/>
        </w:rPr>
      </w:pPr>
      <w:r>
        <w:rPr>
          <w:b/>
          <w:i/>
        </w:rPr>
        <w:t>Evaluation of Norfolk County Council’s Family Support and Early Help Information</w:t>
      </w:r>
    </w:p>
    <w:p w14:paraId="4AB16F97" w14:textId="77777777" w:rsidR="00E23A8A" w:rsidRDefault="00C868D8">
      <w:r>
        <w:t xml:space="preserve">Norfolk County Council has an active portal of Early Help that is incorporated into the Just One Norfolk platform, which was visited by around 25,000 people each month. The site provides an Early Help Assessment form, online referral system and 24-hour chat support, which make the site more accessible to families and professionals (Shah </w:t>
      </w:r>
      <w:r>
        <w:rPr>
          <w:i/>
        </w:rPr>
        <w:t>et al.</w:t>
      </w:r>
      <w:r>
        <w:t xml:space="preserve">, 2022). The information is separated into age-related categories, and the details include more than 480 local services. One of the most notable strengths is that it is visually simple and responsive. Nevertheless, some of the weaknesses are a high content density and a lack of translation opportunities for migrant families. </w:t>
      </w:r>
    </w:p>
    <w:p w14:paraId="1412DC15" w14:textId="77777777" w:rsidR="00E23A8A" w:rsidRDefault="00C868D8">
      <w:pPr>
        <w:jc w:val="center"/>
      </w:pPr>
      <w:r>
        <w:rPr>
          <w:noProof/>
        </w:rPr>
        <w:lastRenderedPageBreak/>
        <w:drawing>
          <wp:inline distT="114300" distB="114300" distL="114300" distR="114300" wp14:anchorId="31D38257" wp14:editId="3349145D">
            <wp:extent cx="5258435" cy="400812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258737" cy="4008350"/>
                    </a:xfrm>
                    <a:prstGeom prst="rect">
                      <a:avLst/>
                    </a:prstGeom>
                    <a:ln/>
                  </pic:spPr>
                </pic:pic>
              </a:graphicData>
            </a:graphic>
          </wp:inline>
        </w:drawing>
      </w:r>
    </w:p>
    <w:p w14:paraId="3291DE82" w14:textId="77777777" w:rsidR="00E23A8A" w:rsidRDefault="00C868D8">
      <w:pPr>
        <w:jc w:val="center"/>
        <w:rPr>
          <w:b/>
        </w:rPr>
      </w:pPr>
      <w:r>
        <w:rPr>
          <w:b/>
        </w:rPr>
        <w:t>Figure 3: Norfolk County Council</w:t>
      </w:r>
    </w:p>
    <w:p w14:paraId="2111E2A4" w14:textId="77777777" w:rsidR="00E23A8A" w:rsidRDefault="00C868D8">
      <w:pPr>
        <w:jc w:val="center"/>
      </w:pPr>
      <w:r>
        <w:rPr>
          <w:sz w:val="24"/>
          <w:szCs w:val="24"/>
        </w:rPr>
        <w:t xml:space="preserve">(Source: </w:t>
      </w:r>
      <w:r>
        <w:t xml:space="preserve">Lowans </w:t>
      </w:r>
      <w:r>
        <w:rPr>
          <w:i/>
        </w:rPr>
        <w:t>et al.</w:t>
      </w:r>
      <w:r>
        <w:t>, 2023)</w:t>
      </w:r>
    </w:p>
    <w:p w14:paraId="46307702" w14:textId="77777777" w:rsidR="00E23A8A" w:rsidRDefault="00C868D8">
      <w:pPr>
        <w:rPr>
          <w:b/>
          <w:i/>
        </w:rPr>
      </w:pPr>
      <w:r>
        <w:rPr>
          <w:b/>
          <w:i/>
        </w:rPr>
        <w:t>Evaluation of Staffordshire County Council’s Early Help and Support Services</w:t>
      </w:r>
    </w:p>
    <w:p w14:paraId="4C5261DD" w14:textId="77777777" w:rsidR="00E23A8A" w:rsidRDefault="00C868D8">
      <w:r>
        <w:t xml:space="preserve">It is also evident in the Early Help webpage of Staffordshire County Council, where education, social care, and health services are integrated. It has an Early Help Directory of plus 700 community-based initiatives and a downloadable professionals toolkit. The strengths are found in easy navigation, explainers of videos, and real-time referral tracking of agencies. It also has its Start Well hubs that reported more than 18,000 family interactions in 2023, which means high digital-to-practical alignment of the services (Lowans </w:t>
      </w:r>
      <w:r>
        <w:rPr>
          <w:i/>
        </w:rPr>
        <w:t>et al.</w:t>
      </w:r>
      <w:r>
        <w:t>, 2023). Nevertheless, the site is not mobile optimised in some of its subpages, thus making it sluggish to load. The social capital of youth-specific online resources is minimally promoted.</w:t>
      </w:r>
    </w:p>
    <w:p w14:paraId="0F8148D5" w14:textId="77777777" w:rsidR="00E23A8A" w:rsidRDefault="00C868D8">
      <w:pPr>
        <w:jc w:val="center"/>
      </w:pPr>
      <w:r>
        <w:rPr>
          <w:noProof/>
        </w:rPr>
        <w:lastRenderedPageBreak/>
        <w:drawing>
          <wp:inline distT="114300" distB="114300" distL="114300" distR="114300" wp14:anchorId="0E177D8A" wp14:editId="2F4ACE80">
            <wp:extent cx="3987800" cy="3657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988144" cy="3657916"/>
                    </a:xfrm>
                    <a:prstGeom prst="rect">
                      <a:avLst/>
                    </a:prstGeom>
                    <a:ln/>
                  </pic:spPr>
                </pic:pic>
              </a:graphicData>
            </a:graphic>
          </wp:inline>
        </w:drawing>
      </w:r>
    </w:p>
    <w:p w14:paraId="6DD3DC48" w14:textId="77777777" w:rsidR="00E23A8A" w:rsidRDefault="00C868D8">
      <w:pPr>
        <w:jc w:val="center"/>
        <w:rPr>
          <w:b/>
        </w:rPr>
      </w:pPr>
      <w:r>
        <w:rPr>
          <w:b/>
        </w:rPr>
        <w:t>Figure 4: Staffordshire County Council</w:t>
      </w:r>
    </w:p>
    <w:p w14:paraId="73B6AC3E" w14:textId="77777777" w:rsidR="00E23A8A" w:rsidRDefault="00C868D8">
      <w:pPr>
        <w:jc w:val="center"/>
      </w:pPr>
      <w:r>
        <w:t xml:space="preserve">(Source: Lowans </w:t>
      </w:r>
      <w:r>
        <w:rPr>
          <w:i/>
        </w:rPr>
        <w:t>et al.</w:t>
      </w:r>
      <w:r>
        <w:t>, 2023)</w:t>
      </w:r>
    </w:p>
    <w:p w14:paraId="41FAAA8E" w14:textId="77777777" w:rsidR="00E23A8A" w:rsidRDefault="00C868D8">
      <w:pPr>
        <w:rPr>
          <w:b/>
          <w:i/>
        </w:rPr>
      </w:pPr>
      <w:r>
        <w:rPr>
          <w:b/>
          <w:i/>
        </w:rPr>
        <w:t>Comparative Use of Language and Digital Tools</w:t>
      </w:r>
    </w:p>
    <w:p w14:paraId="486DCFF2" w14:textId="77777777" w:rsidR="00E23A8A" w:rsidRDefault="00C868D8">
      <w:r>
        <w:t>In the three local authorities, access to language and presenting it digitally is very different. Norfolk uses straightforward and informal language with references to more than 15 interactive guidance videos, which facilitate user comprehension. The professional terms employed by Leicestershire can be a challenge to families that are not conversant with the safeguarding processes, but it has online translations in 20 languages (</w:t>
      </w:r>
      <w:proofErr w:type="spellStart"/>
      <w:r>
        <w:t>Braber</w:t>
      </w:r>
      <w:proofErr w:type="spellEnd"/>
      <w:r>
        <w:t xml:space="preserve"> and Howard, 2024). Staffordshire has digital functionality, such as referral tracking and video tutorials, but does not have regular mobile optimise for staff devices. The chatbot in Norfolk receives 1,200 monthly questions, which proves better interaction digitally. Nevertheless, Leicestershire and Staffordshire depend on the use of simple PDFs.</w:t>
      </w:r>
    </w:p>
    <w:p w14:paraId="4C1611FA" w14:textId="77777777" w:rsidR="003B41FC" w:rsidRDefault="003B41FC">
      <w:pPr>
        <w:rPr>
          <w:b/>
          <w:i/>
        </w:rPr>
      </w:pPr>
    </w:p>
    <w:p w14:paraId="37CF3FE5" w14:textId="77777777" w:rsidR="00E23A8A" w:rsidRDefault="00C868D8">
      <w:pPr>
        <w:rPr>
          <w:b/>
          <w:i/>
        </w:rPr>
      </w:pPr>
      <w:r>
        <w:rPr>
          <w:b/>
          <w:i/>
        </w:rPr>
        <w:t>Strengths and Weaknesses Summary</w:t>
      </w:r>
    </w:p>
    <w:p w14:paraId="24D30AE3" w14:textId="77777777" w:rsidR="00E23A8A" w:rsidRDefault="00C868D8">
      <w:r>
        <w:t xml:space="preserve">All three councils are also devoted to the Early Help transparency and provide referral forms, family directories, and contact support. The multiple access and comprehensive listings are also advantages of Leicestershire, although there are still problems with navigation (Zaidi and Pitt, 2022). Norfolk is highly interactive in real-time and well-compiled flow of information, which improves both family and professional engagement. The fact that Staffordshire has an integrated system of referrals and a comprehensive resource list speaks of good alignment in its service (Salt </w:t>
      </w:r>
      <w:r>
        <w:rPr>
          <w:i/>
        </w:rPr>
        <w:t>et al.,</w:t>
      </w:r>
      <w:r>
        <w:t xml:space="preserve"> 2023). However, there are such weaknesses as the old links on the site </w:t>
      </w:r>
      <w:r>
        <w:lastRenderedPageBreak/>
        <w:t xml:space="preserve">of Leicestershire, the lack of translation facilities in Norfolk and the inconsistent mobile layout of Staffordshire. </w:t>
      </w:r>
    </w:p>
    <w:p w14:paraId="4F556002" w14:textId="77777777" w:rsidR="00E23A8A" w:rsidRDefault="00C868D8">
      <w:pPr>
        <w:pStyle w:val="Heading1"/>
      </w:pPr>
      <w:bookmarkStart w:id="8" w:name="_rdj0sep0xmxj" w:colFirst="0" w:colLast="0"/>
      <w:bookmarkStart w:id="9" w:name="_Toc211069489"/>
      <w:bookmarkEnd w:id="8"/>
      <w:r>
        <w:t>A comparative analysis of the main strengths and weaknesses</w:t>
      </w:r>
      <w:bookmarkEnd w:id="9"/>
    </w:p>
    <w:p w14:paraId="195119C0" w14:textId="77777777" w:rsidR="00E23A8A" w:rsidRDefault="00C868D8">
      <w:r>
        <w:rPr>
          <w:b/>
          <w:i/>
        </w:rPr>
        <w:t>Comparative Overview Table</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23A8A" w14:paraId="7C026D4A" w14:textId="77777777">
        <w:tc>
          <w:tcPr>
            <w:tcW w:w="2257" w:type="dxa"/>
            <w:shd w:val="clear" w:color="auto" w:fill="D9D9D9"/>
            <w:tcMar>
              <w:top w:w="100" w:type="dxa"/>
              <w:left w:w="100" w:type="dxa"/>
              <w:bottom w:w="100" w:type="dxa"/>
              <w:right w:w="100" w:type="dxa"/>
            </w:tcMar>
          </w:tcPr>
          <w:p w14:paraId="5755993D" w14:textId="77777777" w:rsidR="00E23A8A" w:rsidRDefault="00C868D8">
            <w:pPr>
              <w:widowControl w:val="0"/>
              <w:pBdr>
                <w:top w:val="nil"/>
                <w:left w:val="nil"/>
                <w:bottom w:val="nil"/>
                <w:right w:val="nil"/>
                <w:between w:val="nil"/>
              </w:pBdr>
              <w:jc w:val="center"/>
              <w:rPr>
                <w:b/>
              </w:rPr>
            </w:pPr>
            <w:r>
              <w:rPr>
                <w:b/>
              </w:rPr>
              <w:t>Criteria</w:t>
            </w:r>
          </w:p>
        </w:tc>
        <w:tc>
          <w:tcPr>
            <w:tcW w:w="2257" w:type="dxa"/>
            <w:shd w:val="clear" w:color="auto" w:fill="D9D9D9"/>
            <w:tcMar>
              <w:top w:w="100" w:type="dxa"/>
              <w:left w:w="100" w:type="dxa"/>
              <w:bottom w:w="100" w:type="dxa"/>
              <w:right w:w="100" w:type="dxa"/>
            </w:tcMar>
          </w:tcPr>
          <w:p w14:paraId="09E4A5BC" w14:textId="77777777" w:rsidR="00E23A8A" w:rsidRDefault="00C868D8">
            <w:pPr>
              <w:widowControl w:val="0"/>
              <w:pBdr>
                <w:top w:val="nil"/>
                <w:left w:val="nil"/>
                <w:bottom w:val="nil"/>
                <w:right w:val="nil"/>
                <w:between w:val="nil"/>
              </w:pBdr>
              <w:jc w:val="center"/>
              <w:rPr>
                <w:b/>
              </w:rPr>
            </w:pPr>
            <w:r>
              <w:rPr>
                <w:b/>
              </w:rPr>
              <w:t>Leicestershire County Council</w:t>
            </w:r>
          </w:p>
        </w:tc>
        <w:tc>
          <w:tcPr>
            <w:tcW w:w="2257" w:type="dxa"/>
            <w:shd w:val="clear" w:color="auto" w:fill="D9D9D9"/>
            <w:tcMar>
              <w:top w:w="100" w:type="dxa"/>
              <w:left w:w="100" w:type="dxa"/>
              <w:bottom w:w="100" w:type="dxa"/>
              <w:right w:w="100" w:type="dxa"/>
            </w:tcMar>
          </w:tcPr>
          <w:p w14:paraId="23B6D858" w14:textId="77777777" w:rsidR="00E23A8A" w:rsidRDefault="00C868D8">
            <w:pPr>
              <w:widowControl w:val="0"/>
              <w:pBdr>
                <w:top w:val="nil"/>
                <w:left w:val="nil"/>
                <w:bottom w:val="nil"/>
                <w:right w:val="nil"/>
                <w:between w:val="nil"/>
              </w:pBdr>
              <w:jc w:val="center"/>
              <w:rPr>
                <w:b/>
              </w:rPr>
            </w:pPr>
            <w:r>
              <w:rPr>
                <w:b/>
              </w:rPr>
              <w:t>Norfolk County Council</w:t>
            </w:r>
          </w:p>
        </w:tc>
        <w:tc>
          <w:tcPr>
            <w:tcW w:w="2257" w:type="dxa"/>
            <w:shd w:val="clear" w:color="auto" w:fill="D9D9D9"/>
            <w:tcMar>
              <w:top w:w="100" w:type="dxa"/>
              <w:left w:w="100" w:type="dxa"/>
              <w:bottom w:w="100" w:type="dxa"/>
              <w:right w:w="100" w:type="dxa"/>
            </w:tcMar>
          </w:tcPr>
          <w:p w14:paraId="3896608A" w14:textId="77777777" w:rsidR="00E23A8A" w:rsidRDefault="00C868D8">
            <w:pPr>
              <w:widowControl w:val="0"/>
              <w:pBdr>
                <w:top w:val="nil"/>
                <w:left w:val="nil"/>
                <w:bottom w:val="nil"/>
                <w:right w:val="nil"/>
                <w:between w:val="nil"/>
              </w:pBdr>
              <w:jc w:val="center"/>
              <w:rPr>
                <w:b/>
              </w:rPr>
            </w:pPr>
            <w:r>
              <w:rPr>
                <w:b/>
              </w:rPr>
              <w:t>Staffordshire County Council</w:t>
            </w:r>
          </w:p>
        </w:tc>
      </w:tr>
      <w:tr w:rsidR="00E23A8A" w14:paraId="29C10E1E" w14:textId="77777777">
        <w:tc>
          <w:tcPr>
            <w:tcW w:w="2257" w:type="dxa"/>
            <w:shd w:val="clear" w:color="auto" w:fill="C9DAF8"/>
            <w:tcMar>
              <w:top w:w="100" w:type="dxa"/>
              <w:left w:w="100" w:type="dxa"/>
              <w:bottom w:w="100" w:type="dxa"/>
              <w:right w:w="100" w:type="dxa"/>
            </w:tcMar>
          </w:tcPr>
          <w:p w14:paraId="0427A3F3" w14:textId="77777777" w:rsidR="00E23A8A" w:rsidRDefault="00C868D8">
            <w:pPr>
              <w:widowControl w:val="0"/>
              <w:pBdr>
                <w:top w:val="nil"/>
                <w:left w:val="nil"/>
                <w:bottom w:val="nil"/>
                <w:right w:val="nil"/>
                <w:between w:val="nil"/>
              </w:pBdr>
              <w:jc w:val="center"/>
            </w:pPr>
            <w:r>
              <w:t>Information Accessibility</w:t>
            </w:r>
          </w:p>
        </w:tc>
        <w:tc>
          <w:tcPr>
            <w:tcW w:w="2257" w:type="dxa"/>
            <w:shd w:val="clear" w:color="auto" w:fill="C9DAF8"/>
            <w:tcMar>
              <w:top w:w="100" w:type="dxa"/>
              <w:left w:w="100" w:type="dxa"/>
              <w:bottom w:w="100" w:type="dxa"/>
              <w:right w:w="100" w:type="dxa"/>
            </w:tcMar>
          </w:tcPr>
          <w:p w14:paraId="7FC962B0" w14:textId="77777777" w:rsidR="00E23A8A" w:rsidRDefault="00C868D8">
            <w:r>
              <w:t>Clean design, though with some outdated links and PDF dependence.</w:t>
            </w:r>
          </w:p>
          <w:p w14:paraId="6BDBE9BA" w14:textId="77777777" w:rsidR="00E23A8A" w:rsidRDefault="00E23A8A"/>
        </w:tc>
        <w:tc>
          <w:tcPr>
            <w:tcW w:w="2257" w:type="dxa"/>
            <w:shd w:val="clear" w:color="auto" w:fill="C9DAF8"/>
            <w:tcMar>
              <w:top w:w="100" w:type="dxa"/>
              <w:left w:w="100" w:type="dxa"/>
              <w:bottom w:w="100" w:type="dxa"/>
              <w:right w:w="100" w:type="dxa"/>
            </w:tcMar>
          </w:tcPr>
          <w:p w14:paraId="6EA28512" w14:textId="77777777" w:rsidR="00E23A8A" w:rsidRDefault="00C868D8">
            <w:r>
              <w:t>Extremely accessible with age-segmented sections and a responsive layout.</w:t>
            </w:r>
          </w:p>
        </w:tc>
        <w:tc>
          <w:tcPr>
            <w:tcW w:w="2257" w:type="dxa"/>
            <w:shd w:val="clear" w:color="auto" w:fill="C9DAF8"/>
            <w:tcMar>
              <w:top w:w="100" w:type="dxa"/>
              <w:left w:w="100" w:type="dxa"/>
              <w:bottom w:w="100" w:type="dxa"/>
              <w:right w:w="100" w:type="dxa"/>
            </w:tcMar>
          </w:tcPr>
          <w:p w14:paraId="6BD7F128" w14:textId="77777777" w:rsidR="00E23A8A" w:rsidRDefault="00C868D8">
            <w:r>
              <w:t>Easy navigation, albeit slow loading on some mobile pages.</w:t>
            </w:r>
          </w:p>
          <w:p w14:paraId="564B81D8" w14:textId="77777777" w:rsidR="00E23A8A" w:rsidRDefault="00E23A8A"/>
        </w:tc>
      </w:tr>
      <w:tr w:rsidR="00E23A8A" w14:paraId="23620604" w14:textId="77777777">
        <w:tc>
          <w:tcPr>
            <w:tcW w:w="2257" w:type="dxa"/>
            <w:shd w:val="clear" w:color="auto" w:fill="C9DAF8"/>
            <w:tcMar>
              <w:top w:w="100" w:type="dxa"/>
              <w:left w:w="100" w:type="dxa"/>
              <w:bottom w:w="100" w:type="dxa"/>
              <w:right w:w="100" w:type="dxa"/>
            </w:tcMar>
          </w:tcPr>
          <w:p w14:paraId="6E4755C9" w14:textId="77777777" w:rsidR="00E23A8A" w:rsidRDefault="00C868D8">
            <w:pPr>
              <w:widowControl w:val="0"/>
              <w:pBdr>
                <w:top w:val="nil"/>
                <w:left w:val="nil"/>
                <w:bottom w:val="nil"/>
                <w:right w:val="nil"/>
                <w:between w:val="nil"/>
              </w:pBdr>
              <w:jc w:val="center"/>
            </w:pPr>
            <w:r>
              <w:t>Integration with Support Services</w:t>
            </w:r>
          </w:p>
        </w:tc>
        <w:tc>
          <w:tcPr>
            <w:tcW w:w="2257" w:type="dxa"/>
            <w:shd w:val="clear" w:color="auto" w:fill="C9DAF8"/>
            <w:tcMar>
              <w:top w:w="100" w:type="dxa"/>
              <w:left w:w="100" w:type="dxa"/>
              <w:bottom w:w="100" w:type="dxa"/>
              <w:right w:w="100" w:type="dxa"/>
            </w:tcMar>
          </w:tcPr>
          <w:p w14:paraId="41B2E566" w14:textId="77777777" w:rsidR="00E23A8A" w:rsidRDefault="00C868D8">
            <w:r>
              <w:t>Strong referral relations with neighbours among the residents</w:t>
            </w:r>
          </w:p>
        </w:tc>
        <w:tc>
          <w:tcPr>
            <w:tcW w:w="2257" w:type="dxa"/>
            <w:shd w:val="clear" w:color="auto" w:fill="C9DAF8"/>
            <w:tcMar>
              <w:top w:w="100" w:type="dxa"/>
              <w:left w:w="100" w:type="dxa"/>
              <w:bottom w:w="100" w:type="dxa"/>
              <w:right w:w="100" w:type="dxa"/>
            </w:tcMar>
          </w:tcPr>
          <w:p w14:paraId="07174AC2" w14:textId="77777777" w:rsidR="00E23A8A" w:rsidRDefault="00C868D8">
            <w:r>
              <w:t>Strong coordination with Just One Norfolk.</w:t>
            </w:r>
          </w:p>
        </w:tc>
        <w:tc>
          <w:tcPr>
            <w:tcW w:w="2257" w:type="dxa"/>
            <w:shd w:val="clear" w:color="auto" w:fill="C9DAF8"/>
            <w:tcMar>
              <w:top w:w="100" w:type="dxa"/>
              <w:left w:w="100" w:type="dxa"/>
              <w:bottom w:w="100" w:type="dxa"/>
              <w:right w:w="100" w:type="dxa"/>
            </w:tcMar>
          </w:tcPr>
          <w:p w14:paraId="239B99A5" w14:textId="77777777" w:rsidR="00E23A8A" w:rsidRDefault="00C868D8">
            <w:r>
              <w:t>Well-connected to education and health hubs (Khan and Saima Liaqat, 2023).</w:t>
            </w:r>
          </w:p>
        </w:tc>
      </w:tr>
      <w:tr w:rsidR="00E23A8A" w14:paraId="7F376DDB" w14:textId="77777777">
        <w:tc>
          <w:tcPr>
            <w:tcW w:w="2257" w:type="dxa"/>
            <w:shd w:val="clear" w:color="auto" w:fill="C9DAF8"/>
            <w:tcMar>
              <w:top w:w="100" w:type="dxa"/>
              <w:left w:w="100" w:type="dxa"/>
              <w:bottom w:w="100" w:type="dxa"/>
              <w:right w:w="100" w:type="dxa"/>
            </w:tcMar>
          </w:tcPr>
          <w:p w14:paraId="028D8E57" w14:textId="77777777" w:rsidR="00E23A8A" w:rsidRDefault="00C868D8">
            <w:pPr>
              <w:widowControl w:val="0"/>
              <w:jc w:val="center"/>
            </w:pPr>
            <w:r>
              <w:t>Digital Tools and Interactivity</w:t>
            </w:r>
          </w:p>
        </w:tc>
        <w:tc>
          <w:tcPr>
            <w:tcW w:w="2257" w:type="dxa"/>
            <w:shd w:val="clear" w:color="auto" w:fill="C9DAF8"/>
            <w:tcMar>
              <w:top w:w="100" w:type="dxa"/>
              <w:left w:w="100" w:type="dxa"/>
              <w:bottom w:w="100" w:type="dxa"/>
              <w:right w:w="100" w:type="dxa"/>
            </w:tcMar>
          </w:tcPr>
          <w:p w14:paraId="0B9A4CA4" w14:textId="77777777" w:rsidR="00E23A8A" w:rsidRDefault="00C868D8">
            <w:r>
              <w:t>Simple interactivity; translation into 20 languages.</w:t>
            </w:r>
          </w:p>
        </w:tc>
        <w:tc>
          <w:tcPr>
            <w:tcW w:w="2257" w:type="dxa"/>
            <w:shd w:val="clear" w:color="auto" w:fill="C9DAF8"/>
            <w:tcMar>
              <w:top w:w="100" w:type="dxa"/>
              <w:left w:w="100" w:type="dxa"/>
              <w:bottom w:w="100" w:type="dxa"/>
              <w:right w:w="100" w:type="dxa"/>
            </w:tcMar>
          </w:tcPr>
          <w:p w14:paraId="397AE96D" w14:textId="77777777" w:rsidR="00E23A8A" w:rsidRDefault="00C868D8">
            <w:r>
              <w:t>Powerful digital features with chatbot and video tutorials.</w:t>
            </w:r>
          </w:p>
        </w:tc>
        <w:tc>
          <w:tcPr>
            <w:tcW w:w="2257" w:type="dxa"/>
            <w:shd w:val="clear" w:color="auto" w:fill="C9DAF8"/>
            <w:tcMar>
              <w:top w:w="100" w:type="dxa"/>
              <w:left w:w="100" w:type="dxa"/>
              <w:bottom w:w="100" w:type="dxa"/>
              <w:right w:w="100" w:type="dxa"/>
            </w:tcMar>
          </w:tcPr>
          <w:p w14:paraId="3B59CDC2" w14:textId="77777777" w:rsidR="00E23A8A" w:rsidRDefault="00C868D8">
            <w:r>
              <w:t>Integrated referral tracking and video explanations.</w:t>
            </w:r>
          </w:p>
        </w:tc>
      </w:tr>
      <w:tr w:rsidR="00E23A8A" w14:paraId="18E04EC4" w14:textId="77777777">
        <w:tc>
          <w:tcPr>
            <w:tcW w:w="2257" w:type="dxa"/>
            <w:shd w:val="clear" w:color="auto" w:fill="C9DAF8"/>
            <w:tcMar>
              <w:top w:w="100" w:type="dxa"/>
              <w:left w:w="100" w:type="dxa"/>
              <w:bottom w:w="100" w:type="dxa"/>
              <w:right w:w="100" w:type="dxa"/>
            </w:tcMar>
          </w:tcPr>
          <w:p w14:paraId="0C7E575C" w14:textId="77777777" w:rsidR="00E23A8A" w:rsidRDefault="00C868D8">
            <w:pPr>
              <w:widowControl w:val="0"/>
              <w:pBdr>
                <w:top w:val="nil"/>
                <w:left w:val="nil"/>
                <w:bottom w:val="nil"/>
                <w:right w:val="nil"/>
                <w:between w:val="nil"/>
              </w:pBdr>
              <w:jc w:val="center"/>
            </w:pPr>
            <w:r>
              <w:t>Overall Communication Effectiveness</w:t>
            </w:r>
          </w:p>
        </w:tc>
        <w:tc>
          <w:tcPr>
            <w:tcW w:w="2257" w:type="dxa"/>
            <w:shd w:val="clear" w:color="auto" w:fill="C9DAF8"/>
            <w:tcMar>
              <w:top w:w="100" w:type="dxa"/>
              <w:left w:w="100" w:type="dxa"/>
              <w:bottom w:w="100" w:type="dxa"/>
              <w:right w:w="100" w:type="dxa"/>
            </w:tcMar>
          </w:tcPr>
          <w:p w14:paraId="65EA0E01" w14:textId="77777777" w:rsidR="00E23A8A" w:rsidRDefault="00C868D8">
            <w:r>
              <w:t xml:space="preserve">Not visually engaging but informative. </w:t>
            </w:r>
          </w:p>
          <w:p w14:paraId="5F28354C" w14:textId="77777777" w:rsidR="00E23A8A" w:rsidRDefault="00E23A8A"/>
        </w:tc>
        <w:tc>
          <w:tcPr>
            <w:tcW w:w="2257" w:type="dxa"/>
            <w:shd w:val="clear" w:color="auto" w:fill="C9DAF8"/>
            <w:tcMar>
              <w:top w:w="100" w:type="dxa"/>
              <w:left w:w="100" w:type="dxa"/>
              <w:bottom w:w="100" w:type="dxa"/>
              <w:right w:w="100" w:type="dxa"/>
            </w:tcMar>
          </w:tcPr>
          <w:p w14:paraId="249184E5" w14:textId="77777777" w:rsidR="00E23A8A" w:rsidRDefault="00C868D8">
            <w:r>
              <w:t xml:space="preserve">Best overall in clarity and user interaction. </w:t>
            </w:r>
          </w:p>
        </w:tc>
        <w:tc>
          <w:tcPr>
            <w:tcW w:w="2257" w:type="dxa"/>
            <w:shd w:val="clear" w:color="auto" w:fill="C9DAF8"/>
            <w:tcMar>
              <w:top w:w="100" w:type="dxa"/>
              <w:left w:w="100" w:type="dxa"/>
              <w:bottom w:w="100" w:type="dxa"/>
              <w:right w:w="100" w:type="dxa"/>
            </w:tcMar>
          </w:tcPr>
          <w:p w14:paraId="7DA40853" w14:textId="77777777" w:rsidR="00E23A8A" w:rsidRDefault="00C868D8">
            <w:r>
              <w:t xml:space="preserve">Fairly balanced in presentation, with poorer mobile optimisation (Han, Liu and </w:t>
            </w:r>
            <w:proofErr w:type="spellStart"/>
            <w:r>
              <w:t>Catalao</w:t>
            </w:r>
            <w:proofErr w:type="spellEnd"/>
            <w:r>
              <w:t>, 2022).</w:t>
            </w:r>
          </w:p>
        </w:tc>
      </w:tr>
    </w:tbl>
    <w:p w14:paraId="703A7D5B" w14:textId="77777777" w:rsidR="00E23A8A" w:rsidRDefault="00E23A8A"/>
    <w:p w14:paraId="0EE80931" w14:textId="77777777" w:rsidR="00E23A8A" w:rsidRDefault="00C868D8">
      <w:pPr>
        <w:rPr>
          <w:b/>
          <w:i/>
        </w:rPr>
      </w:pPr>
      <w:r>
        <w:rPr>
          <w:b/>
          <w:i/>
        </w:rPr>
        <w:t>Accessibility and User Navigation – Leicestershire County Council</w:t>
      </w:r>
    </w:p>
    <w:p w14:paraId="76B55D76" w14:textId="77777777" w:rsidR="00E23A8A" w:rsidRDefault="00C868D8">
      <w:r>
        <w:t>The Early Help webpages of Leicestershire County Council provide menus and multilingual assistance (20 languages) to more than 4,500 families each year, assisting them to find information. There are more than 650 services available in the Family Information Directory, which include parenting and youth clubs and mental health services (</w:t>
      </w:r>
      <w:proofErr w:type="spellStart"/>
      <w:r>
        <w:t>Ibabe</w:t>
      </w:r>
      <w:proofErr w:type="spellEnd"/>
      <w:r>
        <w:t xml:space="preserve"> </w:t>
      </w:r>
      <w:r>
        <w:rPr>
          <w:i/>
        </w:rPr>
        <w:t>et al.</w:t>
      </w:r>
      <w:r>
        <w:t xml:space="preserve">, 2021). The advantages are the clear categorisation by age and service type, which will allow targeted navigation. Nevertheless, the use of outdated PDFs and disparate formatting is a limitation </w:t>
      </w:r>
      <w:r>
        <w:lastRenderedPageBreak/>
        <w:t xml:space="preserve">that may present a challenge to first-time users. Mobile users will find that they have mainly shrunken menus, and it is more difficult to find referral forms. </w:t>
      </w:r>
    </w:p>
    <w:p w14:paraId="31C766F5" w14:textId="77777777" w:rsidR="003B41FC" w:rsidRDefault="003B41FC">
      <w:pPr>
        <w:rPr>
          <w:b/>
          <w:i/>
        </w:rPr>
      </w:pPr>
    </w:p>
    <w:p w14:paraId="26CF6EB5" w14:textId="77777777" w:rsidR="00E23A8A" w:rsidRDefault="00C868D8">
      <w:pPr>
        <w:rPr>
          <w:b/>
          <w:i/>
        </w:rPr>
      </w:pPr>
      <w:r>
        <w:rPr>
          <w:b/>
          <w:i/>
        </w:rPr>
        <w:t>Interactive Digital Engagement – Norfolk County Council</w:t>
      </w:r>
    </w:p>
    <w:p w14:paraId="7ED6CC86" w14:textId="77777777" w:rsidR="00E23A8A" w:rsidRDefault="00C868D8" w:rsidP="003B41FC">
      <w:r>
        <w:t xml:space="preserve">Staffordshire County Council shows good integration of Early Help and the health, education, and social care services. In the Early Help Directory, there are more than 700 community-based initiatives, and real-time referral tracking is available to professionals (Department for Education, 2022). In 2023, families engaged in 18,000 interactions with Start Well hubs, indicating the effective, practical application of service coordination online and in person. Strengths include established pathways for multi-agency support and lead practitioners to ensure continuity (Prendergast </w:t>
      </w:r>
      <w:r>
        <w:rPr>
          <w:i/>
        </w:rPr>
        <w:t>et al.</w:t>
      </w:r>
      <w:r>
        <w:t>, 2024). Few resources specifically targeting young people on the internet and partial mobile optimisation could be a limitation and could prevent the interests of older children.</w:t>
      </w:r>
    </w:p>
    <w:p w14:paraId="36BE50F8" w14:textId="77777777" w:rsidR="003B41FC" w:rsidRDefault="003B41FC" w:rsidP="003B41FC"/>
    <w:p w14:paraId="1171286B" w14:textId="77777777" w:rsidR="00E23A8A" w:rsidRDefault="00C868D8">
      <w:pPr>
        <w:rPr>
          <w:b/>
          <w:i/>
        </w:rPr>
      </w:pPr>
      <w:r>
        <w:rPr>
          <w:b/>
          <w:i/>
        </w:rPr>
        <w:t>Integration of Multi-Agency Services – Staffordshire County Council</w:t>
      </w:r>
    </w:p>
    <w:p w14:paraId="3D284E8A" w14:textId="77777777" w:rsidR="00E23A8A" w:rsidRDefault="00C868D8">
      <w:r>
        <w:t>Staffordshire County Council shows good integration of Early Help and the health, education, and social care services. In the Early Help Directory, there are more than 700 community-based initiatives, and real-time referral tracking is available to professionals. In 2023, families engaged in 18,000 interactions with Start Well hubs, indicating the effective, practical application of service coordination online and in person (HM Government, 2023). Strengths include established pathways for multi-agency support and lead practitioners to ensure continuity. Few resources specifically targeting young people on the internet and partial mobile optimisation could be a limitation and could prevent the interests of older children and families that use mobile technology to find information about Early Help.</w:t>
      </w:r>
    </w:p>
    <w:p w14:paraId="1519ABB3" w14:textId="77777777" w:rsidR="003B41FC" w:rsidRDefault="003B41FC"/>
    <w:p w14:paraId="4E59CA6A" w14:textId="77777777" w:rsidR="00E23A8A" w:rsidRDefault="00C868D8">
      <w:pPr>
        <w:pStyle w:val="Heading1"/>
      </w:pPr>
      <w:bookmarkStart w:id="10" w:name="_hr24t1c7288o" w:colFirst="0" w:colLast="0"/>
      <w:bookmarkStart w:id="11" w:name="_Toc211069490"/>
      <w:bookmarkEnd w:id="10"/>
      <w:r>
        <w:t>Recommendations for areas for improvement</w:t>
      </w:r>
      <w:bookmarkEnd w:id="11"/>
    </w:p>
    <w:p w14:paraId="65B72CE2" w14:textId="77777777" w:rsidR="00E23A8A" w:rsidRDefault="00C868D8">
      <w:pPr>
        <w:numPr>
          <w:ilvl w:val="0"/>
          <w:numId w:val="1"/>
        </w:numPr>
      </w:pPr>
      <w:r>
        <w:t>Optimising all pages to be mobile to make the navigation of the family seeking services through a smartphone easier.</w:t>
      </w:r>
    </w:p>
    <w:p w14:paraId="3F41B4EA" w14:textId="77777777" w:rsidR="00E23A8A" w:rsidRDefault="00C868D8">
      <w:pPr>
        <w:numPr>
          <w:ilvl w:val="0"/>
          <w:numId w:val="1"/>
        </w:numPr>
      </w:pPr>
      <w:r>
        <w:t>Incorporation of real-time chat support and interactive feedback on the websites of Leicestershire and Staffordshire to make them more engaging.</w:t>
      </w:r>
    </w:p>
    <w:p w14:paraId="56C6548A" w14:textId="77777777" w:rsidR="00E23A8A" w:rsidRDefault="00C868D8">
      <w:pPr>
        <w:numPr>
          <w:ilvl w:val="0"/>
          <w:numId w:val="1"/>
        </w:numPr>
      </w:pPr>
      <w:r>
        <w:t xml:space="preserve">Enhancing multilingual translation capabilities in Norfolk and Staffordshire platforms </w:t>
      </w:r>
      <w:proofErr w:type="gramStart"/>
      <w:r>
        <w:t>so as to</w:t>
      </w:r>
      <w:proofErr w:type="gramEnd"/>
      <w:r>
        <w:t xml:space="preserve"> accommodate different groups of people.</w:t>
      </w:r>
    </w:p>
    <w:p w14:paraId="11A622AE" w14:textId="77777777" w:rsidR="00E23A8A" w:rsidRDefault="00C868D8">
      <w:pPr>
        <w:numPr>
          <w:ilvl w:val="0"/>
          <w:numId w:val="1"/>
        </w:numPr>
      </w:pPr>
      <w:r>
        <w:t>Ensuring the hyperlinks, PDFs, and directories of contact are up to date so that they become trustworthy and accurate is most important.</w:t>
      </w:r>
    </w:p>
    <w:p w14:paraId="2D8D19F2" w14:textId="77777777" w:rsidR="00E23A8A" w:rsidRDefault="00C868D8">
      <w:pPr>
        <w:numPr>
          <w:ilvl w:val="0"/>
          <w:numId w:val="1"/>
        </w:numPr>
      </w:pPr>
      <w:r>
        <w:t>Use video clarifiers and graphical infographics on all websites to make it easier to use complex Early Help procedures and enhance the user experience.</w:t>
      </w:r>
    </w:p>
    <w:p w14:paraId="19291D40" w14:textId="77777777" w:rsidR="00E23A8A" w:rsidRDefault="00C868D8">
      <w:pPr>
        <w:pStyle w:val="Heading1"/>
      </w:pPr>
      <w:bookmarkStart w:id="12" w:name="_1hnyi39m5puz" w:colFirst="0" w:colLast="0"/>
      <w:bookmarkStart w:id="13" w:name="_Toc211069491"/>
      <w:bookmarkEnd w:id="12"/>
      <w:r>
        <w:lastRenderedPageBreak/>
        <w:t>Conclusion</w:t>
      </w:r>
      <w:bookmarkEnd w:id="13"/>
    </w:p>
    <w:p w14:paraId="5953ECE7" w14:textId="77777777" w:rsidR="00E23A8A" w:rsidRDefault="00C868D8">
      <w:r>
        <w:t>It was found that the three local authorities were very dedicated towards the promotion of Early Help and family support services. The most efficient one was Norfolk County Council, which provided easy design, interaction, and pure structure. Leicestershire offered extensive resources but was not digitally interactively, and Staffordshire was strong in integration, but had mobile performance problems. In general, the websites were a step in the right direction of available communication of family support, but it was further suggested that inclusivity, digital interaction, and content updating were necessary to enhance the awareness and availability of the Early Help services to the population.</w:t>
      </w:r>
    </w:p>
    <w:p w14:paraId="03B42CCB" w14:textId="77777777" w:rsidR="00E23A8A" w:rsidRDefault="00C868D8">
      <w:r>
        <w:br/>
      </w:r>
      <w:r>
        <w:br w:type="page"/>
      </w:r>
    </w:p>
    <w:p w14:paraId="3227172D" w14:textId="77777777" w:rsidR="00E23A8A" w:rsidRDefault="00C868D8">
      <w:pPr>
        <w:pStyle w:val="Heading1"/>
      </w:pPr>
      <w:bookmarkStart w:id="14" w:name="_sxfd27wzkgvr" w:colFirst="0" w:colLast="0"/>
      <w:bookmarkStart w:id="15" w:name="_Toc211069492"/>
      <w:bookmarkEnd w:id="14"/>
      <w:r>
        <w:lastRenderedPageBreak/>
        <w:t>Reference List</w:t>
      </w:r>
      <w:bookmarkEnd w:id="15"/>
    </w:p>
    <w:p w14:paraId="7539F6AD"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Baillot, H., Leyla </w:t>
      </w:r>
      <w:proofErr w:type="spellStart"/>
      <w:r w:rsidRPr="00056C00">
        <w:rPr>
          <w:sz w:val="24"/>
          <w:szCs w:val="24"/>
        </w:rPr>
        <w:t>Kerlaff</w:t>
      </w:r>
      <w:proofErr w:type="spellEnd"/>
      <w:r w:rsidRPr="00056C00">
        <w:rPr>
          <w:sz w:val="24"/>
          <w:szCs w:val="24"/>
        </w:rPr>
        <w:t xml:space="preserve">, Dakessian, A. and Strang, A. (2023) ‘“Step by step”: the role of social connections in reunited refugee families’ navigation of statutory systems’, </w:t>
      </w:r>
      <w:r w:rsidRPr="00056C00">
        <w:rPr>
          <w:i/>
          <w:iCs/>
          <w:sz w:val="24"/>
          <w:szCs w:val="24"/>
        </w:rPr>
        <w:t>Journal of Ethnic and Migration Studies</w:t>
      </w:r>
      <w:r w:rsidRPr="00056C00">
        <w:rPr>
          <w:sz w:val="24"/>
          <w:szCs w:val="24"/>
        </w:rPr>
        <w:t xml:space="preserve">, 49(17), pp. 4313–4332. Available at: </w:t>
      </w:r>
      <w:hyperlink r:id="rId12" w:history="1">
        <w:r w:rsidRPr="00056C00">
          <w:rPr>
            <w:sz w:val="24"/>
            <w:szCs w:val="24"/>
          </w:rPr>
          <w:t>https://doi.org/10.1080/1369183x.2023.2168633</w:t>
        </w:r>
      </w:hyperlink>
      <w:r w:rsidRPr="00056C00">
        <w:rPr>
          <w:sz w:val="24"/>
          <w:szCs w:val="24"/>
        </w:rPr>
        <w:t>.</w:t>
      </w:r>
    </w:p>
    <w:p w14:paraId="4BB9540A" w14:textId="77777777" w:rsidR="00056C00" w:rsidRPr="00056C00" w:rsidRDefault="00056C00" w:rsidP="009F760A">
      <w:pPr>
        <w:widowControl w:val="0"/>
        <w:autoSpaceDE w:val="0"/>
        <w:autoSpaceDN w:val="0"/>
        <w:adjustRightInd w:val="0"/>
        <w:rPr>
          <w:sz w:val="24"/>
          <w:szCs w:val="24"/>
        </w:rPr>
      </w:pPr>
      <w:proofErr w:type="spellStart"/>
      <w:r w:rsidRPr="00056C00">
        <w:rPr>
          <w:sz w:val="24"/>
          <w:szCs w:val="24"/>
        </w:rPr>
        <w:t>Braber</w:t>
      </w:r>
      <w:proofErr w:type="spellEnd"/>
      <w:r w:rsidRPr="00056C00">
        <w:rPr>
          <w:sz w:val="24"/>
          <w:szCs w:val="24"/>
        </w:rPr>
        <w:t xml:space="preserve">, N. and Howard, V. (2024) ‘Language Heritage and the UK Public: Successes and Challenges of the UK Heritage Sector’, </w:t>
      </w:r>
      <w:r w:rsidRPr="00056C00">
        <w:rPr>
          <w:i/>
          <w:iCs/>
          <w:sz w:val="24"/>
          <w:szCs w:val="24"/>
        </w:rPr>
        <w:t>Heritage &amp; Society</w:t>
      </w:r>
      <w:r w:rsidRPr="00056C00">
        <w:rPr>
          <w:sz w:val="24"/>
          <w:szCs w:val="24"/>
        </w:rPr>
        <w:t xml:space="preserve">, pp. 1–20. Available at: </w:t>
      </w:r>
      <w:hyperlink r:id="rId13" w:history="1">
        <w:r w:rsidRPr="00056C00">
          <w:rPr>
            <w:sz w:val="24"/>
            <w:szCs w:val="24"/>
          </w:rPr>
          <w:t>https://doi.org/10.1080/2159032x.2024.2382625</w:t>
        </w:r>
      </w:hyperlink>
      <w:r w:rsidRPr="00056C00">
        <w:rPr>
          <w:sz w:val="24"/>
          <w:szCs w:val="24"/>
        </w:rPr>
        <w:t>.</w:t>
      </w:r>
    </w:p>
    <w:p w14:paraId="1FD9F3F4"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Department for Education (2022) </w:t>
      </w:r>
      <w:r w:rsidRPr="00056C00">
        <w:rPr>
          <w:i/>
          <w:iCs/>
          <w:sz w:val="24"/>
          <w:szCs w:val="24"/>
        </w:rPr>
        <w:t>Early Help System Guide A toolkit to assist local strategic partnerships responsible for their Early Help System</w:t>
      </w:r>
      <w:r w:rsidRPr="00056C00">
        <w:rPr>
          <w:sz w:val="24"/>
          <w:szCs w:val="24"/>
        </w:rPr>
        <w:t xml:space="preserve">. Available at: </w:t>
      </w:r>
      <w:hyperlink r:id="rId14" w:history="1">
        <w:r w:rsidRPr="00056C00">
          <w:rPr>
            <w:sz w:val="24"/>
            <w:szCs w:val="24"/>
          </w:rPr>
          <w:t>https://assets.publishing.service.gov.uk/media/628de13be90e071f5f7e1bd2/Early_Help_System_Guide.pdf</w:t>
        </w:r>
      </w:hyperlink>
      <w:r w:rsidRPr="00056C00">
        <w:rPr>
          <w:sz w:val="24"/>
          <w:szCs w:val="24"/>
        </w:rPr>
        <w:t>.</w:t>
      </w:r>
    </w:p>
    <w:p w14:paraId="077095D6" w14:textId="77777777" w:rsidR="00056C00" w:rsidRPr="00056C00" w:rsidRDefault="00056C00" w:rsidP="009F760A">
      <w:pPr>
        <w:widowControl w:val="0"/>
        <w:autoSpaceDE w:val="0"/>
        <w:autoSpaceDN w:val="0"/>
        <w:adjustRightInd w:val="0"/>
        <w:rPr>
          <w:sz w:val="24"/>
          <w:szCs w:val="24"/>
        </w:rPr>
      </w:pPr>
      <w:r w:rsidRPr="00056C00">
        <w:rPr>
          <w:sz w:val="24"/>
          <w:szCs w:val="24"/>
        </w:rPr>
        <w:t>Ellins, J., Hocking, L., Al-</w:t>
      </w:r>
      <w:proofErr w:type="spellStart"/>
      <w:r w:rsidRPr="00056C00">
        <w:rPr>
          <w:sz w:val="24"/>
          <w:szCs w:val="24"/>
        </w:rPr>
        <w:t>Haboubi</w:t>
      </w:r>
      <w:proofErr w:type="spellEnd"/>
      <w:r w:rsidRPr="00056C00">
        <w:rPr>
          <w:sz w:val="24"/>
          <w:szCs w:val="24"/>
        </w:rPr>
        <w:t xml:space="preserve">, M., Newbould, J., Fenton, S., Daniel, K., Stockwell, S., Leach, B., Sidhu, M., Bousfield, J., McKenna, G., Saunders, C.L., O’Neill, S. and Mays, N. (2023) ‘Early Evaluation of the Children and Young People’s Mental Health Trailblazer programme: a Rapid mixed-methods Study’, </w:t>
      </w:r>
      <w:r w:rsidRPr="00056C00">
        <w:rPr>
          <w:i/>
          <w:iCs/>
          <w:sz w:val="24"/>
          <w:szCs w:val="24"/>
        </w:rPr>
        <w:t>Health and social care delivery research</w:t>
      </w:r>
      <w:r w:rsidRPr="00056C00">
        <w:rPr>
          <w:sz w:val="24"/>
          <w:szCs w:val="24"/>
        </w:rPr>
        <w:t xml:space="preserve">, 11(8), pp. 1–137. Available at: </w:t>
      </w:r>
      <w:hyperlink r:id="rId15" w:history="1">
        <w:r w:rsidRPr="00056C00">
          <w:rPr>
            <w:sz w:val="24"/>
            <w:szCs w:val="24"/>
          </w:rPr>
          <w:t>https://doi.org/10.3310/xqwu4117</w:t>
        </w:r>
      </w:hyperlink>
      <w:r w:rsidRPr="00056C00">
        <w:rPr>
          <w:sz w:val="24"/>
          <w:szCs w:val="24"/>
        </w:rPr>
        <w:t>.</w:t>
      </w:r>
    </w:p>
    <w:p w14:paraId="0530DD15"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Han, J., Liu, N. and </w:t>
      </w:r>
      <w:proofErr w:type="spellStart"/>
      <w:r w:rsidRPr="00056C00">
        <w:rPr>
          <w:sz w:val="24"/>
          <w:szCs w:val="24"/>
        </w:rPr>
        <w:t>Catalao</w:t>
      </w:r>
      <w:proofErr w:type="spellEnd"/>
      <w:r w:rsidRPr="00056C00">
        <w:rPr>
          <w:sz w:val="24"/>
          <w:szCs w:val="24"/>
        </w:rPr>
        <w:t xml:space="preserve">, J.P.S. (2022) ‘Optimization of Distribution Network and Mobile Network </w:t>
      </w:r>
      <w:proofErr w:type="gramStart"/>
      <w:r w:rsidRPr="00056C00">
        <w:rPr>
          <w:sz w:val="24"/>
          <w:szCs w:val="24"/>
        </w:rPr>
        <w:t>With</w:t>
      </w:r>
      <w:proofErr w:type="gramEnd"/>
      <w:r w:rsidRPr="00056C00">
        <w:rPr>
          <w:sz w:val="24"/>
          <w:szCs w:val="24"/>
        </w:rPr>
        <w:t xml:space="preserve"> Interactive Balance of Flexibility and Power’, </w:t>
      </w:r>
      <w:r w:rsidRPr="00056C00">
        <w:rPr>
          <w:i/>
          <w:iCs/>
          <w:sz w:val="24"/>
          <w:szCs w:val="24"/>
        </w:rPr>
        <w:t>IEEE Transactions on Power Systems</w:t>
      </w:r>
      <w:r w:rsidRPr="00056C00">
        <w:rPr>
          <w:sz w:val="24"/>
          <w:szCs w:val="24"/>
        </w:rPr>
        <w:t xml:space="preserve">, pp. 1–12. Available at: </w:t>
      </w:r>
      <w:hyperlink r:id="rId16" w:history="1">
        <w:r w:rsidRPr="00056C00">
          <w:rPr>
            <w:sz w:val="24"/>
            <w:szCs w:val="24"/>
          </w:rPr>
          <w:t>https://doi.org/10.1109/tpwrs.2022.3180792</w:t>
        </w:r>
      </w:hyperlink>
      <w:r w:rsidRPr="00056C00">
        <w:rPr>
          <w:sz w:val="24"/>
          <w:szCs w:val="24"/>
        </w:rPr>
        <w:t>.</w:t>
      </w:r>
    </w:p>
    <w:p w14:paraId="3E9E13CB"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HM Government (2023) </w:t>
      </w:r>
      <w:r w:rsidRPr="00056C00">
        <w:rPr>
          <w:i/>
          <w:iCs/>
          <w:sz w:val="24"/>
          <w:szCs w:val="24"/>
        </w:rPr>
        <w:t>Working Together to Safeguard Children 2023</w:t>
      </w:r>
      <w:r w:rsidRPr="00056C00">
        <w:rPr>
          <w:sz w:val="24"/>
          <w:szCs w:val="24"/>
        </w:rPr>
        <w:t xml:space="preserve">. Available at: </w:t>
      </w:r>
      <w:hyperlink r:id="rId17" w:history="1">
        <w:r w:rsidRPr="00056C00">
          <w:rPr>
            <w:sz w:val="24"/>
            <w:szCs w:val="24"/>
          </w:rPr>
          <w:t>https://assets.publishing.service.gov.uk/media/6849a7b67cba25f610c7db3f/Working_together_to_safeguard_children_2023_-_statutory_guidance.pdf</w:t>
        </w:r>
      </w:hyperlink>
      <w:r w:rsidRPr="00056C00">
        <w:rPr>
          <w:sz w:val="24"/>
          <w:szCs w:val="24"/>
        </w:rPr>
        <w:t>.</w:t>
      </w:r>
    </w:p>
    <w:p w14:paraId="516A302E" w14:textId="77777777" w:rsidR="00056C00" w:rsidRPr="00056C00" w:rsidRDefault="00056C00" w:rsidP="009F760A">
      <w:pPr>
        <w:widowControl w:val="0"/>
        <w:autoSpaceDE w:val="0"/>
        <w:autoSpaceDN w:val="0"/>
        <w:adjustRightInd w:val="0"/>
        <w:rPr>
          <w:sz w:val="24"/>
          <w:szCs w:val="24"/>
        </w:rPr>
      </w:pPr>
      <w:proofErr w:type="spellStart"/>
      <w:r w:rsidRPr="00056C00">
        <w:rPr>
          <w:sz w:val="24"/>
          <w:szCs w:val="24"/>
        </w:rPr>
        <w:t>Ibabe</w:t>
      </w:r>
      <w:proofErr w:type="spellEnd"/>
      <w:r w:rsidRPr="00056C00">
        <w:rPr>
          <w:sz w:val="24"/>
          <w:szCs w:val="24"/>
        </w:rPr>
        <w:t xml:space="preserve">, I., </w:t>
      </w:r>
      <w:proofErr w:type="spellStart"/>
      <w:r w:rsidRPr="00056C00">
        <w:rPr>
          <w:sz w:val="24"/>
          <w:szCs w:val="24"/>
        </w:rPr>
        <w:t>Arnoso</w:t>
      </w:r>
      <w:proofErr w:type="spellEnd"/>
      <w:r w:rsidRPr="00056C00">
        <w:rPr>
          <w:sz w:val="24"/>
          <w:szCs w:val="24"/>
        </w:rPr>
        <w:t xml:space="preserve">, A., </w:t>
      </w:r>
      <w:proofErr w:type="spellStart"/>
      <w:r w:rsidRPr="00056C00">
        <w:rPr>
          <w:sz w:val="24"/>
          <w:szCs w:val="24"/>
        </w:rPr>
        <w:t>Elgorriaga</w:t>
      </w:r>
      <w:proofErr w:type="spellEnd"/>
      <w:r w:rsidRPr="00056C00">
        <w:rPr>
          <w:sz w:val="24"/>
          <w:szCs w:val="24"/>
        </w:rPr>
        <w:t xml:space="preserve">, E. and Asla, N. (2021) ‘Evaluation report of early intervention program in situation of child-to-parent abuse: Parents and children as participants’, </w:t>
      </w:r>
      <w:r w:rsidRPr="00056C00">
        <w:rPr>
          <w:i/>
          <w:iCs/>
          <w:sz w:val="24"/>
          <w:szCs w:val="24"/>
        </w:rPr>
        <w:t>Journal of Family Studies</w:t>
      </w:r>
      <w:r w:rsidRPr="00056C00">
        <w:rPr>
          <w:sz w:val="24"/>
          <w:szCs w:val="24"/>
        </w:rPr>
        <w:t xml:space="preserve">, 29(1), pp. 1–20. Available at: </w:t>
      </w:r>
      <w:hyperlink r:id="rId18" w:history="1">
        <w:r w:rsidRPr="00056C00">
          <w:rPr>
            <w:sz w:val="24"/>
            <w:szCs w:val="24"/>
          </w:rPr>
          <w:t>https://doi.org/10.1080/13229400.2021.1872404</w:t>
        </w:r>
      </w:hyperlink>
      <w:r w:rsidRPr="00056C00">
        <w:rPr>
          <w:sz w:val="24"/>
          <w:szCs w:val="24"/>
        </w:rPr>
        <w:t>.</w:t>
      </w:r>
    </w:p>
    <w:p w14:paraId="71C741F4"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Keighley, R., Sanders, T., Saunders, L. and Agg, H. (2023) ‘Participatory action research: Developing a collaborative approach to modern slavery research with survivors of exploitation’, </w:t>
      </w:r>
      <w:r w:rsidRPr="00056C00">
        <w:rPr>
          <w:i/>
          <w:iCs/>
          <w:sz w:val="24"/>
          <w:szCs w:val="24"/>
        </w:rPr>
        <w:t>Methodological Innovations</w:t>
      </w:r>
      <w:r w:rsidRPr="00056C00">
        <w:rPr>
          <w:sz w:val="24"/>
          <w:szCs w:val="24"/>
        </w:rPr>
        <w:t xml:space="preserve">, 16(3), pp. 393–404. Available at: </w:t>
      </w:r>
      <w:hyperlink r:id="rId19" w:history="1">
        <w:r w:rsidRPr="00056C00">
          <w:rPr>
            <w:sz w:val="24"/>
            <w:szCs w:val="24"/>
          </w:rPr>
          <w:t>https://doi.org/10.1177/20597991231208441</w:t>
        </w:r>
      </w:hyperlink>
      <w:r w:rsidRPr="00056C00">
        <w:rPr>
          <w:sz w:val="24"/>
          <w:szCs w:val="24"/>
        </w:rPr>
        <w:t>.</w:t>
      </w:r>
    </w:p>
    <w:p w14:paraId="043A2767"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Khan, K. and Saima Liaqat (2023) ‘Unleashing the Economic Potential of </w:t>
      </w:r>
      <w:proofErr w:type="spellStart"/>
      <w:r w:rsidRPr="00056C00">
        <w:rPr>
          <w:sz w:val="24"/>
          <w:szCs w:val="24"/>
        </w:rPr>
        <w:t>Balochistan</w:t>
      </w:r>
      <w:proofErr w:type="spellEnd"/>
      <w:r w:rsidRPr="00056C00">
        <w:rPr>
          <w:sz w:val="24"/>
          <w:szCs w:val="24"/>
        </w:rPr>
        <w:t xml:space="preserve">: </w:t>
      </w:r>
      <w:r w:rsidRPr="00056C00">
        <w:rPr>
          <w:sz w:val="24"/>
          <w:szCs w:val="24"/>
        </w:rPr>
        <w:lastRenderedPageBreak/>
        <w:t xml:space="preserve">The Dynamic Power of District Hub’, </w:t>
      </w:r>
      <w:r w:rsidRPr="00056C00">
        <w:rPr>
          <w:i/>
          <w:iCs/>
          <w:sz w:val="24"/>
          <w:szCs w:val="24"/>
        </w:rPr>
        <w:t>BTTN Journal</w:t>
      </w:r>
      <w:r w:rsidRPr="00056C00">
        <w:rPr>
          <w:sz w:val="24"/>
          <w:szCs w:val="24"/>
        </w:rPr>
        <w:t xml:space="preserve">, 2(1), pp. 26–37. Available at: </w:t>
      </w:r>
      <w:hyperlink r:id="rId20" w:history="1">
        <w:r w:rsidRPr="00056C00">
          <w:rPr>
            <w:sz w:val="24"/>
            <w:szCs w:val="24"/>
          </w:rPr>
          <w:t>https://doi.org/10.61732/bj.v2i1.40</w:t>
        </w:r>
      </w:hyperlink>
      <w:r w:rsidRPr="00056C00">
        <w:rPr>
          <w:sz w:val="24"/>
          <w:szCs w:val="24"/>
        </w:rPr>
        <w:t>.</w:t>
      </w:r>
    </w:p>
    <w:p w14:paraId="46065456"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Khatri, R., </w:t>
      </w:r>
      <w:proofErr w:type="spellStart"/>
      <w:r w:rsidRPr="00056C00">
        <w:rPr>
          <w:sz w:val="24"/>
          <w:szCs w:val="24"/>
        </w:rPr>
        <w:t>Endalamaw</w:t>
      </w:r>
      <w:proofErr w:type="spellEnd"/>
      <w:r w:rsidRPr="00056C00">
        <w:rPr>
          <w:sz w:val="24"/>
          <w:szCs w:val="24"/>
        </w:rPr>
        <w:t xml:space="preserve">, A., </w:t>
      </w:r>
      <w:proofErr w:type="spellStart"/>
      <w:r w:rsidRPr="00056C00">
        <w:rPr>
          <w:sz w:val="24"/>
          <w:szCs w:val="24"/>
        </w:rPr>
        <w:t>Erku</w:t>
      </w:r>
      <w:proofErr w:type="spellEnd"/>
      <w:r w:rsidRPr="00056C00">
        <w:rPr>
          <w:sz w:val="24"/>
          <w:szCs w:val="24"/>
        </w:rPr>
        <w:t xml:space="preserve">, D., </w:t>
      </w:r>
      <w:proofErr w:type="spellStart"/>
      <w:r w:rsidRPr="00056C00">
        <w:rPr>
          <w:sz w:val="24"/>
          <w:szCs w:val="24"/>
        </w:rPr>
        <w:t>Wolka</w:t>
      </w:r>
      <w:proofErr w:type="spellEnd"/>
      <w:r w:rsidRPr="00056C00">
        <w:rPr>
          <w:sz w:val="24"/>
          <w:szCs w:val="24"/>
        </w:rPr>
        <w:t xml:space="preserve">, E., Nigatu, F., Zewdie, A. and Assefa, Y. (2023) ‘Continuity and care coordination of primary health care: A scoping review’, </w:t>
      </w:r>
      <w:r w:rsidRPr="00056C00">
        <w:rPr>
          <w:i/>
          <w:iCs/>
          <w:sz w:val="24"/>
          <w:szCs w:val="24"/>
        </w:rPr>
        <w:t>BioMed Central Health Services Research</w:t>
      </w:r>
      <w:r w:rsidRPr="00056C00">
        <w:rPr>
          <w:sz w:val="24"/>
          <w:szCs w:val="24"/>
        </w:rPr>
        <w:t xml:space="preserve">, 23(1), p. 750. Available at: </w:t>
      </w:r>
      <w:hyperlink r:id="rId21" w:history="1">
        <w:r w:rsidRPr="00056C00">
          <w:rPr>
            <w:sz w:val="24"/>
            <w:szCs w:val="24"/>
          </w:rPr>
          <w:t>https://doi.org/10.1186/s12913-023-09718-8</w:t>
        </w:r>
      </w:hyperlink>
      <w:r w:rsidRPr="00056C00">
        <w:rPr>
          <w:sz w:val="24"/>
          <w:szCs w:val="24"/>
        </w:rPr>
        <w:t>.</w:t>
      </w:r>
    </w:p>
    <w:p w14:paraId="7BDE50BD"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Lowans, C., Foley, A., Del Rio, D.F., Caulfield, B., Sovacool, B.K., Griffiths, S. and Rooney, D. (2023) ‘What causes energy and transport poverty in Ireland? Analysing demographic, economic, and social dynamics, and policy implications’, </w:t>
      </w:r>
      <w:r w:rsidRPr="00056C00">
        <w:rPr>
          <w:i/>
          <w:iCs/>
          <w:sz w:val="24"/>
          <w:szCs w:val="24"/>
        </w:rPr>
        <w:t>Energy Policy</w:t>
      </w:r>
      <w:r w:rsidRPr="00056C00">
        <w:rPr>
          <w:sz w:val="24"/>
          <w:szCs w:val="24"/>
        </w:rPr>
        <w:t xml:space="preserve">, 172, p. 113313. Available at: </w:t>
      </w:r>
      <w:hyperlink r:id="rId22" w:history="1">
        <w:r w:rsidRPr="00056C00">
          <w:rPr>
            <w:sz w:val="24"/>
            <w:szCs w:val="24"/>
          </w:rPr>
          <w:t>https://doi.org/10.1016/j.enpol.2022.113313</w:t>
        </w:r>
      </w:hyperlink>
      <w:r w:rsidRPr="00056C00">
        <w:rPr>
          <w:sz w:val="24"/>
          <w:szCs w:val="24"/>
        </w:rPr>
        <w:t>.</w:t>
      </w:r>
    </w:p>
    <w:p w14:paraId="1ACC5946" w14:textId="77777777" w:rsidR="00056C00" w:rsidRPr="00056C00" w:rsidRDefault="00056C00" w:rsidP="009F760A">
      <w:pPr>
        <w:widowControl w:val="0"/>
        <w:autoSpaceDE w:val="0"/>
        <w:autoSpaceDN w:val="0"/>
        <w:adjustRightInd w:val="0"/>
        <w:rPr>
          <w:sz w:val="24"/>
          <w:szCs w:val="24"/>
        </w:rPr>
      </w:pPr>
      <w:r w:rsidRPr="00056C00">
        <w:rPr>
          <w:sz w:val="24"/>
          <w:szCs w:val="24"/>
        </w:rPr>
        <w:t>McGeown, H., Potter, L., Stone, T., Swede, J., Cramer, H., Horwood, J., Helena, M., Connell, F., Feder, G. and Farr, M. (2023) ‘Trauma</w:t>
      </w:r>
      <w:r w:rsidRPr="00056C00">
        <w:rPr>
          <w:rFonts w:ascii="Cambria Math" w:hAnsi="Cambria Math" w:cs="Cambria Math"/>
          <w:sz w:val="24"/>
          <w:szCs w:val="24"/>
        </w:rPr>
        <w:t>‐</w:t>
      </w:r>
      <w:r w:rsidRPr="00056C00">
        <w:rPr>
          <w:sz w:val="24"/>
          <w:szCs w:val="24"/>
        </w:rPr>
        <w:t>informed co</w:t>
      </w:r>
      <w:r w:rsidRPr="00056C00">
        <w:rPr>
          <w:rFonts w:ascii="Cambria Math" w:hAnsi="Cambria Math" w:cs="Cambria Math"/>
          <w:sz w:val="24"/>
          <w:szCs w:val="24"/>
        </w:rPr>
        <w:t>‐</w:t>
      </w:r>
      <w:r w:rsidRPr="00056C00">
        <w:rPr>
          <w:sz w:val="24"/>
          <w:szCs w:val="24"/>
        </w:rPr>
        <w:t xml:space="preserve">production: Collaborating and combining expertise to improve access to primary care with women with complex needs’, </w:t>
      </w:r>
      <w:r w:rsidRPr="00056C00">
        <w:rPr>
          <w:i/>
          <w:iCs/>
          <w:sz w:val="24"/>
          <w:szCs w:val="24"/>
        </w:rPr>
        <w:t>Health Expectations</w:t>
      </w:r>
      <w:r w:rsidRPr="00056C00">
        <w:rPr>
          <w:sz w:val="24"/>
          <w:szCs w:val="24"/>
        </w:rPr>
        <w:t xml:space="preserve">, 26(5), pp. 1895–1914. Available at: </w:t>
      </w:r>
      <w:hyperlink r:id="rId23" w:history="1">
        <w:r w:rsidRPr="00056C00">
          <w:rPr>
            <w:sz w:val="24"/>
            <w:szCs w:val="24"/>
          </w:rPr>
          <w:t>https://doi.org/10.1111/hex.13795</w:t>
        </w:r>
      </w:hyperlink>
      <w:r w:rsidRPr="00056C00">
        <w:rPr>
          <w:sz w:val="24"/>
          <w:szCs w:val="24"/>
        </w:rPr>
        <w:t>.</w:t>
      </w:r>
    </w:p>
    <w:p w14:paraId="2C899A96"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Newbery, E. (2024) </w:t>
      </w:r>
      <w:r w:rsidRPr="00056C00">
        <w:rPr>
          <w:i/>
          <w:iCs/>
          <w:sz w:val="24"/>
          <w:szCs w:val="24"/>
        </w:rPr>
        <w:t>Exploring Parent and Carer Knowledge, Confidence and Access to Information when Requesting an Education, Health and Care Needs Assessment</w:t>
      </w:r>
      <w:r w:rsidRPr="00056C00">
        <w:rPr>
          <w:sz w:val="24"/>
          <w:szCs w:val="24"/>
        </w:rPr>
        <w:t xml:space="preserve">. Available at: </w:t>
      </w:r>
      <w:hyperlink r:id="rId24" w:history="1">
        <w:r w:rsidRPr="00056C00">
          <w:rPr>
            <w:sz w:val="24"/>
            <w:szCs w:val="24"/>
          </w:rPr>
          <w:t>https://discovery.ucl.ac.uk/id/eprint/10196783/9/Newbery_10196783_thesis_id_removed.pdf</w:t>
        </w:r>
      </w:hyperlink>
      <w:r w:rsidRPr="00056C00">
        <w:rPr>
          <w:sz w:val="24"/>
          <w:szCs w:val="24"/>
        </w:rPr>
        <w:t>.</w:t>
      </w:r>
    </w:p>
    <w:p w14:paraId="35FC4343"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Prendergast, L., Davies, C., Seddon, D., Hartfiel, N. and Edwards, R.T. (2024) ‘Barriers and enablers to care-leavers engagement with multi-agency support: A scoping review’, </w:t>
      </w:r>
      <w:r w:rsidRPr="00056C00">
        <w:rPr>
          <w:i/>
          <w:iCs/>
          <w:sz w:val="24"/>
          <w:szCs w:val="24"/>
        </w:rPr>
        <w:t>Children and Youth Services Review</w:t>
      </w:r>
      <w:r w:rsidRPr="00056C00">
        <w:rPr>
          <w:sz w:val="24"/>
          <w:szCs w:val="24"/>
        </w:rPr>
        <w:t xml:space="preserve">, 159, p. 107501. Available at: </w:t>
      </w:r>
      <w:hyperlink r:id="rId25" w:history="1">
        <w:r w:rsidRPr="00056C00">
          <w:rPr>
            <w:sz w:val="24"/>
            <w:szCs w:val="24"/>
          </w:rPr>
          <w:t>https://doi.org/10.1016/j.childyouth.2024.107501</w:t>
        </w:r>
      </w:hyperlink>
      <w:r w:rsidRPr="00056C00">
        <w:rPr>
          <w:sz w:val="24"/>
          <w:szCs w:val="24"/>
        </w:rPr>
        <w:t>.</w:t>
      </w:r>
    </w:p>
    <w:p w14:paraId="29AD21DB"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Salt, E., Jackman, K. and O’Brien, A. (2023) ‘Evaluation of Staffordshire, Stoke on Trent Allied Health Professionals preceptorship programmes: a mixed method UK study’, </w:t>
      </w:r>
      <w:r w:rsidRPr="00056C00">
        <w:rPr>
          <w:i/>
          <w:iCs/>
          <w:sz w:val="24"/>
          <w:szCs w:val="24"/>
        </w:rPr>
        <w:t>BMC Medical Education</w:t>
      </w:r>
      <w:r w:rsidRPr="00056C00">
        <w:rPr>
          <w:sz w:val="24"/>
          <w:szCs w:val="24"/>
        </w:rPr>
        <w:t xml:space="preserve">, 23(1). Available at: </w:t>
      </w:r>
      <w:hyperlink r:id="rId26" w:history="1">
        <w:r w:rsidRPr="00056C00">
          <w:rPr>
            <w:sz w:val="24"/>
            <w:szCs w:val="24"/>
          </w:rPr>
          <w:t>https://doi.org/10.1186/s12909-023-04515-7</w:t>
        </w:r>
      </w:hyperlink>
      <w:r w:rsidRPr="00056C00">
        <w:rPr>
          <w:sz w:val="24"/>
          <w:szCs w:val="24"/>
        </w:rPr>
        <w:t>.</w:t>
      </w:r>
    </w:p>
    <w:p w14:paraId="71F89118"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Shah, J.L., Jones, N., van </w:t>
      </w:r>
      <w:proofErr w:type="spellStart"/>
      <w:r w:rsidRPr="00056C00">
        <w:rPr>
          <w:sz w:val="24"/>
          <w:szCs w:val="24"/>
        </w:rPr>
        <w:t>Os</w:t>
      </w:r>
      <w:proofErr w:type="spellEnd"/>
      <w:r w:rsidRPr="00056C00">
        <w:rPr>
          <w:sz w:val="24"/>
          <w:szCs w:val="24"/>
        </w:rPr>
        <w:t xml:space="preserve">, J., McGorry, P.D. and </w:t>
      </w:r>
      <w:proofErr w:type="spellStart"/>
      <w:r w:rsidRPr="00056C00">
        <w:rPr>
          <w:sz w:val="24"/>
          <w:szCs w:val="24"/>
        </w:rPr>
        <w:t>Gülöksüz</w:t>
      </w:r>
      <w:proofErr w:type="spellEnd"/>
      <w:r w:rsidRPr="00056C00">
        <w:rPr>
          <w:sz w:val="24"/>
          <w:szCs w:val="24"/>
        </w:rPr>
        <w:t xml:space="preserve">, S. (2022) ‘Early intervention service systems for youth mental health: integrating </w:t>
      </w:r>
      <w:proofErr w:type="spellStart"/>
      <w:r w:rsidRPr="00056C00">
        <w:rPr>
          <w:sz w:val="24"/>
          <w:szCs w:val="24"/>
        </w:rPr>
        <w:t>pluripotentiality</w:t>
      </w:r>
      <w:proofErr w:type="spellEnd"/>
      <w:r w:rsidRPr="00056C00">
        <w:rPr>
          <w:sz w:val="24"/>
          <w:szCs w:val="24"/>
        </w:rPr>
        <w:t xml:space="preserve">, clinical staging, and transdiagnostic lessons from early psychosis’, </w:t>
      </w:r>
      <w:r w:rsidRPr="00056C00">
        <w:rPr>
          <w:i/>
          <w:iCs/>
          <w:sz w:val="24"/>
          <w:szCs w:val="24"/>
        </w:rPr>
        <w:t>The Lancet Psychiatry</w:t>
      </w:r>
      <w:r w:rsidRPr="00056C00">
        <w:rPr>
          <w:sz w:val="24"/>
          <w:szCs w:val="24"/>
        </w:rPr>
        <w:t xml:space="preserve">, 9(5), pp. 413–422. Available at: </w:t>
      </w:r>
      <w:hyperlink r:id="rId27" w:history="1">
        <w:r w:rsidRPr="00056C00">
          <w:rPr>
            <w:sz w:val="24"/>
            <w:szCs w:val="24"/>
          </w:rPr>
          <w:t>https://doi.org/10.1016/s2215-0366(21)00467-3</w:t>
        </w:r>
      </w:hyperlink>
      <w:r w:rsidRPr="00056C00">
        <w:rPr>
          <w:sz w:val="24"/>
          <w:szCs w:val="24"/>
        </w:rPr>
        <w:t>.</w:t>
      </w:r>
    </w:p>
    <w:p w14:paraId="67E32AF2"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Whittaker, A., Elliott, L., Taylor, J., Dawe, S., Harnett, P., Stoddart, A., Littlewood, P., </w:t>
      </w:r>
      <w:r w:rsidRPr="00056C00">
        <w:rPr>
          <w:sz w:val="24"/>
          <w:szCs w:val="24"/>
        </w:rPr>
        <w:lastRenderedPageBreak/>
        <w:t xml:space="preserve">Robertson, R., Farquharson, B. and Strachan, H. (2022) ‘The Parents under Pressure parenting programme for families with fathers receiving treatment for opioid dependence: the PuP4Dads feasibility study’, </w:t>
      </w:r>
      <w:r w:rsidRPr="00056C00">
        <w:rPr>
          <w:i/>
          <w:iCs/>
          <w:sz w:val="24"/>
          <w:szCs w:val="24"/>
        </w:rPr>
        <w:t>Public Health Research</w:t>
      </w:r>
      <w:r w:rsidRPr="00056C00">
        <w:rPr>
          <w:sz w:val="24"/>
          <w:szCs w:val="24"/>
        </w:rPr>
        <w:t xml:space="preserve">, 10(3), pp. 1–154. Available at: </w:t>
      </w:r>
      <w:hyperlink r:id="rId28" w:history="1">
        <w:r w:rsidRPr="00056C00">
          <w:rPr>
            <w:sz w:val="24"/>
            <w:szCs w:val="24"/>
          </w:rPr>
          <w:t>https://doi.org/10.3310/yowk7214</w:t>
        </w:r>
      </w:hyperlink>
      <w:r w:rsidRPr="00056C00">
        <w:rPr>
          <w:sz w:val="24"/>
          <w:szCs w:val="24"/>
        </w:rPr>
        <w:t>.</w:t>
      </w:r>
    </w:p>
    <w:p w14:paraId="10F36F0B" w14:textId="77777777" w:rsidR="00056C00" w:rsidRPr="00056C00" w:rsidRDefault="00056C00" w:rsidP="009F760A">
      <w:pPr>
        <w:widowControl w:val="0"/>
        <w:autoSpaceDE w:val="0"/>
        <w:autoSpaceDN w:val="0"/>
        <w:adjustRightInd w:val="0"/>
        <w:rPr>
          <w:sz w:val="24"/>
          <w:szCs w:val="24"/>
        </w:rPr>
      </w:pPr>
      <w:r w:rsidRPr="00056C00">
        <w:rPr>
          <w:sz w:val="24"/>
          <w:szCs w:val="24"/>
        </w:rPr>
        <w:t xml:space="preserve">Zaidi, N. and Pitt, H. (2022) ‘Invisible boundaries to access and participation in public spaces: navigating community diversity in Leicester, UK’, </w:t>
      </w:r>
      <w:r w:rsidRPr="00056C00">
        <w:rPr>
          <w:i/>
          <w:iCs/>
          <w:sz w:val="24"/>
          <w:szCs w:val="24"/>
        </w:rPr>
        <w:t>Local Environment</w:t>
      </w:r>
      <w:r w:rsidRPr="00056C00">
        <w:rPr>
          <w:sz w:val="24"/>
          <w:szCs w:val="24"/>
        </w:rPr>
        <w:t xml:space="preserve">, 27(9), pp. 1059–1074. Available at: </w:t>
      </w:r>
      <w:hyperlink r:id="rId29" w:history="1">
        <w:r w:rsidRPr="00056C00">
          <w:rPr>
            <w:sz w:val="24"/>
            <w:szCs w:val="24"/>
          </w:rPr>
          <w:t>https://doi.org/10.1080/13549839.2022.2090533</w:t>
        </w:r>
      </w:hyperlink>
      <w:r w:rsidRPr="00056C00">
        <w:rPr>
          <w:sz w:val="24"/>
          <w:szCs w:val="24"/>
        </w:rPr>
        <w:t>.</w:t>
      </w:r>
    </w:p>
    <w:p w14:paraId="20B0F25D" w14:textId="77777777" w:rsidR="00E23A8A" w:rsidRDefault="00E23A8A"/>
    <w:sectPr w:rsidR="00E23A8A" w:rsidSect="00824BC1">
      <w:footerReference w:type="default" r:id="rId30"/>
      <w:headerReference w:type="first" r:id="rId3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3E808" w14:textId="77777777" w:rsidR="00C868D8" w:rsidRDefault="00C868D8" w:rsidP="00824BC1">
      <w:pPr>
        <w:spacing w:line="240" w:lineRule="auto"/>
      </w:pPr>
      <w:r>
        <w:separator/>
      </w:r>
    </w:p>
  </w:endnote>
  <w:endnote w:type="continuationSeparator" w:id="0">
    <w:p w14:paraId="75193982" w14:textId="77777777" w:rsidR="00C868D8" w:rsidRDefault="00C868D8" w:rsidP="00824B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19271410"/>
      <w:docPartObj>
        <w:docPartGallery w:val="Page Numbers (Bottom of Page)"/>
        <w:docPartUnique/>
      </w:docPartObj>
    </w:sdtPr>
    <w:sdtEndPr/>
    <w:sdtContent>
      <w:sdt>
        <w:sdtPr>
          <w:rPr>
            <w:sz w:val="20"/>
            <w:szCs w:val="20"/>
          </w:rPr>
          <w:id w:val="-1769616900"/>
          <w:docPartObj>
            <w:docPartGallery w:val="Page Numbers (Top of Page)"/>
            <w:docPartUnique/>
          </w:docPartObj>
        </w:sdtPr>
        <w:sdtEndPr/>
        <w:sdtContent>
          <w:p w14:paraId="67DCEE7B" w14:textId="578E277E" w:rsidR="00824BC1" w:rsidRPr="00824BC1" w:rsidRDefault="00824BC1">
            <w:pPr>
              <w:pStyle w:val="Footer"/>
              <w:jc w:val="right"/>
              <w:rPr>
                <w:sz w:val="20"/>
                <w:szCs w:val="20"/>
              </w:rPr>
            </w:pPr>
            <w:r w:rsidRPr="00824BC1">
              <w:rPr>
                <w:sz w:val="20"/>
                <w:szCs w:val="20"/>
              </w:rPr>
              <w:t xml:space="preserve">Page </w:t>
            </w:r>
            <w:r w:rsidRPr="00824BC1">
              <w:rPr>
                <w:b/>
                <w:bCs/>
                <w:sz w:val="20"/>
                <w:szCs w:val="20"/>
              </w:rPr>
              <w:fldChar w:fldCharType="begin"/>
            </w:r>
            <w:r w:rsidRPr="00824BC1">
              <w:rPr>
                <w:b/>
                <w:bCs/>
                <w:sz w:val="20"/>
                <w:szCs w:val="20"/>
              </w:rPr>
              <w:instrText xml:space="preserve"> PAGE </w:instrText>
            </w:r>
            <w:r w:rsidRPr="00824BC1">
              <w:rPr>
                <w:b/>
                <w:bCs/>
                <w:sz w:val="20"/>
                <w:szCs w:val="20"/>
              </w:rPr>
              <w:fldChar w:fldCharType="separate"/>
            </w:r>
            <w:r w:rsidRPr="00824BC1">
              <w:rPr>
                <w:b/>
                <w:bCs/>
                <w:noProof/>
                <w:sz w:val="20"/>
                <w:szCs w:val="20"/>
              </w:rPr>
              <w:t>2</w:t>
            </w:r>
            <w:r w:rsidRPr="00824BC1">
              <w:rPr>
                <w:b/>
                <w:bCs/>
                <w:sz w:val="20"/>
                <w:szCs w:val="20"/>
              </w:rPr>
              <w:fldChar w:fldCharType="end"/>
            </w:r>
            <w:r w:rsidRPr="00824BC1">
              <w:rPr>
                <w:sz w:val="20"/>
                <w:szCs w:val="20"/>
              </w:rPr>
              <w:t xml:space="preserve"> of </w:t>
            </w:r>
            <w:r w:rsidRPr="00824BC1">
              <w:rPr>
                <w:b/>
                <w:bCs/>
                <w:sz w:val="20"/>
                <w:szCs w:val="20"/>
              </w:rPr>
              <w:fldChar w:fldCharType="begin"/>
            </w:r>
            <w:r w:rsidRPr="00824BC1">
              <w:rPr>
                <w:b/>
                <w:bCs/>
                <w:sz w:val="20"/>
                <w:szCs w:val="20"/>
              </w:rPr>
              <w:instrText xml:space="preserve"> NUMPAGES  </w:instrText>
            </w:r>
            <w:r w:rsidRPr="00824BC1">
              <w:rPr>
                <w:b/>
                <w:bCs/>
                <w:sz w:val="20"/>
                <w:szCs w:val="20"/>
              </w:rPr>
              <w:fldChar w:fldCharType="separate"/>
            </w:r>
            <w:r w:rsidRPr="00824BC1">
              <w:rPr>
                <w:b/>
                <w:bCs/>
                <w:noProof/>
                <w:sz w:val="20"/>
                <w:szCs w:val="20"/>
              </w:rPr>
              <w:t>2</w:t>
            </w:r>
            <w:r w:rsidRPr="00824BC1">
              <w:rPr>
                <w:b/>
                <w:bCs/>
                <w:sz w:val="20"/>
                <w:szCs w:val="20"/>
              </w:rPr>
              <w:fldChar w:fldCharType="end"/>
            </w:r>
          </w:p>
        </w:sdtContent>
      </w:sdt>
    </w:sdtContent>
  </w:sdt>
  <w:p w14:paraId="25765E4F" w14:textId="77777777" w:rsidR="00824BC1" w:rsidRDefault="00824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8D261" w14:textId="77777777" w:rsidR="00C868D8" w:rsidRDefault="00C868D8" w:rsidP="00824BC1">
      <w:pPr>
        <w:spacing w:line="240" w:lineRule="auto"/>
      </w:pPr>
      <w:r>
        <w:separator/>
      </w:r>
    </w:p>
  </w:footnote>
  <w:footnote w:type="continuationSeparator" w:id="0">
    <w:p w14:paraId="50E64FDF" w14:textId="77777777" w:rsidR="00C868D8" w:rsidRDefault="00C868D8" w:rsidP="00824B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5966072"/>
      <w:docPartObj>
        <w:docPartGallery w:val="Page Numbers (Top of Page)"/>
        <w:docPartUnique/>
      </w:docPartObj>
    </w:sdtPr>
    <w:sdtContent>
      <w:p w14:paraId="1A149D50" w14:textId="5FBD1CBD" w:rsidR="003B41FC" w:rsidRDefault="003B41FC">
        <w:pPr>
          <w:pStyle w:val="Header"/>
          <w:jc w:val="center"/>
        </w:pPr>
        <w:r>
          <w:fldChar w:fldCharType="begin"/>
        </w:r>
        <w:r>
          <w:instrText>PAGE   \* MERGEFORMAT</w:instrText>
        </w:r>
        <w:r>
          <w:fldChar w:fldCharType="separate"/>
        </w:r>
        <w:r>
          <w:t>2</w:t>
        </w:r>
        <w:r>
          <w:fldChar w:fldCharType="end"/>
        </w:r>
      </w:p>
    </w:sdtContent>
  </w:sdt>
  <w:p w14:paraId="296A5C42" w14:textId="77777777" w:rsidR="003B41FC" w:rsidRDefault="003B41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1509C"/>
    <w:multiLevelType w:val="hybridMultilevel"/>
    <w:tmpl w:val="6DC6A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D36FC"/>
    <w:multiLevelType w:val="multilevel"/>
    <w:tmpl w:val="3048A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3607306">
    <w:abstractNumId w:val="1"/>
  </w:num>
  <w:num w:numId="2" w16cid:durableId="1002469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A8A"/>
    <w:rsid w:val="00056C00"/>
    <w:rsid w:val="0008228F"/>
    <w:rsid w:val="000B2D18"/>
    <w:rsid w:val="000F330D"/>
    <w:rsid w:val="000F3396"/>
    <w:rsid w:val="00154A7B"/>
    <w:rsid w:val="00246221"/>
    <w:rsid w:val="003B41FC"/>
    <w:rsid w:val="003B5EDD"/>
    <w:rsid w:val="00591CAF"/>
    <w:rsid w:val="005B171E"/>
    <w:rsid w:val="006E570D"/>
    <w:rsid w:val="00824BC1"/>
    <w:rsid w:val="008F134F"/>
    <w:rsid w:val="009F760A"/>
    <w:rsid w:val="00C868D8"/>
    <w:rsid w:val="00D93A48"/>
    <w:rsid w:val="00E23A8A"/>
    <w:rsid w:val="00E2506E"/>
    <w:rsid w:val="00F73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29B865"/>
  <w15:docId w15:val="{DE3BF28B-4A92-44B8-94FB-DF140B5AD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0B2D1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2D18"/>
    <w:rPr>
      <w:rFonts w:ascii="Segoe UI" w:hAnsi="Segoe UI" w:cs="Segoe UI"/>
      <w:sz w:val="18"/>
      <w:szCs w:val="18"/>
    </w:rPr>
  </w:style>
  <w:style w:type="paragraph" w:styleId="TOCHeading">
    <w:name w:val="TOC Heading"/>
    <w:basedOn w:val="Heading1"/>
    <w:next w:val="Normal"/>
    <w:uiPriority w:val="39"/>
    <w:unhideWhenUsed/>
    <w:qFormat/>
    <w:rsid w:val="000B2D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B2D18"/>
    <w:pPr>
      <w:spacing w:after="100"/>
    </w:pPr>
  </w:style>
  <w:style w:type="character" w:styleId="Hyperlink">
    <w:name w:val="Hyperlink"/>
    <w:basedOn w:val="DefaultParagraphFont"/>
    <w:uiPriority w:val="99"/>
    <w:unhideWhenUsed/>
    <w:rsid w:val="000B2D18"/>
    <w:rPr>
      <w:color w:val="0000FF" w:themeColor="hyperlink"/>
      <w:u w:val="single"/>
    </w:rPr>
  </w:style>
  <w:style w:type="paragraph" w:styleId="Header">
    <w:name w:val="header"/>
    <w:basedOn w:val="Normal"/>
    <w:link w:val="HeaderChar"/>
    <w:uiPriority w:val="99"/>
    <w:unhideWhenUsed/>
    <w:rsid w:val="00824BC1"/>
    <w:pPr>
      <w:tabs>
        <w:tab w:val="center" w:pos="4513"/>
        <w:tab w:val="right" w:pos="9026"/>
      </w:tabs>
      <w:spacing w:line="240" w:lineRule="auto"/>
    </w:pPr>
  </w:style>
  <w:style w:type="character" w:customStyle="1" w:styleId="HeaderChar">
    <w:name w:val="Header Char"/>
    <w:basedOn w:val="DefaultParagraphFont"/>
    <w:link w:val="Header"/>
    <w:uiPriority w:val="99"/>
    <w:rsid w:val="00824BC1"/>
  </w:style>
  <w:style w:type="paragraph" w:styleId="Footer">
    <w:name w:val="footer"/>
    <w:basedOn w:val="Normal"/>
    <w:link w:val="FooterChar"/>
    <w:uiPriority w:val="99"/>
    <w:unhideWhenUsed/>
    <w:rsid w:val="00824BC1"/>
    <w:pPr>
      <w:tabs>
        <w:tab w:val="center" w:pos="4513"/>
        <w:tab w:val="right" w:pos="9026"/>
      </w:tabs>
      <w:spacing w:line="240" w:lineRule="auto"/>
    </w:pPr>
  </w:style>
  <w:style w:type="character" w:customStyle="1" w:styleId="FooterChar">
    <w:name w:val="Footer Char"/>
    <w:basedOn w:val="DefaultParagraphFont"/>
    <w:link w:val="Footer"/>
    <w:uiPriority w:val="99"/>
    <w:rsid w:val="00824BC1"/>
  </w:style>
  <w:style w:type="paragraph" w:styleId="ListParagraph">
    <w:name w:val="List Paragraph"/>
    <w:basedOn w:val="Normal"/>
    <w:uiPriority w:val="34"/>
    <w:qFormat/>
    <w:rsid w:val="003B41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80/2159032x.2024.2382625" TargetMode="External"/><Relationship Id="rId18" Type="http://schemas.openxmlformats.org/officeDocument/2006/relationships/hyperlink" Target="https://doi.org/10.1080/13229400.2021.1872404" TargetMode="External"/><Relationship Id="rId26" Type="http://schemas.openxmlformats.org/officeDocument/2006/relationships/hyperlink" Target="https://doi.org/10.1186/s12909-023-04515-7" TargetMode="External"/><Relationship Id="rId3" Type="http://schemas.openxmlformats.org/officeDocument/2006/relationships/styles" Target="styles.xml"/><Relationship Id="rId21" Type="http://schemas.openxmlformats.org/officeDocument/2006/relationships/hyperlink" Target="https://doi.org/10.1186/s12913-023-09718-8" TargetMode="External"/><Relationship Id="rId7" Type="http://schemas.openxmlformats.org/officeDocument/2006/relationships/endnotes" Target="endnotes.xml"/><Relationship Id="rId12" Type="http://schemas.openxmlformats.org/officeDocument/2006/relationships/hyperlink" Target="https://doi.org/10.1080/1369183x.2023.2168633" TargetMode="External"/><Relationship Id="rId17" Type="http://schemas.openxmlformats.org/officeDocument/2006/relationships/hyperlink" Target="https://assets.publishing.service.gov.uk/media/6849a7b67cba25f610c7db3f/Working_together_to_safeguard_children_2023_-_statutory_guidance.pdf" TargetMode="External"/><Relationship Id="rId25" Type="http://schemas.openxmlformats.org/officeDocument/2006/relationships/hyperlink" Target="https://doi.org/10.1016/j.childyouth.2024.10750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9/tpwrs.2022.3180792" TargetMode="External"/><Relationship Id="rId20" Type="http://schemas.openxmlformats.org/officeDocument/2006/relationships/hyperlink" Target="https://doi.org/10.61732/bj.v2i1.40" TargetMode="External"/><Relationship Id="rId29" Type="http://schemas.openxmlformats.org/officeDocument/2006/relationships/hyperlink" Target="https://doi.org/10.1080/13549839.2022.20905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iscovery.ucl.ac.uk/id/eprint/10196783/9/Newbery_10196783_thesis_id_removed.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10/xqwu4117" TargetMode="External"/><Relationship Id="rId23" Type="http://schemas.openxmlformats.org/officeDocument/2006/relationships/hyperlink" Target="https://doi.org/10.1111/hex.13795" TargetMode="External"/><Relationship Id="rId28" Type="http://schemas.openxmlformats.org/officeDocument/2006/relationships/hyperlink" Target="https://doi.org/10.3310/yowk7214" TargetMode="External"/><Relationship Id="rId10" Type="http://schemas.openxmlformats.org/officeDocument/2006/relationships/image" Target="media/image3.png"/><Relationship Id="rId19" Type="http://schemas.openxmlformats.org/officeDocument/2006/relationships/hyperlink" Target="https://doi.org/10.1177/20597991231208441"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hyperlink" Target="https://doi.org/10.1016/j.enpol.2022.113313" TargetMode="External"/><Relationship Id="rId27" Type="http://schemas.openxmlformats.org/officeDocument/2006/relationships/hyperlink" Target="https://doi.org/10.1016/s2215-0366(21)00467-3"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84200F-3322-4E6C-AFD2-C70FACCE7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3371</Words>
  <Characters>19217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Hortense Assoh</dc:creator>
  <cp:lastModifiedBy>Hortense Assoh (2245799)</cp:lastModifiedBy>
  <cp:revision>2</cp:revision>
  <dcterms:created xsi:type="dcterms:W3CDTF">2025-11-21T18:56:00Z</dcterms:created>
  <dcterms:modified xsi:type="dcterms:W3CDTF">2025-11-21T18:56:00Z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a4de4e2e-a789-4902-b1b0-09e8de18c669</vt:lpwstr>
  </property>
</Properties>
</file>