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AA0D31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93B9C4" wp14:editId="094A6AE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6CDEE39" w14:textId="108E8EB5" w:rsidR="007D1947" w:rsidRDefault="00045B8C" w:rsidP="00045B8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jURRYS INN</w:t>
          </w:r>
        </w:p>
        <w:p w14:paraId="4538B947" w14:textId="1031FEFB" w:rsidR="007D1947" w:rsidRDefault="00045B8C" w:rsidP="00045B8C">
          <w:pPr>
            <w:pStyle w:val="NoSpacing"/>
            <w:jc w:val="center"/>
            <w:rPr>
              <w:color w:val="5B9BD5" w:themeColor="accent1"/>
              <w:sz w:val="28"/>
              <w:szCs w:val="28"/>
            </w:rPr>
          </w:pPr>
          <w:r>
            <w:rPr>
              <w:color w:val="5B9BD5" w:themeColor="accent1"/>
              <w:sz w:val="28"/>
              <w:szCs w:val="28"/>
            </w:rPr>
            <w:t>Financial statement</w:t>
          </w:r>
        </w:p>
        <w:p w14:paraId="2C28B7F4" w14:textId="6431FE19"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5725D14C" wp14:editId="2DA160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490E28" w14:textId="2CA18CC8" w:rsidR="00D854A5" w:rsidRDefault="00045B8C" w:rsidP="00B652AD">
          <w:r>
            <w:rPr>
              <w:noProof/>
              <w:color w:val="5B9BD5" w:themeColor="accent1"/>
              <w:lang w:eastAsia="en-GB"/>
            </w:rPr>
            <mc:AlternateContent>
              <mc:Choice Requires="wps">
                <w:drawing>
                  <wp:anchor distT="0" distB="0" distL="114300" distR="114300" simplePos="0" relativeHeight="251659264" behindDoc="0" locked="0" layoutInCell="1" allowOverlap="1" wp14:anchorId="06F3B31A" wp14:editId="078DCC82">
                    <wp:simplePos x="0" y="0"/>
                    <wp:positionH relativeFrom="margin">
                      <wp:align>left</wp:align>
                    </wp:positionH>
                    <wp:positionV relativeFrom="page">
                      <wp:posOffset>7239000</wp:posOffset>
                    </wp:positionV>
                    <wp:extent cx="5705475" cy="1599565"/>
                    <wp:effectExtent l="0" t="0" r="9525" b="635"/>
                    <wp:wrapNone/>
                    <wp:docPr id="142" name="Text Box 142"/>
                    <wp:cNvGraphicFramePr/>
                    <a:graphic xmlns:a="http://schemas.openxmlformats.org/drawingml/2006/main">
                      <a:graphicData uri="http://schemas.microsoft.com/office/word/2010/wordprocessingShape">
                        <wps:wsp>
                          <wps:cNvSpPr txBox="1"/>
                          <wps:spPr>
                            <a:xfrm>
                              <a:off x="0" y="0"/>
                              <a:ext cx="5705475" cy="1599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55C6EF1E" w14:textId="3A74C12E" w:rsidR="007D1947" w:rsidRDefault="00045B8C">
                                    <w:pPr>
                                      <w:pStyle w:val="NoSpacing"/>
                                      <w:spacing w:after="40"/>
                                      <w:jc w:val="center"/>
                                      <w:rPr>
                                        <w:caps/>
                                        <w:color w:val="5B9BD5" w:themeColor="accent1"/>
                                        <w:sz w:val="28"/>
                                        <w:szCs w:val="28"/>
                                      </w:rPr>
                                    </w:pPr>
                                    <w:r>
                                      <w:rPr>
                                        <w:caps/>
                                        <w:color w:val="5B9BD5" w:themeColor="accent1"/>
                                        <w:sz w:val="28"/>
                                        <w:szCs w:val="28"/>
                                      </w:rPr>
                                      <w:t>February 16, 2022</w:t>
                                    </w:r>
                                  </w:p>
                                </w:sdtContent>
                              </w:sdt>
                              <w:p w14:paraId="4BD030D5" w14:textId="77777777" w:rsidR="007D1947" w:rsidRDefault="009C1E0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CEE3A8B" w14:textId="3DB33B90" w:rsidR="007D1947" w:rsidRDefault="009C1E0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p w14:paraId="027AC8B8" w14:textId="1D5BF45A" w:rsidR="00045B8C" w:rsidRDefault="00045B8C">
                                <w:pPr>
                                  <w:pStyle w:val="NoSpacing"/>
                                  <w:jc w:val="center"/>
                                  <w:rPr>
                                    <w:color w:val="5B9BD5" w:themeColor="accent1"/>
                                    <w:sz w:val="28"/>
                                    <w:szCs w:val="28"/>
                                  </w:rPr>
                                </w:pPr>
                                <w:r>
                                  <w:rPr>
                                    <w:color w:val="5B9BD5" w:themeColor="accent1"/>
                                    <w:sz w:val="28"/>
                                    <w:szCs w:val="28"/>
                                  </w:rPr>
                                  <w:t>Name: Sougkoumi Kim</w:t>
                                </w:r>
                              </w:p>
                              <w:p w14:paraId="6BB9EC98" w14:textId="3789C4AF" w:rsidR="00045B8C" w:rsidRDefault="00045B8C">
                                <w:pPr>
                                  <w:pStyle w:val="NoSpacing"/>
                                  <w:jc w:val="center"/>
                                  <w:rPr>
                                    <w:color w:val="5B9BD5" w:themeColor="accent1"/>
                                    <w:sz w:val="28"/>
                                    <w:szCs w:val="28"/>
                                  </w:rPr>
                                </w:pPr>
                                <w:r>
                                  <w:rPr>
                                    <w:color w:val="5B9BD5" w:themeColor="accent1"/>
                                    <w:sz w:val="28"/>
                                    <w:szCs w:val="28"/>
                                  </w:rPr>
                                  <w:t>Student ID: 2011245</w:t>
                                </w:r>
                              </w:p>
                              <w:p w14:paraId="3B4B4790" w14:textId="4758CBCA" w:rsidR="00045B8C" w:rsidRDefault="00045B8C">
                                <w:pPr>
                                  <w:pStyle w:val="NoSpacing"/>
                                  <w:jc w:val="center"/>
                                  <w:rPr>
                                    <w:color w:val="5B9BD5" w:themeColor="accent1"/>
                                    <w:sz w:val="28"/>
                                    <w:szCs w:val="28"/>
                                  </w:rPr>
                                </w:pPr>
                                <w:r>
                                  <w:rPr>
                                    <w:color w:val="5B9BD5" w:themeColor="accent1"/>
                                    <w:sz w:val="28"/>
                                    <w:szCs w:val="28"/>
                                  </w:rPr>
                                  <w:t>Module code: BMIH5007</w:t>
                                </w:r>
                              </w:p>
                              <w:p w14:paraId="348EE6E1" w14:textId="479EA80B" w:rsidR="00045B8C" w:rsidRPr="00045B8C" w:rsidRDefault="00045B8C">
                                <w:pPr>
                                  <w:pStyle w:val="NoSpacing"/>
                                  <w:jc w:val="center"/>
                                  <w:rPr>
                                    <w:color w:val="5B9BD5" w:themeColor="accent1"/>
                                    <w:sz w:val="28"/>
                                    <w:szCs w:val="28"/>
                                  </w:rPr>
                                </w:pPr>
                                <w:r>
                                  <w:rPr>
                                    <w:color w:val="5B9BD5" w:themeColor="accent1"/>
                                    <w:sz w:val="28"/>
                                    <w:szCs w:val="28"/>
                                  </w:rPr>
                                  <w:t xml:space="preserve">Lecturer: </w:t>
                                </w:r>
                                <w:r w:rsidR="00B652AD">
                                  <w:rPr>
                                    <w:color w:val="5B9BD5" w:themeColor="accent1"/>
                                    <w:sz w:val="28"/>
                                    <w:szCs w:val="28"/>
                                  </w:rPr>
                                  <w:t>Dale Clarke</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F3B31A" id="_x0000_t202" coordsize="21600,21600" o:spt="202" path="m,l,21600r21600,l21600,xe">
                    <v:stroke joinstyle="miter"/>
                    <v:path gradientshapeok="t" o:connecttype="rect"/>
                  </v:shapetype>
                  <v:shape id="Text Box 142" o:spid="_x0000_s1026" type="#_x0000_t202" style="position:absolute;margin-left:0;margin-top:570pt;width:449.25pt;height:125.9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55C6EF1E" w14:textId="3A74C12E" w:rsidR="007D1947" w:rsidRDefault="00045B8C">
                              <w:pPr>
                                <w:pStyle w:val="NoSpacing"/>
                                <w:spacing w:after="40"/>
                                <w:jc w:val="center"/>
                                <w:rPr>
                                  <w:caps/>
                                  <w:color w:val="5B9BD5" w:themeColor="accent1"/>
                                  <w:sz w:val="28"/>
                                  <w:szCs w:val="28"/>
                                </w:rPr>
                              </w:pPr>
                              <w:r>
                                <w:rPr>
                                  <w:caps/>
                                  <w:color w:val="5B9BD5" w:themeColor="accent1"/>
                                  <w:sz w:val="28"/>
                                  <w:szCs w:val="28"/>
                                </w:rPr>
                                <w:t>February 16, 2022</w:t>
                              </w:r>
                            </w:p>
                          </w:sdtContent>
                        </w:sdt>
                        <w:p w14:paraId="4BD030D5" w14:textId="77777777" w:rsidR="007D1947" w:rsidRDefault="009C1E0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CEE3A8B" w14:textId="3DB33B90" w:rsidR="007D1947" w:rsidRDefault="009C1E0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p w14:paraId="027AC8B8" w14:textId="1D5BF45A" w:rsidR="00045B8C" w:rsidRDefault="00045B8C">
                          <w:pPr>
                            <w:pStyle w:val="NoSpacing"/>
                            <w:jc w:val="center"/>
                            <w:rPr>
                              <w:color w:val="5B9BD5" w:themeColor="accent1"/>
                              <w:sz w:val="28"/>
                              <w:szCs w:val="28"/>
                            </w:rPr>
                          </w:pPr>
                          <w:r>
                            <w:rPr>
                              <w:color w:val="5B9BD5" w:themeColor="accent1"/>
                              <w:sz w:val="28"/>
                              <w:szCs w:val="28"/>
                            </w:rPr>
                            <w:t>Name: Sougkoumi Kim</w:t>
                          </w:r>
                        </w:p>
                        <w:p w14:paraId="6BB9EC98" w14:textId="3789C4AF" w:rsidR="00045B8C" w:rsidRDefault="00045B8C">
                          <w:pPr>
                            <w:pStyle w:val="NoSpacing"/>
                            <w:jc w:val="center"/>
                            <w:rPr>
                              <w:color w:val="5B9BD5" w:themeColor="accent1"/>
                              <w:sz w:val="28"/>
                              <w:szCs w:val="28"/>
                            </w:rPr>
                          </w:pPr>
                          <w:r>
                            <w:rPr>
                              <w:color w:val="5B9BD5" w:themeColor="accent1"/>
                              <w:sz w:val="28"/>
                              <w:szCs w:val="28"/>
                            </w:rPr>
                            <w:t>Student ID: 2011245</w:t>
                          </w:r>
                        </w:p>
                        <w:p w14:paraId="3B4B4790" w14:textId="4758CBCA" w:rsidR="00045B8C" w:rsidRDefault="00045B8C">
                          <w:pPr>
                            <w:pStyle w:val="NoSpacing"/>
                            <w:jc w:val="center"/>
                            <w:rPr>
                              <w:color w:val="5B9BD5" w:themeColor="accent1"/>
                              <w:sz w:val="28"/>
                              <w:szCs w:val="28"/>
                            </w:rPr>
                          </w:pPr>
                          <w:r>
                            <w:rPr>
                              <w:color w:val="5B9BD5" w:themeColor="accent1"/>
                              <w:sz w:val="28"/>
                              <w:szCs w:val="28"/>
                            </w:rPr>
                            <w:t>Module code: BMIH5007</w:t>
                          </w:r>
                        </w:p>
                        <w:p w14:paraId="348EE6E1" w14:textId="479EA80B" w:rsidR="00045B8C" w:rsidRPr="00045B8C" w:rsidRDefault="00045B8C">
                          <w:pPr>
                            <w:pStyle w:val="NoSpacing"/>
                            <w:jc w:val="center"/>
                            <w:rPr>
                              <w:color w:val="5B9BD5" w:themeColor="accent1"/>
                              <w:sz w:val="28"/>
                              <w:szCs w:val="28"/>
                            </w:rPr>
                          </w:pPr>
                          <w:r>
                            <w:rPr>
                              <w:color w:val="5B9BD5" w:themeColor="accent1"/>
                              <w:sz w:val="28"/>
                              <w:szCs w:val="28"/>
                            </w:rPr>
                            <w:t xml:space="preserve">Lecturer: </w:t>
                          </w:r>
                          <w:r w:rsidR="00B652AD">
                            <w:rPr>
                              <w:color w:val="5B9BD5" w:themeColor="accent1"/>
                              <w:sz w:val="28"/>
                              <w:szCs w:val="28"/>
                            </w:rPr>
                            <w:t>Dale Clarke</w:t>
                          </w:r>
                        </w:p>
                      </w:txbxContent>
                    </v:textbox>
                    <w10:wrap anchorx="margin" anchory="page"/>
                  </v:shape>
                </w:pict>
              </mc:Fallback>
            </mc:AlternateContent>
          </w:r>
          <w:r w:rsidR="007D1947">
            <w:br w:type="page"/>
          </w:r>
        </w:p>
        <w:p w14:paraId="118F6F6E" w14:textId="6D5C6B2E" w:rsidR="00B652AD" w:rsidRDefault="00B652AD" w:rsidP="00B652AD">
          <w:pPr>
            <w:pStyle w:val="Heading1"/>
          </w:pPr>
          <w:bookmarkStart w:id="0" w:name="_Toc95832578"/>
          <w:r>
            <w:lastRenderedPageBreak/>
            <w:t>Executive Summary</w:t>
          </w:r>
          <w:bookmarkEnd w:id="0"/>
        </w:p>
        <w:p w14:paraId="0D88BDEC" w14:textId="77777777" w:rsidR="00B652AD" w:rsidRPr="00B652AD" w:rsidRDefault="00B652AD" w:rsidP="00B652AD"/>
        <w:p w14:paraId="46B27ED7" w14:textId="77777777" w:rsidR="00B652AD" w:rsidRDefault="00B652AD" w:rsidP="00B652AD">
          <w:pPr>
            <w:spacing w:line="480" w:lineRule="auto"/>
          </w:pPr>
          <w:r>
            <w:t>This report aims to provide a detailed analysis of the financial ratios of Jurys Inn to evaluate its performance in the Hotel and tourism sector. Its primary focus is on non-financial performance, which will give an outlay of the future economic performance.</w:t>
          </w:r>
        </w:p>
        <w:p w14:paraId="48B8DA91" w14:textId="77777777" w:rsidR="00B652AD" w:rsidRDefault="00B652AD" w:rsidP="00B652AD">
          <w:pPr>
            <w:spacing w:line="480" w:lineRule="auto"/>
          </w:pPr>
          <w:r>
            <w:t>The financial ratio analysis is segmented into three major broad categories, namely, Profitability ratio, Liquidity ratio, and the gearing ratio that are meant to evaluate the economic performance of Jurys Inn. The report is intended to identify various weaknesses and provide amicable solutions to better the company's financial performance. It denotes that the company had a higher level of sales in 2020 than in 2019, which is a symbol of increased revenue.</w:t>
          </w:r>
        </w:p>
        <w:p w14:paraId="76A5CC0E" w14:textId="72637A6C" w:rsidR="00B652AD" w:rsidRDefault="00B652AD" w:rsidP="00B652AD">
          <w:pPr>
            <w:spacing w:line="480" w:lineRule="auto"/>
          </w:pPr>
          <w:r>
            <w:t>The liquidity ratio shows that the company can pay its debts and welfare to pay its current liability and have some quick assets remaining. According to Madushanka &amp; Jathurika 2018 "liquidity refers to the speed and ease at which an asset can be converted to cash".</w:t>
          </w:r>
          <w:r>
            <w:t xml:space="preserve"> </w:t>
          </w:r>
          <w:r>
            <w:t>The gearing ratio is the level of a company's financial constancy.</w:t>
          </w:r>
        </w:p>
        <w:p w14:paraId="42B0DB57" w14:textId="51923E0E" w:rsidR="007D1947" w:rsidRDefault="00B652AD" w:rsidP="00B652AD">
          <w:pPr>
            <w:spacing w:line="480" w:lineRule="auto"/>
          </w:pPr>
          <w:r>
            <w:t>Ratio analysis will help a company manager make plans by knowing the weakness and getting solutions before making decisions on financial investments to improve a company's economic performance. By considering the financial ratio analysis, the manager will be able to avoid mistakes made in the previous years based on the solutions provided by the ratio analysis.</w:t>
          </w:r>
        </w:p>
        <w:p w14:paraId="15DB6509" w14:textId="77777777" w:rsidR="007D1947" w:rsidRDefault="007D1947" w:rsidP="00B652AD">
          <w:pPr>
            <w:spacing w:line="480" w:lineRule="auto"/>
          </w:pPr>
        </w:p>
        <w:p w14:paraId="1CBFC83D" w14:textId="77777777" w:rsidR="007D1947" w:rsidRDefault="007D1947"/>
        <w:p w14:paraId="047187F5" w14:textId="77777777" w:rsidR="007D1947" w:rsidRDefault="007D1947"/>
        <w:p w14:paraId="12797389" w14:textId="77777777" w:rsidR="007D1947" w:rsidRDefault="007D1947"/>
        <w:p w14:paraId="585204B7" w14:textId="77777777" w:rsidR="007D1947" w:rsidRDefault="007D1947"/>
        <w:p w14:paraId="5D8BD84A" w14:textId="77777777" w:rsidR="007D1947" w:rsidRDefault="007D1947"/>
        <w:p w14:paraId="58F579BB" w14:textId="77777777" w:rsidR="007D1947" w:rsidRDefault="007D1947"/>
        <w:p w14:paraId="5C4BD585" w14:textId="77777777" w:rsidR="007D1947" w:rsidRDefault="007D1947"/>
        <w:p w14:paraId="644B404E" w14:textId="77777777" w:rsidR="007D1947" w:rsidRDefault="007D1947"/>
        <w:p w14:paraId="35EEED3E" w14:textId="77777777" w:rsidR="007D1947" w:rsidRDefault="007D1947"/>
        <w:p w14:paraId="2A10357F" w14:textId="77777777" w:rsidR="007D1947" w:rsidRDefault="007D1947"/>
        <w:p w14:paraId="4AE11809" w14:textId="77777777" w:rsidR="007D1947" w:rsidRDefault="007D1947"/>
        <w:p w14:paraId="3863F560" w14:textId="77777777" w:rsidR="007D1947" w:rsidRDefault="007D1947"/>
        <w:p w14:paraId="6DC93120" w14:textId="77777777" w:rsidR="007D1947" w:rsidRDefault="007D1947"/>
        <w:p w14:paraId="5A6E7CE1" w14:textId="77777777" w:rsidR="007D1947" w:rsidRDefault="007D1947"/>
        <w:p w14:paraId="5BB99F13" w14:textId="77777777" w:rsidR="007D1947" w:rsidRDefault="007D1947"/>
        <w:p w14:paraId="7B1885D9" w14:textId="77777777" w:rsidR="007D1947" w:rsidRDefault="007D1947"/>
        <w:p w14:paraId="76D3CFE3" w14:textId="77777777" w:rsidR="007D1947" w:rsidRDefault="007D1947"/>
        <w:p w14:paraId="36DB339F" w14:textId="77777777" w:rsidR="007D1947" w:rsidRDefault="007D1947"/>
        <w:p w14:paraId="125833DB" w14:textId="77777777" w:rsidR="007D1947" w:rsidRDefault="007D1947"/>
        <w:p w14:paraId="5CCA0AE9" w14:textId="77777777" w:rsidR="007D1947" w:rsidRDefault="007D1947"/>
        <w:p w14:paraId="4E1168E1" w14:textId="77777777" w:rsidR="007D1947" w:rsidRDefault="007D1947"/>
        <w:p w14:paraId="0CF17095" w14:textId="77777777" w:rsidR="007D1947" w:rsidRDefault="007D1947"/>
        <w:p w14:paraId="2578CCBD" w14:textId="77777777" w:rsidR="007D1947" w:rsidRDefault="007D1947"/>
        <w:p w14:paraId="26532283" w14:textId="77777777" w:rsidR="007D1947" w:rsidRDefault="007D1947"/>
        <w:p w14:paraId="5E5FC9BD" w14:textId="77777777" w:rsidR="007D1947" w:rsidRDefault="007D1947"/>
        <w:p w14:paraId="1BCB42CF"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FCECF4C" w14:textId="77777777" w:rsidR="007D1947" w:rsidRDefault="007D1947">
              <w:pPr>
                <w:pStyle w:val="TOCHeading"/>
              </w:pPr>
              <w:r>
                <w:t>Table of Contents</w:t>
              </w:r>
            </w:p>
            <w:p w14:paraId="2FC2A571" w14:textId="412A243D" w:rsidR="00B652A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5832578" w:history="1">
                <w:r w:rsidR="00B652AD" w:rsidRPr="00EC72DF">
                  <w:rPr>
                    <w:rStyle w:val="Hyperlink"/>
                    <w:noProof/>
                  </w:rPr>
                  <w:t>Executive Summary</w:t>
                </w:r>
                <w:r w:rsidR="00B652AD">
                  <w:rPr>
                    <w:noProof/>
                    <w:webHidden/>
                  </w:rPr>
                  <w:tab/>
                </w:r>
              </w:hyperlink>
              <w:r w:rsidR="009C1E09">
                <w:rPr>
                  <w:rStyle w:val="Hyperlink"/>
                  <w:noProof/>
                </w:rPr>
                <w:t>2</w:t>
              </w:r>
            </w:p>
            <w:p w14:paraId="5951B10C" w14:textId="46A45F36" w:rsidR="00B652AD" w:rsidRDefault="00B652AD">
              <w:pPr>
                <w:pStyle w:val="TOC1"/>
                <w:tabs>
                  <w:tab w:val="right" w:leader="dot" w:pos="9016"/>
                </w:tabs>
                <w:rPr>
                  <w:rFonts w:eastAsiaTheme="minorEastAsia"/>
                  <w:noProof/>
                  <w:lang w:eastAsia="en-GB"/>
                </w:rPr>
              </w:pPr>
              <w:hyperlink w:anchor="_Toc95832579" w:history="1">
                <w:r w:rsidRPr="00EC72DF">
                  <w:rPr>
                    <w:rStyle w:val="Hyperlink"/>
                    <w:noProof/>
                  </w:rPr>
                  <w:t>Introduction</w:t>
                </w:r>
                <w:r>
                  <w:rPr>
                    <w:noProof/>
                    <w:webHidden/>
                  </w:rPr>
                  <w:tab/>
                </w:r>
                <w:r w:rsidR="009C1E09">
                  <w:rPr>
                    <w:noProof/>
                    <w:webHidden/>
                  </w:rPr>
                  <w:t>3</w:t>
                </w:r>
              </w:hyperlink>
            </w:p>
            <w:p w14:paraId="2E0200C3" w14:textId="36A921EA" w:rsidR="00B652AD" w:rsidRDefault="00B652AD">
              <w:pPr>
                <w:pStyle w:val="TOC1"/>
                <w:tabs>
                  <w:tab w:val="right" w:leader="dot" w:pos="9016"/>
                </w:tabs>
                <w:rPr>
                  <w:rFonts w:eastAsiaTheme="minorEastAsia"/>
                  <w:noProof/>
                  <w:lang w:eastAsia="en-GB"/>
                </w:rPr>
              </w:pPr>
              <w:hyperlink w:anchor="_Toc95832580" w:history="1">
                <w:r w:rsidRPr="00EC72DF">
                  <w:rPr>
                    <w:rStyle w:val="Hyperlink"/>
                    <w:noProof/>
                  </w:rPr>
                  <w:t>Financial Analysis</w:t>
                </w:r>
                <w:r>
                  <w:rPr>
                    <w:noProof/>
                    <w:webHidden/>
                  </w:rPr>
                  <w:tab/>
                  <w:t>5</w:t>
                </w:r>
              </w:hyperlink>
            </w:p>
            <w:p w14:paraId="1DE405CB" w14:textId="5690F0E1" w:rsidR="00B652AD" w:rsidRDefault="00B652AD">
              <w:pPr>
                <w:pStyle w:val="TOC1"/>
                <w:tabs>
                  <w:tab w:val="right" w:leader="dot" w:pos="9016"/>
                </w:tabs>
                <w:rPr>
                  <w:rFonts w:eastAsiaTheme="minorEastAsia"/>
                  <w:noProof/>
                  <w:lang w:eastAsia="en-GB"/>
                </w:rPr>
              </w:pPr>
              <w:hyperlink w:anchor="_Toc95832581" w:history="1">
                <w:r w:rsidRPr="00EC72DF">
                  <w:rPr>
                    <w:rStyle w:val="Hyperlink"/>
                    <w:noProof/>
                  </w:rPr>
                  <w:t>Financial Analysis Trends</w:t>
                </w:r>
                <w:r>
                  <w:rPr>
                    <w:noProof/>
                    <w:webHidden/>
                  </w:rPr>
                  <w:tab/>
                </w:r>
                <w:r w:rsidR="009C1E09">
                  <w:rPr>
                    <w:noProof/>
                    <w:webHidden/>
                  </w:rPr>
                  <w:t>7</w:t>
                </w:r>
              </w:hyperlink>
            </w:p>
            <w:p w14:paraId="4FBF0520" w14:textId="710B3458" w:rsidR="00B652AD" w:rsidRDefault="00B652AD">
              <w:pPr>
                <w:pStyle w:val="TOC2"/>
                <w:tabs>
                  <w:tab w:val="right" w:leader="dot" w:pos="9016"/>
                </w:tabs>
                <w:rPr>
                  <w:rFonts w:eastAsiaTheme="minorEastAsia"/>
                  <w:noProof/>
                  <w:lang w:eastAsia="en-GB"/>
                </w:rPr>
              </w:pPr>
              <w:hyperlink w:anchor="_Toc95832582" w:history="1">
                <w:r w:rsidRPr="00EC72DF">
                  <w:rPr>
                    <w:rStyle w:val="Hyperlink"/>
                    <w:noProof/>
                  </w:rPr>
                  <w:t>Profitability</w:t>
                </w:r>
                <w:r>
                  <w:rPr>
                    <w:noProof/>
                    <w:webHidden/>
                  </w:rPr>
                  <w:tab/>
                </w:r>
                <w:r w:rsidR="009C1E09">
                  <w:rPr>
                    <w:noProof/>
                    <w:webHidden/>
                  </w:rPr>
                  <w:t>8</w:t>
                </w:r>
              </w:hyperlink>
            </w:p>
            <w:p w14:paraId="6E34884B" w14:textId="281AC26D" w:rsidR="00B652AD" w:rsidRDefault="00B652AD">
              <w:pPr>
                <w:pStyle w:val="TOC2"/>
                <w:tabs>
                  <w:tab w:val="right" w:leader="dot" w:pos="9016"/>
                </w:tabs>
                <w:rPr>
                  <w:rFonts w:eastAsiaTheme="minorEastAsia"/>
                  <w:noProof/>
                  <w:lang w:eastAsia="en-GB"/>
                </w:rPr>
              </w:pPr>
              <w:hyperlink w:anchor="_Toc95832583" w:history="1">
                <w:r w:rsidRPr="00EC72DF">
                  <w:rPr>
                    <w:rStyle w:val="Hyperlink"/>
                    <w:noProof/>
                  </w:rPr>
                  <w:t>Liquidity</w:t>
                </w:r>
                <w:r>
                  <w:rPr>
                    <w:noProof/>
                    <w:webHidden/>
                  </w:rPr>
                  <w:tab/>
                </w:r>
                <w:r w:rsidR="009C1E09">
                  <w:rPr>
                    <w:noProof/>
                    <w:webHidden/>
                  </w:rPr>
                  <w:t>8</w:t>
                </w:r>
              </w:hyperlink>
            </w:p>
            <w:p w14:paraId="705DA61F" w14:textId="423C49E8" w:rsidR="00B652AD" w:rsidRDefault="00B652AD">
              <w:pPr>
                <w:pStyle w:val="TOC2"/>
                <w:tabs>
                  <w:tab w:val="right" w:leader="dot" w:pos="9016"/>
                </w:tabs>
                <w:rPr>
                  <w:rFonts w:eastAsiaTheme="minorEastAsia"/>
                  <w:noProof/>
                  <w:lang w:eastAsia="en-GB"/>
                </w:rPr>
              </w:pPr>
              <w:hyperlink w:anchor="_Toc95832584" w:history="1">
                <w:r w:rsidRPr="00EC72DF">
                  <w:rPr>
                    <w:rStyle w:val="Hyperlink"/>
                    <w:noProof/>
                  </w:rPr>
                  <w:t>Gearing</w:t>
                </w:r>
                <w:r>
                  <w:rPr>
                    <w:noProof/>
                    <w:webHidden/>
                  </w:rPr>
                  <w:tab/>
                </w:r>
                <w:r w:rsidR="009C1E09">
                  <w:rPr>
                    <w:noProof/>
                    <w:webHidden/>
                  </w:rPr>
                  <w:t>8</w:t>
                </w:r>
              </w:hyperlink>
            </w:p>
            <w:p w14:paraId="53BADD49" w14:textId="08F1F815" w:rsidR="00B652AD" w:rsidRDefault="00B652AD">
              <w:pPr>
                <w:pStyle w:val="TOC1"/>
                <w:tabs>
                  <w:tab w:val="right" w:leader="dot" w:pos="9016"/>
                </w:tabs>
                <w:rPr>
                  <w:rFonts w:eastAsiaTheme="minorEastAsia"/>
                  <w:noProof/>
                  <w:lang w:eastAsia="en-GB"/>
                </w:rPr>
              </w:pPr>
              <w:hyperlink w:anchor="_Toc95832585" w:history="1">
                <w:r w:rsidRPr="00EC72DF">
                  <w:rPr>
                    <w:rStyle w:val="Hyperlink"/>
                    <w:noProof/>
                  </w:rPr>
                  <w:t>Knowledge from Ratio Analysis</w:t>
                </w:r>
                <w:r>
                  <w:rPr>
                    <w:noProof/>
                    <w:webHidden/>
                  </w:rPr>
                  <w:tab/>
                </w:r>
                <w:r w:rsidR="009C1E09">
                  <w:rPr>
                    <w:noProof/>
                    <w:webHidden/>
                  </w:rPr>
                  <w:t>8</w:t>
                </w:r>
              </w:hyperlink>
            </w:p>
            <w:p w14:paraId="42C81442" w14:textId="7B281578" w:rsidR="00B652AD" w:rsidRDefault="00B652AD">
              <w:pPr>
                <w:pStyle w:val="TOC1"/>
                <w:tabs>
                  <w:tab w:val="right" w:leader="dot" w:pos="9016"/>
                </w:tabs>
                <w:rPr>
                  <w:rFonts w:eastAsiaTheme="minorEastAsia"/>
                  <w:noProof/>
                  <w:lang w:eastAsia="en-GB"/>
                </w:rPr>
              </w:pPr>
              <w:hyperlink w:anchor="_Toc95832586" w:history="1">
                <w:r w:rsidRPr="00EC72DF">
                  <w:rPr>
                    <w:rStyle w:val="Hyperlink"/>
                    <w:noProof/>
                  </w:rPr>
                  <w:t>Benefits and Limitations of Ratio Analysis</w:t>
                </w:r>
                <w:r>
                  <w:rPr>
                    <w:noProof/>
                    <w:webHidden/>
                  </w:rPr>
                  <w:tab/>
                </w:r>
                <w:r w:rsidR="009C1E09">
                  <w:rPr>
                    <w:noProof/>
                    <w:webHidden/>
                  </w:rPr>
                  <w:t>9</w:t>
                </w:r>
              </w:hyperlink>
            </w:p>
            <w:p w14:paraId="10BE008C" w14:textId="28398061" w:rsidR="00B652AD" w:rsidRDefault="00B652AD">
              <w:pPr>
                <w:pStyle w:val="TOC1"/>
                <w:tabs>
                  <w:tab w:val="right" w:leader="dot" w:pos="9016"/>
                </w:tabs>
                <w:rPr>
                  <w:rFonts w:eastAsiaTheme="minorEastAsia"/>
                  <w:noProof/>
                  <w:lang w:eastAsia="en-GB"/>
                </w:rPr>
              </w:pPr>
              <w:hyperlink w:anchor="_Toc95832587" w:history="1">
                <w:r w:rsidRPr="00EC72DF">
                  <w:rPr>
                    <w:rStyle w:val="Hyperlink"/>
                    <w:noProof/>
                  </w:rPr>
                  <w:t>Conclusion (average of 10% of word count)</w:t>
                </w:r>
                <w:r>
                  <w:rPr>
                    <w:noProof/>
                    <w:webHidden/>
                  </w:rPr>
                  <w:tab/>
                </w:r>
                <w:r w:rsidR="009C1E09">
                  <w:rPr>
                    <w:noProof/>
                    <w:webHidden/>
                  </w:rPr>
                  <w:t>10</w:t>
                </w:r>
              </w:hyperlink>
            </w:p>
            <w:p w14:paraId="6427A2CB" w14:textId="6BF4DF28" w:rsidR="00B652AD" w:rsidRDefault="00B652AD">
              <w:pPr>
                <w:pStyle w:val="TOC1"/>
                <w:tabs>
                  <w:tab w:val="right" w:leader="dot" w:pos="9016"/>
                </w:tabs>
                <w:rPr>
                  <w:rFonts w:eastAsiaTheme="minorEastAsia"/>
                  <w:noProof/>
                  <w:lang w:eastAsia="en-GB"/>
                </w:rPr>
              </w:pPr>
              <w:r w:rsidRPr="00EC72DF">
                <w:rPr>
                  <w:rStyle w:val="Hyperlink"/>
                  <w:noProof/>
                </w:rPr>
                <w:fldChar w:fldCharType="begin"/>
              </w:r>
              <w:r w:rsidRPr="00EC72DF">
                <w:rPr>
                  <w:rStyle w:val="Hyperlink"/>
                  <w:noProof/>
                </w:rPr>
                <w:instrText xml:space="preserve"> </w:instrText>
              </w:r>
              <w:r>
                <w:rPr>
                  <w:noProof/>
                </w:rPr>
                <w:instrText>HYPERLINK \l "_Toc95832588"</w:instrText>
              </w:r>
              <w:r w:rsidRPr="00EC72DF">
                <w:rPr>
                  <w:rStyle w:val="Hyperlink"/>
                  <w:noProof/>
                </w:rPr>
                <w:instrText xml:space="preserve"> </w:instrText>
              </w:r>
              <w:r w:rsidRPr="00EC72DF">
                <w:rPr>
                  <w:rStyle w:val="Hyperlink"/>
                  <w:noProof/>
                </w:rPr>
              </w:r>
              <w:r w:rsidRPr="00EC72DF">
                <w:rPr>
                  <w:rStyle w:val="Hyperlink"/>
                  <w:noProof/>
                </w:rPr>
                <w:fldChar w:fldCharType="separate"/>
              </w:r>
              <w:r w:rsidRPr="00EC72DF">
                <w:rPr>
                  <w:rStyle w:val="Hyperlink"/>
                  <w:noProof/>
                </w:rPr>
                <w:t>Bibliography</w:t>
              </w:r>
              <w:r>
                <w:rPr>
                  <w:noProof/>
                  <w:webHidden/>
                </w:rPr>
                <w:tab/>
              </w:r>
              <w:r w:rsidR="009C1E09">
                <w:rPr>
                  <w:noProof/>
                  <w:webHidden/>
                </w:rPr>
                <w:t>11</w:t>
              </w:r>
              <w:r w:rsidRPr="00EC72DF">
                <w:rPr>
                  <w:rStyle w:val="Hyperlink"/>
                  <w:noProof/>
                </w:rPr>
                <w:fldChar w:fldCharType="end"/>
              </w:r>
            </w:p>
            <w:p w14:paraId="00A6FF48" w14:textId="004F5400" w:rsidR="007D1947" w:rsidRDefault="007D1947">
              <w:r>
                <w:rPr>
                  <w:b/>
                  <w:bCs/>
                  <w:noProof/>
                </w:rPr>
                <w:fldChar w:fldCharType="end"/>
              </w:r>
              <w:r w:rsidR="00B652AD">
                <w:rPr>
                  <w:b/>
                  <w:bCs/>
                  <w:noProof/>
                </w:rPr>
                <w:t xml:space="preserve"> </w:t>
              </w:r>
            </w:p>
          </w:sdtContent>
        </w:sdt>
        <w:p w14:paraId="219C2D5F" w14:textId="77777777" w:rsidR="007D1947" w:rsidRDefault="007D1947"/>
        <w:p w14:paraId="7F856289" w14:textId="77777777" w:rsidR="007D1947" w:rsidRDefault="007D1947"/>
        <w:p w14:paraId="3B2222FC" w14:textId="77777777" w:rsidR="007D1947" w:rsidRDefault="007D1947"/>
        <w:p w14:paraId="27A4ED7F" w14:textId="77777777" w:rsidR="007D1947" w:rsidRDefault="007D1947"/>
        <w:p w14:paraId="7D37F3B4" w14:textId="77777777" w:rsidR="007D1947" w:rsidRDefault="007D1947"/>
        <w:p w14:paraId="668D4709" w14:textId="77777777" w:rsidR="007D1947" w:rsidRDefault="007D1947"/>
        <w:p w14:paraId="54EB0DD8" w14:textId="77777777" w:rsidR="007D1947" w:rsidRDefault="007D1947"/>
        <w:p w14:paraId="587EEEAF" w14:textId="77777777" w:rsidR="007D1947" w:rsidRDefault="007D1947"/>
        <w:p w14:paraId="189799E6" w14:textId="77777777" w:rsidR="007D1947" w:rsidRDefault="007D1947"/>
        <w:p w14:paraId="0AF7DCBB" w14:textId="77777777" w:rsidR="007D1947" w:rsidRDefault="007D1947"/>
        <w:p w14:paraId="61DBB30B" w14:textId="77777777" w:rsidR="007D1947" w:rsidRDefault="007D1947"/>
        <w:p w14:paraId="4470A747" w14:textId="77777777" w:rsidR="007D1947" w:rsidRDefault="007D1947"/>
        <w:p w14:paraId="30CE396B" w14:textId="77777777" w:rsidR="007D1947" w:rsidRDefault="007D1947"/>
        <w:p w14:paraId="727D838D" w14:textId="77777777" w:rsidR="007D1947" w:rsidRDefault="007D1947"/>
        <w:p w14:paraId="542CB594" w14:textId="77777777" w:rsidR="007D1947" w:rsidRDefault="007D1947"/>
        <w:p w14:paraId="523EC442" w14:textId="77777777" w:rsidR="007D1947" w:rsidRDefault="007D1947"/>
        <w:p w14:paraId="4CFBFB7B" w14:textId="77777777" w:rsidR="007D1947" w:rsidRDefault="007D1947"/>
        <w:p w14:paraId="79EB7FE9" w14:textId="77777777" w:rsidR="007D1947" w:rsidRDefault="007D1947"/>
        <w:p w14:paraId="5A9712DE" w14:textId="77777777" w:rsidR="007D1947" w:rsidRDefault="007D1947"/>
        <w:p w14:paraId="70BBA6FC" w14:textId="77777777" w:rsidR="007D1947" w:rsidRDefault="007D1947"/>
        <w:p w14:paraId="6A0217AB" w14:textId="77777777" w:rsidR="007D1947" w:rsidRDefault="007D1947"/>
        <w:p w14:paraId="6D52DA5A" w14:textId="77777777" w:rsidR="007D1947" w:rsidRDefault="007D1947"/>
        <w:p w14:paraId="7CD76E20" w14:textId="77777777" w:rsidR="007D1947" w:rsidRDefault="007D1947"/>
        <w:p w14:paraId="5C6CDD92" w14:textId="76B0AADE" w:rsidR="004A609D" w:rsidRDefault="007D1947" w:rsidP="004A609D">
          <w:pPr>
            <w:pStyle w:val="Heading1"/>
          </w:pPr>
          <w:bookmarkStart w:id="1" w:name="_Toc95832579"/>
          <w:r>
            <w:t>Introduction</w:t>
          </w:r>
          <w:bookmarkEnd w:id="1"/>
        </w:p>
        <w:p w14:paraId="7297F444" w14:textId="77777777" w:rsidR="004A609D" w:rsidRPr="004A609D" w:rsidRDefault="004A609D" w:rsidP="004A609D"/>
        <w:p w14:paraId="450697B4" w14:textId="4DBBA7EE" w:rsidR="004A609D" w:rsidRDefault="004A609D" w:rsidP="004A609D">
          <w:pPr>
            <w:spacing w:line="480" w:lineRule="auto"/>
          </w:pPr>
          <w:r>
            <w:t xml:space="preserve">The British government has entrusted Jurys Inn with the responsibility of operating and managing hotels throughout the United Kingdom and Northern Ireland. To assist in the evaluation of the financial information provided by the HotelHotel, the following ratios for 2019 and 2020 have been submitted directly to the CEO of the company. </w:t>
          </w:r>
          <w:r>
            <w:t>To</w:t>
          </w:r>
          <w:r>
            <w:t xml:space="preserve"> find trends in profit and balance sheets, </w:t>
          </w:r>
          <w:r>
            <w:t>Jurrys</w:t>
          </w:r>
          <w:r>
            <w:t xml:space="preserve"> will </w:t>
          </w:r>
          <w:r>
            <w:lastRenderedPageBreak/>
            <w:t>need to investigate the components of these ratios. Based on HotelHotel's profitability, liquidity, and gearing, it is possible to reach a reasonable judgment from the information provided.</w:t>
          </w:r>
        </w:p>
        <w:p w14:paraId="28F6B0EE" w14:textId="77777777" w:rsidR="004A609D" w:rsidRDefault="004A609D" w:rsidP="004A609D">
          <w:pPr>
            <w:spacing w:line="480" w:lineRule="auto"/>
          </w:pPr>
          <w:r>
            <w:t>A high success rate has been claimed by Schroeder et al. (2019) for merger targets, which they say provides statistically relevant data at the chosen level target. To assist in determining the Hotel's ability to accurately compute data as part of Jurys Inn's back-testing, the HotelHotel can use the previous model to assist in making an auxiliary choice that will assist in supporting the necessary equipment and tools to determine the Hotel's ratio between these two years.</w:t>
          </w:r>
        </w:p>
        <w:p w14:paraId="1AEE5A74" w14:textId="74762633" w:rsidR="004A609D" w:rsidRDefault="004A609D" w:rsidP="004A609D">
          <w:pPr>
            <w:spacing w:line="480" w:lineRule="auto"/>
          </w:pPr>
          <w:r>
            <w:t>Hospitality industry managers must identify how HotelHotel effectively manages and evaluates its incomes and expenses. Maintaining records of their budgeted profits will demonstrate the Hotel's operational success. This will assist in determining how to sustain client happiness. If the ratio is properly balanced or if revenue expansion is required in one ratio setting, then the other</w:t>
          </w:r>
          <w:r>
            <w:t xml:space="preserve"> the</w:t>
          </w:r>
          <w:r>
            <w:t xml:space="preserve"> earnings earned by the HotelHotel as well as those generated by banks, financial institutions, and investors will be scrutinized for financial reasons.</w:t>
          </w:r>
        </w:p>
        <w:p w14:paraId="4510CC43" w14:textId="77777777" w:rsidR="004A609D" w:rsidRDefault="004A609D" w:rsidP="004A609D">
          <w:pPr>
            <w:spacing w:line="480" w:lineRule="auto"/>
          </w:pPr>
          <w:r>
            <w:t>Ultimately, the purpose of financial analysis is to determine the difference between anticipated and actual outcomes. When evaluating data, it is necessary to first identify the three ratios that will be investigated. Each of these three types of ratios is comprised of the following three components: profitability, liquidity, and debt. These ratios and their formulas allow us to compare the performance of real operations to the performance of the previous two years' history, regardless of whether budgets or predictions were made at the time of analysis.</w:t>
          </w:r>
        </w:p>
        <w:p w14:paraId="536DD1D7" w14:textId="1735B342" w:rsidR="004A11F6" w:rsidRDefault="004A609D" w:rsidP="004A609D">
          <w:pPr>
            <w:spacing w:line="480" w:lineRule="auto"/>
          </w:pPr>
          <w:r>
            <w:t>With an appropriate examination of the proper ratio, the decision can be made on the economic performance to start its growth from the various investment and financial options available to Jurys Inn</w:t>
          </w:r>
          <w:r>
            <w:t>.</w:t>
          </w:r>
        </w:p>
        <w:p w14:paraId="022ABBAE" w14:textId="3C6EA760" w:rsidR="004A609D" w:rsidRDefault="004A609D" w:rsidP="004A609D">
          <w:pPr>
            <w:spacing w:line="480" w:lineRule="auto"/>
          </w:pPr>
        </w:p>
        <w:p w14:paraId="7C17EB4F" w14:textId="77777777" w:rsidR="004A609D" w:rsidRDefault="004A609D" w:rsidP="004A609D">
          <w:pPr>
            <w:spacing w:line="480" w:lineRule="auto"/>
          </w:pPr>
        </w:p>
        <w:p w14:paraId="371808D6" w14:textId="187C5756" w:rsidR="004A11F6" w:rsidRDefault="004A11F6" w:rsidP="004A11F6">
          <w:pPr>
            <w:pStyle w:val="Heading1"/>
          </w:pPr>
          <w:bookmarkStart w:id="2" w:name="_Toc95832580"/>
          <w:r>
            <w:lastRenderedPageBreak/>
            <w:t>Financial Analysis</w:t>
          </w:r>
          <w:bookmarkEnd w:id="2"/>
        </w:p>
        <w:p w14:paraId="752F29EC" w14:textId="77777777" w:rsidR="00276C1A" w:rsidRPr="00276C1A" w:rsidRDefault="00276C1A" w:rsidP="00276C1A"/>
        <w:tbl>
          <w:tblPr>
            <w:tblW w:w="0" w:type="auto"/>
            <w:tblLook w:val="04A0" w:firstRow="1" w:lastRow="0" w:firstColumn="1" w:lastColumn="0" w:noHBand="0" w:noVBand="1"/>
          </w:tblPr>
          <w:tblGrid>
            <w:gridCol w:w="2352"/>
            <w:gridCol w:w="2265"/>
            <w:gridCol w:w="2274"/>
            <w:gridCol w:w="2125"/>
          </w:tblGrid>
          <w:tr w:rsidR="00276C1A" w:rsidRPr="00276C1A" w14:paraId="42F0223D" w14:textId="77777777" w:rsidTr="00A216C2">
            <w:tc>
              <w:tcPr>
                <w:tcW w:w="2357" w:type="dxa"/>
                <w:tcBorders>
                  <w:top w:val="single" w:sz="4" w:space="0" w:color="auto"/>
                  <w:left w:val="single" w:sz="4" w:space="0" w:color="auto"/>
                  <w:bottom w:val="single" w:sz="4" w:space="0" w:color="auto"/>
                  <w:right w:val="single" w:sz="4" w:space="0" w:color="auto"/>
                </w:tcBorders>
              </w:tcPr>
              <w:p w14:paraId="1AC98066"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Formula </w:t>
                </w:r>
              </w:p>
            </w:tc>
            <w:tc>
              <w:tcPr>
                <w:tcW w:w="2270" w:type="dxa"/>
                <w:tcBorders>
                  <w:top w:val="single" w:sz="4" w:space="0" w:color="auto"/>
                  <w:left w:val="single" w:sz="4" w:space="0" w:color="auto"/>
                  <w:bottom w:val="single" w:sz="4" w:space="0" w:color="auto"/>
                  <w:right w:val="single" w:sz="4" w:space="0" w:color="auto"/>
                </w:tcBorders>
              </w:tcPr>
              <w:p w14:paraId="3F4F9721"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Ratio </w:t>
                </w:r>
              </w:p>
            </w:tc>
            <w:tc>
              <w:tcPr>
                <w:tcW w:w="2264" w:type="dxa"/>
                <w:tcBorders>
                  <w:top w:val="single" w:sz="4" w:space="0" w:color="auto"/>
                  <w:left w:val="single" w:sz="4" w:space="0" w:color="auto"/>
                  <w:bottom w:val="single" w:sz="4" w:space="0" w:color="auto"/>
                  <w:right w:val="single" w:sz="4" w:space="0" w:color="auto"/>
                </w:tcBorders>
              </w:tcPr>
              <w:p w14:paraId="6B65B12A"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201</w:t>
                </w:r>
                <w:r w:rsidRPr="00276C1A">
                  <w:rPr>
                    <w:rFonts w:ascii="Times New Roman" w:eastAsia="Calibri" w:hAnsi="Times New Roman" w:cs="Times New Roman"/>
                    <w:sz w:val="24"/>
                    <w:szCs w:val="24"/>
                    <w:lang w:val="en-US"/>
                  </w:rPr>
                  <w:t>9</w:t>
                </w:r>
              </w:p>
            </w:tc>
            <w:tc>
              <w:tcPr>
                <w:tcW w:w="2125" w:type="dxa"/>
                <w:tcBorders>
                  <w:top w:val="single" w:sz="4" w:space="0" w:color="auto"/>
                  <w:left w:val="single" w:sz="4" w:space="0" w:color="auto"/>
                  <w:bottom w:val="single" w:sz="4" w:space="0" w:color="auto"/>
                  <w:right w:val="single" w:sz="4" w:space="0" w:color="auto"/>
                </w:tcBorders>
              </w:tcPr>
              <w:p w14:paraId="374A92D7"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20</w:t>
                </w:r>
                <w:r w:rsidRPr="00276C1A">
                  <w:rPr>
                    <w:rFonts w:ascii="Times New Roman" w:eastAsia="Calibri" w:hAnsi="Times New Roman" w:cs="Times New Roman"/>
                    <w:sz w:val="24"/>
                    <w:szCs w:val="24"/>
                    <w:lang w:val="en-US"/>
                  </w:rPr>
                  <w:t>20</w:t>
                </w:r>
              </w:p>
            </w:tc>
          </w:tr>
          <w:tr w:rsidR="00276C1A" w:rsidRPr="00276C1A" w14:paraId="4C66E3CC" w14:textId="77777777" w:rsidTr="00A216C2">
            <w:tc>
              <w:tcPr>
                <w:tcW w:w="2357" w:type="dxa"/>
                <w:tcBorders>
                  <w:top w:val="single" w:sz="4" w:space="0" w:color="auto"/>
                  <w:left w:val="single" w:sz="4" w:space="0" w:color="auto"/>
                  <w:bottom w:val="single" w:sz="4" w:space="0" w:color="auto"/>
                  <w:right w:val="single" w:sz="4" w:space="0" w:color="auto"/>
                </w:tcBorders>
              </w:tcPr>
              <w:p w14:paraId="115E59BA"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Gross profits/sales x 100</w:t>
                </w:r>
              </w:p>
            </w:tc>
            <w:tc>
              <w:tcPr>
                <w:tcW w:w="2270" w:type="dxa"/>
                <w:tcBorders>
                  <w:top w:val="single" w:sz="4" w:space="0" w:color="auto"/>
                  <w:left w:val="single" w:sz="4" w:space="0" w:color="auto"/>
                  <w:bottom w:val="single" w:sz="4" w:space="0" w:color="auto"/>
                  <w:right w:val="single" w:sz="4" w:space="0" w:color="auto"/>
                </w:tcBorders>
              </w:tcPr>
              <w:p w14:paraId="6BA4E6B2"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Gross profit </w:t>
                </w:r>
              </w:p>
            </w:tc>
            <w:tc>
              <w:tcPr>
                <w:tcW w:w="2264" w:type="dxa"/>
                <w:tcBorders>
                  <w:top w:val="single" w:sz="4" w:space="0" w:color="auto"/>
                  <w:left w:val="single" w:sz="4" w:space="0" w:color="auto"/>
                  <w:bottom w:val="single" w:sz="4" w:space="0" w:color="auto"/>
                  <w:right w:val="single" w:sz="4" w:space="0" w:color="auto"/>
                </w:tcBorders>
              </w:tcPr>
              <w:p w14:paraId="3033285C"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5050/5500×100</w:t>
                </w:r>
              </w:p>
              <w:p w14:paraId="35A02844"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=91.82</w:t>
                </w:r>
              </w:p>
            </w:tc>
            <w:tc>
              <w:tcPr>
                <w:tcW w:w="2125" w:type="dxa"/>
                <w:tcBorders>
                  <w:top w:val="single" w:sz="4" w:space="0" w:color="auto"/>
                  <w:left w:val="single" w:sz="4" w:space="0" w:color="auto"/>
                  <w:bottom w:val="single" w:sz="4" w:space="0" w:color="auto"/>
                  <w:right w:val="single" w:sz="4" w:space="0" w:color="auto"/>
                </w:tcBorders>
              </w:tcPr>
              <w:p w14:paraId="5C35802F"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5150/6000×100</w:t>
                </w:r>
              </w:p>
              <w:p w14:paraId="0B836FDB"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=85.83</w:t>
                </w:r>
              </w:p>
            </w:tc>
          </w:tr>
          <w:tr w:rsidR="00276C1A" w:rsidRPr="00276C1A" w14:paraId="5927BA12" w14:textId="77777777" w:rsidTr="00A216C2">
            <w:tc>
              <w:tcPr>
                <w:tcW w:w="2357" w:type="dxa"/>
                <w:tcBorders>
                  <w:top w:val="single" w:sz="4" w:space="0" w:color="auto"/>
                  <w:left w:val="single" w:sz="4" w:space="0" w:color="auto"/>
                  <w:bottom w:val="single" w:sz="4" w:space="0" w:color="auto"/>
                  <w:right w:val="single" w:sz="4" w:space="0" w:color="auto"/>
                </w:tcBorders>
              </w:tcPr>
              <w:p w14:paraId="223DEEA4"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Net profits of the year/sales x100</w:t>
                </w:r>
              </w:p>
            </w:tc>
            <w:tc>
              <w:tcPr>
                <w:tcW w:w="2270" w:type="dxa"/>
                <w:tcBorders>
                  <w:top w:val="single" w:sz="4" w:space="0" w:color="auto"/>
                  <w:left w:val="single" w:sz="4" w:space="0" w:color="auto"/>
                  <w:bottom w:val="single" w:sz="4" w:space="0" w:color="auto"/>
                  <w:right w:val="single" w:sz="4" w:space="0" w:color="auto"/>
                </w:tcBorders>
              </w:tcPr>
              <w:p w14:paraId="3CF8C1C6"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Net profit </w:t>
                </w:r>
              </w:p>
            </w:tc>
            <w:tc>
              <w:tcPr>
                <w:tcW w:w="2264" w:type="dxa"/>
                <w:tcBorders>
                  <w:top w:val="single" w:sz="4" w:space="0" w:color="auto"/>
                  <w:left w:val="single" w:sz="4" w:space="0" w:color="auto"/>
                  <w:bottom w:val="single" w:sz="4" w:space="0" w:color="auto"/>
                  <w:right w:val="single" w:sz="4" w:space="0" w:color="auto"/>
                </w:tcBorders>
              </w:tcPr>
              <w:p w14:paraId="2E2EAB9D"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4008/5500×100</w:t>
                </w:r>
              </w:p>
              <w:p w14:paraId="4F7A61FA"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=72.88</w:t>
                </w:r>
              </w:p>
            </w:tc>
            <w:tc>
              <w:tcPr>
                <w:tcW w:w="2125" w:type="dxa"/>
                <w:tcBorders>
                  <w:top w:val="single" w:sz="4" w:space="0" w:color="auto"/>
                  <w:left w:val="single" w:sz="4" w:space="0" w:color="auto"/>
                  <w:bottom w:val="single" w:sz="4" w:space="0" w:color="auto"/>
                  <w:right w:val="single" w:sz="4" w:space="0" w:color="auto"/>
                </w:tcBorders>
              </w:tcPr>
              <w:p w14:paraId="250D99A6"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 xml:space="preserve"> 4073/6000×100</w:t>
                </w:r>
              </w:p>
              <w:p w14:paraId="15CC4961"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=67.88</w:t>
                </w:r>
              </w:p>
            </w:tc>
          </w:tr>
          <w:tr w:rsidR="00276C1A" w:rsidRPr="00276C1A" w14:paraId="313BA443" w14:textId="77777777" w:rsidTr="00A216C2">
            <w:tc>
              <w:tcPr>
                <w:tcW w:w="2357" w:type="dxa"/>
                <w:tcBorders>
                  <w:top w:val="single" w:sz="4" w:space="0" w:color="auto"/>
                  <w:left w:val="single" w:sz="4" w:space="0" w:color="auto"/>
                  <w:bottom w:val="single" w:sz="4" w:space="0" w:color="auto"/>
                  <w:right w:val="single" w:sz="4" w:space="0" w:color="auto"/>
                </w:tcBorders>
              </w:tcPr>
              <w:p w14:paraId="641A2857"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Net profits of the year + loan interest / total assets less current liability x100</w:t>
                </w:r>
              </w:p>
            </w:tc>
            <w:tc>
              <w:tcPr>
                <w:tcW w:w="2270" w:type="dxa"/>
                <w:tcBorders>
                  <w:top w:val="single" w:sz="4" w:space="0" w:color="auto"/>
                  <w:left w:val="single" w:sz="4" w:space="0" w:color="auto"/>
                  <w:bottom w:val="single" w:sz="4" w:space="0" w:color="auto"/>
                  <w:right w:val="single" w:sz="4" w:space="0" w:color="auto"/>
                </w:tcBorders>
              </w:tcPr>
              <w:p w14:paraId="5A8A8FB5"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ROCE</w:t>
                </w:r>
              </w:p>
            </w:tc>
            <w:tc>
              <w:tcPr>
                <w:tcW w:w="2264" w:type="dxa"/>
                <w:tcBorders>
                  <w:top w:val="single" w:sz="4" w:space="0" w:color="auto"/>
                  <w:left w:val="single" w:sz="4" w:space="0" w:color="auto"/>
                  <w:bottom w:val="single" w:sz="4" w:space="0" w:color="auto"/>
                  <w:right w:val="single" w:sz="4" w:space="0" w:color="auto"/>
                </w:tcBorders>
              </w:tcPr>
              <w:p w14:paraId="10B8077F"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(4005+20)/6226×100</w:t>
                </w:r>
              </w:p>
              <w:p w14:paraId="7F044676"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=64.65</w:t>
                </w:r>
              </w:p>
            </w:tc>
            <w:tc>
              <w:tcPr>
                <w:tcW w:w="2125" w:type="dxa"/>
                <w:tcBorders>
                  <w:top w:val="single" w:sz="4" w:space="0" w:color="auto"/>
                  <w:left w:val="single" w:sz="4" w:space="0" w:color="auto"/>
                  <w:bottom w:val="single" w:sz="4" w:space="0" w:color="auto"/>
                  <w:right w:val="single" w:sz="4" w:space="0" w:color="auto"/>
                </w:tcBorders>
              </w:tcPr>
              <w:p w14:paraId="621006F7"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5150/6226</w:t>
                </w:r>
              </w:p>
              <w:p w14:paraId="1BE8135D"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=0.82</w:t>
                </w:r>
              </w:p>
            </w:tc>
          </w:tr>
          <w:tr w:rsidR="00276C1A" w:rsidRPr="00276C1A" w14:paraId="5E3F7617" w14:textId="77777777" w:rsidTr="00A216C2">
            <w:tc>
              <w:tcPr>
                <w:tcW w:w="2357" w:type="dxa"/>
                <w:tcBorders>
                  <w:top w:val="single" w:sz="4" w:space="0" w:color="auto"/>
                  <w:left w:val="single" w:sz="4" w:space="0" w:color="auto"/>
                  <w:bottom w:val="single" w:sz="4" w:space="0" w:color="auto"/>
                  <w:right w:val="single" w:sz="4" w:space="0" w:color="auto"/>
                </w:tcBorders>
              </w:tcPr>
              <w:p w14:paraId="58197122"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Sales/total assets less current liability </w:t>
                </w:r>
              </w:p>
            </w:tc>
            <w:tc>
              <w:tcPr>
                <w:tcW w:w="2270" w:type="dxa"/>
                <w:tcBorders>
                  <w:top w:val="single" w:sz="4" w:space="0" w:color="auto"/>
                  <w:left w:val="single" w:sz="4" w:space="0" w:color="auto"/>
                  <w:bottom w:val="single" w:sz="4" w:space="0" w:color="auto"/>
                  <w:right w:val="single" w:sz="4" w:space="0" w:color="auto"/>
                </w:tcBorders>
              </w:tcPr>
              <w:p w14:paraId="63161A8A"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Total assets turnover</w:t>
                </w:r>
              </w:p>
            </w:tc>
            <w:tc>
              <w:tcPr>
                <w:tcW w:w="2264" w:type="dxa"/>
                <w:tcBorders>
                  <w:top w:val="single" w:sz="4" w:space="0" w:color="auto"/>
                  <w:left w:val="single" w:sz="4" w:space="0" w:color="auto"/>
                  <w:bottom w:val="single" w:sz="4" w:space="0" w:color="auto"/>
                  <w:right w:val="single" w:sz="4" w:space="0" w:color="auto"/>
                </w:tcBorders>
              </w:tcPr>
              <w:p w14:paraId="6204FD44"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 xml:space="preserve">5500/6226 </w:t>
                </w:r>
              </w:p>
              <w:p w14:paraId="74751170"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0.88</w:t>
                </w:r>
                <w:r w:rsidRPr="00276C1A">
                  <w:rPr>
                    <w:rFonts w:ascii="Times New Roman" w:eastAsia="Calibri" w:hAnsi="Times New Roman" w:cs="Times New Roman"/>
                    <w:sz w:val="24"/>
                    <w:szCs w:val="24"/>
                  </w:rPr>
                  <w:t xml:space="preserve">days </w:t>
                </w:r>
              </w:p>
            </w:tc>
            <w:tc>
              <w:tcPr>
                <w:tcW w:w="2125" w:type="dxa"/>
                <w:tcBorders>
                  <w:top w:val="single" w:sz="4" w:space="0" w:color="auto"/>
                  <w:left w:val="single" w:sz="4" w:space="0" w:color="auto"/>
                  <w:bottom w:val="single" w:sz="4" w:space="0" w:color="auto"/>
                  <w:right w:val="single" w:sz="4" w:space="0" w:color="auto"/>
                </w:tcBorders>
              </w:tcPr>
              <w:p w14:paraId="4A2AD991"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5150/6226</w:t>
                </w:r>
              </w:p>
              <w:p w14:paraId="68E96E75"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 xml:space="preserve">=0.82 </w:t>
                </w:r>
                <w:r w:rsidRPr="00276C1A">
                  <w:rPr>
                    <w:rFonts w:ascii="Times New Roman" w:eastAsia="Calibri" w:hAnsi="Times New Roman" w:cs="Times New Roman"/>
                    <w:sz w:val="24"/>
                    <w:szCs w:val="24"/>
                  </w:rPr>
                  <w:t xml:space="preserve">days </w:t>
                </w:r>
              </w:p>
            </w:tc>
          </w:tr>
          <w:tr w:rsidR="00276C1A" w:rsidRPr="00276C1A" w14:paraId="4CB4BF19" w14:textId="77777777" w:rsidTr="00A216C2">
            <w:tc>
              <w:tcPr>
                <w:tcW w:w="2357" w:type="dxa"/>
                <w:tcBorders>
                  <w:top w:val="single" w:sz="4" w:space="0" w:color="auto"/>
                  <w:left w:val="single" w:sz="4" w:space="0" w:color="auto"/>
                  <w:bottom w:val="single" w:sz="4" w:space="0" w:color="auto"/>
                  <w:right w:val="single" w:sz="4" w:space="0" w:color="auto"/>
                </w:tcBorders>
              </w:tcPr>
              <w:p w14:paraId="43A2264C"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Sales/ net profit assets </w:t>
                </w:r>
              </w:p>
            </w:tc>
            <w:tc>
              <w:tcPr>
                <w:tcW w:w="2270" w:type="dxa"/>
                <w:tcBorders>
                  <w:top w:val="single" w:sz="4" w:space="0" w:color="auto"/>
                  <w:left w:val="single" w:sz="4" w:space="0" w:color="auto"/>
                  <w:bottom w:val="single" w:sz="4" w:space="0" w:color="auto"/>
                  <w:right w:val="single" w:sz="4" w:space="0" w:color="auto"/>
                </w:tcBorders>
              </w:tcPr>
              <w:p w14:paraId="3EA41890"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Working capital turnover</w:t>
                </w:r>
              </w:p>
            </w:tc>
            <w:tc>
              <w:tcPr>
                <w:tcW w:w="2264" w:type="dxa"/>
                <w:tcBorders>
                  <w:top w:val="single" w:sz="4" w:space="0" w:color="auto"/>
                  <w:left w:val="single" w:sz="4" w:space="0" w:color="auto"/>
                  <w:bottom w:val="single" w:sz="4" w:space="0" w:color="auto"/>
                  <w:right w:val="single" w:sz="4" w:space="0" w:color="auto"/>
                </w:tcBorders>
              </w:tcPr>
              <w:p w14:paraId="384F15D1"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4008/7565</w:t>
                </w:r>
              </w:p>
              <w:p w14:paraId="4D04D408"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=0.52</w:t>
                </w:r>
              </w:p>
            </w:tc>
            <w:tc>
              <w:tcPr>
                <w:tcW w:w="2125" w:type="dxa"/>
                <w:tcBorders>
                  <w:top w:val="single" w:sz="4" w:space="0" w:color="auto"/>
                  <w:left w:val="single" w:sz="4" w:space="0" w:color="auto"/>
                  <w:bottom w:val="single" w:sz="4" w:space="0" w:color="auto"/>
                  <w:right w:val="single" w:sz="4" w:space="0" w:color="auto"/>
                </w:tcBorders>
              </w:tcPr>
              <w:p w14:paraId="4D472054"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4073/7890</w:t>
                </w:r>
              </w:p>
              <w:p w14:paraId="3CB02629"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=0.52</w:t>
                </w:r>
              </w:p>
            </w:tc>
          </w:tr>
          <w:tr w:rsidR="00276C1A" w:rsidRPr="00276C1A" w14:paraId="0CCE0CD4" w14:textId="77777777" w:rsidTr="00A216C2">
            <w:tc>
              <w:tcPr>
                <w:tcW w:w="2357" w:type="dxa"/>
                <w:tcBorders>
                  <w:top w:val="single" w:sz="4" w:space="0" w:color="auto"/>
                  <w:left w:val="single" w:sz="4" w:space="0" w:color="auto"/>
                  <w:bottom w:val="single" w:sz="4" w:space="0" w:color="auto"/>
                  <w:right w:val="single" w:sz="4" w:space="0" w:color="auto"/>
                </w:tcBorders>
              </w:tcPr>
              <w:p w14:paraId="4D13F181"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Current assets total/current liabilities total</w:t>
                </w:r>
              </w:p>
            </w:tc>
            <w:tc>
              <w:tcPr>
                <w:tcW w:w="2270" w:type="dxa"/>
                <w:tcBorders>
                  <w:top w:val="single" w:sz="4" w:space="0" w:color="auto"/>
                  <w:left w:val="single" w:sz="4" w:space="0" w:color="auto"/>
                  <w:bottom w:val="single" w:sz="4" w:space="0" w:color="auto"/>
                  <w:right w:val="single" w:sz="4" w:space="0" w:color="auto"/>
                </w:tcBorders>
              </w:tcPr>
              <w:p w14:paraId="1124D063"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Current ratio </w:t>
                </w:r>
              </w:p>
            </w:tc>
            <w:tc>
              <w:tcPr>
                <w:tcW w:w="2264" w:type="dxa"/>
                <w:tcBorders>
                  <w:top w:val="single" w:sz="4" w:space="0" w:color="auto"/>
                  <w:left w:val="single" w:sz="4" w:space="0" w:color="auto"/>
                  <w:bottom w:val="single" w:sz="4" w:space="0" w:color="auto"/>
                  <w:right w:val="single" w:sz="4" w:space="0" w:color="auto"/>
                </w:tcBorders>
              </w:tcPr>
              <w:p w14:paraId="4C5B165E"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3065/1339</w:t>
                </w:r>
              </w:p>
              <w:p w14:paraId="5D75FB06"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=2.29</w:t>
                </w:r>
              </w:p>
            </w:tc>
            <w:tc>
              <w:tcPr>
                <w:tcW w:w="2125" w:type="dxa"/>
                <w:tcBorders>
                  <w:top w:val="single" w:sz="4" w:space="0" w:color="auto"/>
                  <w:left w:val="single" w:sz="4" w:space="0" w:color="auto"/>
                  <w:bottom w:val="single" w:sz="4" w:space="0" w:color="auto"/>
                  <w:right w:val="single" w:sz="4" w:space="0" w:color="auto"/>
                </w:tcBorders>
              </w:tcPr>
              <w:p w14:paraId="122BFE15"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3240/1616</w:t>
                </w:r>
              </w:p>
              <w:p w14:paraId="3CBF2A7F"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=2.00</w:t>
                </w:r>
              </w:p>
            </w:tc>
          </w:tr>
          <w:tr w:rsidR="00276C1A" w:rsidRPr="00276C1A" w14:paraId="710A6D8B" w14:textId="77777777" w:rsidTr="00A216C2">
            <w:tc>
              <w:tcPr>
                <w:tcW w:w="2357" w:type="dxa"/>
                <w:tcBorders>
                  <w:top w:val="single" w:sz="4" w:space="0" w:color="auto"/>
                  <w:left w:val="single" w:sz="4" w:space="0" w:color="auto"/>
                  <w:bottom w:val="single" w:sz="4" w:space="0" w:color="auto"/>
                  <w:right w:val="single" w:sz="4" w:space="0" w:color="auto"/>
                </w:tcBorders>
              </w:tcPr>
              <w:p w14:paraId="57CEC774"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Current assets total – stock / current liabilities total</w:t>
                </w:r>
              </w:p>
            </w:tc>
            <w:tc>
              <w:tcPr>
                <w:tcW w:w="2270" w:type="dxa"/>
                <w:tcBorders>
                  <w:top w:val="single" w:sz="4" w:space="0" w:color="auto"/>
                  <w:left w:val="single" w:sz="4" w:space="0" w:color="auto"/>
                  <w:bottom w:val="single" w:sz="4" w:space="0" w:color="auto"/>
                  <w:right w:val="single" w:sz="4" w:space="0" w:color="auto"/>
                </w:tcBorders>
              </w:tcPr>
              <w:p w14:paraId="32C68DF3"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Quick ratio </w:t>
                </w:r>
              </w:p>
            </w:tc>
            <w:tc>
              <w:tcPr>
                <w:tcW w:w="2264" w:type="dxa"/>
                <w:tcBorders>
                  <w:top w:val="single" w:sz="4" w:space="0" w:color="auto"/>
                  <w:left w:val="single" w:sz="4" w:space="0" w:color="auto"/>
                  <w:bottom w:val="single" w:sz="4" w:space="0" w:color="auto"/>
                  <w:right w:val="single" w:sz="4" w:space="0" w:color="auto"/>
                </w:tcBorders>
              </w:tcPr>
              <w:p w14:paraId="064070D5"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3065-1450/1339</w:t>
                </w:r>
              </w:p>
              <w:p w14:paraId="71354EC7"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=1.21</w:t>
                </w:r>
              </w:p>
            </w:tc>
            <w:tc>
              <w:tcPr>
                <w:tcW w:w="2125" w:type="dxa"/>
                <w:tcBorders>
                  <w:top w:val="single" w:sz="4" w:space="0" w:color="auto"/>
                  <w:left w:val="single" w:sz="4" w:space="0" w:color="auto"/>
                  <w:bottom w:val="single" w:sz="4" w:space="0" w:color="auto"/>
                  <w:right w:val="single" w:sz="4" w:space="0" w:color="auto"/>
                </w:tcBorders>
              </w:tcPr>
              <w:p w14:paraId="251C195D"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3240-1420/16161</w:t>
                </w:r>
              </w:p>
              <w:p w14:paraId="4205BC02"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=1.13</w:t>
                </w:r>
              </w:p>
            </w:tc>
          </w:tr>
          <w:tr w:rsidR="00276C1A" w:rsidRPr="00276C1A" w14:paraId="7DF26A5C" w14:textId="77777777" w:rsidTr="00A216C2">
            <w:tc>
              <w:tcPr>
                <w:tcW w:w="2357" w:type="dxa"/>
                <w:tcBorders>
                  <w:top w:val="single" w:sz="4" w:space="0" w:color="auto"/>
                  <w:left w:val="single" w:sz="4" w:space="0" w:color="auto"/>
                  <w:bottom w:val="single" w:sz="4" w:space="0" w:color="auto"/>
                  <w:right w:val="single" w:sz="4" w:space="0" w:color="auto"/>
                </w:tcBorders>
              </w:tcPr>
              <w:p w14:paraId="38195F03"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lastRenderedPageBreak/>
                  <w:t xml:space="preserve">Debtors x 365 days of the year/sales </w:t>
                </w:r>
              </w:p>
            </w:tc>
            <w:tc>
              <w:tcPr>
                <w:tcW w:w="2270" w:type="dxa"/>
                <w:tcBorders>
                  <w:top w:val="single" w:sz="4" w:space="0" w:color="auto"/>
                  <w:left w:val="single" w:sz="4" w:space="0" w:color="auto"/>
                  <w:bottom w:val="single" w:sz="4" w:space="0" w:color="auto"/>
                  <w:right w:val="single" w:sz="4" w:space="0" w:color="auto"/>
                </w:tcBorders>
              </w:tcPr>
              <w:p w14:paraId="405ED71F"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Debtor days </w:t>
                </w:r>
              </w:p>
            </w:tc>
            <w:tc>
              <w:tcPr>
                <w:tcW w:w="2264" w:type="dxa"/>
                <w:tcBorders>
                  <w:top w:val="single" w:sz="4" w:space="0" w:color="auto"/>
                  <w:left w:val="single" w:sz="4" w:space="0" w:color="auto"/>
                  <w:bottom w:val="single" w:sz="4" w:space="0" w:color="auto"/>
                  <w:right w:val="single" w:sz="4" w:space="0" w:color="auto"/>
                </w:tcBorders>
              </w:tcPr>
              <w:p w14:paraId="116FA2B8"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1600×365/5500</w:t>
                </w:r>
              </w:p>
              <w:p w14:paraId="02C23A40"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=106.18 days</w:t>
                </w:r>
              </w:p>
            </w:tc>
            <w:tc>
              <w:tcPr>
                <w:tcW w:w="2125" w:type="dxa"/>
                <w:tcBorders>
                  <w:top w:val="single" w:sz="4" w:space="0" w:color="auto"/>
                  <w:left w:val="single" w:sz="4" w:space="0" w:color="auto"/>
                  <w:bottom w:val="single" w:sz="4" w:space="0" w:color="auto"/>
                  <w:right w:val="single" w:sz="4" w:space="0" w:color="auto"/>
                </w:tcBorders>
              </w:tcPr>
              <w:p w14:paraId="70414EB6"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1800×365/6000</w:t>
                </w:r>
              </w:p>
              <w:p w14:paraId="1475956E"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=109.5</w:t>
                </w:r>
                <w:r w:rsidRPr="00276C1A">
                  <w:rPr>
                    <w:rFonts w:ascii="Times New Roman" w:eastAsia="Calibri" w:hAnsi="Times New Roman" w:cs="Times New Roman"/>
                    <w:sz w:val="24"/>
                    <w:szCs w:val="24"/>
                  </w:rPr>
                  <w:t xml:space="preserve"> days </w:t>
                </w:r>
              </w:p>
            </w:tc>
          </w:tr>
          <w:tr w:rsidR="00276C1A" w:rsidRPr="00276C1A" w14:paraId="10D30DFE" w14:textId="77777777" w:rsidTr="00A216C2">
            <w:tc>
              <w:tcPr>
                <w:tcW w:w="2357" w:type="dxa"/>
                <w:tcBorders>
                  <w:top w:val="single" w:sz="4" w:space="0" w:color="auto"/>
                  <w:left w:val="single" w:sz="4" w:space="0" w:color="auto"/>
                  <w:bottom w:val="single" w:sz="4" w:space="0" w:color="auto"/>
                  <w:right w:val="single" w:sz="4" w:space="0" w:color="auto"/>
                </w:tcBorders>
              </w:tcPr>
              <w:p w14:paraId="57E73D9D"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Trade creditors x 365 days /purchases</w:t>
                </w:r>
              </w:p>
            </w:tc>
            <w:tc>
              <w:tcPr>
                <w:tcW w:w="2270" w:type="dxa"/>
                <w:tcBorders>
                  <w:top w:val="single" w:sz="4" w:space="0" w:color="auto"/>
                  <w:left w:val="single" w:sz="4" w:space="0" w:color="auto"/>
                  <w:bottom w:val="single" w:sz="4" w:space="0" w:color="auto"/>
                  <w:right w:val="single" w:sz="4" w:space="0" w:color="auto"/>
                </w:tcBorders>
              </w:tcPr>
              <w:p w14:paraId="5D3382FB"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Creditor days </w:t>
                </w:r>
              </w:p>
            </w:tc>
            <w:tc>
              <w:tcPr>
                <w:tcW w:w="2264" w:type="dxa"/>
                <w:tcBorders>
                  <w:top w:val="single" w:sz="4" w:space="0" w:color="auto"/>
                  <w:left w:val="single" w:sz="4" w:space="0" w:color="auto"/>
                  <w:bottom w:val="single" w:sz="4" w:space="0" w:color="auto"/>
                  <w:right w:val="single" w:sz="4" w:space="0" w:color="auto"/>
                </w:tcBorders>
              </w:tcPr>
              <w:p w14:paraId="1C34B3F3"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800×365/500</w:t>
                </w:r>
              </w:p>
              <w:p w14:paraId="2CE81FCF"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 xml:space="preserve">=584 </w:t>
                </w:r>
                <w:r w:rsidRPr="00276C1A">
                  <w:rPr>
                    <w:rFonts w:ascii="Times New Roman" w:eastAsia="Calibri" w:hAnsi="Times New Roman" w:cs="Times New Roman"/>
                    <w:sz w:val="24"/>
                    <w:szCs w:val="24"/>
                  </w:rPr>
                  <w:t xml:space="preserve">days </w:t>
                </w:r>
              </w:p>
            </w:tc>
            <w:tc>
              <w:tcPr>
                <w:tcW w:w="2125" w:type="dxa"/>
                <w:tcBorders>
                  <w:top w:val="single" w:sz="4" w:space="0" w:color="auto"/>
                  <w:left w:val="single" w:sz="4" w:space="0" w:color="auto"/>
                  <w:bottom w:val="single" w:sz="4" w:space="0" w:color="auto"/>
                  <w:right w:val="single" w:sz="4" w:space="0" w:color="auto"/>
                </w:tcBorders>
              </w:tcPr>
              <w:p w14:paraId="60191A52"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870×365/850</w:t>
                </w:r>
              </w:p>
              <w:p w14:paraId="3E1398A0"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=373.59</w:t>
                </w:r>
                <w:r w:rsidRPr="00276C1A">
                  <w:rPr>
                    <w:rFonts w:ascii="Times New Roman" w:eastAsia="Calibri" w:hAnsi="Times New Roman" w:cs="Times New Roman"/>
                    <w:sz w:val="24"/>
                    <w:szCs w:val="24"/>
                  </w:rPr>
                  <w:t xml:space="preserve"> days </w:t>
                </w:r>
              </w:p>
            </w:tc>
          </w:tr>
          <w:tr w:rsidR="00276C1A" w:rsidRPr="00276C1A" w14:paraId="7851651D" w14:textId="77777777" w:rsidTr="00A216C2">
            <w:tc>
              <w:tcPr>
                <w:tcW w:w="2357" w:type="dxa"/>
                <w:tcBorders>
                  <w:top w:val="single" w:sz="4" w:space="0" w:color="auto"/>
                  <w:left w:val="single" w:sz="4" w:space="0" w:color="auto"/>
                  <w:bottom w:val="single" w:sz="4" w:space="0" w:color="auto"/>
                  <w:right w:val="single" w:sz="4" w:space="0" w:color="auto"/>
                </w:tcBorders>
              </w:tcPr>
              <w:p w14:paraId="0BCC70EA" w14:textId="134469DE"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(Total current liabilities +bank </w:t>
                </w:r>
                <w:proofErr w:type="gramStart"/>
                <w:r w:rsidRPr="00276C1A">
                  <w:rPr>
                    <w:rFonts w:ascii="Times New Roman" w:eastAsia="Calibri" w:hAnsi="Times New Roman" w:cs="Times New Roman"/>
                    <w:sz w:val="24"/>
                    <w:szCs w:val="24"/>
                  </w:rPr>
                  <w:t>loan)</w:t>
                </w:r>
                <w:r w:rsidRPr="00276C1A">
                  <w:rPr>
                    <w:rFonts w:ascii="Times New Roman" w:eastAsia="Calibri" w:hAnsi="Times New Roman" w:cs="Times New Roman"/>
                    <w:sz w:val="24"/>
                    <w:szCs w:val="24"/>
                  </w:rPr>
                  <w:t>(</w:t>
                </w:r>
                <w:proofErr w:type="gramEnd"/>
                <w:r w:rsidRPr="00276C1A">
                  <w:rPr>
                    <w:rFonts w:ascii="Times New Roman" w:eastAsia="Calibri" w:hAnsi="Times New Roman" w:cs="Times New Roman"/>
                    <w:sz w:val="24"/>
                    <w:szCs w:val="24"/>
                  </w:rPr>
                  <w:t xml:space="preserve"> total current assets + fixed assets ) answers divided by one another </w:t>
                </w:r>
              </w:p>
            </w:tc>
            <w:tc>
              <w:tcPr>
                <w:tcW w:w="2270" w:type="dxa"/>
                <w:tcBorders>
                  <w:top w:val="single" w:sz="4" w:space="0" w:color="auto"/>
                  <w:left w:val="single" w:sz="4" w:space="0" w:color="auto"/>
                  <w:bottom w:val="single" w:sz="4" w:space="0" w:color="auto"/>
                  <w:right w:val="single" w:sz="4" w:space="0" w:color="auto"/>
                </w:tcBorders>
              </w:tcPr>
              <w:p w14:paraId="3D1477DB"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Debt days </w:t>
                </w:r>
              </w:p>
            </w:tc>
            <w:tc>
              <w:tcPr>
                <w:tcW w:w="2264" w:type="dxa"/>
                <w:tcBorders>
                  <w:top w:val="single" w:sz="4" w:space="0" w:color="auto"/>
                  <w:left w:val="single" w:sz="4" w:space="0" w:color="auto"/>
                  <w:bottom w:val="single" w:sz="4" w:space="0" w:color="auto"/>
                  <w:right w:val="single" w:sz="4" w:space="0" w:color="auto"/>
                </w:tcBorders>
              </w:tcPr>
              <w:p w14:paraId="5546E4E6"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w:t>
                </w:r>
                <w:r w:rsidRPr="00276C1A">
                  <w:rPr>
                    <w:rFonts w:ascii="Times New Roman" w:eastAsia="Calibri" w:hAnsi="Times New Roman" w:cs="Times New Roman"/>
                    <w:sz w:val="24"/>
                    <w:szCs w:val="24"/>
                    <w:lang w:val="en-US"/>
                  </w:rPr>
                  <w:t>1339+150</w:t>
                </w:r>
                <w:r w:rsidRPr="00276C1A">
                  <w:rPr>
                    <w:rFonts w:ascii="Times New Roman" w:eastAsia="Calibri" w:hAnsi="Times New Roman" w:cs="Times New Roman"/>
                    <w:sz w:val="24"/>
                    <w:szCs w:val="24"/>
                  </w:rPr>
                  <w:t>=</w:t>
                </w:r>
                <w:r w:rsidRPr="00276C1A">
                  <w:rPr>
                    <w:rFonts w:ascii="Times New Roman" w:eastAsia="Calibri" w:hAnsi="Times New Roman" w:cs="Times New Roman"/>
                    <w:sz w:val="24"/>
                    <w:szCs w:val="24"/>
                    <w:lang w:val="en-US"/>
                  </w:rPr>
                  <w:t>1489</w:t>
                </w:r>
                <w:r w:rsidRPr="00276C1A">
                  <w:rPr>
                    <w:rFonts w:ascii="Times New Roman" w:eastAsia="Calibri" w:hAnsi="Times New Roman" w:cs="Times New Roman"/>
                    <w:sz w:val="24"/>
                    <w:szCs w:val="24"/>
                  </w:rPr>
                  <w:t>)</w:t>
                </w:r>
              </w:p>
              <w:p w14:paraId="1BC82B51"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w:t>
                </w:r>
                <w:r w:rsidRPr="00276C1A">
                  <w:rPr>
                    <w:rFonts w:ascii="Times New Roman" w:eastAsia="Calibri" w:hAnsi="Times New Roman" w:cs="Times New Roman"/>
                    <w:sz w:val="24"/>
                    <w:szCs w:val="24"/>
                    <w:lang w:val="en-US"/>
                  </w:rPr>
                  <w:t>3065+4500</w:t>
                </w:r>
                <w:r w:rsidRPr="00276C1A">
                  <w:rPr>
                    <w:rFonts w:ascii="Times New Roman" w:eastAsia="Calibri" w:hAnsi="Times New Roman" w:cs="Times New Roman"/>
                    <w:sz w:val="24"/>
                    <w:szCs w:val="24"/>
                  </w:rPr>
                  <w:t xml:space="preserve"> = </w:t>
                </w:r>
                <w:r w:rsidRPr="00276C1A">
                  <w:rPr>
                    <w:rFonts w:ascii="Times New Roman" w:eastAsia="Calibri" w:hAnsi="Times New Roman" w:cs="Times New Roman"/>
                    <w:sz w:val="24"/>
                    <w:szCs w:val="24"/>
                    <w:lang w:val="en-US"/>
                  </w:rPr>
                  <w:t>7665</w:t>
                </w:r>
                <w:r w:rsidRPr="00276C1A">
                  <w:rPr>
                    <w:rFonts w:ascii="Times New Roman" w:eastAsia="Calibri" w:hAnsi="Times New Roman" w:cs="Times New Roman"/>
                    <w:sz w:val="24"/>
                    <w:szCs w:val="24"/>
                  </w:rPr>
                  <w:t>)</w:t>
                </w:r>
              </w:p>
              <w:p w14:paraId="69327B25"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1489</w:t>
                </w:r>
                <w:r w:rsidRPr="00276C1A">
                  <w:rPr>
                    <w:rFonts w:ascii="Times New Roman" w:eastAsia="Calibri" w:hAnsi="Times New Roman" w:cs="Times New Roman"/>
                    <w:sz w:val="24"/>
                    <w:szCs w:val="24"/>
                  </w:rPr>
                  <w:t>/</w:t>
                </w:r>
                <w:r w:rsidRPr="00276C1A">
                  <w:rPr>
                    <w:rFonts w:ascii="Times New Roman" w:eastAsia="Calibri" w:hAnsi="Times New Roman" w:cs="Times New Roman"/>
                    <w:sz w:val="24"/>
                    <w:szCs w:val="24"/>
                    <w:lang w:val="en-US"/>
                  </w:rPr>
                  <w:t>7565</w:t>
                </w:r>
                <w:r w:rsidRPr="00276C1A">
                  <w:rPr>
                    <w:rFonts w:ascii="Times New Roman" w:eastAsia="Calibri" w:hAnsi="Times New Roman" w:cs="Times New Roman"/>
                    <w:sz w:val="24"/>
                    <w:szCs w:val="24"/>
                  </w:rPr>
                  <w:t xml:space="preserve"> = 0.2</w:t>
                </w:r>
                <w:r w:rsidRPr="00276C1A">
                  <w:rPr>
                    <w:rFonts w:ascii="Times New Roman" w:eastAsia="Calibri" w:hAnsi="Times New Roman" w:cs="Times New Roman"/>
                    <w:sz w:val="24"/>
                    <w:szCs w:val="24"/>
                    <w:lang w:val="en-US"/>
                  </w:rPr>
                  <w:t>0</w:t>
                </w:r>
              </w:p>
            </w:tc>
            <w:tc>
              <w:tcPr>
                <w:tcW w:w="2125" w:type="dxa"/>
                <w:tcBorders>
                  <w:top w:val="single" w:sz="4" w:space="0" w:color="auto"/>
                  <w:left w:val="single" w:sz="4" w:space="0" w:color="auto"/>
                  <w:bottom w:val="single" w:sz="4" w:space="0" w:color="auto"/>
                  <w:right w:val="single" w:sz="4" w:space="0" w:color="auto"/>
                </w:tcBorders>
              </w:tcPr>
              <w:p w14:paraId="50AB2789"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w:t>
                </w:r>
                <w:r w:rsidRPr="00276C1A">
                  <w:rPr>
                    <w:rFonts w:ascii="Times New Roman" w:eastAsia="Calibri" w:hAnsi="Times New Roman" w:cs="Times New Roman"/>
                    <w:sz w:val="24"/>
                    <w:szCs w:val="24"/>
                    <w:lang w:val="en-US"/>
                  </w:rPr>
                  <w:t>1616+145=1761</w:t>
                </w:r>
                <w:r w:rsidRPr="00276C1A">
                  <w:rPr>
                    <w:rFonts w:ascii="Times New Roman" w:eastAsia="Calibri" w:hAnsi="Times New Roman" w:cs="Times New Roman"/>
                    <w:sz w:val="24"/>
                    <w:szCs w:val="24"/>
                  </w:rPr>
                  <w:t>)</w:t>
                </w:r>
              </w:p>
              <w:p w14:paraId="51189E97"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w:t>
                </w:r>
                <w:r w:rsidRPr="00276C1A">
                  <w:rPr>
                    <w:rFonts w:ascii="Times New Roman" w:eastAsia="Calibri" w:hAnsi="Times New Roman" w:cs="Times New Roman"/>
                    <w:sz w:val="24"/>
                    <w:szCs w:val="24"/>
                    <w:lang w:val="en-US"/>
                  </w:rPr>
                  <w:t>3240+4650=7890</w:t>
                </w:r>
                <w:r w:rsidRPr="00276C1A">
                  <w:rPr>
                    <w:rFonts w:ascii="Times New Roman" w:eastAsia="Calibri" w:hAnsi="Times New Roman" w:cs="Times New Roman"/>
                    <w:sz w:val="24"/>
                    <w:szCs w:val="24"/>
                  </w:rPr>
                  <w:t>)</w:t>
                </w:r>
              </w:p>
              <w:p w14:paraId="3888EF4E"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1761/7890</w:t>
                </w:r>
                <w:r w:rsidRPr="00276C1A">
                  <w:rPr>
                    <w:rFonts w:ascii="Times New Roman" w:eastAsia="Calibri" w:hAnsi="Times New Roman" w:cs="Times New Roman"/>
                    <w:sz w:val="24"/>
                    <w:szCs w:val="24"/>
                  </w:rPr>
                  <w:t xml:space="preserve"> =0.2</w:t>
                </w:r>
                <w:r w:rsidRPr="00276C1A">
                  <w:rPr>
                    <w:rFonts w:ascii="Times New Roman" w:eastAsia="Calibri" w:hAnsi="Times New Roman" w:cs="Times New Roman"/>
                    <w:sz w:val="24"/>
                    <w:szCs w:val="24"/>
                    <w:lang w:val="en-US"/>
                  </w:rPr>
                  <w:t>2</w:t>
                </w:r>
              </w:p>
            </w:tc>
          </w:tr>
          <w:tr w:rsidR="00276C1A" w:rsidRPr="00276C1A" w14:paraId="3AF3EF5A" w14:textId="77777777" w:rsidTr="00A216C2">
            <w:tc>
              <w:tcPr>
                <w:tcW w:w="2357" w:type="dxa"/>
                <w:tcBorders>
                  <w:top w:val="single" w:sz="4" w:space="0" w:color="auto"/>
                  <w:left w:val="single" w:sz="4" w:space="0" w:color="auto"/>
                  <w:bottom w:val="single" w:sz="4" w:space="0" w:color="auto"/>
                  <w:right w:val="single" w:sz="4" w:space="0" w:color="auto"/>
                </w:tcBorders>
              </w:tcPr>
              <w:p w14:paraId="65A10B4F"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Net profit of the year + cash in hand/loan interest </w:t>
                </w:r>
              </w:p>
            </w:tc>
            <w:tc>
              <w:tcPr>
                <w:tcW w:w="2270" w:type="dxa"/>
                <w:tcBorders>
                  <w:top w:val="single" w:sz="4" w:space="0" w:color="auto"/>
                  <w:left w:val="single" w:sz="4" w:space="0" w:color="auto"/>
                  <w:bottom w:val="single" w:sz="4" w:space="0" w:color="auto"/>
                  <w:right w:val="single" w:sz="4" w:space="0" w:color="auto"/>
                </w:tcBorders>
              </w:tcPr>
              <w:p w14:paraId="6E3BC69D"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rPr>
                  <w:t xml:space="preserve">Interest cover </w:t>
                </w:r>
              </w:p>
            </w:tc>
            <w:tc>
              <w:tcPr>
                <w:tcW w:w="2264" w:type="dxa"/>
                <w:tcBorders>
                  <w:top w:val="single" w:sz="4" w:space="0" w:color="auto"/>
                  <w:left w:val="single" w:sz="4" w:space="0" w:color="auto"/>
                  <w:bottom w:val="single" w:sz="4" w:space="0" w:color="auto"/>
                  <w:right w:val="single" w:sz="4" w:space="0" w:color="auto"/>
                </w:tcBorders>
              </w:tcPr>
              <w:p w14:paraId="063F6AFA"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4013/20</w:t>
                </w:r>
              </w:p>
              <w:p w14:paraId="49F7A8B3"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=200.65</w:t>
                </w:r>
              </w:p>
            </w:tc>
            <w:tc>
              <w:tcPr>
                <w:tcW w:w="2125" w:type="dxa"/>
                <w:tcBorders>
                  <w:top w:val="single" w:sz="4" w:space="0" w:color="auto"/>
                  <w:left w:val="single" w:sz="4" w:space="0" w:color="auto"/>
                  <w:bottom w:val="single" w:sz="4" w:space="0" w:color="auto"/>
                  <w:right w:val="single" w:sz="4" w:space="0" w:color="auto"/>
                </w:tcBorders>
              </w:tcPr>
              <w:p w14:paraId="3D0FB77D"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4078/18</w:t>
                </w:r>
              </w:p>
              <w:p w14:paraId="1EFF15CC" w14:textId="77777777" w:rsidR="00276C1A" w:rsidRPr="00276C1A" w:rsidRDefault="00276C1A" w:rsidP="00276C1A">
                <w:pPr>
                  <w:spacing w:line="480" w:lineRule="auto"/>
                  <w:rPr>
                    <w:rFonts w:ascii="Times New Roman" w:eastAsia="Calibri" w:hAnsi="Times New Roman" w:cs="Times New Roman"/>
                    <w:sz w:val="24"/>
                    <w:szCs w:val="24"/>
                  </w:rPr>
                </w:pPr>
                <w:r w:rsidRPr="00276C1A">
                  <w:rPr>
                    <w:rFonts w:ascii="Times New Roman" w:eastAsia="Calibri" w:hAnsi="Times New Roman" w:cs="Times New Roman"/>
                    <w:sz w:val="24"/>
                    <w:szCs w:val="24"/>
                    <w:lang w:val="en-US"/>
                  </w:rPr>
                  <w:t>=226.56</w:t>
                </w:r>
              </w:p>
            </w:tc>
          </w:tr>
        </w:tbl>
        <w:p w14:paraId="3B322B09" w14:textId="77777777" w:rsidR="00276C1A" w:rsidRPr="00276C1A" w:rsidRDefault="00276C1A" w:rsidP="00276C1A">
          <w:pPr>
            <w:rPr>
              <w:rFonts w:ascii="Calibri" w:eastAsia="Calibri" w:hAnsi="Calibri" w:cs="Times New Roman"/>
            </w:rPr>
          </w:pPr>
        </w:p>
        <w:p w14:paraId="55A1A117" w14:textId="3676D317" w:rsidR="004A11F6" w:rsidRDefault="004D519C" w:rsidP="004D519C">
          <w:pPr>
            <w:pStyle w:val="Heading1"/>
          </w:pPr>
          <w:bookmarkStart w:id="3" w:name="_Toc95832581"/>
          <w:r>
            <w:t>Financial Analysis Trends</w:t>
          </w:r>
          <w:bookmarkEnd w:id="3"/>
        </w:p>
        <w:p w14:paraId="078CD7C6" w14:textId="77777777" w:rsidR="00276C1A" w:rsidRPr="00276C1A" w:rsidRDefault="00276C1A" w:rsidP="00276C1A"/>
        <w:p w14:paraId="0DF64B8C" w14:textId="3CBCEA57" w:rsidR="00276C1A" w:rsidRPr="00276C1A" w:rsidRDefault="004D519C" w:rsidP="00276C1A">
          <w:pPr>
            <w:pStyle w:val="Heading2"/>
          </w:pPr>
          <w:bookmarkStart w:id="4" w:name="_Toc95832582"/>
          <w:r>
            <w:t>Profitability</w:t>
          </w:r>
          <w:bookmarkEnd w:id="4"/>
        </w:p>
        <w:p w14:paraId="62C6952B" w14:textId="2D08615E" w:rsidR="00276C1A" w:rsidRDefault="00276C1A" w:rsidP="00276C1A">
          <w:pPr>
            <w:spacing w:line="480" w:lineRule="auto"/>
          </w:pPr>
          <w:r>
            <w:t xml:space="preserve">The profitability ratio demonstrates how effectively a business can utilize its resources to create income and the recurrence of its assets. The profitability ratio indicates that the gross profit has dramatically dropped by 5.99%, which shows that the company has </w:t>
          </w:r>
          <w:r>
            <w:t>not</w:t>
          </w:r>
          <w:r>
            <w:t xml:space="preserve"> been able to maximumly utilize its resources, thereby resulting in a forward trend for the business revenue output.Net profit margin has also declined by 5%showing that the business is poorly governed since the leadership has not been able to fully and properly utilize the available resources to generate enough revenue to the company.</w:t>
          </w:r>
        </w:p>
        <w:p w14:paraId="11643A7E" w14:textId="422354A7" w:rsidR="00276C1A" w:rsidRPr="00276C1A" w:rsidRDefault="00276C1A" w:rsidP="00276C1A">
          <w:pPr>
            <w:spacing w:line="480" w:lineRule="auto"/>
          </w:pPr>
          <w:r>
            <w:lastRenderedPageBreak/>
            <w:t xml:space="preserve">ROCE has increased by 0.56%, which is way back a minimal increment percentage showing that the properties haven't fully been put to usage. As </w:t>
          </w:r>
          <w:r>
            <w:t>its</w:t>
          </w:r>
          <w:r>
            <w:t xml:space="preserve"> turnover also declined by 0.06% in 2020 compared to 2019. Working capital turnover retained its position at 0.52, which she's that assets usage and exploitation were at our between the two years.</w:t>
          </w:r>
        </w:p>
        <w:p w14:paraId="4EBCA244" w14:textId="70E56B01" w:rsidR="004D519C" w:rsidRDefault="004D519C" w:rsidP="004D519C">
          <w:pPr>
            <w:pStyle w:val="Heading2"/>
          </w:pPr>
          <w:bookmarkStart w:id="5" w:name="_Toc95832583"/>
          <w:r>
            <w:t>Liquidity</w:t>
          </w:r>
          <w:bookmarkEnd w:id="5"/>
        </w:p>
        <w:p w14:paraId="2C46F72E" w14:textId="35494A83" w:rsidR="009C1E09" w:rsidRPr="009C1E09" w:rsidRDefault="009C1E09" w:rsidP="009C1E09">
          <w:pPr>
            <w:spacing w:line="480" w:lineRule="auto"/>
          </w:pPr>
          <w:r w:rsidRPr="009C1E09">
            <w:t>The liquidity ratio formulas show that (1)</w:t>
          </w:r>
          <w:r>
            <w:t xml:space="preserve"> </w:t>
          </w:r>
          <w:r w:rsidRPr="009C1E09">
            <w:t xml:space="preserve">Current ratio has declined by 0.08% from the preceding year in 2020 (2) </w:t>
          </w:r>
          <w:r w:rsidRPr="009C1E09">
            <w:t>Debtor’s</w:t>
          </w:r>
          <w:r w:rsidRPr="009C1E09">
            <w:t xml:space="preserve"> days has increased by 3.32 in 2020, which is sound and healthy for the organization as it will enable them to have more disposable money to pay off their expenses and liabilities. The liquidity ratio has the company's current assets and scheduled payment for current liabilities on the other side. (Pratt &amp; Peters 2017) "For a profit to be made, the business has to be paid quickly and maintain growth </w:t>
          </w:r>
          <w:r w:rsidRPr="009C1E09">
            <w:t>instalments</w:t>
          </w:r>
          <w:r w:rsidRPr="009C1E09">
            <w:t xml:space="preserve"> under long term debt to keep everything balanced."(3). The qui ratio also increased by 0.08. This demonstrates that the company's ability to pay off current liabilities with rapid assets while still having some available for use has improved, which is beneficial for the business.</w:t>
          </w:r>
        </w:p>
        <w:p w14:paraId="5346C7EF" w14:textId="57BC5017" w:rsidR="004D519C" w:rsidRDefault="004D519C" w:rsidP="004D519C">
          <w:pPr>
            <w:pStyle w:val="Heading2"/>
          </w:pPr>
          <w:bookmarkStart w:id="6" w:name="_Toc95832584"/>
          <w:r w:rsidRPr="004D519C">
            <w:t>Gearing</w:t>
          </w:r>
          <w:bookmarkEnd w:id="6"/>
        </w:p>
        <w:p w14:paraId="6E596DA6" w14:textId="0A0ABA69" w:rsidR="009C1E09" w:rsidRPr="009C1E09" w:rsidRDefault="009C1E09" w:rsidP="009C1E09">
          <w:pPr>
            <w:spacing w:line="480" w:lineRule="auto"/>
          </w:pPr>
          <w:r w:rsidRPr="009C1E09">
            <w:t xml:space="preserve">The gearing ratio always indicates the relationship between the capital, debt, or money borrowed from creditors and the gearing </w:t>
          </w:r>
          <w:r w:rsidRPr="009C1E09">
            <w:t>ratio Owners</w:t>
          </w:r>
          <w:r w:rsidRPr="009C1E09">
            <w:t>' capital, rather than credit capital, should be used to finance the company's performance as a core tenet in the company's gearing strategy. The hearing ratio indicates that the creditor's ratio increased, showing that the company still depends more on the credit's Capital than shareholders' Capital. The interest cover has grown by 25.91%, indicating that the company is not struggling. Linsley (2006) " Gearing ratio is a measure of financial risk to any organization."</w:t>
          </w:r>
        </w:p>
        <w:p w14:paraId="50A476E8" w14:textId="589DFB07" w:rsidR="00AA2A91" w:rsidRDefault="00AA2A91" w:rsidP="00AA2A91">
          <w:pPr>
            <w:pStyle w:val="Heading1"/>
          </w:pPr>
          <w:bookmarkStart w:id="7" w:name="_Toc95832585"/>
          <w:r>
            <w:t>Knowledge from Ratio Analysis</w:t>
          </w:r>
          <w:bookmarkEnd w:id="7"/>
        </w:p>
        <w:p w14:paraId="3FB40DD1" w14:textId="39633D28" w:rsidR="009C1E09" w:rsidRPr="009C1E09" w:rsidRDefault="009C1E09" w:rsidP="009C1E09">
          <w:pPr>
            <w:spacing w:line="480" w:lineRule="auto"/>
          </w:pPr>
          <w:r w:rsidRPr="009C1E09">
            <w:t xml:space="preserve">Elliot &amp; Elliot (2011)"Accounting and financing report represent the art of communication relevant financial information about a business to end-users. The financial ratio analysis shows that the company manager should be very keen on the fluctuation as seen in stocks and sales since it calls for </w:t>
          </w:r>
          <w:r w:rsidRPr="009C1E09">
            <w:lastRenderedPageBreak/>
            <w:t>restocking so as the sales to be made in large volumes as seen by the trends for sales. On the other hand, Beaver H (1968) states, "financial ratios are alternative predictors of failure" For the business's success, keen attention should be made to the fluctuations to always stay afloat in business operations at all times. The fluctuation trends are important as they help make future decisions for profitability. Sayer, mimic saucer &amp;</w:t>
          </w:r>
          <w:r>
            <w:t xml:space="preserve"> </w:t>
          </w:r>
          <w:r w:rsidRPr="009C1E09">
            <w:t>decmon 2012 "profitability is usually the ultimate goal of any company."</w:t>
          </w:r>
        </w:p>
        <w:p w14:paraId="5147777F" w14:textId="77777777" w:rsidR="00AA2A91" w:rsidRPr="00AA2A91" w:rsidRDefault="00AA2A91" w:rsidP="00AA2A91">
          <w:pPr>
            <w:pStyle w:val="Heading1"/>
          </w:pPr>
          <w:bookmarkStart w:id="8" w:name="_Toc95832586"/>
          <w:r>
            <w:t>Benefits and Limitations of Ratio Analysis</w:t>
          </w:r>
          <w:bookmarkEnd w:id="8"/>
        </w:p>
        <w:p w14:paraId="3324F468" w14:textId="77777777" w:rsidR="009C1E09" w:rsidRDefault="009C1E09" w:rsidP="009C1E09">
          <w:pPr>
            <w:spacing w:line="480" w:lineRule="auto"/>
          </w:pPr>
          <w:r>
            <w:t>The benefits of ratio analysis to an organization included;(1) Enables the organization to either validate or disapprove the firm's financing, investment, and operator decision. standards intra-firm comparisons, which help the organization to understand its fiscal. They summarize the financial statement into comparison statistics, assisting management in composing and evaluating the firm's financial situation and decision-making outcomes. (2) With the use of ratio analysis, it is feasible to detect and concentrate management's attention on issue areas. In complex financial accounts, it is common for crucial information to be omitted, and ratios are always useful in identifying such omissions. (3) Allows the firm to make comparisons to various economic forms/industry positions.</w:t>
          </w:r>
        </w:p>
        <w:p w14:paraId="4C9F4A7B" w14:textId="7CB5173B" w:rsidR="00AA2A91" w:rsidRDefault="009C1E09" w:rsidP="009C1E09">
          <w:pPr>
            <w:spacing w:line="480" w:lineRule="auto"/>
          </w:pPr>
          <w:r>
            <w:t>However, ratio analysis has some drawbacks: (1) The ratio takes inflation into account. Numerous ratios are estimated using past costs and ignore price changes over time, which may not accurately depict the financial condition. (2) There is no standard specification for the ratio used in the calculation, which may create an impression of inconsistency during comparisons. A variety of algorithms can be used to compute current ratios, some of which include all current liabilities, while others omit bank overdrafts. The financial problems of an organization cannot be solved by accounting ratios. Rather than serving as an end in and of themselves, they serve as a vehicle to get us to that goal</w:t>
          </w:r>
          <w:r>
            <w:t>.</w:t>
          </w:r>
        </w:p>
        <w:p w14:paraId="15F92F8C" w14:textId="4A492B71" w:rsidR="00AA2A91" w:rsidRDefault="00AA2A91" w:rsidP="00AA2A91">
          <w:pPr>
            <w:pStyle w:val="Heading1"/>
          </w:pPr>
          <w:bookmarkStart w:id="9" w:name="_Toc95832587"/>
          <w:r>
            <w:lastRenderedPageBreak/>
            <w:t>Conclusion</w:t>
          </w:r>
          <w:r w:rsidR="00D854A5">
            <w:t xml:space="preserve"> </w:t>
          </w:r>
          <w:bookmarkEnd w:id="9"/>
        </w:p>
        <w:p w14:paraId="0F59EEA3" w14:textId="4388D7E3" w:rsidR="009C1E09" w:rsidRDefault="009C1E09" w:rsidP="009C1E09">
          <w:pPr>
            <w:spacing w:line="480" w:lineRule="auto"/>
          </w:pPr>
          <w:r>
            <w:t xml:space="preserve">The ratio analysis report shows that the company in 2020 generation </w:t>
          </w:r>
          <w:r>
            <w:t>a lot</w:t>
          </w:r>
          <w:r>
            <w:t xml:space="preserve"> of sales compared to the preceding year but was in the long run soiled the increased level of dental owed to the company.</w:t>
          </w:r>
        </w:p>
        <w:p w14:paraId="08249B31" w14:textId="77777777" w:rsidR="009C1E09" w:rsidRDefault="009C1E09" w:rsidP="009C1E09">
          <w:pPr>
            <w:spacing w:line="480" w:lineRule="auto"/>
          </w:pPr>
          <w:r>
            <w:t>The company's probability ratio shows that the company's expenses in the salaries and repairs have significantly dropped, indicating that the company is greatly capitalizing on depreciating stock that results in insurance, loan interest, rates, motor expense either reducing or remaining constant while bad dental, light and heat, rent, advertising significantly increasing. The organization's net profit has risen generally due to gross profit lessons expenses. The hearing ratio shows reduced borrowing for the company with increased sales and reduced stock.</w:t>
          </w:r>
        </w:p>
        <w:p w14:paraId="13A1BFB1" w14:textId="1270E935" w:rsidR="00AA2A91" w:rsidRDefault="009C1E09" w:rsidP="009C1E09">
          <w:pPr>
            <w:spacing w:line="480" w:lineRule="auto"/>
          </w:pPr>
          <w:r>
            <w:t>With a higher level of sales generations by the company in 2020 but with a higher debt level, it shows reduced liquidity, which might cause the organization to be bankrupt. The solution is reducing the debt issuing significantly while increasing stock level to boost the rising sales volume to generate more revenue to cater for costs such as rent debts and advertising.</w:t>
          </w:r>
        </w:p>
        <w:p w14:paraId="10AF5F3D" w14:textId="32E5577D" w:rsidR="009C1E09" w:rsidRDefault="009C1E09" w:rsidP="009C1E09">
          <w:pPr>
            <w:spacing w:line="480" w:lineRule="auto"/>
          </w:pPr>
        </w:p>
        <w:p w14:paraId="235A3652" w14:textId="4C878D46" w:rsidR="009C1E09" w:rsidRDefault="009C1E09" w:rsidP="009C1E09">
          <w:pPr>
            <w:spacing w:line="480" w:lineRule="auto"/>
          </w:pPr>
        </w:p>
        <w:p w14:paraId="074397D7" w14:textId="352F996E" w:rsidR="009C1E09" w:rsidRDefault="009C1E09" w:rsidP="009C1E09">
          <w:pPr>
            <w:spacing w:line="480" w:lineRule="auto"/>
          </w:pPr>
        </w:p>
        <w:p w14:paraId="7E1DD24C" w14:textId="18B2672C" w:rsidR="009C1E09" w:rsidRDefault="009C1E09" w:rsidP="009C1E09">
          <w:pPr>
            <w:spacing w:line="480" w:lineRule="auto"/>
          </w:pPr>
        </w:p>
        <w:p w14:paraId="0F2CCB4B" w14:textId="10BA1447" w:rsidR="009C1E09" w:rsidRDefault="009C1E09" w:rsidP="009C1E09">
          <w:pPr>
            <w:spacing w:line="480" w:lineRule="auto"/>
          </w:pPr>
        </w:p>
        <w:p w14:paraId="4DA89FC4" w14:textId="0F87F81E" w:rsidR="009C1E09" w:rsidRDefault="009C1E09" w:rsidP="009C1E09">
          <w:pPr>
            <w:spacing w:line="480" w:lineRule="auto"/>
          </w:pPr>
        </w:p>
        <w:p w14:paraId="6E464F2B" w14:textId="07E17C33" w:rsidR="009C1E09" w:rsidRDefault="009C1E09" w:rsidP="009C1E09">
          <w:pPr>
            <w:spacing w:line="480" w:lineRule="auto"/>
          </w:pPr>
        </w:p>
        <w:p w14:paraId="70665278" w14:textId="7B5FA82B" w:rsidR="009C1E09" w:rsidRDefault="009C1E09" w:rsidP="009C1E09">
          <w:pPr>
            <w:spacing w:line="480" w:lineRule="auto"/>
          </w:pPr>
        </w:p>
        <w:p w14:paraId="1FC37E2C" w14:textId="26A50A60" w:rsidR="009C1E09" w:rsidRDefault="009C1E09" w:rsidP="009C1E09">
          <w:pPr>
            <w:spacing w:line="480" w:lineRule="auto"/>
          </w:pPr>
        </w:p>
        <w:p w14:paraId="73D00EE2" w14:textId="7401E2AC" w:rsidR="00AA2A91" w:rsidRPr="00AA2A91" w:rsidRDefault="00AA2A91" w:rsidP="00AA2A91">
          <w:pPr>
            <w:pStyle w:val="Heading1"/>
          </w:pPr>
          <w:bookmarkStart w:id="10" w:name="_Toc95832588"/>
          <w:r>
            <w:lastRenderedPageBreak/>
            <w:t>Bibliography</w:t>
          </w:r>
          <w:bookmarkEnd w:id="10"/>
        </w:p>
        <w:p w14:paraId="0FD7D8F5" w14:textId="77777777" w:rsidR="004A11F6" w:rsidRPr="007D1947" w:rsidRDefault="004A11F6" w:rsidP="007D1947"/>
        <w:p w14:paraId="30A3AEAD" w14:textId="77777777" w:rsidR="009C1E09" w:rsidRDefault="009C1E09" w:rsidP="009C1E09">
          <w:pPr>
            <w:spacing w:line="360" w:lineRule="auto"/>
            <w:ind w:left="720" w:hanging="720"/>
          </w:pPr>
        </w:p>
      </w:sdtContent>
    </w:sdt>
    <w:p w14:paraId="328EE90A" w14:textId="704560E9" w:rsidR="009C1E09" w:rsidRPr="00751B7B" w:rsidRDefault="009C1E09" w:rsidP="009C1E09">
      <w:pPr>
        <w:spacing w:line="360" w:lineRule="auto"/>
        <w:ind w:left="720" w:hanging="720"/>
        <w:rPr>
          <w:rFonts w:ascii="Times New Roman" w:hAnsi="Times New Roman" w:cs="Times New Roman"/>
          <w:color w:val="222222"/>
          <w:sz w:val="24"/>
          <w:szCs w:val="24"/>
          <w:shd w:val="clear" w:color="auto" w:fill="FFFFFF"/>
        </w:rPr>
      </w:pPr>
      <w:r w:rsidRPr="009C1E09">
        <w:rPr>
          <w:rFonts w:ascii="Times New Roman" w:hAnsi="Times New Roman" w:cs="Times New Roman"/>
          <w:color w:val="222222"/>
          <w:sz w:val="24"/>
          <w:szCs w:val="24"/>
          <w:shd w:val="clear" w:color="auto" w:fill="FFFFFF"/>
        </w:rPr>
        <w:t xml:space="preserve"> </w:t>
      </w:r>
      <w:r w:rsidRPr="00751B7B">
        <w:rPr>
          <w:rFonts w:ascii="Times New Roman" w:hAnsi="Times New Roman" w:cs="Times New Roman"/>
          <w:color w:val="222222"/>
          <w:sz w:val="24"/>
          <w:szCs w:val="24"/>
          <w:shd w:val="clear" w:color="auto" w:fill="FFFFFF"/>
        </w:rPr>
        <w:t>Beaver, W., 1968. Alternative financial ratios as predictors of failure. </w:t>
      </w:r>
      <w:r w:rsidRPr="00751B7B">
        <w:rPr>
          <w:rFonts w:ascii="Times New Roman" w:hAnsi="Times New Roman" w:cs="Times New Roman"/>
          <w:i/>
          <w:iCs/>
          <w:color w:val="222222"/>
          <w:sz w:val="24"/>
          <w:szCs w:val="24"/>
          <w:shd w:val="clear" w:color="auto" w:fill="FFFFFF"/>
        </w:rPr>
        <w:t>Accounting Review</w:t>
      </w:r>
      <w:r w:rsidRPr="00751B7B">
        <w:rPr>
          <w:rFonts w:ascii="Times New Roman" w:hAnsi="Times New Roman" w:cs="Times New Roman"/>
          <w:color w:val="222222"/>
          <w:sz w:val="24"/>
          <w:szCs w:val="24"/>
          <w:shd w:val="clear" w:color="auto" w:fill="FFFFFF"/>
        </w:rPr>
        <w:t>, </w:t>
      </w:r>
      <w:r w:rsidRPr="00751B7B">
        <w:rPr>
          <w:rFonts w:ascii="Times New Roman" w:hAnsi="Times New Roman" w:cs="Times New Roman"/>
          <w:i/>
          <w:iCs/>
          <w:color w:val="222222"/>
          <w:sz w:val="24"/>
          <w:szCs w:val="24"/>
          <w:shd w:val="clear" w:color="auto" w:fill="FFFFFF"/>
        </w:rPr>
        <w:t>43</w:t>
      </w:r>
      <w:r w:rsidRPr="00751B7B">
        <w:rPr>
          <w:rFonts w:ascii="Times New Roman" w:hAnsi="Times New Roman" w:cs="Times New Roman"/>
          <w:color w:val="222222"/>
          <w:sz w:val="24"/>
          <w:szCs w:val="24"/>
          <w:shd w:val="clear" w:color="auto" w:fill="FFFFFF"/>
        </w:rPr>
        <w:t>(1), pp.113-122.</w:t>
      </w:r>
    </w:p>
    <w:p w14:paraId="2F8EF7F4" w14:textId="77777777" w:rsidR="009C1E09" w:rsidRPr="00751B7B" w:rsidRDefault="009C1E09" w:rsidP="009C1E09">
      <w:pPr>
        <w:spacing w:line="360" w:lineRule="auto"/>
        <w:ind w:left="720" w:hanging="720"/>
        <w:rPr>
          <w:rFonts w:ascii="Times New Roman" w:hAnsi="Times New Roman" w:cs="Times New Roman"/>
          <w:color w:val="222222"/>
          <w:sz w:val="24"/>
          <w:szCs w:val="24"/>
          <w:shd w:val="clear" w:color="auto" w:fill="FFFFFF"/>
        </w:rPr>
      </w:pPr>
      <w:r w:rsidRPr="00751B7B">
        <w:rPr>
          <w:rFonts w:ascii="Times New Roman" w:hAnsi="Times New Roman" w:cs="Times New Roman"/>
          <w:color w:val="222222"/>
          <w:sz w:val="24"/>
          <w:szCs w:val="24"/>
          <w:shd w:val="clear" w:color="auto" w:fill="FFFFFF"/>
        </w:rPr>
        <w:t>Elliot, B. and Elliot, J., 2011. Financial accounting and reporting–14-th edition.</w:t>
      </w:r>
    </w:p>
    <w:p w14:paraId="1ACB24E2" w14:textId="77777777" w:rsidR="009C1E09" w:rsidRPr="00751B7B" w:rsidRDefault="009C1E09" w:rsidP="009C1E09">
      <w:pPr>
        <w:spacing w:line="360" w:lineRule="auto"/>
        <w:ind w:left="720" w:hanging="720"/>
        <w:rPr>
          <w:rFonts w:ascii="Times New Roman" w:hAnsi="Times New Roman" w:cs="Times New Roman"/>
          <w:sz w:val="24"/>
          <w:szCs w:val="24"/>
        </w:rPr>
      </w:pPr>
      <w:r w:rsidRPr="00751B7B">
        <w:rPr>
          <w:rFonts w:ascii="Times New Roman" w:hAnsi="Times New Roman" w:cs="Times New Roman"/>
          <w:color w:val="222222"/>
          <w:sz w:val="24"/>
          <w:szCs w:val="24"/>
          <w:shd w:val="clear" w:color="auto" w:fill="FFFFFF"/>
        </w:rPr>
        <w:t>Higgins, R.C., Koski, J.L. and Mitton, T., 1995. </w:t>
      </w:r>
      <w:r w:rsidRPr="00751B7B">
        <w:rPr>
          <w:rFonts w:ascii="Times New Roman" w:hAnsi="Times New Roman" w:cs="Times New Roman"/>
          <w:i/>
          <w:iCs/>
          <w:color w:val="222222"/>
          <w:sz w:val="24"/>
          <w:szCs w:val="24"/>
          <w:shd w:val="clear" w:color="auto" w:fill="FFFFFF"/>
        </w:rPr>
        <w:t>Analysis for financial management</w:t>
      </w:r>
      <w:r w:rsidRPr="00751B7B">
        <w:rPr>
          <w:rFonts w:ascii="Times New Roman" w:hAnsi="Times New Roman" w:cs="Times New Roman"/>
          <w:color w:val="222222"/>
          <w:sz w:val="24"/>
          <w:szCs w:val="24"/>
          <w:shd w:val="clear" w:color="auto" w:fill="FFFFFF"/>
        </w:rPr>
        <w:t> (No. s 53). Chicago: Irwin.</w:t>
      </w:r>
      <w:r w:rsidRPr="00751B7B">
        <w:rPr>
          <w:rFonts w:ascii="Times New Roman" w:hAnsi="Times New Roman" w:cs="Times New Roman"/>
          <w:sz w:val="24"/>
          <w:szCs w:val="24"/>
        </w:rPr>
        <w:t xml:space="preserve"> </w:t>
      </w:r>
    </w:p>
    <w:p w14:paraId="7E52B263" w14:textId="77777777" w:rsidR="009C1E09" w:rsidRDefault="009C1E09" w:rsidP="009C1E09">
      <w:pPr>
        <w:spacing w:line="360" w:lineRule="auto"/>
        <w:ind w:left="720" w:hanging="720"/>
        <w:rPr>
          <w:sz w:val="24"/>
          <w:szCs w:val="24"/>
        </w:rPr>
      </w:pPr>
      <w:proofErr w:type="spellStart"/>
      <w:r w:rsidRPr="00751B7B">
        <w:rPr>
          <w:rFonts w:ascii="Times New Roman" w:hAnsi="Times New Roman" w:cs="Times New Roman"/>
          <w:color w:val="222222"/>
          <w:sz w:val="24"/>
          <w:szCs w:val="24"/>
          <w:shd w:val="clear" w:color="auto" w:fill="FFFFFF"/>
        </w:rPr>
        <w:t>Lesakova</w:t>
      </w:r>
      <w:proofErr w:type="spellEnd"/>
      <w:r w:rsidRPr="00751B7B">
        <w:rPr>
          <w:rFonts w:ascii="Times New Roman" w:hAnsi="Times New Roman" w:cs="Times New Roman"/>
          <w:color w:val="222222"/>
          <w:sz w:val="24"/>
          <w:szCs w:val="24"/>
          <w:shd w:val="clear" w:color="auto" w:fill="FFFFFF"/>
        </w:rPr>
        <w:t>, L., 2007, June. Uses and limitations of profitability ratio analysis in managerial practice. In </w:t>
      </w:r>
      <w:r w:rsidRPr="00751B7B">
        <w:rPr>
          <w:rFonts w:ascii="Times New Roman" w:hAnsi="Times New Roman" w:cs="Times New Roman"/>
          <w:i/>
          <w:iCs/>
          <w:color w:val="222222"/>
          <w:sz w:val="24"/>
          <w:szCs w:val="24"/>
          <w:shd w:val="clear" w:color="auto" w:fill="FFFFFF"/>
        </w:rPr>
        <w:t xml:space="preserve">International Conference on Management, </w:t>
      </w:r>
      <w:proofErr w:type="gramStart"/>
      <w:r w:rsidRPr="00751B7B">
        <w:rPr>
          <w:rFonts w:ascii="Times New Roman" w:hAnsi="Times New Roman" w:cs="Times New Roman"/>
          <w:i/>
          <w:iCs/>
          <w:color w:val="222222"/>
          <w:sz w:val="24"/>
          <w:szCs w:val="24"/>
          <w:shd w:val="clear" w:color="auto" w:fill="FFFFFF"/>
        </w:rPr>
        <w:t>Enterprise</w:t>
      </w:r>
      <w:proofErr w:type="gramEnd"/>
      <w:r w:rsidRPr="00751B7B">
        <w:rPr>
          <w:rFonts w:ascii="Times New Roman" w:hAnsi="Times New Roman" w:cs="Times New Roman"/>
          <w:i/>
          <w:iCs/>
          <w:color w:val="222222"/>
          <w:sz w:val="24"/>
          <w:szCs w:val="24"/>
          <w:shd w:val="clear" w:color="auto" w:fill="FFFFFF"/>
        </w:rPr>
        <w:t xml:space="preserve"> and Benchmarking</w:t>
      </w:r>
      <w:r w:rsidRPr="00751B7B">
        <w:rPr>
          <w:rFonts w:ascii="Times New Roman" w:hAnsi="Times New Roman" w:cs="Times New Roman"/>
          <w:color w:val="222222"/>
          <w:sz w:val="24"/>
          <w:szCs w:val="24"/>
          <w:shd w:val="clear" w:color="auto" w:fill="FFFFFF"/>
        </w:rPr>
        <w:t> (pp. 1-2).</w:t>
      </w:r>
    </w:p>
    <w:p w14:paraId="45927A53" w14:textId="77777777" w:rsidR="009C1E09" w:rsidRPr="00751B7B" w:rsidRDefault="009C1E09" w:rsidP="009C1E09">
      <w:pPr>
        <w:spacing w:line="360" w:lineRule="auto"/>
        <w:ind w:left="720" w:hanging="720"/>
        <w:rPr>
          <w:rFonts w:ascii="Times New Roman" w:hAnsi="Times New Roman" w:cs="Times New Roman"/>
          <w:sz w:val="24"/>
          <w:szCs w:val="24"/>
          <w:lang w:val="en-US"/>
        </w:rPr>
      </w:pPr>
      <w:r w:rsidRPr="00751B7B">
        <w:rPr>
          <w:rFonts w:ascii="Times New Roman" w:hAnsi="Times New Roman" w:cs="Times New Roman"/>
          <w:color w:val="222222"/>
          <w:sz w:val="24"/>
          <w:szCs w:val="24"/>
          <w:shd w:val="clear" w:color="auto" w:fill="FFFFFF"/>
        </w:rPr>
        <w:t xml:space="preserve">Linsley, P.M. and Shrives, P.J., 2006. Risk reporting: A study of risk disclosures in the annual reports of U.K. companies. </w:t>
      </w:r>
      <w:r w:rsidRPr="00751B7B">
        <w:rPr>
          <w:rFonts w:ascii="Times New Roman" w:hAnsi="Times New Roman" w:cs="Times New Roman"/>
          <w:i/>
          <w:iCs/>
          <w:color w:val="222222"/>
          <w:sz w:val="24"/>
          <w:szCs w:val="24"/>
          <w:shd w:val="clear" w:color="auto" w:fill="FFFFFF"/>
        </w:rPr>
        <w:t>The British Accounting Review</w:t>
      </w:r>
      <w:r w:rsidRPr="00751B7B">
        <w:rPr>
          <w:rFonts w:ascii="Times New Roman" w:hAnsi="Times New Roman" w:cs="Times New Roman"/>
          <w:color w:val="222222"/>
          <w:sz w:val="24"/>
          <w:szCs w:val="24"/>
          <w:shd w:val="clear" w:color="auto" w:fill="FFFFFF"/>
        </w:rPr>
        <w:t>, </w:t>
      </w:r>
      <w:r w:rsidRPr="00751B7B">
        <w:rPr>
          <w:rFonts w:ascii="Times New Roman" w:hAnsi="Times New Roman" w:cs="Times New Roman"/>
          <w:i/>
          <w:iCs/>
          <w:color w:val="222222"/>
          <w:sz w:val="24"/>
          <w:szCs w:val="24"/>
          <w:shd w:val="clear" w:color="auto" w:fill="FFFFFF"/>
        </w:rPr>
        <w:t>38</w:t>
      </w:r>
      <w:r w:rsidRPr="00751B7B">
        <w:rPr>
          <w:rFonts w:ascii="Times New Roman" w:hAnsi="Times New Roman" w:cs="Times New Roman"/>
          <w:color w:val="222222"/>
          <w:sz w:val="24"/>
          <w:szCs w:val="24"/>
          <w:shd w:val="clear" w:color="auto" w:fill="FFFFFF"/>
        </w:rPr>
        <w:t>(4), pp.387-404.</w:t>
      </w:r>
      <w:r w:rsidRPr="00751B7B">
        <w:rPr>
          <w:rFonts w:ascii="Times New Roman" w:hAnsi="Times New Roman" w:cs="Times New Roman"/>
          <w:sz w:val="24"/>
          <w:szCs w:val="24"/>
          <w:lang w:val="en-US"/>
        </w:rPr>
        <w:t xml:space="preserve"> </w:t>
      </w:r>
    </w:p>
    <w:p w14:paraId="1F6B8D75" w14:textId="77777777" w:rsidR="009C1E09" w:rsidRPr="00FD6E0F" w:rsidRDefault="009C1E09" w:rsidP="009C1E09">
      <w:pPr>
        <w:spacing w:line="360" w:lineRule="auto"/>
        <w:ind w:left="720" w:hanging="720"/>
        <w:rPr>
          <w:rFonts w:ascii="Times New Roman" w:hAnsi="Times New Roman" w:cs="Times New Roman"/>
          <w:color w:val="222222"/>
          <w:sz w:val="24"/>
          <w:szCs w:val="24"/>
          <w:shd w:val="clear" w:color="auto" w:fill="FFFFFF"/>
        </w:rPr>
      </w:pPr>
      <w:r w:rsidRPr="00FD6E0F">
        <w:rPr>
          <w:rFonts w:ascii="Times New Roman" w:hAnsi="Times New Roman" w:cs="Times New Roman"/>
          <w:color w:val="222222"/>
          <w:sz w:val="24"/>
          <w:szCs w:val="24"/>
          <w:shd w:val="clear" w:color="auto" w:fill="FFFFFF"/>
        </w:rPr>
        <w:t>Madushanka, K.H.I. and Jathurika, M., 2018. The impact of liquidity ratios on profitability. </w:t>
      </w:r>
      <w:r w:rsidRPr="00FD6E0F">
        <w:rPr>
          <w:rFonts w:ascii="Times New Roman" w:hAnsi="Times New Roman" w:cs="Times New Roman"/>
          <w:i/>
          <w:iCs/>
          <w:color w:val="222222"/>
          <w:sz w:val="24"/>
          <w:szCs w:val="24"/>
          <w:shd w:val="clear" w:color="auto" w:fill="FFFFFF"/>
        </w:rPr>
        <w:t>International Research Journal of Advanced Engineering and Science</w:t>
      </w:r>
      <w:r w:rsidRPr="00FD6E0F">
        <w:rPr>
          <w:rFonts w:ascii="Times New Roman" w:hAnsi="Times New Roman" w:cs="Times New Roman"/>
          <w:color w:val="222222"/>
          <w:sz w:val="24"/>
          <w:szCs w:val="24"/>
          <w:shd w:val="clear" w:color="auto" w:fill="FFFFFF"/>
        </w:rPr>
        <w:t>, </w:t>
      </w:r>
      <w:r w:rsidRPr="00FD6E0F">
        <w:rPr>
          <w:rFonts w:ascii="Times New Roman" w:hAnsi="Times New Roman" w:cs="Times New Roman"/>
          <w:i/>
          <w:iCs/>
          <w:color w:val="222222"/>
          <w:sz w:val="24"/>
          <w:szCs w:val="24"/>
          <w:shd w:val="clear" w:color="auto" w:fill="FFFFFF"/>
        </w:rPr>
        <w:t>3</w:t>
      </w:r>
      <w:r w:rsidRPr="00FD6E0F">
        <w:rPr>
          <w:rFonts w:ascii="Times New Roman" w:hAnsi="Times New Roman" w:cs="Times New Roman"/>
          <w:color w:val="222222"/>
          <w:sz w:val="24"/>
          <w:szCs w:val="24"/>
          <w:shd w:val="clear" w:color="auto" w:fill="FFFFFF"/>
        </w:rPr>
        <w:t xml:space="preserve">(4), pp.157-161. </w:t>
      </w:r>
    </w:p>
    <w:p w14:paraId="7C1E8A08" w14:textId="77777777" w:rsidR="009C1E09" w:rsidRPr="00751B7B" w:rsidRDefault="009C1E09" w:rsidP="009C1E09">
      <w:pPr>
        <w:spacing w:line="360" w:lineRule="auto"/>
        <w:ind w:left="720" w:hanging="720"/>
        <w:rPr>
          <w:rFonts w:ascii="Times New Roman" w:hAnsi="Times New Roman" w:cs="Times New Roman"/>
          <w:sz w:val="24"/>
          <w:szCs w:val="24"/>
          <w:lang w:val="en-US"/>
        </w:rPr>
      </w:pPr>
      <w:r w:rsidRPr="00751B7B">
        <w:rPr>
          <w:rFonts w:ascii="Times New Roman" w:hAnsi="Times New Roman" w:cs="Times New Roman"/>
          <w:color w:val="222222"/>
          <w:sz w:val="24"/>
          <w:szCs w:val="24"/>
          <w:shd w:val="clear" w:color="auto" w:fill="FFFFFF"/>
        </w:rPr>
        <w:t xml:space="preserve">Pratt, </w:t>
      </w:r>
      <w:proofErr w:type="gramStart"/>
      <w:r w:rsidRPr="00751B7B">
        <w:rPr>
          <w:rFonts w:ascii="Times New Roman" w:hAnsi="Times New Roman" w:cs="Times New Roman"/>
          <w:color w:val="222222"/>
          <w:sz w:val="24"/>
          <w:szCs w:val="24"/>
          <w:shd w:val="clear" w:color="auto" w:fill="FFFFFF"/>
        </w:rPr>
        <w:t>J.</w:t>
      </w:r>
      <w:proofErr w:type="gramEnd"/>
      <w:r w:rsidRPr="00751B7B">
        <w:rPr>
          <w:rFonts w:ascii="Times New Roman" w:hAnsi="Times New Roman" w:cs="Times New Roman"/>
          <w:color w:val="222222"/>
          <w:sz w:val="24"/>
          <w:szCs w:val="24"/>
          <w:shd w:val="clear" w:color="auto" w:fill="FFFFFF"/>
        </w:rPr>
        <w:t xml:space="preserve"> and Peters, M.F., 2017. </w:t>
      </w:r>
      <w:r w:rsidRPr="00751B7B">
        <w:rPr>
          <w:rFonts w:ascii="Times New Roman" w:hAnsi="Times New Roman" w:cs="Times New Roman"/>
          <w:i/>
          <w:iCs/>
          <w:color w:val="222222"/>
          <w:sz w:val="24"/>
          <w:szCs w:val="24"/>
          <w:shd w:val="clear" w:color="auto" w:fill="FFFFFF"/>
        </w:rPr>
        <w:t>Financial accounting in an economic context</w:t>
      </w:r>
      <w:r w:rsidRPr="00751B7B">
        <w:rPr>
          <w:rFonts w:ascii="Times New Roman" w:hAnsi="Times New Roman" w:cs="Times New Roman"/>
          <w:color w:val="222222"/>
          <w:sz w:val="24"/>
          <w:szCs w:val="24"/>
          <w:shd w:val="clear" w:color="auto" w:fill="FFFFFF"/>
        </w:rPr>
        <w:t>. John Wiley &amp; Sons.</w:t>
      </w:r>
      <w:r w:rsidRPr="00751B7B">
        <w:rPr>
          <w:rFonts w:ascii="Times New Roman" w:hAnsi="Times New Roman" w:cs="Times New Roman"/>
          <w:sz w:val="24"/>
          <w:szCs w:val="24"/>
          <w:lang w:val="en-US"/>
        </w:rPr>
        <w:t xml:space="preserve"> </w:t>
      </w:r>
    </w:p>
    <w:p w14:paraId="3AA24E84" w14:textId="77777777" w:rsidR="009C1E09" w:rsidRPr="00540D45" w:rsidRDefault="009C1E09" w:rsidP="009C1E09">
      <w:pPr>
        <w:spacing w:line="480" w:lineRule="auto"/>
        <w:ind w:left="720" w:hanging="720"/>
        <w:rPr>
          <w:rFonts w:ascii="Times New Roman" w:hAnsi="Times New Roman" w:cs="Times New Roman"/>
          <w:color w:val="222222"/>
          <w:sz w:val="24"/>
          <w:szCs w:val="24"/>
          <w:shd w:val="clear" w:color="auto" w:fill="FFFFFF"/>
        </w:rPr>
      </w:pPr>
      <w:r w:rsidRPr="00540D45">
        <w:rPr>
          <w:rFonts w:ascii="Times New Roman" w:hAnsi="Times New Roman" w:cs="Times New Roman"/>
          <w:color w:val="222222"/>
          <w:sz w:val="24"/>
          <w:szCs w:val="24"/>
          <w:shd w:val="clear" w:color="auto" w:fill="FFFFFF"/>
        </w:rPr>
        <w:t>Schroeder, R.G., Clark, M.W. and Cathey, J.M., 2019. </w:t>
      </w:r>
      <w:r w:rsidRPr="00540D45">
        <w:rPr>
          <w:rFonts w:ascii="Times New Roman" w:hAnsi="Times New Roman" w:cs="Times New Roman"/>
          <w:i/>
          <w:iCs/>
          <w:color w:val="222222"/>
          <w:sz w:val="24"/>
          <w:szCs w:val="24"/>
          <w:shd w:val="clear" w:color="auto" w:fill="FFFFFF"/>
        </w:rPr>
        <w:t>Financial accounting theory and analysis: text and cases</w:t>
      </w:r>
      <w:r w:rsidRPr="00540D45">
        <w:rPr>
          <w:rFonts w:ascii="Times New Roman" w:hAnsi="Times New Roman" w:cs="Times New Roman"/>
          <w:color w:val="222222"/>
          <w:sz w:val="24"/>
          <w:szCs w:val="24"/>
          <w:shd w:val="clear" w:color="auto" w:fill="FFFFFF"/>
        </w:rPr>
        <w:t>. John Wiley &amp; Sons.</w:t>
      </w:r>
    </w:p>
    <w:p w14:paraId="7FAAF04C" w14:textId="77777777" w:rsidR="009C1E09" w:rsidRPr="00751B7B" w:rsidRDefault="009C1E09" w:rsidP="009C1E09">
      <w:pPr>
        <w:spacing w:line="360" w:lineRule="auto"/>
        <w:ind w:left="720" w:hanging="720"/>
        <w:rPr>
          <w:rFonts w:ascii="Times New Roman" w:hAnsi="Times New Roman" w:cs="Times New Roman"/>
          <w:color w:val="222222"/>
          <w:sz w:val="24"/>
          <w:szCs w:val="24"/>
          <w:shd w:val="clear" w:color="auto" w:fill="FFFFFF"/>
        </w:rPr>
      </w:pPr>
      <w:r w:rsidRPr="00751B7B">
        <w:rPr>
          <w:rFonts w:ascii="Times New Roman" w:hAnsi="Times New Roman" w:cs="Times New Roman"/>
          <w:color w:val="222222"/>
          <w:sz w:val="24"/>
          <w:szCs w:val="24"/>
          <w:shd w:val="clear" w:color="auto" w:fill="FFFFFF"/>
        </w:rPr>
        <w:t xml:space="preserve">Singh, A.J. and Schmidgall, R.S., 2002. Analysis of financial ratios commonly used by U.S. lodging financial executives. </w:t>
      </w:r>
      <w:r w:rsidRPr="00751B7B">
        <w:rPr>
          <w:rFonts w:ascii="Times New Roman" w:hAnsi="Times New Roman" w:cs="Times New Roman"/>
          <w:i/>
          <w:iCs/>
          <w:color w:val="222222"/>
          <w:sz w:val="24"/>
          <w:szCs w:val="24"/>
          <w:shd w:val="clear" w:color="auto" w:fill="FFFFFF"/>
        </w:rPr>
        <w:t>Journal of Retail &amp; Leisure Property</w:t>
      </w:r>
      <w:r w:rsidRPr="00751B7B">
        <w:rPr>
          <w:rFonts w:ascii="Times New Roman" w:hAnsi="Times New Roman" w:cs="Times New Roman"/>
          <w:color w:val="222222"/>
          <w:sz w:val="24"/>
          <w:szCs w:val="24"/>
          <w:shd w:val="clear" w:color="auto" w:fill="FFFFFF"/>
        </w:rPr>
        <w:t>, </w:t>
      </w:r>
      <w:r w:rsidRPr="00751B7B">
        <w:rPr>
          <w:rFonts w:ascii="Times New Roman" w:hAnsi="Times New Roman" w:cs="Times New Roman"/>
          <w:i/>
          <w:iCs/>
          <w:color w:val="222222"/>
          <w:sz w:val="24"/>
          <w:szCs w:val="24"/>
          <w:shd w:val="clear" w:color="auto" w:fill="FFFFFF"/>
        </w:rPr>
        <w:t>2</w:t>
      </w:r>
      <w:r w:rsidRPr="00751B7B">
        <w:rPr>
          <w:rFonts w:ascii="Times New Roman" w:hAnsi="Times New Roman" w:cs="Times New Roman"/>
          <w:color w:val="222222"/>
          <w:sz w:val="24"/>
          <w:szCs w:val="24"/>
          <w:shd w:val="clear" w:color="auto" w:fill="FFFFFF"/>
        </w:rPr>
        <w:t>(3), pp.201-213.</w:t>
      </w:r>
    </w:p>
    <w:p w14:paraId="5BD18559" w14:textId="77777777" w:rsidR="009C1E09" w:rsidRPr="001B49AE" w:rsidRDefault="009C1E09" w:rsidP="009C1E09">
      <w:pPr>
        <w:spacing w:line="480" w:lineRule="auto"/>
        <w:ind w:left="720" w:hanging="720"/>
        <w:rPr>
          <w:rFonts w:ascii="Times New Roman" w:hAnsi="Times New Roman" w:cs="Times New Roman"/>
          <w:b/>
          <w:bCs/>
          <w:sz w:val="24"/>
          <w:szCs w:val="24"/>
          <w:lang w:val="en-US"/>
        </w:rPr>
      </w:pPr>
      <w:r w:rsidRPr="001B49AE">
        <w:rPr>
          <w:rFonts w:ascii="Times New Roman" w:hAnsi="Times New Roman" w:cs="Times New Roman"/>
          <w:color w:val="222222"/>
          <w:sz w:val="24"/>
          <w:szCs w:val="24"/>
          <w:shd w:val="clear" w:color="auto" w:fill="FFFFFF"/>
        </w:rPr>
        <w:t>Smith, A., 2017. Mastering Business for Strategic Communicators.</w:t>
      </w:r>
    </w:p>
    <w:p w14:paraId="66AAF55C" w14:textId="0FF59D59"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B8C"/>
    <w:rsid w:val="00115B96"/>
    <w:rsid w:val="00276C1A"/>
    <w:rsid w:val="00324CCD"/>
    <w:rsid w:val="004A11F6"/>
    <w:rsid w:val="004A609D"/>
    <w:rsid w:val="004D519C"/>
    <w:rsid w:val="007D1947"/>
    <w:rsid w:val="009C1E09"/>
    <w:rsid w:val="00AA2A91"/>
    <w:rsid w:val="00B652AD"/>
    <w:rsid w:val="00C71FB5"/>
    <w:rsid w:val="00CA09F3"/>
    <w:rsid w:val="00D85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3049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1963</Words>
  <Characters>11194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Sougkoumi Kim</cp:lastModifiedBy>
  <cp:revision>2</cp:revision>
  <dcterms:created xsi:type="dcterms:W3CDTF">2022-02-15T16:22:00Z</dcterms:created>
  <dcterms:modified xsi:type="dcterms:W3CDTF">2022-02-15T16:22:00Z</dcterms:modified>
</cp:coreProperties>
</file>