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457E" w:rsidRPr="00D93E30" w:rsidRDefault="00B3457E" w:rsidP="00B3457E">
      <w:pPr>
        <w:spacing w:after="0"/>
        <w:jc w:val="center"/>
        <w:rPr>
          <w:b/>
        </w:rPr>
      </w:pPr>
      <w:r w:rsidRPr="00D93E30">
        <w:rPr>
          <w:b/>
        </w:rPr>
        <w:t>Gobbets</w:t>
      </w:r>
    </w:p>
    <w:p w:rsidR="00B3457E" w:rsidRPr="00D93E30" w:rsidRDefault="00B3457E" w:rsidP="00B3457E">
      <w:pPr>
        <w:spacing w:after="0"/>
        <w:jc w:val="center"/>
        <w:rPr>
          <w:b/>
        </w:rPr>
      </w:pPr>
      <w:r w:rsidRPr="00D93E30">
        <w:rPr>
          <w:b/>
        </w:rPr>
        <w:t>Write a 500-word gobbet analysis.</w:t>
      </w:r>
    </w:p>
    <w:p w:rsidR="00B3457E" w:rsidRDefault="00B3457E" w:rsidP="00B3457E">
      <w:pPr>
        <w:spacing w:after="0"/>
        <w:rPr>
          <w:i/>
        </w:rPr>
      </w:pPr>
    </w:p>
    <w:p w:rsidR="00B3457E" w:rsidRPr="00D93E30" w:rsidRDefault="00B3457E" w:rsidP="00B3457E">
      <w:pPr>
        <w:spacing w:after="0"/>
        <w:rPr>
          <w:b/>
          <w:i/>
        </w:rPr>
      </w:pPr>
      <w:r w:rsidRPr="00D93E30">
        <w:rPr>
          <w:b/>
          <w:i/>
        </w:rPr>
        <w:t xml:space="preserve">From the </w:t>
      </w:r>
      <w:proofErr w:type="spellStart"/>
      <w:r w:rsidRPr="00D93E30">
        <w:rPr>
          <w:b/>
          <w:i/>
        </w:rPr>
        <w:t>Heliconian</w:t>
      </w:r>
      <w:proofErr w:type="spellEnd"/>
      <w:r w:rsidRPr="00D93E30">
        <w:rPr>
          <w:b/>
          <w:i/>
        </w:rPr>
        <w:t xml:space="preserve"> Muses let us begin to sing, who hold the great and holy mount of Helicon, and dance on soft feet about the deep-blue spring and the altar of the almighty son of </w:t>
      </w:r>
      <w:proofErr w:type="spellStart"/>
      <w:r w:rsidRPr="00D93E30">
        <w:rPr>
          <w:b/>
          <w:i/>
        </w:rPr>
        <w:t>Cronos</w:t>
      </w:r>
      <w:proofErr w:type="spellEnd"/>
      <w:r w:rsidRPr="00D93E30">
        <w:rPr>
          <w:b/>
          <w:i/>
        </w:rPr>
        <w:t xml:space="preserve">, [5] and, when they have washed their tender bodies in </w:t>
      </w:r>
      <w:proofErr w:type="spellStart"/>
      <w:r w:rsidRPr="00D93E30">
        <w:rPr>
          <w:b/>
          <w:i/>
        </w:rPr>
        <w:t>Permessus</w:t>
      </w:r>
      <w:proofErr w:type="spellEnd"/>
      <w:r w:rsidRPr="00D93E30">
        <w:rPr>
          <w:b/>
          <w:i/>
        </w:rPr>
        <w:t xml:space="preserve"> or in the Horse's Spring or </w:t>
      </w:r>
      <w:proofErr w:type="spellStart"/>
      <w:r w:rsidRPr="00D93E30">
        <w:rPr>
          <w:b/>
          <w:i/>
        </w:rPr>
        <w:t>Olmeius</w:t>
      </w:r>
      <w:proofErr w:type="spellEnd"/>
      <w:r w:rsidRPr="00D93E30">
        <w:rPr>
          <w:b/>
          <w:i/>
        </w:rPr>
        <w:t xml:space="preserve">, make their fair, lovely dances upon highest Helicon and move with vigorous feet. </w:t>
      </w:r>
      <w:r w:rsidRPr="00D93E30">
        <w:rPr>
          <w:rStyle w:val="FootnoteReference"/>
          <w:b/>
          <w:i/>
        </w:rPr>
        <w:footnoteReference w:id="1"/>
      </w:r>
    </w:p>
    <w:p w:rsidR="00B3457E" w:rsidRDefault="00B3457E" w:rsidP="00B3457E">
      <w:pPr>
        <w:spacing w:after="0"/>
      </w:pPr>
    </w:p>
    <w:p w:rsidR="00B3457E" w:rsidRDefault="00B3457E" w:rsidP="00B3457E">
      <w:pPr>
        <w:spacing w:after="0"/>
      </w:pPr>
      <w:r>
        <w:t>In this analysis I will be looking at the role that this excerpt plays in regards to the work it has been taken from and identifying its subjects and themes.</w:t>
      </w:r>
    </w:p>
    <w:p w:rsidR="00B3457E" w:rsidRDefault="00B3457E" w:rsidP="00B3457E">
      <w:pPr>
        <w:spacing w:after="0"/>
      </w:pPr>
      <w:r>
        <w:t xml:space="preserve">This extract comes from the first 9 lines of Hesiod’s </w:t>
      </w:r>
      <w:proofErr w:type="spellStart"/>
      <w:r>
        <w:t>Theogony</w:t>
      </w:r>
      <w:proofErr w:type="spellEnd"/>
      <w:r>
        <w:t xml:space="preserve"> which as with all epic poems in antiquity begins with an invocation of the muses. The inspiration of poets and artists, the muses were the nine</w:t>
      </w:r>
      <w:r>
        <w:rPr>
          <w:rStyle w:val="FootnoteReference"/>
        </w:rPr>
        <w:footnoteReference w:id="2"/>
      </w:r>
      <w:r>
        <w:t xml:space="preserve"> goddesses of the arts</w:t>
      </w:r>
      <w:r>
        <w:rPr>
          <w:rStyle w:val="FootnoteReference"/>
        </w:rPr>
        <w:footnoteReference w:id="3"/>
      </w:r>
      <w:r>
        <w:t xml:space="preserve"> and daughters of Zeus</w:t>
      </w:r>
      <w:r>
        <w:rPr>
          <w:rStyle w:val="FootnoteReference"/>
        </w:rPr>
        <w:footnoteReference w:id="4"/>
      </w:r>
      <w:r>
        <w:t xml:space="preserve">.  </w:t>
      </w:r>
    </w:p>
    <w:p w:rsidR="00B3457E" w:rsidRDefault="00B3457E" w:rsidP="00B3457E">
      <w:pPr>
        <w:spacing w:after="0"/>
      </w:pPr>
      <w:r>
        <w:t xml:space="preserve">In regards to the author Hesiod, there is very little information available but he was resumed to have been </w:t>
      </w:r>
      <w:proofErr w:type="spellStart"/>
      <w:r>
        <w:t>writting</w:t>
      </w:r>
      <w:proofErr w:type="spellEnd"/>
      <w:r>
        <w:t xml:space="preserve"> in early-to-mid 700 BCE</w:t>
      </w:r>
      <w:r>
        <w:rPr>
          <w:rStyle w:val="FootnoteReference"/>
        </w:rPr>
        <w:footnoteReference w:id="5"/>
      </w:r>
      <w:r>
        <w:t xml:space="preserve">. Both the </w:t>
      </w:r>
      <w:proofErr w:type="spellStart"/>
      <w:r>
        <w:t>Theogony</w:t>
      </w:r>
      <w:proofErr w:type="spellEnd"/>
      <w:r>
        <w:t xml:space="preserve"> and Works and Days are thought to provide some insight into his early life, stating that whilst he had been raised as a Sheppard</w:t>
      </w:r>
      <w:r>
        <w:rPr>
          <w:rStyle w:val="FootnoteReference"/>
        </w:rPr>
        <w:footnoteReference w:id="6"/>
      </w:r>
      <w:r>
        <w:t>, Hesiod became able to create poetry with no teaching</w:t>
      </w:r>
      <w:r>
        <w:rPr>
          <w:rStyle w:val="FootnoteReference"/>
        </w:rPr>
        <w:footnoteReference w:id="7"/>
      </w:r>
      <w:r>
        <w:t>. Unfortunately however, due to the artistic nature of his works not much credibility had been given to Hesiod’s recollection of events by modern scholars</w:t>
      </w:r>
      <w:r>
        <w:rPr>
          <w:rStyle w:val="FootnoteReference"/>
        </w:rPr>
        <w:footnoteReference w:id="8"/>
      </w:r>
      <w:r>
        <w:t>.</w:t>
      </w:r>
    </w:p>
    <w:p w:rsidR="00B3457E" w:rsidRDefault="00B3457E" w:rsidP="00B3457E">
      <w:pPr>
        <w:spacing w:after="0"/>
      </w:pPr>
    </w:p>
    <w:p w:rsidR="00B3457E" w:rsidRDefault="00B3457E" w:rsidP="00B3457E">
      <w:pPr>
        <w:spacing w:after="0"/>
      </w:pPr>
      <w:r>
        <w:t>Usually in Epic poems the invocation of the muses is used to provide a clear presentation of the story’s subjects and themes, examples of this would be the opening of Homer’s Odyssey</w:t>
      </w:r>
      <w:r>
        <w:rPr>
          <w:rStyle w:val="FootnoteReference"/>
        </w:rPr>
        <w:footnoteReference w:id="9"/>
      </w:r>
      <w:r>
        <w:t xml:space="preserve"> and the first few lines of the fifth Homeric Hymn, ‘To Aphrodite’</w:t>
      </w:r>
      <w:r>
        <w:rPr>
          <w:rStyle w:val="FootnoteReference"/>
        </w:rPr>
        <w:footnoteReference w:id="10"/>
      </w:r>
      <w:r>
        <w:t xml:space="preserve">. I believe that Hesiod also does this just in a more subtle way; however it would not be correct to assume that his reasons for starting with the invocation was purely due to tradition as both Hesiod and Homer provide our very first surviving literary examples of ‘Epic poetry’, thus suggesting that they were in fact the origins of this ‘unspoken rule’. Furthermore, later in the </w:t>
      </w:r>
      <w:proofErr w:type="spellStart"/>
      <w:r>
        <w:t>Theogony</w:t>
      </w:r>
      <w:proofErr w:type="spellEnd"/>
      <w:r>
        <w:t xml:space="preserve"> Hesiod </w:t>
      </w:r>
      <w:proofErr w:type="gramStart"/>
      <w:r>
        <w:t>himself</w:t>
      </w:r>
      <w:proofErr w:type="gramEnd"/>
      <w:r>
        <w:t xml:space="preserve"> suggests that the reason that he begins it in such a way is because he believed that he was gifted with his poetry by the muses themselves</w:t>
      </w:r>
      <w:r>
        <w:rPr>
          <w:rStyle w:val="FootnoteReference"/>
        </w:rPr>
        <w:footnoteReference w:id="11"/>
      </w:r>
      <w:r>
        <w:t>.</w:t>
      </w:r>
    </w:p>
    <w:p w:rsidR="00B3457E" w:rsidRDefault="00B3457E" w:rsidP="00B3457E">
      <w:pPr>
        <w:spacing w:after="0"/>
      </w:pPr>
      <w:r>
        <w:t xml:space="preserve">I believe this and the reference to the muses dancing within the gobbet demonstrates the subtle theme of ‘the link between humans and the divine’ which fits in very well with the </w:t>
      </w:r>
      <w:proofErr w:type="spellStart"/>
      <w:r>
        <w:t>Theogony’s</w:t>
      </w:r>
      <w:proofErr w:type="spellEnd"/>
      <w:r>
        <w:t xml:space="preserve"> broader exploration of the creation of the world and the gods. Lawler stated that dancing was an integral part of ancient Greek society with it being a fundamental part of ritual in order to “enter a spiritual kinship with the gods”</w:t>
      </w:r>
      <w:r>
        <w:rPr>
          <w:rStyle w:val="FootnoteReference"/>
        </w:rPr>
        <w:footnoteReference w:id="12"/>
      </w:r>
      <w:r>
        <w:t xml:space="preserve">.  </w:t>
      </w:r>
    </w:p>
    <w:p w:rsidR="00B3457E" w:rsidRDefault="00B3457E" w:rsidP="00B3457E">
      <w:pPr>
        <w:spacing w:after="0"/>
      </w:pPr>
    </w:p>
    <w:p w:rsidR="00B3457E" w:rsidRDefault="00B3457E" w:rsidP="00B3457E">
      <w:pPr>
        <w:spacing w:after="0"/>
      </w:pPr>
      <w:r>
        <w:lastRenderedPageBreak/>
        <w:t xml:space="preserve">In conclusion, I believe that although this gobbet does have the muses present some of the subtler themes of the </w:t>
      </w:r>
      <w:proofErr w:type="spellStart"/>
      <w:r>
        <w:t>Theogony</w:t>
      </w:r>
      <w:proofErr w:type="spellEnd"/>
      <w:r>
        <w:t>, the details in which it goes into the actions of the muses does in fact show themselves as to being part of the story itself rather than just narrators</w:t>
      </w:r>
      <w:r>
        <w:rPr>
          <w:rStyle w:val="FootnoteReference"/>
        </w:rPr>
        <w:footnoteReference w:id="13"/>
      </w:r>
      <w:r>
        <w:t xml:space="preserve">. </w:t>
      </w:r>
    </w:p>
    <w:p w:rsidR="00B3457E" w:rsidRDefault="00B3457E" w:rsidP="00B3457E">
      <w:pPr>
        <w:spacing w:after="0"/>
      </w:pPr>
      <w:r>
        <w:t xml:space="preserve">This itself is a contrast to its parallel ‘To Aphrodite’ which even though the focus on the gods is similar, the muses do not make any appearance other than the first few lines </w:t>
      </w:r>
      <w:bookmarkStart w:id="0" w:name="_GoBack"/>
      <w:bookmarkEnd w:id="0"/>
      <w:r>
        <w:t>in the invocation.</w:t>
      </w:r>
    </w:p>
    <w:p w:rsidR="00B3457E" w:rsidRDefault="00B3457E" w:rsidP="00B3457E">
      <w:pPr>
        <w:spacing w:after="0"/>
      </w:pPr>
    </w:p>
    <w:p w:rsidR="00B3457E" w:rsidRDefault="00B3457E" w:rsidP="00B3457E">
      <w:pPr>
        <w:spacing w:after="0"/>
      </w:pPr>
    </w:p>
    <w:p w:rsidR="00B3457E" w:rsidRPr="00D64CED" w:rsidRDefault="00B3457E" w:rsidP="00B3457E">
      <w:pPr>
        <w:spacing w:after="0"/>
        <w:jc w:val="center"/>
        <w:rPr>
          <w:b/>
        </w:rPr>
      </w:pPr>
      <w:r w:rsidRPr="00D64CED">
        <w:rPr>
          <w:b/>
        </w:rPr>
        <w:t>Bibliography</w:t>
      </w:r>
    </w:p>
    <w:p w:rsidR="00B3457E" w:rsidRPr="00372D50" w:rsidRDefault="00B3457E" w:rsidP="00B3457E">
      <w:pPr>
        <w:spacing w:after="0"/>
        <w:rPr>
          <w:b/>
        </w:rPr>
      </w:pPr>
      <w:r w:rsidRPr="00372D50">
        <w:rPr>
          <w:b/>
        </w:rPr>
        <w:t>Ancient</w:t>
      </w:r>
    </w:p>
    <w:p w:rsidR="00B3457E" w:rsidRDefault="00B3457E" w:rsidP="00B3457E">
      <w:pPr>
        <w:spacing w:after="0"/>
      </w:pPr>
      <w:r>
        <w:t xml:space="preserve">Hesiod, </w:t>
      </w:r>
      <w:proofErr w:type="spellStart"/>
      <w:r w:rsidRPr="00372D50">
        <w:rPr>
          <w:i/>
        </w:rPr>
        <w:t>Theogony</w:t>
      </w:r>
      <w:proofErr w:type="spellEnd"/>
      <w:r>
        <w:t>. Glenn W. Most (</w:t>
      </w:r>
      <w:proofErr w:type="gramStart"/>
      <w:r>
        <w:t>trans</w:t>
      </w:r>
      <w:proofErr w:type="gramEnd"/>
      <w:r>
        <w:t>.). 2006. Cambridge, Mass; London: Harvard University Press.</w:t>
      </w:r>
    </w:p>
    <w:p w:rsidR="00B3457E" w:rsidRDefault="00B3457E" w:rsidP="00B3457E">
      <w:pPr>
        <w:spacing w:after="0"/>
      </w:pPr>
      <w:r>
        <w:t xml:space="preserve">Homer, </w:t>
      </w:r>
      <w:proofErr w:type="gramStart"/>
      <w:r w:rsidRPr="00372D50">
        <w:rPr>
          <w:i/>
        </w:rPr>
        <w:t>The</w:t>
      </w:r>
      <w:proofErr w:type="gramEnd"/>
      <w:r w:rsidRPr="00372D50">
        <w:rPr>
          <w:i/>
        </w:rPr>
        <w:t xml:space="preserve"> Odyssey</w:t>
      </w:r>
      <w:r>
        <w:t xml:space="preserve">. E.V. </w:t>
      </w:r>
      <w:proofErr w:type="spellStart"/>
      <w:r>
        <w:t>Rieu</w:t>
      </w:r>
      <w:proofErr w:type="spellEnd"/>
      <w:r>
        <w:t xml:space="preserve"> &amp; D.C.H. </w:t>
      </w:r>
      <w:proofErr w:type="spellStart"/>
      <w:r>
        <w:t>Rieu</w:t>
      </w:r>
      <w:proofErr w:type="spellEnd"/>
      <w:r>
        <w:t xml:space="preserve"> (</w:t>
      </w:r>
      <w:proofErr w:type="gramStart"/>
      <w:r>
        <w:t>trans</w:t>
      </w:r>
      <w:proofErr w:type="gramEnd"/>
      <w:r>
        <w:t>.). 2003. Strand: Penguin Classics.</w:t>
      </w:r>
    </w:p>
    <w:p w:rsidR="00B3457E" w:rsidRDefault="00B3457E" w:rsidP="00B3457E">
      <w:pPr>
        <w:spacing w:after="0"/>
      </w:pPr>
      <w:proofErr w:type="gramStart"/>
      <w:r>
        <w:t xml:space="preserve">Unknown, </w:t>
      </w:r>
      <w:r w:rsidRPr="00372D50">
        <w:rPr>
          <w:i/>
        </w:rPr>
        <w:t>Homeric Hymns</w:t>
      </w:r>
      <w:r>
        <w:t>.</w:t>
      </w:r>
      <w:proofErr w:type="gramEnd"/>
      <w:r>
        <w:t xml:space="preserve"> Michael </w:t>
      </w:r>
      <w:proofErr w:type="spellStart"/>
      <w:r>
        <w:t>Crudden</w:t>
      </w:r>
      <w:proofErr w:type="spellEnd"/>
      <w:r>
        <w:t xml:space="preserve"> (</w:t>
      </w:r>
      <w:proofErr w:type="gramStart"/>
      <w:r>
        <w:t>trans</w:t>
      </w:r>
      <w:proofErr w:type="gramEnd"/>
      <w:r>
        <w:t>.). 2008. Oxford: Oxford University Press.</w:t>
      </w:r>
    </w:p>
    <w:p w:rsidR="00B3457E" w:rsidRDefault="00B3457E" w:rsidP="00B3457E">
      <w:pPr>
        <w:spacing w:after="0"/>
      </w:pPr>
    </w:p>
    <w:p w:rsidR="00B3457E" w:rsidRPr="00372D50" w:rsidRDefault="00B3457E" w:rsidP="00B3457E">
      <w:pPr>
        <w:spacing w:after="0"/>
        <w:rPr>
          <w:b/>
        </w:rPr>
      </w:pPr>
      <w:r w:rsidRPr="00372D50">
        <w:rPr>
          <w:b/>
        </w:rPr>
        <w:t>Modern</w:t>
      </w:r>
    </w:p>
    <w:p w:rsidR="00B3457E" w:rsidRDefault="00B3457E" w:rsidP="00B3457E">
      <w:pPr>
        <w:spacing w:after="0"/>
      </w:pPr>
      <w:r>
        <w:t>Cook, R.M. 1961</w:t>
      </w:r>
      <w:r w:rsidRPr="00372D50">
        <w:rPr>
          <w:i/>
        </w:rPr>
        <w:t xml:space="preserve">. The Greeks </w:t>
      </w:r>
      <w:proofErr w:type="gramStart"/>
      <w:r w:rsidRPr="00372D50">
        <w:rPr>
          <w:i/>
        </w:rPr>
        <w:t>Till</w:t>
      </w:r>
      <w:proofErr w:type="gramEnd"/>
      <w:r w:rsidRPr="00372D50">
        <w:rPr>
          <w:i/>
        </w:rPr>
        <w:t xml:space="preserve"> Alexander</w:t>
      </w:r>
      <w:r>
        <w:t xml:space="preserve">. London; Thames and Hudson </w:t>
      </w:r>
    </w:p>
    <w:p w:rsidR="00B3457E" w:rsidRPr="00372D50" w:rsidRDefault="00B3457E" w:rsidP="00B3457E">
      <w:pPr>
        <w:spacing w:after="0"/>
      </w:pPr>
      <w:r>
        <w:t xml:space="preserve">Lawler, L. 1947. </w:t>
      </w:r>
      <w:proofErr w:type="gramStart"/>
      <w:r>
        <w:t>‘The Dance in Ancient Greece’.</w:t>
      </w:r>
      <w:proofErr w:type="gramEnd"/>
      <w:r>
        <w:t xml:space="preserve"> </w:t>
      </w:r>
      <w:r>
        <w:rPr>
          <w:i/>
        </w:rPr>
        <w:t xml:space="preserve">The Classical Journal, 42(6), </w:t>
      </w:r>
      <w:r>
        <w:t xml:space="preserve">343-349. </w:t>
      </w:r>
      <w:hyperlink r:id="rId8" w:history="1">
        <w:r w:rsidRPr="007C37EE">
          <w:rPr>
            <w:rStyle w:val="Hyperlink"/>
            <w:rFonts w:ascii="Arial" w:hAnsi="Arial" w:cs="Arial"/>
            <w:sz w:val="21"/>
            <w:szCs w:val="21"/>
            <w:shd w:val="clear" w:color="auto" w:fill="FFFFFF"/>
          </w:rPr>
          <w:t>http://www.jstor.org/stable/3291645</w:t>
        </w:r>
      </w:hyperlink>
      <w:r>
        <w:rPr>
          <w:rFonts w:ascii="Arial" w:hAnsi="Arial" w:cs="Arial"/>
          <w:color w:val="333333"/>
          <w:sz w:val="21"/>
          <w:szCs w:val="21"/>
          <w:shd w:val="clear" w:color="auto" w:fill="FFFFFF"/>
        </w:rPr>
        <w:t xml:space="preserve"> [Accessed 14.01.2019]</w:t>
      </w:r>
    </w:p>
    <w:p w:rsidR="00B3457E" w:rsidRPr="00F2352F" w:rsidRDefault="00B3457E" w:rsidP="00B3457E">
      <w:pPr>
        <w:spacing w:after="0"/>
      </w:pPr>
      <w:proofErr w:type="gramStart"/>
      <w:r w:rsidRPr="00F2352F">
        <w:rPr>
          <w:shd w:val="clear" w:color="auto" w:fill="FFFFFF"/>
        </w:rPr>
        <w:t>Most, G. 2006.</w:t>
      </w:r>
      <w:proofErr w:type="gramEnd"/>
      <w:r w:rsidRPr="00F2352F">
        <w:rPr>
          <w:shd w:val="clear" w:color="auto" w:fill="FFFFFF"/>
        </w:rPr>
        <w:t> </w:t>
      </w:r>
      <w:proofErr w:type="gramStart"/>
      <w:r w:rsidRPr="00F2352F">
        <w:rPr>
          <w:iCs/>
          <w:shd w:val="clear" w:color="auto" w:fill="FFFFFF"/>
        </w:rPr>
        <w:t>‘</w:t>
      </w:r>
      <w:proofErr w:type="spellStart"/>
      <w:r w:rsidRPr="00F2352F">
        <w:rPr>
          <w:iCs/>
          <w:shd w:val="clear" w:color="auto" w:fill="FFFFFF"/>
        </w:rPr>
        <w:t>Theogony</w:t>
      </w:r>
      <w:proofErr w:type="spellEnd"/>
      <w:r w:rsidRPr="00F2352F">
        <w:rPr>
          <w:iCs/>
          <w:shd w:val="clear" w:color="auto" w:fill="FFFFFF"/>
        </w:rPr>
        <w:t xml:space="preserve">’ </w:t>
      </w:r>
      <w:r w:rsidRPr="00F2352F">
        <w:rPr>
          <w:i/>
          <w:iCs/>
          <w:shd w:val="clear" w:color="auto" w:fill="FFFFFF"/>
        </w:rPr>
        <w:t>Introduction</w:t>
      </w:r>
      <w:r w:rsidRPr="00F2352F">
        <w:rPr>
          <w:shd w:val="clear" w:color="auto" w:fill="FFFFFF"/>
        </w:rPr>
        <w:t> (Loeb classical</w:t>
      </w:r>
      <w:r>
        <w:rPr>
          <w:shd w:val="clear" w:color="auto" w:fill="FFFFFF"/>
        </w:rPr>
        <w:t xml:space="preserve"> library; 57).</w:t>
      </w:r>
      <w:proofErr w:type="gramEnd"/>
      <w:r>
        <w:rPr>
          <w:shd w:val="clear" w:color="auto" w:fill="FFFFFF"/>
        </w:rPr>
        <w:t xml:space="preserve"> Cambridge, Mass.</w:t>
      </w:r>
      <w:r w:rsidRPr="00F2352F">
        <w:rPr>
          <w:shd w:val="clear" w:color="auto" w:fill="FFFFFF"/>
        </w:rPr>
        <w:t>; London: Harvard University Press.</w:t>
      </w:r>
    </w:p>
    <w:p w:rsidR="00B3457E" w:rsidRDefault="00B3457E" w:rsidP="00B3457E">
      <w:pPr>
        <w:spacing w:after="0"/>
      </w:pPr>
      <w:proofErr w:type="spellStart"/>
      <w:r>
        <w:t>Theoi</w:t>
      </w:r>
      <w:proofErr w:type="spellEnd"/>
      <w:r>
        <w:t xml:space="preserve"> Project. ‘</w:t>
      </w:r>
      <w:proofErr w:type="spellStart"/>
      <w:r>
        <w:t>Mousai</w:t>
      </w:r>
      <w:proofErr w:type="spellEnd"/>
      <w:r>
        <w:t xml:space="preserve">’ </w:t>
      </w:r>
      <w:hyperlink r:id="rId9" w:history="1">
        <w:r w:rsidRPr="007C37EE">
          <w:rPr>
            <w:rStyle w:val="Hyperlink"/>
          </w:rPr>
          <w:t>https://www.theoi.com/Ouranios/Mousai.html</w:t>
        </w:r>
      </w:hyperlink>
      <w:r>
        <w:t xml:space="preserve"> [Accessed 11.01.2019]</w:t>
      </w:r>
    </w:p>
    <w:p w:rsidR="00B3457E" w:rsidRDefault="00B3457E" w:rsidP="00B3457E">
      <w:pPr>
        <w:spacing w:after="0"/>
      </w:pPr>
    </w:p>
    <w:p w:rsidR="007A0016" w:rsidRPr="00B3457E" w:rsidRDefault="007A0016" w:rsidP="00B3457E"/>
    <w:sectPr w:rsidR="007A0016" w:rsidRPr="00B345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7DF8" w:rsidRDefault="004B7DF8" w:rsidP="007E38F6">
      <w:pPr>
        <w:spacing w:after="0" w:line="240" w:lineRule="auto"/>
      </w:pPr>
      <w:r>
        <w:separator/>
      </w:r>
    </w:p>
  </w:endnote>
  <w:endnote w:type="continuationSeparator" w:id="0">
    <w:p w:rsidR="004B7DF8" w:rsidRDefault="004B7DF8" w:rsidP="007E3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7DF8" w:rsidRDefault="004B7DF8" w:rsidP="007E38F6">
      <w:pPr>
        <w:spacing w:after="0" w:line="240" w:lineRule="auto"/>
      </w:pPr>
      <w:r>
        <w:separator/>
      </w:r>
    </w:p>
  </w:footnote>
  <w:footnote w:type="continuationSeparator" w:id="0">
    <w:p w:rsidR="004B7DF8" w:rsidRDefault="004B7DF8" w:rsidP="007E38F6">
      <w:pPr>
        <w:spacing w:after="0" w:line="240" w:lineRule="auto"/>
      </w:pPr>
      <w:r>
        <w:continuationSeparator/>
      </w:r>
    </w:p>
  </w:footnote>
  <w:footnote w:id="1">
    <w:p w:rsidR="00B3457E" w:rsidRDefault="00B3457E" w:rsidP="00B3457E">
      <w:pPr>
        <w:pStyle w:val="FootnoteText"/>
      </w:pPr>
      <w:r>
        <w:rPr>
          <w:rStyle w:val="FootnoteReference"/>
        </w:rPr>
        <w:footnoteRef/>
      </w:r>
      <w:r>
        <w:t xml:space="preserve"> </w:t>
      </w:r>
      <w:proofErr w:type="spellStart"/>
      <w:proofErr w:type="gramStart"/>
      <w:r>
        <w:t>Hes</w:t>
      </w:r>
      <w:proofErr w:type="spellEnd"/>
      <w:r>
        <w:t>.</w:t>
      </w:r>
      <w:proofErr w:type="gramEnd"/>
      <w:r>
        <w:t xml:space="preserve"> </w:t>
      </w:r>
      <w:proofErr w:type="spellStart"/>
      <w:proofErr w:type="gramStart"/>
      <w:r>
        <w:t>Theog</w:t>
      </w:r>
      <w:proofErr w:type="spellEnd"/>
      <w:r>
        <w:t>.</w:t>
      </w:r>
      <w:proofErr w:type="gramEnd"/>
      <w:r>
        <w:t xml:space="preserve"> 1-9</w:t>
      </w:r>
    </w:p>
  </w:footnote>
  <w:footnote w:id="2">
    <w:p w:rsidR="00B3457E" w:rsidRDefault="00B3457E" w:rsidP="00B3457E">
      <w:pPr>
        <w:pStyle w:val="FootnoteText"/>
      </w:pPr>
      <w:r>
        <w:rPr>
          <w:rStyle w:val="FootnoteReference"/>
        </w:rPr>
        <w:footnoteRef/>
      </w:r>
      <w:r>
        <w:t xml:space="preserve"> </w:t>
      </w:r>
      <w:proofErr w:type="spellStart"/>
      <w:proofErr w:type="gramStart"/>
      <w:r>
        <w:t>Hes</w:t>
      </w:r>
      <w:proofErr w:type="spellEnd"/>
      <w:r>
        <w:t>.</w:t>
      </w:r>
      <w:proofErr w:type="gramEnd"/>
      <w:r>
        <w:t xml:space="preserve"> </w:t>
      </w:r>
      <w:proofErr w:type="spellStart"/>
      <w:proofErr w:type="gramStart"/>
      <w:r>
        <w:t>Theog</w:t>
      </w:r>
      <w:proofErr w:type="spellEnd"/>
      <w:r>
        <w:t>.</w:t>
      </w:r>
      <w:proofErr w:type="gramEnd"/>
      <w:r>
        <w:t xml:space="preserve"> 915-917</w:t>
      </w:r>
    </w:p>
  </w:footnote>
  <w:footnote w:id="3">
    <w:p w:rsidR="00B3457E" w:rsidRDefault="00B3457E" w:rsidP="00B3457E">
      <w:pPr>
        <w:pStyle w:val="FootnoteText"/>
      </w:pPr>
      <w:r>
        <w:rPr>
          <w:rStyle w:val="FootnoteReference"/>
        </w:rPr>
        <w:footnoteRef/>
      </w:r>
      <w:r>
        <w:t xml:space="preserve"> </w:t>
      </w:r>
      <w:proofErr w:type="spellStart"/>
      <w:r>
        <w:t>Theoi</w:t>
      </w:r>
      <w:proofErr w:type="spellEnd"/>
      <w:r>
        <w:t xml:space="preserve"> Project</w:t>
      </w:r>
    </w:p>
  </w:footnote>
  <w:footnote w:id="4">
    <w:p w:rsidR="00B3457E" w:rsidRDefault="00B3457E" w:rsidP="00B3457E">
      <w:pPr>
        <w:pStyle w:val="FootnoteText"/>
      </w:pPr>
      <w:r>
        <w:rPr>
          <w:rStyle w:val="FootnoteReference"/>
        </w:rPr>
        <w:footnoteRef/>
      </w:r>
      <w:r>
        <w:t xml:space="preserve"> </w:t>
      </w:r>
      <w:proofErr w:type="spellStart"/>
      <w:proofErr w:type="gramStart"/>
      <w:r>
        <w:t>Hes</w:t>
      </w:r>
      <w:proofErr w:type="spellEnd"/>
      <w:r>
        <w:t>.</w:t>
      </w:r>
      <w:proofErr w:type="gramEnd"/>
      <w:r>
        <w:t xml:space="preserve"> </w:t>
      </w:r>
      <w:proofErr w:type="spellStart"/>
      <w:proofErr w:type="gramStart"/>
      <w:r>
        <w:t>Theog</w:t>
      </w:r>
      <w:proofErr w:type="spellEnd"/>
      <w:r>
        <w:t>.</w:t>
      </w:r>
      <w:proofErr w:type="gramEnd"/>
      <w:r>
        <w:t xml:space="preserve"> 915-917</w:t>
      </w:r>
    </w:p>
  </w:footnote>
  <w:footnote w:id="5">
    <w:p w:rsidR="00B3457E" w:rsidRDefault="00B3457E" w:rsidP="00B3457E">
      <w:pPr>
        <w:pStyle w:val="FootnoteText"/>
      </w:pPr>
      <w:r>
        <w:rPr>
          <w:rStyle w:val="FootnoteReference"/>
        </w:rPr>
        <w:footnoteRef/>
      </w:r>
      <w:r>
        <w:t xml:space="preserve"> Cook, 1961: 14</w:t>
      </w:r>
    </w:p>
  </w:footnote>
  <w:footnote w:id="6">
    <w:p w:rsidR="00B3457E" w:rsidRDefault="00B3457E" w:rsidP="00B3457E">
      <w:pPr>
        <w:pStyle w:val="FootnoteText"/>
      </w:pPr>
      <w:r>
        <w:rPr>
          <w:rStyle w:val="FootnoteReference"/>
        </w:rPr>
        <w:footnoteRef/>
      </w:r>
      <w:r>
        <w:t xml:space="preserve"> </w:t>
      </w:r>
      <w:proofErr w:type="spellStart"/>
      <w:proofErr w:type="gramStart"/>
      <w:r>
        <w:t>Hes</w:t>
      </w:r>
      <w:proofErr w:type="spellEnd"/>
      <w:r>
        <w:t>.</w:t>
      </w:r>
      <w:proofErr w:type="gramEnd"/>
      <w:r>
        <w:t xml:space="preserve"> </w:t>
      </w:r>
      <w:proofErr w:type="spellStart"/>
      <w:proofErr w:type="gramStart"/>
      <w:r>
        <w:t>Theog</w:t>
      </w:r>
      <w:proofErr w:type="spellEnd"/>
      <w:r>
        <w:t>.</w:t>
      </w:r>
      <w:proofErr w:type="gramEnd"/>
      <w:r>
        <w:t xml:space="preserve"> 22-34</w:t>
      </w:r>
    </w:p>
  </w:footnote>
  <w:footnote w:id="7">
    <w:p w:rsidR="00B3457E" w:rsidRDefault="00B3457E" w:rsidP="00B3457E">
      <w:pPr>
        <w:pStyle w:val="FootnoteText"/>
      </w:pPr>
      <w:r>
        <w:rPr>
          <w:rStyle w:val="FootnoteReference"/>
        </w:rPr>
        <w:footnoteRef/>
      </w:r>
      <w:r>
        <w:t xml:space="preserve"> </w:t>
      </w:r>
      <w:proofErr w:type="gramStart"/>
      <w:r>
        <w:t>Most.</w:t>
      </w:r>
      <w:proofErr w:type="gramEnd"/>
      <w:r>
        <w:t xml:space="preserve"> 2006: xii</w:t>
      </w:r>
    </w:p>
  </w:footnote>
  <w:footnote w:id="8">
    <w:p w:rsidR="00B3457E" w:rsidRDefault="00B3457E" w:rsidP="00B3457E">
      <w:pPr>
        <w:pStyle w:val="FootnoteText"/>
      </w:pPr>
      <w:r>
        <w:rPr>
          <w:rStyle w:val="FootnoteReference"/>
        </w:rPr>
        <w:footnoteRef/>
      </w:r>
      <w:r>
        <w:t xml:space="preserve"> </w:t>
      </w:r>
      <w:proofErr w:type="gramStart"/>
      <w:r>
        <w:t>Most.</w:t>
      </w:r>
      <w:proofErr w:type="gramEnd"/>
      <w:r>
        <w:t xml:space="preserve"> 2006: xiii</w:t>
      </w:r>
    </w:p>
  </w:footnote>
  <w:footnote w:id="9">
    <w:p w:rsidR="00B3457E" w:rsidRDefault="00B3457E" w:rsidP="00B3457E">
      <w:pPr>
        <w:pStyle w:val="FootnoteText"/>
      </w:pPr>
      <w:r>
        <w:rPr>
          <w:rStyle w:val="FootnoteReference"/>
        </w:rPr>
        <w:footnoteRef/>
      </w:r>
      <w:r>
        <w:t xml:space="preserve"> </w:t>
      </w:r>
      <w:proofErr w:type="spellStart"/>
      <w:proofErr w:type="gramStart"/>
      <w:r>
        <w:t>Hom</w:t>
      </w:r>
      <w:proofErr w:type="spellEnd"/>
      <w:r>
        <w:t>.</w:t>
      </w:r>
      <w:proofErr w:type="gramEnd"/>
      <w:r>
        <w:t xml:space="preserve"> </w:t>
      </w:r>
      <w:proofErr w:type="gramStart"/>
      <w:r>
        <w:t>Od</w:t>
      </w:r>
      <w:proofErr w:type="gramEnd"/>
      <w:r>
        <w:t>. 1-10</w:t>
      </w:r>
    </w:p>
  </w:footnote>
  <w:footnote w:id="10">
    <w:p w:rsidR="00B3457E" w:rsidRDefault="00B3457E" w:rsidP="00B3457E">
      <w:pPr>
        <w:pStyle w:val="FootnoteText"/>
      </w:pPr>
      <w:r>
        <w:rPr>
          <w:rStyle w:val="FootnoteReference"/>
        </w:rPr>
        <w:footnoteRef/>
      </w:r>
      <w:r>
        <w:t xml:space="preserve"> </w:t>
      </w:r>
      <w:proofErr w:type="spellStart"/>
      <w:proofErr w:type="gramStart"/>
      <w:r>
        <w:t>H.Hom</w:t>
      </w:r>
      <w:proofErr w:type="spellEnd"/>
      <w:r>
        <w:t>. 5.</w:t>
      </w:r>
      <w:proofErr w:type="gramEnd"/>
      <w:r>
        <w:t xml:space="preserve"> 1-10</w:t>
      </w:r>
    </w:p>
  </w:footnote>
  <w:footnote w:id="11">
    <w:p w:rsidR="00B3457E" w:rsidRDefault="00B3457E" w:rsidP="00B3457E">
      <w:pPr>
        <w:pStyle w:val="FootnoteText"/>
      </w:pPr>
      <w:r>
        <w:rPr>
          <w:rStyle w:val="FootnoteReference"/>
        </w:rPr>
        <w:footnoteRef/>
      </w:r>
      <w:r>
        <w:t xml:space="preserve"> </w:t>
      </w:r>
      <w:proofErr w:type="spellStart"/>
      <w:proofErr w:type="gramStart"/>
      <w:r>
        <w:t>Hes</w:t>
      </w:r>
      <w:proofErr w:type="spellEnd"/>
      <w:r>
        <w:t>.</w:t>
      </w:r>
      <w:proofErr w:type="gramEnd"/>
      <w:r>
        <w:t xml:space="preserve"> </w:t>
      </w:r>
      <w:proofErr w:type="spellStart"/>
      <w:proofErr w:type="gramStart"/>
      <w:r>
        <w:t>Theog</w:t>
      </w:r>
      <w:proofErr w:type="spellEnd"/>
      <w:r>
        <w:t>.</w:t>
      </w:r>
      <w:proofErr w:type="gramEnd"/>
      <w:r>
        <w:t xml:space="preserve"> 31-33</w:t>
      </w:r>
    </w:p>
  </w:footnote>
  <w:footnote w:id="12">
    <w:p w:rsidR="00B3457E" w:rsidRDefault="00B3457E" w:rsidP="00B3457E">
      <w:pPr>
        <w:pStyle w:val="FootnoteText"/>
      </w:pPr>
      <w:r>
        <w:rPr>
          <w:rStyle w:val="FootnoteReference"/>
        </w:rPr>
        <w:footnoteRef/>
      </w:r>
      <w:r>
        <w:t xml:space="preserve"> Lawler, 1947: 344</w:t>
      </w:r>
    </w:p>
  </w:footnote>
  <w:footnote w:id="13">
    <w:p w:rsidR="00B3457E" w:rsidRDefault="00B3457E" w:rsidP="00B3457E">
      <w:pPr>
        <w:pStyle w:val="FootnoteText"/>
      </w:pPr>
      <w:r>
        <w:rPr>
          <w:rStyle w:val="FootnoteReference"/>
        </w:rPr>
        <w:footnoteRef/>
      </w:r>
      <w:r>
        <w:t xml:space="preserve"> </w:t>
      </w:r>
      <w:proofErr w:type="spellStart"/>
      <w:proofErr w:type="gramStart"/>
      <w:r>
        <w:t>Hes</w:t>
      </w:r>
      <w:proofErr w:type="spellEnd"/>
      <w:r>
        <w:t>.</w:t>
      </w:r>
      <w:proofErr w:type="gramEnd"/>
      <w:r>
        <w:t xml:space="preserve"> </w:t>
      </w:r>
      <w:proofErr w:type="spellStart"/>
      <w:proofErr w:type="gramStart"/>
      <w:r>
        <w:t>Theog</w:t>
      </w:r>
      <w:proofErr w:type="spellEnd"/>
      <w:r>
        <w:t>.</w:t>
      </w:r>
      <w:proofErr w:type="gramEnd"/>
      <w:r>
        <w:t xml:space="preserve"> 915-917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188D"/>
    <w:rsid w:val="000367BA"/>
    <w:rsid w:val="0004253C"/>
    <w:rsid w:val="00153AE0"/>
    <w:rsid w:val="00202B28"/>
    <w:rsid w:val="00211A97"/>
    <w:rsid w:val="0024188D"/>
    <w:rsid w:val="00290BED"/>
    <w:rsid w:val="002D5764"/>
    <w:rsid w:val="003A7579"/>
    <w:rsid w:val="00426FD6"/>
    <w:rsid w:val="004B7DF8"/>
    <w:rsid w:val="0064273A"/>
    <w:rsid w:val="006A4242"/>
    <w:rsid w:val="0073683E"/>
    <w:rsid w:val="00775724"/>
    <w:rsid w:val="007A0016"/>
    <w:rsid w:val="007E38F6"/>
    <w:rsid w:val="00835B59"/>
    <w:rsid w:val="009777F2"/>
    <w:rsid w:val="00B3457E"/>
    <w:rsid w:val="00B82534"/>
    <w:rsid w:val="00B968F0"/>
    <w:rsid w:val="00BC5E19"/>
    <w:rsid w:val="00E84085"/>
    <w:rsid w:val="00EF23FA"/>
    <w:rsid w:val="00F2352F"/>
    <w:rsid w:val="00F2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5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38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38F6"/>
    <w:rPr>
      <w:sz w:val="20"/>
      <w:szCs w:val="20"/>
    </w:rPr>
  </w:style>
  <w:style w:type="character" w:styleId="FootnoteReference">
    <w:name w:val="footnote reference"/>
    <w:basedOn w:val="DefaultParagraphFont"/>
    <w:uiPriority w:val="99"/>
    <w:semiHidden/>
    <w:unhideWhenUsed/>
    <w:rsid w:val="007E38F6"/>
    <w:rPr>
      <w:vertAlign w:val="superscript"/>
    </w:rPr>
  </w:style>
  <w:style w:type="character" w:styleId="Hyperlink">
    <w:name w:val="Hyperlink"/>
    <w:basedOn w:val="DefaultParagraphFont"/>
    <w:uiPriority w:val="99"/>
    <w:unhideWhenUsed/>
    <w:rsid w:val="006A424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5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38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38F6"/>
    <w:rPr>
      <w:sz w:val="20"/>
      <w:szCs w:val="20"/>
    </w:rPr>
  </w:style>
  <w:style w:type="character" w:styleId="FootnoteReference">
    <w:name w:val="footnote reference"/>
    <w:basedOn w:val="DefaultParagraphFont"/>
    <w:uiPriority w:val="99"/>
    <w:semiHidden/>
    <w:unhideWhenUsed/>
    <w:rsid w:val="007E38F6"/>
    <w:rPr>
      <w:vertAlign w:val="superscript"/>
    </w:rPr>
  </w:style>
  <w:style w:type="character" w:styleId="Hyperlink">
    <w:name w:val="Hyperlink"/>
    <w:basedOn w:val="DefaultParagraphFont"/>
    <w:uiPriority w:val="99"/>
    <w:unhideWhenUsed/>
    <w:rsid w:val="006A42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291645"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oi.com/Ouranios/Mousa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570FBC-9CC9-4B90-8860-FE71E479C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5597</TotalTime>
  <Pages>2</Pages>
  <Words>578</Words>
  <Characters>3300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cp:lastModifiedBy>
  <cp:revision>8</cp:revision>
  <dcterms:created xsi:type="dcterms:W3CDTF">2019-01-08T14:35:00Z</dcterms:created>
  <dcterms:modified xsi:type="dcterms:W3CDTF">2019-01-14T22:40:00Z</dcterms:modified>
</cp:coreProperties>
</file>