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D887D1" w14:textId="623FA121" w:rsidR="006D4BDC" w:rsidRDefault="006D4BDC" w:rsidP="006D4BDC">
      <w:pPr>
        <w:rPr>
          <w:b/>
          <w:bCs/>
        </w:rPr>
      </w:pPr>
      <w:r w:rsidRPr="006D4BDC">
        <w:rPr>
          <w:b/>
          <w:bCs/>
        </w:rPr>
        <w:t>Lorna Kelly</w:t>
      </w:r>
      <w:r>
        <w:rPr>
          <w:b/>
          <w:bCs/>
        </w:rPr>
        <w:tab/>
      </w:r>
      <w:r>
        <w:rPr>
          <w:b/>
          <w:bCs/>
        </w:rPr>
        <w:tab/>
      </w:r>
      <w:r>
        <w:rPr>
          <w:b/>
          <w:bCs/>
        </w:rPr>
        <w:tab/>
      </w:r>
      <w:r>
        <w:rPr>
          <w:b/>
          <w:bCs/>
        </w:rPr>
        <w:tab/>
        <w:t xml:space="preserve">      </w:t>
      </w:r>
      <w:bookmarkStart w:id="0" w:name="_GoBack"/>
      <w:bookmarkEnd w:id="0"/>
      <w:r>
        <w:rPr>
          <w:b/>
          <w:bCs/>
        </w:rPr>
        <w:t>HPAR6003</w:t>
      </w:r>
      <w:r>
        <w:rPr>
          <w:b/>
          <w:bCs/>
        </w:rPr>
        <w:tab/>
      </w:r>
      <w:r>
        <w:rPr>
          <w:b/>
          <w:bCs/>
        </w:rPr>
        <w:tab/>
      </w:r>
      <w:r>
        <w:rPr>
          <w:b/>
          <w:bCs/>
        </w:rPr>
        <w:tab/>
      </w:r>
      <w:r>
        <w:rPr>
          <w:b/>
          <w:bCs/>
        </w:rPr>
        <w:tab/>
      </w:r>
      <w:r>
        <w:rPr>
          <w:b/>
          <w:bCs/>
        </w:rPr>
        <w:tab/>
        <w:t>1700914</w:t>
      </w:r>
    </w:p>
    <w:p w14:paraId="0822B405" w14:textId="7EFFFCCA" w:rsidR="006D4BDC" w:rsidRPr="006D4BDC" w:rsidRDefault="006D4BDC" w:rsidP="006D4BDC">
      <w:pPr>
        <w:jc w:val="center"/>
        <w:rPr>
          <w:b/>
          <w:bCs/>
          <w:sz w:val="28"/>
          <w:szCs w:val="28"/>
        </w:rPr>
      </w:pPr>
      <w:r>
        <w:rPr>
          <w:b/>
          <w:bCs/>
          <w:sz w:val="28"/>
          <w:szCs w:val="28"/>
        </w:rPr>
        <w:t>What similarities can be found in the material cultures used in the burial practices of the elite Ancient Egyptian and Ancient Celtic peoples?</w:t>
      </w:r>
    </w:p>
    <w:p w14:paraId="6CA2AE8E" w14:textId="3D91D721" w:rsidR="006D4BDC" w:rsidRDefault="000E4930" w:rsidP="006D4BDC">
      <w:pPr>
        <w:jc w:val="center"/>
        <w:rPr>
          <w:b/>
          <w:bCs/>
          <w:sz w:val="32"/>
          <w:szCs w:val="32"/>
          <w:u w:val="single"/>
        </w:rPr>
      </w:pPr>
      <w:r>
        <w:rPr>
          <w:b/>
          <w:bCs/>
          <w:sz w:val="32"/>
          <w:szCs w:val="32"/>
          <w:u w:val="single"/>
        </w:rPr>
        <w:t>Report</w:t>
      </w:r>
    </w:p>
    <w:p w14:paraId="542CBD49" w14:textId="5D51AD85" w:rsidR="00DC6840" w:rsidRDefault="000E4930" w:rsidP="000E4930">
      <w:pPr>
        <w:rPr>
          <w:sz w:val="24"/>
          <w:szCs w:val="24"/>
        </w:rPr>
      </w:pPr>
      <w:r>
        <w:rPr>
          <w:sz w:val="24"/>
          <w:szCs w:val="24"/>
        </w:rPr>
        <w:t xml:space="preserve">My dissertation is based around the material culture of the ancient world </w:t>
      </w:r>
      <w:r w:rsidR="00B55DF1">
        <w:rPr>
          <w:sz w:val="24"/>
          <w:szCs w:val="24"/>
        </w:rPr>
        <w:t>which was</w:t>
      </w:r>
      <w:r>
        <w:rPr>
          <w:sz w:val="24"/>
          <w:szCs w:val="24"/>
        </w:rPr>
        <w:t xml:space="preserve"> used in burial practices. Due to personal preference and the fact I have</w:t>
      </w:r>
      <w:r w:rsidR="00B55DF1">
        <w:rPr>
          <w:sz w:val="24"/>
          <w:szCs w:val="24"/>
        </w:rPr>
        <w:t xml:space="preserve"> no</w:t>
      </w:r>
      <w:r>
        <w:rPr>
          <w:sz w:val="24"/>
          <w:szCs w:val="24"/>
        </w:rPr>
        <w:t>t been able to find any similar comparative studies</w:t>
      </w:r>
      <w:r w:rsidR="00B55DF1">
        <w:rPr>
          <w:sz w:val="24"/>
          <w:szCs w:val="24"/>
        </w:rPr>
        <w:t>,</w:t>
      </w:r>
      <w:r>
        <w:rPr>
          <w:sz w:val="24"/>
          <w:szCs w:val="24"/>
        </w:rPr>
        <w:t xml:space="preserve"> I have chosen to compare Late period Egypt with </w:t>
      </w:r>
      <w:r w:rsidR="00F43632">
        <w:rPr>
          <w:sz w:val="24"/>
          <w:szCs w:val="24"/>
        </w:rPr>
        <w:t>Hallstatt</w:t>
      </w:r>
      <w:r>
        <w:rPr>
          <w:sz w:val="24"/>
          <w:szCs w:val="24"/>
        </w:rPr>
        <w:t xml:space="preserve"> period Celtic. I chose these periods because the late period date 664-332 BC</w:t>
      </w:r>
      <w:r w:rsidR="00F43632">
        <w:rPr>
          <w:rStyle w:val="FootnoteReference"/>
          <w:sz w:val="24"/>
          <w:szCs w:val="24"/>
        </w:rPr>
        <w:footnoteReference w:id="1"/>
      </w:r>
      <w:r>
        <w:rPr>
          <w:sz w:val="24"/>
          <w:szCs w:val="24"/>
        </w:rPr>
        <w:t xml:space="preserve"> and </w:t>
      </w:r>
      <w:r w:rsidR="00F43632">
        <w:rPr>
          <w:sz w:val="24"/>
          <w:szCs w:val="24"/>
        </w:rPr>
        <w:t xml:space="preserve">Hallstatt </w:t>
      </w:r>
      <w:r>
        <w:rPr>
          <w:sz w:val="24"/>
          <w:szCs w:val="24"/>
        </w:rPr>
        <w:t>period is c.</w:t>
      </w:r>
      <w:r w:rsidR="00F43632">
        <w:rPr>
          <w:sz w:val="24"/>
          <w:szCs w:val="24"/>
        </w:rPr>
        <w:t>750-480 BC</w:t>
      </w:r>
      <w:r w:rsidR="00F43632">
        <w:rPr>
          <w:rStyle w:val="FootnoteReference"/>
          <w:sz w:val="24"/>
          <w:szCs w:val="24"/>
        </w:rPr>
        <w:footnoteReference w:id="2"/>
      </w:r>
      <w:r w:rsidR="00F43632">
        <w:rPr>
          <w:sz w:val="24"/>
          <w:szCs w:val="24"/>
        </w:rPr>
        <w:t xml:space="preserve"> are around the same time to have one similarity to keep the study fair. </w:t>
      </w:r>
      <w:r w:rsidR="005F5CFA">
        <w:rPr>
          <w:sz w:val="24"/>
          <w:szCs w:val="24"/>
        </w:rPr>
        <w:t>More accurate date</w:t>
      </w:r>
      <w:r w:rsidR="00B55DF1">
        <w:rPr>
          <w:sz w:val="24"/>
          <w:szCs w:val="24"/>
        </w:rPr>
        <w:t>s</w:t>
      </w:r>
      <w:r w:rsidR="005F5CFA">
        <w:rPr>
          <w:sz w:val="24"/>
          <w:szCs w:val="24"/>
        </w:rPr>
        <w:t xml:space="preserve"> will be something I need to investigate</w:t>
      </w:r>
      <w:r w:rsidR="00B55DF1">
        <w:rPr>
          <w:sz w:val="24"/>
          <w:szCs w:val="24"/>
        </w:rPr>
        <w:t xml:space="preserve"> further</w:t>
      </w:r>
      <w:r w:rsidR="005F5CFA">
        <w:rPr>
          <w:sz w:val="24"/>
          <w:szCs w:val="24"/>
        </w:rPr>
        <w:t xml:space="preserve"> because I will be using the Princess of Vix tomb as the Celtic example</w:t>
      </w:r>
      <w:r w:rsidR="00B55DF1">
        <w:rPr>
          <w:sz w:val="24"/>
          <w:szCs w:val="24"/>
        </w:rPr>
        <w:t xml:space="preserve"> and have yet to decide on the Egyptian example</w:t>
      </w:r>
      <w:r w:rsidR="005F5CFA">
        <w:rPr>
          <w:sz w:val="24"/>
          <w:szCs w:val="24"/>
        </w:rPr>
        <w:t>. The similar dates do not mean that both civili</w:t>
      </w:r>
      <w:r w:rsidR="00B55DF1">
        <w:rPr>
          <w:sz w:val="24"/>
          <w:szCs w:val="24"/>
        </w:rPr>
        <w:t>s</w:t>
      </w:r>
      <w:r w:rsidR="005F5CFA">
        <w:rPr>
          <w:sz w:val="24"/>
          <w:szCs w:val="24"/>
        </w:rPr>
        <w:t>ations were at the same point of development. Late Period Egypt is the last dynastic period, having dynasties 26-3</w:t>
      </w:r>
      <w:r w:rsidR="00B55DF1">
        <w:rPr>
          <w:sz w:val="24"/>
          <w:szCs w:val="24"/>
        </w:rPr>
        <w:t>1</w:t>
      </w:r>
      <w:r w:rsidR="00207731">
        <w:rPr>
          <w:sz w:val="24"/>
          <w:szCs w:val="24"/>
        </w:rPr>
        <w:t xml:space="preserve"> before and during which foreign cultures conquered</w:t>
      </w:r>
      <w:r w:rsidR="00B55DF1">
        <w:rPr>
          <w:sz w:val="24"/>
          <w:szCs w:val="24"/>
        </w:rPr>
        <w:t xml:space="preserve"> Egypt</w:t>
      </w:r>
      <w:r w:rsidR="005F5CFA">
        <w:rPr>
          <w:rStyle w:val="FootnoteReference"/>
          <w:sz w:val="24"/>
          <w:szCs w:val="24"/>
        </w:rPr>
        <w:footnoteReference w:id="3"/>
      </w:r>
      <w:r w:rsidR="005F5CFA">
        <w:rPr>
          <w:sz w:val="24"/>
          <w:szCs w:val="24"/>
        </w:rPr>
        <w:t xml:space="preserve"> meaning that their civili</w:t>
      </w:r>
      <w:r w:rsidR="00B55DF1">
        <w:rPr>
          <w:sz w:val="24"/>
          <w:szCs w:val="24"/>
        </w:rPr>
        <w:t>s</w:t>
      </w:r>
      <w:r w:rsidR="005F5CFA">
        <w:rPr>
          <w:sz w:val="24"/>
          <w:szCs w:val="24"/>
        </w:rPr>
        <w:t>ation</w:t>
      </w:r>
      <w:r w:rsidR="00B55DF1">
        <w:rPr>
          <w:sz w:val="24"/>
          <w:szCs w:val="24"/>
        </w:rPr>
        <w:t xml:space="preserve"> which</w:t>
      </w:r>
      <w:r w:rsidR="005F5CFA">
        <w:rPr>
          <w:sz w:val="24"/>
          <w:szCs w:val="24"/>
        </w:rPr>
        <w:t xml:space="preserve"> has </w:t>
      </w:r>
      <w:r w:rsidR="00DC6840">
        <w:rPr>
          <w:sz w:val="24"/>
          <w:szCs w:val="24"/>
        </w:rPr>
        <w:t>developed in the 3000 years before</w:t>
      </w:r>
      <w:r w:rsidR="00207731">
        <w:rPr>
          <w:sz w:val="24"/>
          <w:szCs w:val="24"/>
        </w:rPr>
        <w:t xml:space="preserve"> was starting to ebb and fade with foreign influence</w:t>
      </w:r>
      <w:r w:rsidR="00B55DF1">
        <w:rPr>
          <w:sz w:val="24"/>
          <w:szCs w:val="24"/>
        </w:rPr>
        <w:t>s</w:t>
      </w:r>
      <w:r w:rsidR="00DC6840">
        <w:rPr>
          <w:sz w:val="24"/>
          <w:szCs w:val="24"/>
        </w:rPr>
        <w:t>. Comparatively the Hallstatt period is the general name for the similar material culture in middle and western Europe. The ‘Celtic’ civilization is fragmented and more like a gathering of like-minded cultures with similar art and language.</w:t>
      </w:r>
      <w:r w:rsidR="00DC6840">
        <w:rPr>
          <w:rStyle w:val="FootnoteReference"/>
          <w:sz w:val="24"/>
          <w:szCs w:val="24"/>
        </w:rPr>
        <w:footnoteReference w:id="4"/>
      </w:r>
      <w:r w:rsidR="00DC6840">
        <w:rPr>
          <w:sz w:val="24"/>
          <w:szCs w:val="24"/>
        </w:rPr>
        <w:t xml:space="preserve"> Both civili</w:t>
      </w:r>
      <w:r w:rsidR="00B55DF1">
        <w:rPr>
          <w:sz w:val="24"/>
          <w:szCs w:val="24"/>
        </w:rPr>
        <w:t>s</w:t>
      </w:r>
      <w:r w:rsidR="00DC6840">
        <w:rPr>
          <w:sz w:val="24"/>
          <w:szCs w:val="24"/>
        </w:rPr>
        <w:t xml:space="preserve">ations have a unified language and use art to commemorate places and people of great influence. I need to continue to investigate each period generally but as this not the </w:t>
      </w:r>
      <w:r w:rsidR="00EA45D1">
        <w:rPr>
          <w:sz w:val="24"/>
          <w:szCs w:val="24"/>
        </w:rPr>
        <w:t>focus</w:t>
      </w:r>
      <w:r w:rsidR="00DC6840">
        <w:rPr>
          <w:sz w:val="24"/>
          <w:szCs w:val="24"/>
        </w:rPr>
        <w:t xml:space="preserve"> of my dissertation I have limited how much I research</w:t>
      </w:r>
      <w:r w:rsidR="00B55DF1">
        <w:rPr>
          <w:sz w:val="24"/>
          <w:szCs w:val="24"/>
        </w:rPr>
        <w:t xml:space="preserve"> this point</w:t>
      </w:r>
      <w:r w:rsidR="00DC6840">
        <w:rPr>
          <w:sz w:val="24"/>
          <w:szCs w:val="24"/>
        </w:rPr>
        <w:t>.</w:t>
      </w:r>
    </w:p>
    <w:p w14:paraId="4BDF5CFC" w14:textId="33307F01" w:rsidR="00DC6840" w:rsidRDefault="00DC6840" w:rsidP="000E4930">
      <w:pPr>
        <w:rPr>
          <w:sz w:val="24"/>
          <w:szCs w:val="24"/>
        </w:rPr>
      </w:pPr>
      <w:r>
        <w:rPr>
          <w:sz w:val="24"/>
          <w:szCs w:val="24"/>
        </w:rPr>
        <w:t xml:space="preserve">My dissertation is going to be made up of 4 chapters with subtitles to structure </w:t>
      </w:r>
      <w:r w:rsidR="00EA45D1">
        <w:rPr>
          <w:sz w:val="24"/>
          <w:szCs w:val="24"/>
        </w:rPr>
        <w:t>it, so that the reader has an easier time following my thought and research process. The 1</w:t>
      </w:r>
      <w:r w:rsidR="00EA45D1" w:rsidRPr="00EA45D1">
        <w:rPr>
          <w:sz w:val="24"/>
          <w:szCs w:val="24"/>
          <w:vertAlign w:val="superscript"/>
        </w:rPr>
        <w:t>st</w:t>
      </w:r>
      <w:r w:rsidR="00EA45D1">
        <w:rPr>
          <w:sz w:val="24"/>
          <w:szCs w:val="24"/>
        </w:rPr>
        <w:t xml:space="preserve"> chapter is the </w:t>
      </w:r>
      <w:r w:rsidR="00B55DF1">
        <w:rPr>
          <w:sz w:val="24"/>
          <w:szCs w:val="24"/>
        </w:rPr>
        <w:t>i</w:t>
      </w:r>
      <w:r w:rsidR="00EA45D1">
        <w:rPr>
          <w:sz w:val="24"/>
          <w:szCs w:val="24"/>
        </w:rPr>
        <w:t xml:space="preserve">ntroduction; this will include background information on each civilization along with why I chose them, a map will be used to show the distance between and the landscape of both areas. </w:t>
      </w:r>
      <w:r w:rsidR="00AA2A6D">
        <w:rPr>
          <w:sz w:val="24"/>
          <w:szCs w:val="24"/>
        </w:rPr>
        <w:t>It will discuss my aims and what I will cover in my dissertation</w:t>
      </w:r>
      <w:r w:rsidR="00B55DF1">
        <w:rPr>
          <w:sz w:val="24"/>
          <w:szCs w:val="24"/>
        </w:rPr>
        <w:t>.</w:t>
      </w:r>
    </w:p>
    <w:p w14:paraId="3E8E700A" w14:textId="7C9366B5" w:rsidR="00AA2A6D" w:rsidRDefault="00EA45D1" w:rsidP="000E4930">
      <w:pPr>
        <w:rPr>
          <w:sz w:val="24"/>
          <w:szCs w:val="24"/>
        </w:rPr>
      </w:pPr>
      <w:r>
        <w:rPr>
          <w:sz w:val="24"/>
          <w:szCs w:val="24"/>
        </w:rPr>
        <w:t>The 2</w:t>
      </w:r>
      <w:r w:rsidRPr="00EA45D1">
        <w:rPr>
          <w:sz w:val="24"/>
          <w:szCs w:val="24"/>
          <w:vertAlign w:val="superscript"/>
        </w:rPr>
        <w:t>nd</w:t>
      </w:r>
      <w:r>
        <w:rPr>
          <w:sz w:val="24"/>
          <w:szCs w:val="24"/>
        </w:rPr>
        <w:t xml:space="preserve"> chapter will be an analysis of a Late period Egyptian tomb; this will include dates and general overview of similar tombs of the time before focusing on one, this one </w:t>
      </w:r>
      <w:r w:rsidR="00AA2A6D">
        <w:rPr>
          <w:sz w:val="24"/>
          <w:szCs w:val="24"/>
        </w:rPr>
        <w:t xml:space="preserve">will </w:t>
      </w:r>
      <w:r>
        <w:rPr>
          <w:sz w:val="24"/>
          <w:szCs w:val="24"/>
        </w:rPr>
        <w:t xml:space="preserve">have images found of the material culture and decorations of the tomb. Each image </w:t>
      </w:r>
      <w:r w:rsidR="00AA2A6D">
        <w:rPr>
          <w:sz w:val="24"/>
          <w:szCs w:val="24"/>
        </w:rPr>
        <w:t>will help with the comparison later because I work better with objects. It is doubtful that I can cover all the material culture in the tomb, and I will have to limit it to t</w:t>
      </w:r>
      <w:r w:rsidR="00B55DF1">
        <w:rPr>
          <w:sz w:val="24"/>
          <w:szCs w:val="24"/>
        </w:rPr>
        <w:t>h</w:t>
      </w:r>
      <w:r w:rsidR="00AA2A6D">
        <w:rPr>
          <w:sz w:val="24"/>
          <w:szCs w:val="24"/>
        </w:rPr>
        <w:t>ree areas; personal items of deceased, raw materials used (gems, gold, etc.) and gender associated</w:t>
      </w:r>
      <w:r w:rsidR="00B55DF1">
        <w:rPr>
          <w:sz w:val="24"/>
          <w:szCs w:val="24"/>
        </w:rPr>
        <w:t xml:space="preserve"> with the material</w:t>
      </w:r>
      <w:r w:rsidR="00AA2A6D">
        <w:rPr>
          <w:sz w:val="24"/>
          <w:szCs w:val="24"/>
        </w:rPr>
        <w:t xml:space="preserve">. </w:t>
      </w:r>
    </w:p>
    <w:p w14:paraId="656AABA3" w14:textId="270A8177" w:rsidR="00AA2A6D" w:rsidRDefault="00B74305" w:rsidP="000E4930">
      <w:pPr>
        <w:rPr>
          <w:sz w:val="24"/>
          <w:szCs w:val="24"/>
        </w:rPr>
      </w:pPr>
      <w:r>
        <w:rPr>
          <w:sz w:val="24"/>
          <w:szCs w:val="24"/>
        </w:rPr>
        <w:t>The 3</w:t>
      </w:r>
      <w:r w:rsidRPr="00B74305">
        <w:rPr>
          <w:sz w:val="24"/>
          <w:szCs w:val="24"/>
          <w:vertAlign w:val="superscript"/>
        </w:rPr>
        <w:t>rd</w:t>
      </w:r>
      <w:r>
        <w:rPr>
          <w:sz w:val="24"/>
          <w:szCs w:val="24"/>
        </w:rPr>
        <w:t xml:space="preserve"> chapter will be an analysis of the Princess of Vix tomb in modern Burgundy</w:t>
      </w:r>
      <w:r w:rsidR="006715A4">
        <w:rPr>
          <w:rStyle w:val="FootnoteReference"/>
          <w:sz w:val="24"/>
          <w:szCs w:val="24"/>
        </w:rPr>
        <w:footnoteReference w:id="5"/>
      </w:r>
      <w:r>
        <w:rPr>
          <w:sz w:val="24"/>
          <w:szCs w:val="24"/>
        </w:rPr>
        <w:t xml:space="preserve">; this will include dates and a general view of where other similar tombs have been found before I focus on this one. I will attempt to give the same level of analysis and interpretation as the </w:t>
      </w:r>
      <w:r>
        <w:rPr>
          <w:sz w:val="24"/>
          <w:szCs w:val="24"/>
        </w:rPr>
        <w:lastRenderedPageBreak/>
        <w:t>Egyptian tomb using images to help, because I intent to visit this site to learn more. I can not do this for both sites due to how expensive it is.</w:t>
      </w:r>
    </w:p>
    <w:p w14:paraId="7AA0C506" w14:textId="581050CE" w:rsidR="00AA2A6D" w:rsidRDefault="00B74305" w:rsidP="000E4930">
      <w:pPr>
        <w:rPr>
          <w:sz w:val="24"/>
          <w:szCs w:val="24"/>
        </w:rPr>
      </w:pPr>
      <w:r>
        <w:rPr>
          <w:sz w:val="24"/>
          <w:szCs w:val="24"/>
        </w:rPr>
        <w:t>My final chapter will be the comparison and conclusion. This will be the chapter where I focus on what elements of the tombs are the same and why this might be. Images from earlier may come up again but next to one another to help the reader fully compare them.</w:t>
      </w:r>
      <w:r w:rsidR="000320B3">
        <w:rPr>
          <w:sz w:val="24"/>
          <w:szCs w:val="24"/>
        </w:rPr>
        <w:t xml:space="preserve"> My conclusion should completely answer my research question “What similarities can be found in the material culture used in the burial practices of elite ancient Egyptians and ancient Celtic peoples?”</w:t>
      </w:r>
    </w:p>
    <w:p w14:paraId="0A73CB53" w14:textId="0AC9DD38" w:rsidR="00EA45D1" w:rsidRDefault="00AA2A6D" w:rsidP="000E4930">
      <w:pPr>
        <w:rPr>
          <w:sz w:val="24"/>
          <w:szCs w:val="24"/>
        </w:rPr>
      </w:pPr>
      <w:r>
        <w:rPr>
          <w:sz w:val="24"/>
          <w:szCs w:val="24"/>
        </w:rPr>
        <w:t>To help separated the 2 civilizations and the chapters I am going to use either different colour paper, a Papyrus colour for Egypt and a clay colour for the Celts before mixing them in the chapter on comparison and introduction. I may also</w:t>
      </w:r>
      <w:r w:rsidR="00B55DF1">
        <w:rPr>
          <w:sz w:val="24"/>
          <w:szCs w:val="24"/>
        </w:rPr>
        <w:t xml:space="preserve"> or instead</w:t>
      </w:r>
      <w:r>
        <w:rPr>
          <w:sz w:val="24"/>
          <w:szCs w:val="24"/>
        </w:rPr>
        <w:t xml:space="preserve"> use Hieroglyphics and Ogham at the corners, sides or tops of pages to show which civilization </w:t>
      </w:r>
      <w:r w:rsidR="00B74305">
        <w:rPr>
          <w:sz w:val="24"/>
          <w:szCs w:val="24"/>
        </w:rPr>
        <w:t xml:space="preserve">I am talking about. </w:t>
      </w:r>
    </w:p>
    <w:p w14:paraId="56431183" w14:textId="28CD54CE" w:rsidR="000320B3" w:rsidRDefault="000320B3" w:rsidP="000E4930">
      <w:pPr>
        <w:rPr>
          <w:sz w:val="24"/>
          <w:szCs w:val="24"/>
        </w:rPr>
      </w:pPr>
      <w:r>
        <w:rPr>
          <w:sz w:val="24"/>
          <w:szCs w:val="24"/>
        </w:rPr>
        <w:t>Chapters 2 and 3 is where I am going to be going into detail analysing what and why material culture was used in each tomb. I will not be looking at the geographic location of the tomb past a history of discovery and where objects have gone because I more interested in what is inside</w:t>
      </w:r>
      <w:r w:rsidR="00B55DF1">
        <w:rPr>
          <w:sz w:val="24"/>
          <w:szCs w:val="24"/>
        </w:rPr>
        <w:t xml:space="preserve"> the tomb</w:t>
      </w:r>
      <w:r>
        <w:rPr>
          <w:sz w:val="24"/>
          <w:szCs w:val="24"/>
        </w:rPr>
        <w:t xml:space="preserve">. It may be mentioned in the comparative chapter if it holds influence on the material culture within. The material culture will be interpreted and compared in 4 categories: grave goods, </w:t>
      </w:r>
      <w:r w:rsidR="006715A4">
        <w:rPr>
          <w:sz w:val="24"/>
          <w:szCs w:val="24"/>
        </w:rPr>
        <w:t>location relevant to each other</w:t>
      </w:r>
      <w:r>
        <w:rPr>
          <w:sz w:val="24"/>
          <w:szCs w:val="24"/>
        </w:rPr>
        <w:t xml:space="preserve">, raw materials and gender focus. </w:t>
      </w:r>
    </w:p>
    <w:p w14:paraId="7680D44E" w14:textId="4D5739A1" w:rsidR="000320B3" w:rsidRDefault="000320B3" w:rsidP="000E4930">
      <w:pPr>
        <w:rPr>
          <w:sz w:val="24"/>
          <w:szCs w:val="24"/>
        </w:rPr>
      </w:pPr>
      <w:r>
        <w:rPr>
          <w:sz w:val="24"/>
          <w:szCs w:val="24"/>
        </w:rPr>
        <w:t>The main archaeological theory I am going to take influence from is materiality</w:t>
      </w:r>
      <w:r w:rsidR="00505625">
        <w:rPr>
          <w:sz w:val="24"/>
          <w:szCs w:val="24"/>
        </w:rPr>
        <w:t xml:space="preserve"> and how each of the civilisations associated artefacts and materials with death. Furthermore, do both cultures associate the same colours, materials or symbols despite difference in locati</w:t>
      </w:r>
      <w:r w:rsidR="006715A4">
        <w:rPr>
          <w:sz w:val="24"/>
          <w:szCs w:val="24"/>
        </w:rPr>
        <w:t xml:space="preserve">on, </w:t>
      </w:r>
      <w:r w:rsidR="00505625">
        <w:rPr>
          <w:sz w:val="24"/>
          <w:szCs w:val="24"/>
        </w:rPr>
        <w:t xml:space="preserve">development and were they used for the same purpose. If </w:t>
      </w:r>
      <w:r w:rsidR="006715A4">
        <w:rPr>
          <w:sz w:val="24"/>
          <w:szCs w:val="24"/>
        </w:rPr>
        <w:t>so,</w:t>
      </w:r>
      <w:r w:rsidR="00505625">
        <w:rPr>
          <w:sz w:val="24"/>
          <w:szCs w:val="24"/>
        </w:rPr>
        <w:t xml:space="preserve"> does </w:t>
      </w:r>
      <w:r w:rsidR="006715A4">
        <w:rPr>
          <w:sz w:val="24"/>
          <w:szCs w:val="24"/>
        </w:rPr>
        <w:t>this</w:t>
      </w:r>
      <w:r w:rsidR="00505625">
        <w:rPr>
          <w:sz w:val="24"/>
          <w:szCs w:val="24"/>
        </w:rPr>
        <w:t xml:space="preserve"> mean contact between peoples directly or indirectly from </w:t>
      </w:r>
      <w:r w:rsidR="006715A4">
        <w:rPr>
          <w:sz w:val="24"/>
          <w:szCs w:val="24"/>
        </w:rPr>
        <w:t xml:space="preserve">the </w:t>
      </w:r>
      <w:r w:rsidR="00505625">
        <w:rPr>
          <w:sz w:val="24"/>
          <w:szCs w:val="24"/>
        </w:rPr>
        <w:t xml:space="preserve">Mediterranean </w:t>
      </w:r>
      <w:r w:rsidR="006715A4">
        <w:rPr>
          <w:sz w:val="24"/>
          <w:szCs w:val="24"/>
        </w:rPr>
        <w:t>cultures</w:t>
      </w:r>
      <w:r w:rsidR="00505625">
        <w:rPr>
          <w:sz w:val="24"/>
          <w:szCs w:val="24"/>
        </w:rPr>
        <w:t xml:space="preserve"> between. </w:t>
      </w:r>
    </w:p>
    <w:p w14:paraId="4ABCE9C8" w14:textId="7FB23058" w:rsidR="00505625" w:rsidRDefault="00505625" w:rsidP="000E4930">
      <w:pPr>
        <w:rPr>
          <w:sz w:val="24"/>
          <w:szCs w:val="24"/>
        </w:rPr>
      </w:pPr>
      <w:r>
        <w:rPr>
          <w:sz w:val="24"/>
          <w:szCs w:val="24"/>
        </w:rPr>
        <w:t>I have defined a civilisation from David Wengrows ‘What makes a civilisation?’</w:t>
      </w:r>
      <w:r>
        <w:rPr>
          <w:rStyle w:val="FootnoteReference"/>
          <w:sz w:val="24"/>
          <w:szCs w:val="24"/>
        </w:rPr>
        <w:footnoteReference w:id="6"/>
      </w:r>
      <w:r>
        <w:rPr>
          <w:sz w:val="24"/>
          <w:szCs w:val="24"/>
        </w:rPr>
        <w:t xml:space="preserve"> Using this definition shows the Celts and Egyptians are at different points, both because of how long they have been a civilisation and how much area their civilisation has been said to include. With this definition Egypt i</w:t>
      </w:r>
      <w:r w:rsidR="00C35799">
        <w:rPr>
          <w:sz w:val="24"/>
          <w:szCs w:val="24"/>
        </w:rPr>
        <w:t>s</w:t>
      </w:r>
      <w:r>
        <w:rPr>
          <w:sz w:val="24"/>
          <w:szCs w:val="24"/>
        </w:rPr>
        <w:t xml:space="preserve"> more civilised than the </w:t>
      </w:r>
      <w:r w:rsidR="00C35799">
        <w:rPr>
          <w:sz w:val="24"/>
          <w:szCs w:val="24"/>
        </w:rPr>
        <w:t>C</w:t>
      </w:r>
      <w:r>
        <w:rPr>
          <w:sz w:val="24"/>
          <w:szCs w:val="24"/>
        </w:rPr>
        <w:t xml:space="preserve">elts because they have a working </w:t>
      </w:r>
      <w:r w:rsidR="00C35799">
        <w:rPr>
          <w:sz w:val="24"/>
          <w:szCs w:val="24"/>
        </w:rPr>
        <w:t>centralised</w:t>
      </w:r>
      <w:r>
        <w:rPr>
          <w:sz w:val="24"/>
          <w:szCs w:val="24"/>
        </w:rPr>
        <w:t xml:space="preserve"> government, a high level of craft specialisation and </w:t>
      </w:r>
      <w:r w:rsidR="00C35799">
        <w:rPr>
          <w:sz w:val="24"/>
          <w:szCs w:val="24"/>
        </w:rPr>
        <w:t>multiple levels of written language</w:t>
      </w:r>
      <w:r w:rsidR="00C35799">
        <w:rPr>
          <w:rStyle w:val="FootnoteReference"/>
          <w:sz w:val="24"/>
          <w:szCs w:val="24"/>
        </w:rPr>
        <w:footnoteReference w:id="7"/>
      </w:r>
      <w:r w:rsidR="00C35799">
        <w:rPr>
          <w:sz w:val="24"/>
          <w:szCs w:val="24"/>
        </w:rPr>
        <w:t>. Barry Cunliffe’s ‘The Ancient Celts’</w:t>
      </w:r>
      <w:r w:rsidR="006715A4">
        <w:rPr>
          <w:rStyle w:val="FootnoteReference"/>
          <w:sz w:val="24"/>
          <w:szCs w:val="24"/>
        </w:rPr>
        <w:footnoteReference w:id="8"/>
      </w:r>
      <w:r w:rsidR="00C35799">
        <w:rPr>
          <w:sz w:val="24"/>
          <w:szCs w:val="24"/>
        </w:rPr>
        <w:t xml:space="preserve"> is one of the books I have found very useful in giving facts on what is included in the Celtic world than others because the last 100 years of Celtic revival mean that a lot of fictious ideas have been put forward as fact</w:t>
      </w:r>
      <w:r w:rsidR="00C35799">
        <w:rPr>
          <w:rStyle w:val="FootnoteReference"/>
          <w:sz w:val="24"/>
          <w:szCs w:val="24"/>
        </w:rPr>
        <w:footnoteReference w:id="9"/>
      </w:r>
      <w:r w:rsidR="00C35799">
        <w:rPr>
          <w:sz w:val="24"/>
          <w:szCs w:val="24"/>
        </w:rPr>
        <w:t>. Joh</w:t>
      </w:r>
      <w:r w:rsidR="006715A4">
        <w:rPr>
          <w:sz w:val="24"/>
          <w:szCs w:val="24"/>
        </w:rPr>
        <w:t>n</w:t>
      </w:r>
      <w:r w:rsidR="00C35799">
        <w:rPr>
          <w:sz w:val="24"/>
          <w:szCs w:val="24"/>
        </w:rPr>
        <w:t xml:space="preserve"> H. Taylors ‘Death and the afterlife in ancient Egypt’</w:t>
      </w:r>
      <w:r w:rsidR="00D82E77">
        <w:rPr>
          <w:rStyle w:val="FootnoteReference"/>
          <w:sz w:val="24"/>
          <w:szCs w:val="24"/>
        </w:rPr>
        <w:footnoteReference w:id="10"/>
      </w:r>
      <w:r w:rsidR="00C35799">
        <w:rPr>
          <w:sz w:val="24"/>
          <w:szCs w:val="24"/>
        </w:rPr>
        <w:t xml:space="preserve"> is the book I am going through for information on what </w:t>
      </w:r>
      <w:r w:rsidR="006715A4">
        <w:rPr>
          <w:sz w:val="24"/>
          <w:szCs w:val="24"/>
        </w:rPr>
        <w:t xml:space="preserve">material is expected to be </w:t>
      </w:r>
      <w:r w:rsidR="00C35799">
        <w:rPr>
          <w:sz w:val="24"/>
          <w:szCs w:val="24"/>
        </w:rPr>
        <w:t>include</w:t>
      </w:r>
      <w:r w:rsidR="006715A4">
        <w:rPr>
          <w:sz w:val="24"/>
          <w:szCs w:val="24"/>
        </w:rPr>
        <w:t>d</w:t>
      </w:r>
      <w:r w:rsidR="00C35799">
        <w:rPr>
          <w:sz w:val="24"/>
          <w:szCs w:val="24"/>
        </w:rPr>
        <w:t xml:space="preserve"> in </w:t>
      </w:r>
      <w:r w:rsidR="006715A4">
        <w:rPr>
          <w:sz w:val="24"/>
          <w:szCs w:val="24"/>
        </w:rPr>
        <w:t xml:space="preserve">the </w:t>
      </w:r>
      <w:r w:rsidR="00C35799">
        <w:rPr>
          <w:sz w:val="24"/>
          <w:szCs w:val="24"/>
        </w:rPr>
        <w:t xml:space="preserve">burial practices </w:t>
      </w:r>
      <w:r w:rsidR="006715A4">
        <w:rPr>
          <w:sz w:val="24"/>
          <w:szCs w:val="24"/>
        </w:rPr>
        <w:t xml:space="preserve">in Egypt </w:t>
      </w:r>
      <w:r w:rsidR="00C35799">
        <w:rPr>
          <w:sz w:val="24"/>
          <w:szCs w:val="24"/>
        </w:rPr>
        <w:t>and why</w:t>
      </w:r>
      <w:r w:rsidR="006715A4">
        <w:rPr>
          <w:sz w:val="24"/>
          <w:szCs w:val="24"/>
        </w:rPr>
        <w:t xml:space="preserve">. </w:t>
      </w:r>
      <w:r w:rsidR="00D82E77">
        <w:rPr>
          <w:sz w:val="24"/>
          <w:szCs w:val="24"/>
        </w:rPr>
        <w:t xml:space="preserve">Whether it was due to </w:t>
      </w:r>
      <w:r w:rsidR="00572335">
        <w:rPr>
          <w:sz w:val="24"/>
          <w:szCs w:val="24"/>
        </w:rPr>
        <w:t xml:space="preserve">the religious purpose of the material culture </w:t>
      </w:r>
      <w:r w:rsidR="006715A4">
        <w:rPr>
          <w:sz w:val="24"/>
          <w:szCs w:val="24"/>
        </w:rPr>
        <w:t xml:space="preserve">or another reason </w:t>
      </w:r>
      <w:r w:rsidR="00572335">
        <w:rPr>
          <w:sz w:val="24"/>
          <w:szCs w:val="24"/>
        </w:rPr>
        <w:t>is another possible point of comparison</w:t>
      </w:r>
      <w:r w:rsidR="006715A4">
        <w:rPr>
          <w:sz w:val="24"/>
          <w:szCs w:val="24"/>
        </w:rPr>
        <w:t xml:space="preserve"> I can include in my dissertation.</w:t>
      </w:r>
    </w:p>
    <w:p w14:paraId="0FB01AB1" w14:textId="4D3309AA" w:rsidR="00311EE8" w:rsidRDefault="00311EE8" w:rsidP="000E4930">
      <w:pPr>
        <w:rPr>
          <w:sz w:val="24"/>
          <w:szCs w:val="24"/>
        </w:rPr>
      </w:pPr>
    </w:p>
    <w:p w14:paraId="3A0690CE" w14:textId="28EE04B5" w:rsidR="00A773EE" w:rsidRDefault="00A773EE" w:rsidP="000E4930">
      <w:pPr>
        <w:rPr>
          <w:sz w:val="24"/>
          <w:szCs w:val="24"/>
        </w:rPr>
      </w:pPr>
    </w:p>
    <w:p w14:paraId="4E374D60" w14:textId="77777777" w:rsidR="00A773EE" w:rsidRDefault="00A773EE" w:rsidP="000E4930">
      <w:pPr>
        <w:rPr>
          <w:sz w:val="24"/>
          <w:szCs w:val="24"/>
        </w:rPr>
      </w:pPr>
    </w:p>
    <w:p w14:paraId="04319029" w14:textId="32678C88" w:rsidR="00311EE8" w:rsidRPr="00207731" w:rsidRDefault="00311EE8" w:rsidP="000E4930">
      <w:pPr>
        <w:rPr>
          <w:b/>
          <w:bCs/>
          <w:sz w:val="24"/>
          <w:szCs w:val="24"/>
        </w:rPr>
      </w:pPr>
      <w:r w:rsidRPr="00207731">
        <w:rPr>
          <w:b/>
          <w:bCs/>
          <w:sz w:val="24"/>
          <w:szCs w:val="24"/>
        </w:rPr>
        <w:t>Bibliography</w:t>
      </w:r>
    </w:p>
    <w:p w14:paraId="69453A1F" w14:textId="789B7FEA" w:rsidR="00311EE8" w:rsidRDefault="00311EE8" w:rsidP="000E4930">
      <w:pPr>
        <w:rPr>
          <w:sz w:val="24"/>
          <w:szCs w:val="24"/>
        </w:rPr>
      </w:pPr>
      <w:r>
        <w:rPr>
          <w:sz w:val="24"/>
          <w:szCs w:val="24"/>
        </w:rPr>
        <w:t>Cunliffe, B. 2018. The Ancient Celts. 2</w:t>
      </w:r>
      <w:r w:rsidRPr="00311EE8">
        <w:rPr>
          <w:sz w:val="24"/>
          <w:szCs w:val="24"/>
          <w:vertAlign w:val="superscript"/>
        </w:rPr>
        <w:t>nd</w:t>
      </w:r>
      <w:r>
        <w:rPr>
          <w:sz w:val="24"/>
          <w:szCs w:val="24"/>
        </w:rPr>
        <w:t xml:space="preserve"> ed. Oxford university Press. Oxford.</w:t>
      </w:r>
    </w:p>
    <w:p w14:paraId="00872C1F" w14:textId="68EA71CB" w:rsidR="006715A4" w:rsidRDefault="006715A4" w:rsidP="000E4930">
      <w:pPr>
        <w:rPr>
          <w:sz w:val="24"/>
          <w:szCs w:val="24"/>
        </w:rPr>
      </w:pPr>
      <w:r>
        <w:t>Elu</w:t>
      </w:r>
      <m:oMath>
        <m:acc>
          <m:accPr>
            <m:chr m:val="̀"/>
            <m:ctrlPr>
              <w:rPr>
                <w:rFonts w:ascii="Cambria Math" w:hAnsi="Cambria Math"/>
                <w:i/>
                <w:sz w:val="20"/>
                <w:szCs w:val="20"/>
              </w:rPr>
            </m:ctrlPr>
          </m:accPr>
          <m:e>
            <m:r>
              <w:rPr>
                <w:rFonts w:ascii="Cambria Math" w:hAnsi="Cambria Math"/>
              </w:rPr>
              <m:t>e</m:t>
            </m:r>
          </m:e>
        </m:acc>
      </m:oMath>
      <w:r>
        <w:t>re, C. 1993. The Celtis first masters of Europe. Thames and Hudson. London.</w:t>
      </w:r>
    </w:p>
    <w:p w14:paraId="33F8FA9F" w14:textId="71B36C44" w:rsidR="00207731" w:rsidRDefault="00311EE8" w:rsidP="00207731">
      <w:pPr>
        <w:rPr>
          <w:sz w:val="24"/>
          <w:szCs w:val="24"/>
        </w:rPr>
      </w:pPr>
      <w:r>
        <w:rPr>
          <w:sz w:val="24"/>
          <w:szCs w:val="24"/>
        </w:rPr>
        <w:t>Maier, B. Trans. Windle, K. 2003. The Celts: A history from the earliest times to the present. Edinburgh university Press. Edinburgh</w:t>
      </w:r>
      <w:r w:rsidR="00207731">
        <w:rPr>
          <w:sz w:val="24"/>
          <w:szCs w:val="24"/>
        </w:rPr>
        <w:t>.</w:t>
      </w:r>
      <w:r w:rsidR="00207731" w:rsidRPr="00207731">
        <w:rPr>
          <w:sz w:val="24"/>
          <w:szCs w:val="24"/>
        </w:rPr>
        <w:t xml:space="preserve"> </w:t>
      </w:r>
    </w:p>
    <w:p w14:paraId="76E7D8D0" w14:textId="45A22613" w:rsidR="00311EE8" w:rsidRDefault="00207731" w:rsidP="000E4930">
      <w:pPr>
        <w:rPr>
          <w:sz w:val="24"/>
          <w:szCs w:val="24"/>
        </w:rPr>
      </w:pPr>
      <w:r>
        <w:rPr>
          <w:sz w:val="24"/>
          <w:szCs w:val="24"/>
        </w:rPr>
        <w:t>Shaw, G.J. 2014. The Egyptian Myths: A guide to the Ancient Gods and Legends. Thames and Hudson. London.</w:t>
      </w:r>
    </w:p>
    <w:p w14:paraId="44FD6CED" w14:textId="099751E8" w:rsidR="00207731" w:rsidRDefault="00207731" w:rsidP="000E4930">
      <w:pPr>
        <w:rPr>
          <w:sz w:val="24"/>
          <w:szCs w:val="24"/>
        </w:rPr>
      </w:pPr>
      <w:r>
        <w:rPr>
          <w:sz w:val="24"/>
          <w:szCs w:val="24"/>
        </w:rPr>
        <w:t>Taylor, J. H. 2001. Death and the Afterlife in Ancient Egypt. British museum Press. London.</w:t>
      </w:r>
    </w:p>
    <w:p w14:paraId="71885B31" w14:textId="33E7B6FF" w:rsidR="00311EE8" w:rsidRPr="000E4930" w:rsidRDefault="00207731" w:rsidP="000E4930">
      <w:pPr>
        <w:rPr>
          <w:sz w:val="24"/>
          <w:szCs w:val="24"/>
        </w:rPr>
      </w:pPr>
      <w:r>
        <w:rPr>
          <w:sz w:val="24"/>
          <w:szCs w:val="24"/>
        </w:rPr>
        <w:t>Wengrow, D. 2010. What makes Civilization? The ancient near east and the future of the west. Oxford university Press. Oxford.</w:t>
      </w:r>
    </w:p>
    <w:sectPr w:rsidR="00311EE8" w:rsidRPr="000E49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976FDE" w14:textId="77777777" w:rsidR="00B01C71" w:rsidRDefault="00B01C71" w:rsidP="00F43632">
      <w:pPr>
        <w:spacing w:after="0" w:line="240" w:lineRule="auto"/>
      </w:pPr>
      <w:r>
        <w:separator/>
      </w:r>
    </w:p>
  </w:endnote>
  <w:endnote w:type="continuationSeparator" w:id="0">
    <w:p w14:paraId="2743AAFE" w14:textId="77777777" w:rsidR="00B01C71" w:rsidRDefault="00B01C71" w:rsidP="00F436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659C8D" w14:textId="77777777" w:rsidR="00B01C71" w:rsidRDefault="00B01C71" w:rsidP="00F43632">
      <w:pPr>
        <w:spacing w:after="0" w:line="240" w:lineRule="auto"/>
      </w:pPr>
      <w:r>
        <w:separator/>
      </w:r>
    </w:p>
  </w:footnote>
  <w:footnote w:type="continuationSeparator" w:id="0">
    <w:p w14:paraId="2F3798F9" w14:textId="77777777" w:rsidR="00B01C71" w:rsidRDefault="00B01C71" w:rsidP="00F43632">
      <w:pPr>
        <w:spacing w:after="0" w:line="240" w:lineRule="auto"/>
      </w:pPr>
      <w:r>
        <w:continuationSeparator/>
      </w:r>
    </w:p>
  </w:footnote>
  <w:footnote w:id="1">
    <w:p w14:paraId="7F7CB782" w14:textId="6ABE2216" w:rsidR="00F43632" w:rsidRDefault="00F43632">
      <w:pPr>
        <w:pStyle w:val="FootnoteText"/>
      </w:pPr>
      <w:r>
        <w:rPr>
          <w:rStyle w:val="FootnoteReference"/>
        </w:rPr>
        <w:footnoteRef/>
      </w:r>
      <w:r>
        <w:t xml:space="preserve"> </w:t>
      </w:r>
      <w:r w:rsidR="00311EE8">
        <w:t>Shaw. 2014</w:t>
      </w:r>
    </w:p>
  </w:footnote>
  <w:footnote w:id="2">
    <w:p w14:paraId="4CE62AE6" w14:textId="32F8613A" w:rsidR="00F43632" w:rsidRDefault="00F43632">
      <w:pPr>
        <w:pStyle w:val="FootnoteText"/>
      </w:pPr>
      <w:r>
        <w:rPr>
          <w:rStyle w:val="FootnoteReference"/>
        </w:rPr>
        <w:footnoteRef/>
      </w:r>
      <w:r>
        <w:t xml:space="preserve"> </w:t>
      </w:r>
      <w:r w:rsidR="00311EE8">
        <w:t>Cunliffe. 2018</w:t>
      </w:r>
    </w:p>
  </w:footnote>
  <w:footnote w:id="3">
    <w:p w14:paraId="1F9E760C" w14:textId="2CB9AFC9" w:rsidR="005F5CFA" w:rsidRDefault="005F5CFA">
      <w:pPr>
        <w:pStyle w:val="FootnoteText"/>
      </w:pPr>
      <w:r>
        <w:rPr>
          <w:rStyle w:val="FootnoteReference"/>
        </w:rPr>
        <w:footnoteRef/>
      </w:r>
      <w:r>
        <w:t xml:space="preserve"> </w:t>
      </w:r>
      <w:r w:rsidR="00207731">
        <w:t>Taylor. 2001</w:t>
      </w:r>
    </w:p>
  </w:footnote>
  <w:footnote w:id="4">
    <w:p w14:paraId="6B9B7828" w14:textId="6F204C91" w:rsidR="00DC6840" w:rsidRDefault="00DC6840">
      <w:pPr>
        <w:pStyle w:val="FootnoteText"/>
      </w:pPr>
      <w:r>
        <w:rPr>
          <w:rStyle w:val="FootnoteReference"/>
        </w:rPr>
        <w:footnoteRef/>
      </w:r>
      <w:r>
        <w:t xml:space="preserve"> </w:t>
      </w:r>
      <w:r w:rsidR="00311EE8">
        <w:t>Cunliffe. 2018</w:t>
      </w:r>
    </w:p>
  </w:footnote>
  <w:footnote w:id="5">
    <w:p w14:paraId="59158626" w14:textId="02BBF12E" w:rsidR="006715A4" w:rsidRDefault="006715A4">
      <w:pPr>
        <w:pStyle w:val="FootnoteText"/>
      </w:pPr>
      <w:r>
        <w:rPr>
          <w:rStyle w:val="FootnoteReference"/>
        </w:rPr>
        <w:footnoteRef/>
      </w:r>
      <w:r>
        <w:t xml:space="preserve"> Elu</w:t>
      </w:r>
      <m:oMath>
        <m:acc>
          <m:accPr>
            <m:chr m:val="̀"/>
            <m:ctrlPr>
              <w:rPr>
                <w:rFonts w:ascii="Cambria Math" w:hAnsi="Cambria Math"/>
                <w:i/>
              </w:rPr>
            </m:ctrlPr>
          </m:accPr>
          <m:e>
            <m:r>
              <w:rPr>
                <w:rFonts w:ascii="Cambria Math" w:hAnsi="Cambria Math"/>
              </w:rPr>
              <m:t>e</m:t>
            </m:r>
          </m:e>
        </m:acc>
      </m:oMath>
      <w:r>
        <w:t>re. 1993.</w:t>
      </w:r>
    </w:p>
  </w:footnote>
  <w:footnote w:id="6">
    <w:p w14:paraId="65EA472C" w14:textId="6915D8EB" w:rsidR="00505625" w:rsidRDefault="00505625">
      <w:pPr>
        <w:pStyle w:val="FootnoteText"/>
      </w:pPr>
      <w:r>
        <w:rPr>
          <w:rStyle w:val="FootnoteReference"/>
        </w:rPr>
        <w:footnoteRef/>
      </w:r>
      <w:r>
        <w:t xml:space="preserve"> Wengrow. </w:t>
      </w:r>
      <w:r w:rsidR="00207731">
        <w:t>2010</w:t>
      </w:r>
    </w:p>
  </w:footnote>
  <w:footnote w:id="7">
    <w:p w14:paraId="3A7CC33E" w14:textId="5F79073C" w:rsidR="00C35799" w:rsidRDefault="00C35799">
      <w:pPr>
        <w:pStyle w:val="FootnoteText"/>
      </w:pPr>
      <w:r>
        <w:rPr>
          <w:rStyle w:val="FootnoteReference"/>
        </w:rPr>
        <w:footnoteRef/>
      </w:r>
      <w:r>
        <w:t xml:space="preserve"> </w:t>
      </w:r>
      <w:r w:rsidR="00207731">
        <w:t>Wengrow. 2010</w:t>
      </w:r>
    </w:p>
  </w:footnote>
  <w:footnote w:id="8">
    <w:p w14:paraId="10809DFD" w14:textId="702EFA18" w:rsidR="006715A4" w:rsidRDefault="006715A4">
      <w:pPr>
        <w:pStyle w:val="FootnoteText"/>
      </w:pPr>
      <w:r>
        <w:rPr>
          <w:rStyle w:val="FootnoteReference"/>
        </w:rPr>
        <w:footnoteRef/>
      </w:r>
      <w:r>
        <w:t xml:space="preserve"> Cunliffe. 2018</w:t>
      </w:r>
    </w:p>
  </w:footnote>
  <w:footnote w:id="9">
    <w:p w14:paraId="263508C5" w14:textId="2371B45F" w:rsidR="00C35799" w:rsidRDefault="00C35799">
      <w:pPr>
        <w:pStyle w:val="FootnoteText"/>
      </w:pPr>
      <w:r>
        <w:rPr>
          <w:rStyle w:val="FootnoteReference"/>
        </w:rPr>
        <w:footnoteRef/>
      </w:r>
      <w:r>
        <w:t xml:space="preserve"> </w:t>
      </w:r>
      <w:r w:rsidR="00311EE8">
        <w:t>Maier. Windle. 2003</w:t>
      </w:r>
    </w:p>
  </w:footnote>
  <w:footnote w:id="10">
    <w:p w14:paraId="71F59468" w14:textId="64242D5A" w:rsidR="00D82E77" w:rsidRDefault="00D82E77">
      <w:pPr>
        <w:pStyle w:val="FootnoteText"/>
      </w:pPr>
      <w:r>
        <w:rPr>
          <w:rStyle w:val="FootnoteReference"/>
        </w:rPr>
        <w:footnoteRef/>
      </w:r>
      <w:r>
        <w:t xml:space="preserve"> Taylor. 2001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930"/>
    <w:rsid w:val="000320B3"/>
    <w:rsid w:val="000E4930"/>
    <w:rsid w:val="00207731"/>
    <w:rsid w:val="00311EE8"/>
    <w:rsid w:val="00505625"/>
    <w:rsid w:val="00572335"/>
    <w:rsid w:val="005F5CFA"/>
    <w:rsid w:val="006715A4"/>
    <w:rsid w:val="006D4BDC"/>
    <w:rsid w:val="00A773EE"/>
    <w:rsid w:val="00AA2A6D"/>
    <w:rsid w:val="00B01C71"/>
    <w:rsid w:val="00B22B65"/>
    <w:rsid w:val="00B55DF1"/>
    <w:rsid w:val="00B74305"/>
    <w:rsid w:val="00B86D0B"/>
    <w:rsid w:val="00C35799"/>
    <w:rsid w:val="00D82E77"/>
    <w:rsid w:val="00DC6840"/>
    <w:rsid w:val="00EA45D1"/>
    <w:rsid w:val="00F436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60EED"/>
  <w15:chartTrackingRefBased/>
  <w15:docId w15:val="{675CE567-AC8F-4654-BDEC-DF4B1CE06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4363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43632"/>
    <w:rPr>
      <w:sz w:val="20"/>
      <w:szCs w:val="20"/>
    </w:rPr>
  </w:style>
  <w:style w:type="character" w:styleId="FootnoteReference">
    <w:name w:val="footnote reference"/>
    <w:basedOn w:val="DefaultParagraphFont"/>
    <w:uiPriority w:val="99"/>
    <w:semiHidden/>
    <w:unhideWhenUsed/>
    <w:rsid w:val="00F4363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3CB0E3-67F8-470B-B924-2136086C5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3</Pages>
  <Words>990</Words>
  <Characters>5645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Lorna Kelly</dc:creator>
  <cp:keywords/>
  <dc:description/>
  <cp:lastModifiedBy>Lorna Kelly</cp:lastModifiedBy>
  <cp:revision>5</cp:revision>
  <dcterms:created xsi:type="dcterms:W3CDTF">2019-10-11T15:41:00Z</dcterms:created>
  <dcterms:modified xsi:type="dcterms:W3CDTF">2019-10-11T20:08:00Z</dcterms:modified>
</cp:coreProperties>
</file>