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BEE30" w14:textId="77777777" w:rsidR="00EA6470" w:rsidRPr="00EE4A81" w:rsidRDefault="00EA6470" w:rsidP="00197A91">
      <w:pPr>
        <w:spacing w:line="360" w:lineRule="auto"/>
        <w:jc w:val="both"/>
      </w:pPr>
    </w:p>
    <w:p w14:paraId="26AD8D31" w14:textId="77777777" w:rsidR="00EA6470" w:rsidRPr="00EE4A81" w:rsidRDefault="00EA6470" w:rsidP="00197A91">
      <w:pPr>
        <w:spacing w:line="360" w:lineRule="auto"/>
        <w:jc w:val="both"/>
      </w:pPr>
    </w:p>
    <w:p w14:paraId="6B0E5DE6" w14:textId="77777777" w:rsidR="00EA6470" w:rsidRPr="00EE4A81" w:rsidRDefault="00EA6470" w:rsidP="00F060FE">
      <w:pPr>
        <w:tabs>
          <w:tab w:val="left" w:pos="4215"/>
        </w:tabs>
        <w:spacing w:line="360" w:lineRule="auto"/>
        <w:jc w:val="center"/>
      </w:pPr>
      <w:r w:rsidRPr="00EE4A81">
        <w:rPr>
          <w:b/>
          <w:u w:val="single"/>
        </w:rPr>
        <w:t>Title Page:</w:t>
      </w:r>
    </w:p>
    <w:p w14:paraId="21353D3D" w14:textId="77777777" w:rsidR="00EA6470" w:rsidRPr="00EE4A81" w:rsidRDefault="00EA6470" w:rsidP="00F060FE">
      <w:pPr>
        <w:spacing w:line="360" w:lineRule="auto"/>
        <w:jc w:val="center"/>
      </w:pPr>
      <w:r w:rsidRPr="00EE4A81">
        <w:t>Name: Khaled Kbies</w:t>
      </w:r>
    </w:p>
    <w:p w14:paraId="127B0A3B" w14:textId="77777777" w:rsidR="00EA6470" w:rsidRPr="00EE4A81" w:rsidRDefault="00EA6470" w:rsidP="00F060FE">
      <w:pPr>
        <w:spacing w:line="360" w:lineRule="auto"/>
        <w:jc w:val="center"/>
      </w:pPr>
      <w:r w:rsidRPr="00EE4A81">
        <w:t>Student Number: 2017907</w:t>
      </w:r>
    </w:p>
    <w:p w14:paraId="15442E56" w14:textId="77777777" w:rsidR="00EA6470" w:rsidRPr="00EE4A81" w:rsidRDefault="00EA6470" w:rsidP="00F060FE">
      <w:pPr>
        <w:spacing w:line="360" w:lineRule="auto"/>
        <w:jc w:val="center"/>
      </w:pPr>
      <w:r w:rsidRPr="00EE4A81">
        <w:t>Module Code: BMSW5101</w:t>
      </w:r>
    </w:p>
    <w:p w14:paraId="73B255DB" w14:textId="77777777" w:rsidR="00EA6470" w:rsidRPr="00EE4A81" w:rsidRDefault="00EA6470" w:rsidP="00F060FE">
      <w:pPr>
        <w:spacing w:line="360" w:lineRule="auto"/>
        <w:jc w:val="center"/>
      </w:pPr>
      <w:r w:rsidRPr="00EE4A81">
        <w:t>Module Title: Developing Workplace Critical Thinking</w:t>
      </w:r>
    </w:p>
    <w:p w14:paraId="1B94B0BE" w14:textId="77777777" w:rsidR="00EA6470" w:rsidRPr="00EE4A81" w:rsidRDefault="00EA6470" w:rsidP="00F060FE">
      <w:pPr>
        <w:spacing w:line="360" w:lineRule="auto"/>
        <w:jc w:val="center"/>
      </w:pPr>
      <w:r w:rsidRPr="00EE4A81">
        <w:t>Lecturer’s Name: Gregory Cowan</w:t>
      </w:r>
    </w:p>
    <w:p w14:paraId="324D1801" w14:textId="77777777" w:rsidR="00EA6470" w:rsidRPr="00EE4A81" w:rsidRDefault="00EA6470" w:rsidP="00F060FE">
      <w:pPr>
        <w:spacing w:line="360" w:lineRule="auto"/>
        <w:jc w:val="center"/>
      </w:pPr>
      <w:r w:rsidRPr="00EE4A81">
        <w:t>Assignment Title: Part-1 Individual Business Report</w:t>
      </w:r>
    </w:p>
    <w:p w14:paraId="529EB3EE" w14:textId="77777777" w:rsidR="00EA6470" w:rsidRPr="00EE4A81" w:rsidRDefault="00EA6470" w:rsidP="00F060FE">
      <w:pPr>
        <w:spacing w:line="360" w:lineRule="auto"/>
        <w:jc w:val="center"/>
      </w:pPr>
      <w:r w:rsidRPr="00EE4A81">
        <w:t>Part-2 Reflective Journal</w:t>
      </w:r>
    </w:p>
    <w:p w14:paraId="2D699BEF" w14:textId="77777777" w:rsidR="00EA6470" w:rsidRPr="00EE4A81" w:rsidRDefault="00EA6470" w:rsidP="00F060FE">
      <w:pPr>
        <w:spacing w:line="360" w:lineRule="auto"/>
        <w:jc w:val="center"/>
        <w:sectPr w:rsidR="00EA6470" w:rsidRPr="00EE4A81">
          <w:pgSz w:w="12240" w:h="15840"/>
          <w:pgMar w:top="1440" w:right="1440" w:bottom="1440" w:left="1440" w:header="708" w:footer="708" w:gutter="0"/>
          <w:pgNumType w:start="1"/>
          <w:cols w:space="720"/>
        </w:sectPr>
      </w:pPr>
      <w:proofErr w:type="spellStart"/>
      <w:r w:rsidRPr="00EE4A81">
        <w:t>Programme</w:t>
      </w:r>
      <w:proofErr w:type="spellEnd"/>
      <w:r w:rsidRPr="00EE4A81">
        <w:t>: BA (Hons) Leadership and Management Skills for The Workplace</w:t>
      </w:r>
    </w:p>
    <w:p w14:paraId="478FFDEF" w14:textId="77777777" w:rsidR="00EA6470" w:rsidRPr="00EE4A81" w:rsidRDefault="00EA6470" w:rsidP="00197A91">
      <w:pPr>
        <w:spacing w:line="360" w:lineRule="auto"/>
        <w:jc w:val="both"/>
      </w:pPr>
      <w:r w:rsidRPr="00EE4A81">
        <w:lastRenderedPageBreak/>
        <w:t>Part-1 Individual Business Report</w:t>
      </w:r>
    </w:p>
    <w:p w14:paraId="7A0D990E" w14:textId="77777777" w:rsidR="00432B3E" w:rsidRPr="00EE4A81" w:rsidRDefault="00432B3E" w:rsidP="00197A91">
      <w:pPr>
        <w:spacing w:line="360" w:lineRule="auto"/>
        <w:jc w:val="both"/>
      </w:pPr>
    </w:p>
    <w:p w14:paraId="76B5A91D" w14:textId="77777777" w:rsidR="00432B3E" w:rsidRPr="00EE4A81" w:rsidRDefault="00432B3E" w:rsidP="00197A91">
      <w:pPr>
        <w:spacing w:line="360" w:lineRule="auto"/>
        <w:jc w:val="both"/>
      </w:pPr>
    </w:p>
    <w:p w14:paraId="3225C7A1" w14:textId="77777777" w:rsidR="00432B3E" w:rsidRPr="00EE4A81" w:rsidRDefault="00C44B34" w:rsidP="00C97524">
      <w:pPr>
        <w:spacing w:line="360" w:lineRule="auto"/>
        <w:jc w:val="both"/>
      </w:pPr>
      <w:r w:rsidRPr="00EE4A81">
        <w:t xml:space="preserve">Wahaca, which means "freshly good food" in the Mexican language, opened its first branch in the West End of London in August 2007, focused on </w:t>
      </w:r>
      <w:r w:rsidR="00EA6470" w:rsidRPr="00EE4A81">
        <w:t>showcasing famously</w:t>
      </w:r>
      <w:r w:rsidRPr="00EE4A81">
        <w:t xml:space="preserve"> fresh award-winning Mexican street food. In October 2008, a second Wahaca opened at Westfield in London.</w:t>
      </w:r>
      <w:r w:rsidR="00EA6470" w:rsidRPr="00EE4A81">
        <w:t xml:space="preserve"> </w:t>
      </w:r>
      <w:r w:rsidRPr="00EE4A81">
        <w:t>Two more branches opened in Canary Wharf and Soho in 2011, and Wahaca launched its first mobile street kitchen. It opened its Top One Wahaca Southbank Experiment in 2012. Wahaca opened it</w:t>
      </w:r>
      <w:r w:rsidR="00EA6470" w:rsidRPr="00EE4A81">
        <w:t>s first restaurant in the north</w:t>
      </w:r>
      <w:r w:rsidRPr="00EE4A81">
        <w:t xml:space="preserve">west, in Manchester, in September 2015. Wahaca is a great place to work because everyone is friendly and fun, the kitchen staff is nice, and everyone works well together. Employee truly enjoys working in the restaurant. </w:t>
      </w:r>
    </w:p>
    <w:p w14:paraId="6E683C55" w14:textId="77777777" w:rsidR="00432B3E" w:rsidRPr="00EE4A81" w:rsidRDefault="00432B3E" w:rsidP="00197A91">
      <w:pPr>
        <w:spacing w:line="360" w:lineRule="auto"/>
        <w:jc w:val="both"/>
      </w:pPr>
    </w:p>
    <w:p w14:paraId="2FDF88B5" w14:textId="77777777" w:rsidR="00432B3E" w:rsidRPr="00EE4A81" w:rsidRDefault="00C44B34" w:rsidP="00C97524">
      <w:pPr>
        <w:spacing w:line="360" w:lineRule="auto"/>
        <w:jc w:val="both"/>
      </w:pPr>
      <w:r w:rsidRPr="00EE4A81">
        <w:t>To begin this paper, here are the differences between attitudes, values, and beliefs.</w:t>
      </w:r>
      <w:r w:rsidR="00EA6470" w:rsidRPr="00EE4A81">
        <w:t xml:space="preserve"> </w:t>
      </w:r>
      <w:r w:rsidRPr="00EE4A81">
        <w:t>Our attitude is formed over time and includes both conscious and subconscious elements. Some refer to it as our instinct or nature. For example a rich man may find it repulsive to see a beggar, whereas another person feels empathy and wishes to assist the beggar. When we see someone, a place, or an object, our attitude determines how we react. We either like or dislike a person, place, or object, or we like some aspects but not others.  Location, time, social culture, economy, and other environmental and familial issues can all influence attitudes. There are rational and irrational attitudes, and there are no simple explanations for either. Attitudes are generally formed as a result of conditioning at home, school, work, or social circles. Our attitudes are influenced by our employers or people around us. Values, on the other hand, are our sense of what is right and wrong, our ethical and moral standards, and what we feel when we reflect on or analyze our duties, obligations, and life purpose. Our values govern how we lead and change our daily lives. The issue in one</w:t>
      </w:r>
      <w:r w:rsidR="00EA6470" w:rsidRPr="00EE4A81">
        <w:t>’</w:t>
      </w:r>
      <w:r w:rsidRPr="00EE4A81">
        <w:t>s self may only address the value of living to be prosperous and successful and not worrying about how your actions affect the lives of others. Should you look after your family and society as a whole, or just yourself? A person</w:t>
      </w:r>
      <w:r w:rsidR="00EA6470" w:rsidRPr="00EE4A81">
        <w:t xml:space="preserve">'s actions are guided by their </w:t>
      </w:r>
      <w:r w:rsidRPr="00EE4A81">
        <w:t xml:space="preserve">values. So it is beneficial to reflect and review our actions on a daily basis to determine whether our actions are consistent with our sense of right and wrong, ethical or unethical values, or truth and falsehood. Finally, beliefs are not founded on empirical evidence or teacher-acquired knowledge based on logic, measurements, or physical or mystical experiences. They are based on past experiences or religious preaching, and are generally propagated through rituals or promises of success and a good life if we accept and practice these beliefs. Many people prefer to have someone else guide them and advise them on what to believe and how to think, and they take their advice as </w:t>
      </w:r>
      <w:r w:rsidRPr="00EE4A81">
        <w:lastRenderedPageBreak/>
        <w:t>the final word. Questioning beliefs elicits such strong feelings and arguments that it becomes a source of harmony, conflict, and battle.</w:t>
      </w:r>
    </w:p>
    <w:p w14:paraId="2D8C5D19" w14:textId="77777777" w:rsidR="00432B3E" w:rsidRPr="00EE4A81" w:rsidRDefault="00432B3E" w:rsidP="00197A91">
      <w:pPr>
        <w:spacing w:line="360" w:lineRule="auto"/>
        <w:jc w:val="both"/>
      </w:pPr>
    </w:p>
    <w:p w14:paraId="7CDC5DA6" w14:textId="77777777" w:rsidR="00432B3E" w:rsidRPr="00EE4A81" w:rsidRDefault="00C44B34" w:rsidP="00C97524">
      <w:pPr>
        <w:spacing w:line="360" w:lineRule="auto"/>
        <w:jc w:val="both"/>
      </w:pPr>
      <w:r w:rsidRPr="00EE4A81">
        <w:t xml:space="preserve">It is clear that values play an important role in the study of organizational behavior. Its importance stems from its function of influencing individual and organizational behavior, and managers can better manage and motivate employees by understanding it and its differences. Individual behavior is influenced by values, and negative values can lead to negative behavior. According to reports, an increase in unethical business practices is usually attributed to a shift in values. This should demonstrate how important and relevant values are to a company. As a result, value congruence is found to produce and promote communication and trust between managers and employees. It is also stated that workplace socialization increases. For instance, a workplace whose organizational value is good customer communication would endeavor to persuade its employees to exhibit good customer communication behavior. To do so, the employee must have values that are compatible with the organizational values. Individuals form and apply beliefs, but groups form and apply them as well. And it is in this capacity that they are so influential in organizational life and culture shaping. Most organizations have a set of values that describe the aspirational characteristics of their culture, such as integrity, teamwork, customer focus, accountability, and innovation. However, few organizations describe the beliefs they want to base their organization on. Fewer still can articulate the beliefs that they currently hold. Beliefs are subtle and often invisible, but when it comes to directing group behavior, they can be very persuasive. </w:t>
      </w:r>
    </w:p>
    <w:p w14:paraId="2D0193C7" w14:textId="77777777" w:rsidR="00432B3E" w:rsidRPr="00EE4A81" w:rsidRDefault="00432B3E" w:rsidP="00197A91">
      <w:pPr>
        <w:spacing w:line="360" w:lineRule="auto"/>
        <w:jc w:val="both"/>
      </w:pPr>
    </w:p>
    <w:p w14:paraId="308F177B" w14:textId="77777777" w:rsidR="00432B3E" w:rsidRPr="00EE4A81" w:rsidRDefault="00C44B34" w:rsidP="00C97524">
      <w:pPr>
        <w:spacing w:line="360" w:lineRule="auto"/>
        <w:jc w:val="both"/>
      </w:pPr>
      <w:r w:rsidRPr="00EE4A81">
        <w:t xml:space="preserve">It is essential to keep in mind that everyone has good and bad days. Losing a customer, messing up a presentation, or even having a frustrating start of the day can all put a person in a bad state. A bad attitude, on the other hand, is usually a state of mind that has the potential to pervade a workplace and drag everyone down with it. A positive attitude at work may not guarantee better work quality, but it will strengthen how your coworkers perceive you as a person. It is critical in the workplace to work as a cohesive team to complete tasks. A positive approach will also help the entire group in coping with stressful circumstances. Understanding and trusting in your team that you will all solve the problem makes it less difficult to deal with the pressures that can accumulate with any type of office work. </w:t>
      </w:r>
    </w:p>
    <w:p w14:paraId="7C848985" w14:textId="77777777" w:rsidR="00432B3E" w:rsidRPr="00EE4A81" w:rsidRDefault="00432B3E" w:rsidP="00197A91">
      <w:pPr>
        <w:spacing w:line="360" w:lineRule="auto"/>
        <w:jc w:val="both"/>
      </w:pPr>
    </w:p>
    <w:p w14:paraId="039CAA3B" w14:textId="77777777" w:rsidR="00432B3E" w:rsidRDefault="00432B3E" w:rsidP="00197A91">
      <w:pPr>
        <w:spacing w:line="360" w:lineRule="auto"/>
        <w:jc w:val="both"/>
      </w:pPr>
    </w:p>
    <w:p w14:paraId="2C3B571A" w14:textId="77777777" w:rsidR="009734EC" w:rsidRDefault="009734EC" w:rsidP="00197A91">
      <w:pPr>
        <w:spacing w:line="360" w:lineRule="auto"/>
        <w:jc w:val="both"/>
      </w:pPr>
    </w:p>
    <w:p w14:paraId="7B8946BA" w14:textId="77777777" w:rsidR="009734EC" w:rsidRPr="00EE4A81" w:rsidRDefault="009734EC" w:rsidP="00197A91">
      <w:pPr>
        <w:spacing w:line="360" w:lineRule="auto"/>
        <w:jc w:val="both"/>
      </w:pPr>
    </w:p>
    <w:p w14:paraId="5C6B35F2" w14:textId="77777777" w:rsidR="00432B3E" w:rsidRPr="00EE4A81" w:rsidRDefault="00C44B34" w:rsidP="00197A91">
      <w:pPr>
        <w:spacing w:line="360" w:lineRule="auto"/>
        <w:jc w:val="both"/>
        <w:rPr>
          <w:b/>
        </w:rPr>
      </w:pPr>
      <w:r w:rsidRPr="00EE4A81">
        <w:rPr>
          <w:b/>
        </w:rPr>
        <w:t>SOUTH WAHACA BANK</w:t>
      </w:r>
    </w:p>
    <w:p w14:paraId="18015FCE" w14:textId="77777777" w:rsidR="00432B3E" w:rsidRPr="00EE4A81" w:rsidRDefault="00432B3E" w:rsidP="00197A91">
      <w:pPr>
        <w:spacing w:line="360" w:lineRule="auto"/>
        <w:jc w:val="both"/>
      </w:pPr>
    </w:p>
    <w:p w14:paraId="07C521FA" w14:textId="5301D33B" w:rsidR="00432B3E" w:rsidRPr="00EE4A81" w:rsidRDefault="00C44B34" w:rsidP="00C97524">
      <w:pPr>
        <w:spacing w:line="360" w:lineRule="auto"/>
        <w:jc w:val="both"/>
      </w:pPr>
      <w:r w:rsidRPr="00EE4A81">
        <w:t>Wahaca Southbank, ensconced in eight recycled shipping containers assembled on two protruding levels alongside the Southbank Centre, represents award-winning Mexican street food like burritos, quesadilla together with astounding glimpses of life on the Thames sloshing by. Individuals can also experience a flavors of Mexico to go with Wahaca's takeaway burritos and salads by visiting the Mexican Street Kitchen t</w:t>
      </w:r>
      <w:r w:rsidR="00EA6470" w:rsidRPr="00EE4A81">
        <w:t xml:space="preserve">ruck, which is parked along </w:t>
      </w:r>
      <w:r w:rsidR="00D44CA6">
        <w:t>the bank by the</w:t>
      </w:r>
      <w:r w:rsidR="00EA6470" w:rsidRPr="00EE4A81">
        <w:t xml:space="preserve"> </w:t>
      </w:r>
      <w:r w:rsidRPr="00EE4A81">
        <w:t>river.</w:t>
      </w:r>
      <w:r w:rsidR="00EA6470" w:rsidRPr="00EE4A81">
        <w:t xml:space="preserve"> </w:t>
      </w:r>
      <w:r w:rsidRPr="00EE4A81">
        <w:t>Customers do not need to make a reservation at Wahaca. Unreserved tables are always kept</w:t>
      </w:r>
      <w:r w:rsidR="00EA6470" w:rsidRPr="00EE4A81">
        <w:t xml:space="preserve"> </w:t>
      </w:r>
      <w:r w:rsidRPr="00EE4A81">
        <w:t xml:space="preserve">available by the staff. </w:t>
      </w:r>
    </w:p>
    <w:p w14:paraId="30B539E1" w14:textId="77777777" w:rsidR="00432B3E" w:rsidRPr="00EE4A81" w:rsidRDefault="00432B3E" w:rsidP="00197A91">
      <w:pPr>
        <w:spacing w:line="360" w:lineRule="auto"/>
        <w:jc w:val="both"/>
      </w:pPr>
    </w:p>
    <w:p w14:paraId="337A4036" w14:textId="77777777" w:rsidR="00432B3E" w:rsidRPr="00EE4A81" w:rsidRDefault="00C44B34" w:rsidP="00C97524">
      <w:pPr>
        <w:spacing w:line="360" w:lineRule="auto"/>
        <w:jc w:val="both"/>
      </w:pPr>
      <w:r w:rsidRPr="00EE4A81">
        <w:t>In the last two years, during the post Covid 19,</w:t>
      </w:r>
      <w:r w:rsidR="00EA6470" w:rsidRPr="00EE4A81">
        <w:t xml:space="preserve"> </w:t>
      </w:r>
      <w:r w:rsidRPr="00EE4A81">
        <w:t>Wahaca operating plan calls for the restaurant to maintain the most recent rates of sales and profit growth. However, the industry's economic situation may continue to have an impact on consumer demand, causing its sales growth to fall short of its target. The company's main challenge last year was the dramatic rise in the cost of food raw materials. Even in the midst of rapidly rising costs, the restaurant decided to gradually increase our consumer selling prices. Over time, Wahaca discovered that this is the most effective way of balancing strong consumer demand and profits, stable growth and consumer loyalty, and the business's financial health. The crisis has brought enormous challenges to the company and the organization, but it has opened up opportunities as well. Crises change the market environment and the ones who are adept to change will win. In light of the pandemic, Wahaca is strengthening its food safety culture even more to ensure that food safety practices and measures in all of its stores and restaurants in the United Kingdom consistently meet global standards. During the highpoint of the pandemic, the company said it immediately implemented its Food Safety Standards and Control Measures for COVID-19 Pandemic across all of its stores nationwide in order to implement new safety standards and assist employees in safely adapting to the new normal. Even before the pandemic, restaurant product standards were in line with global standards. To improve quality even further, Wahaca implemented additional measures to ensure food safety, as well as safety protocols to protect the health of store employees and customers. They've also linked our supply chain processes to a centralized digital data management system, which will assist us with data analysis and store monitoring whenever we need it. It's a food safety model that extends from our suppliers to our commissaries and all the way up to the store level. Digital marketing is playing a significant role not only in enhancing how customers interact with the foods during this pandemic, but also in our supply chain operations—</w:t>
      </w:r>
      <w:r w:rsidRPr="00EE4A81">
        <w:lastRenderedPageBreak/>
        <w:t xml:space="preserve">long before our meals reach our customers. Customers can use the website to place orders and pay. The Supply Chain Food Safety and Quality Agile Audit System, developed in response to the pandemic, enables Wahaca Group's Quality Management team despite limited mobility due to lockdown restrictions, to regularly evaluate risk factors and ensure vendor, </w:t>
      </w:r>
      <w:r w:rsidR="00EA6470" w:rsidRPr="00EE4A81">
        <w:t xml:space="preserve">commissary, and store compliance. The </w:t>
      </w:r>
      <w:r w:rsidRPr="00EE4A81">
        <w:t xml:space="preserve">Wahaca evaluates and monitors emerging food safety and quality risks proactively and keeps up to date on trends. In response to these identified risks and trends, the company creates food safety and quality programs that are implemented from farm to fork—from product design and development to sourcing, manufacturing, warehousing, and distribution, all the way up to restaurant processes. </w:t>
      </w:r>
    </w:p>
    <w:p w14:paraId="73FE186D" w14:textId="77777777" w:rsidR="00432B3E" w:rsidRPr="00EE4A81" w:rsidRDefault="00432B3E" w:rsidP="00197A91">
      <w:pPr>
        <w:spacing w:line="360" w:lineRule="auto"/>
        <w:jc w:val="both"/>
      </w:pPr>
    </w:p>
    <w:p w14:paraId="75FC125E" w14:textId="77777777" w:rsidR="00432B3E" w:rsidRPr="00EE4A81" w:rsidRDefault="00432B3E" w:rsidP="00197A91">
      <w:pPr>
        <w:spacing w:line="360" w:lineRule="auto"/>
        <w:jc w:val="both"/>
      </w:pPr>
    </w:p>
    <w:p w14:paraId="62599B41" w14:textId="76C7B16C" w:rsidR="00C44B34" w:rsidRPr="00EE4A81" w:rsidRDefault="00C44B34" w:rsidP="00C97524">
      <w:pPr>
        <w:spacing w:line="360" w:lineRule="auto"/>
        <w:jc w:val="both"/>
      </w:pPr>
      <w:r w:rsidRPr="00EE4A81">
        <w:t xml:space="preserve">When it comes to new challenges that the company is facing right now, the most difficult challenge is how to care for the employees, the majority of whom are on minimum wage, and the second is our significant revenue loss, which forced the restaurant to shut down almost the entire company. The company needed to use all of our available funds to meet payroll and give something extra during lockdown because the company didn't have the usual cash flow from daily restaurant sales. The company faces a significant financial burden as a result of the lockdown.  Restaurant food and service should now be thought of in terms of the "new normal," wherein Wahaca must pivot to accommodate changes in consumer behavior. People will avoid congested areas, always keeping in mind the minimum social distance for safety/health. Personal health hygiene like sanitation of hands and wearing facemasks will now be standard practice. People will prefer open kitchens because they will want to see how the food was prepared. It heralds the arrival of a new generation of "health-conscious customers." Even if the lockdown is lifted, the restaurant may see a significant increase in delivery business as customers are less likely to go out. Some restaurants may be forced to reduce their capacity indefinitely, causing their profit margins to suffer and forcing them to change their business models. The restaurant industry will undergo a new paradigm that will eliminate the weak and allow the strong to survive, but as they say, there is light at the end of the tunnel. We are about to enter a new era. Restaurants are about more than just food; they are about the combination of food, service, attention to detail, and ambiance. Restaurants are now forced to rely on takeout and delivery. Wahaca Southbank and its other branches restaurants must now be innovative in order to maintain the brand during the takeout and delivery processes, and each to his or her own in terms of execution. Companies will see true creativity in this space, and true entrepreneurs will survive this crisis because they were quick to think of ways to improve the takeout and delivery service. There are also difficulties in selecting </w:t>
      </w:r>
      <w:r w:rsidRPr="00EE4A81">
        <w:lastRenderedPageBreak/>
        <w:t>and hiring employees who are suitable for the job; restaurants admit to finding employees who are fully vaccinated, but we all know that we all have different opinions and beliefs when it comes to doing what they need to do, whether the government will imply the rules as a compulsory or mandatory of getting COVID 19 vaccine. We are fully aware that getting vaccinated is a must, especially in a workplace where we are constantly communicating with other people or customers. We couldn't put a customer or an employee's life in danger if one of us had the coronavirus. Wahaca also reminds employees that if they are feeling ill, they should not come to work</w:t>
      </w:r>
      <w:r w:rsidR="00FA2144">
        <w:t xml:space="preserve"> </w:t>
      </w:r>
      <w:r w:rsidRPr="00EE4A81">
        <w:t xml:space="preserve">and should notify the manager that they are sick. </w:t>
      </w:r>
      <w:r w:rsidRPr="00EE4A81">
        <w:br/>
      </w:r>
    </w:p>
    <w:p w14:paraId="22A5F73D" w14:textId="32C49686" w:rsidR="00432B3E" w:rsidRPr="00EE4A81" w:rsidRDefault="00C44B34" w:rsidP="00C97524">
      <w:pPr>
        <w:spacing w:line="360" w:lineRule="auto"/>
        <w:jc w:val="both"/>
        <w:rPr>
          <w:color w:val="282829"/>
        </w:rPr>
      </w:pPr>
      <w:r w:rsidRPr="00EE4A81">
        <w:t xml:space="preserve">In order to go to the new challenges this post COVID 19, company managers should come up with plans on how to be resilient from a workplace, the </w:t>
      </w:r>
      <w:r w:rsidRPr="00EE4A81">
        <w:rPr>
          <w:color w:val="282829"/>
        </w:rPr>
        <w:t>perspective provides resilience for a person experiencing setbacks and encountering constant futile waste of life situations. An organization's resilience requires intellectual engagement. Which is freq</w:t>
      </w:r>
      <w:r w:rsidR="00EA6470" w:rsidRPr="00EE4A81">
        <w:rPr>
          <w:color w:val="282829"/>
        </w:rPr>
        <w:t>uently lacking. Questions like w</w:t>
      </w:r>
      <w:r w:rsidRPr="00EE4A81">
        <w:rPr>
          <w:color w:val="282829"/>
        </w:rPr>
        <w:t>hat exactly are "single points of failure"? The padlock in the storeroom only has one key? There is also a p</w:t>
      </w:r>
      <w:r w:rsidR="00EA6470" w:rsidRPr="00EE4A81">
        <w:rPr>
          <w:color w:val="282829"/>
        </w:rPr>
        <w:t>articular reason that there is o</w:t>
      </w:r>
      <w:r w:rsidRPr="00EE4A81">
        <w:rPr>
          <w:color w:val="282829"/>
        </w:rPr>
        <w:t>nly one person who knows where the orders come from?  Companies that provide Training and docume</w:t>
      </w:r>
      <w:r w:rsidR="00EA6470" w:rsidRPr="00EE4A81">
        <w:rPr>
          <w:color w:val="282829"/>
        </w:rPr>
        <w:t>ntation are beneficial to the manager</w:t>
      </w:r>
      <w:r w:rsidRPr="00EE4A81">
        <w:rPr>
          <w:color w:val="282829"/>
        </w:rPr>
        <w:t>, store owners should come up with the idea of the purposes of other staff if Covid-19 unexpectedly changes your business? The company becomes more creative. What if your computer fails and you lose all of your accounts and customer orders? All of this should be included in SW</w:t>
      </w:r>
      <w:r w:rsidR="00EA6470" w:rsidRPr="00EE4A81">
        <w:rPr>
          <w:color w:val="282829"/>
        </w:rPr>
        <w:t>OT Analysis, which measures the</w:t>
      </w:r>
      <w:r w:rsidRPr="00EE4A81">
        <w:rPr>
          <w:color w:val="282829"/>
        </w:rPr>
        <w:t xml:space="preserve"> Strengths, Weaknesses, Opportunities, and Threats. Nothing is too trivial to consider, and everyone should participate. This is fraught with difficulties. Because it is a "management task," only appropriate managers should be involved. It's a waste of time, so I'd like to be the manager who makes money, while you can be the manager who "wastes'' money on contingency planning for things that never happen. Especially right now that we're competing with various companies with new challenges. When confronted with adversity, almost all of us fight or flee. We are even unaware that another option exists. As a result, we face many adversities in our lives but learn almost nothing from them. This guarantees that we will suffer throughout. These attitudes are simply commitment, control, and challenge. If you have these attitudes, you will believe that it is better to stay involved with the people and events around you (commitment) rather than withdraw, to keep seek to influence the result in which you would be associated (control) instead than stop trying, and thus to strive and explore how much you can develop through all the pressure (challenge) rather than lament your fate.</w:t>
      </w:r>
      <w:r w:rsidR="00FA2144">
        <w:rPr>
          <w:color w:val="282829"/>
        </w:rPr>
        <w:t xml:space="preserve">  </w:t>
      </w:r>
      <w:r w:rsidRPr="00EE4A81">
        <w:rPr>
          <w:color w:val="282829"/>
        </w:rPr>
        <w:t xml:space="preserve">"Our homes are battlegrounds where war is raging. Our workplaces are hunting grounds on which we either hunt or are mercilessly hunted. Life is always a battle, and we just want peace but are constantly </w:t>
      </w:r>
      <w:r w:rsidRPr="00EE4A81">
        <w:rPr>
          <w:color w:val="282829"/>
        </w:rPr>
        <w:lastRenderedPageBreak/>
        <w:t>harassed.</w:t>
      </w:r>
      <w:r w:rsidR="00FA2144">
        <w:rPr>
          <w:color w:val="282829"/>
        </w:rPr>
        <w:t xml:space="preserve"> </w:t>
      </w:r>
      <w:r w:rsidRPr="00EE4A81">
        <w:rPr>
          <w:color w:val="282829"/>
        </w:rPr>
        <w:t xml:space="preserve">When faced with adversity, we must stand and face it without attacking or fleeing. We learn our lessons when we stand our ground calmly and endure the onslaught while observing ourselves and everything around </w:t>
      </w:r>
      <w:r w:rsidR="00197A91" w:rsidRPr="00EE4A81">
        <w:rPr>
          <w:color w:val="282829"/>
        </w:rPr>
        <w:t>us. We</w:t>
      </w:r>
      <w:r w:rsidRPr="00EE4A81">
        <w:rPr>
          <w:color w:val="282829"/>
        </w:rPr>
        <w:t xml:space="preserve"> also take effective precautions to protect ourselves and others from harm and try to mitigate the negative consequences as much as possible. Under any circumstances, we never blame or attack anyone. At work, we face all challenges head on as a team. We never point fingers or make personal attacks. We assist everyone as best we can while giving our all. To help everyone succeed, we foster a highly supportive environment. We are extremely perceptive and use our intelligence to learn and manage everything for the best possible outcome. This is the most effective way to increase resilience. Employees were more able to devote themselves to the work at hand after committing to their work. This allowed the workers to understand what was going on for them. Having a feeling of authority </w:t>
      </w:r>
      <w:r w:rsidR="00EA6470" w:rsidRPr="00EE4A81">
        <w:rPr>
          <w:color w:val="282829"/>
        </w:rPr>
        <w:t>‘organizational</w:t>
      </w:r>
      <w:r w:rsidRPr="00EE4A81">
        <w:rPr>
          <w:color w:val="282829"/>
        </w:rPr>
        <w:t xml:space="preserve"> to act in ways that had an impact on the changes that were taking place. Still, they have a point if the company's finances require you to sail close to the wind, take risks, and hope for the best.</w:t>
      </w:r>
    </w:p>
    <w:p w14:paraId="540AA4D8" w14:textId="77777777" w:rsidR="00201D2C" w:rsidRDefault="00201D2C" w:rsidP="00197A91">
      <w:pPr>
        <w:spacing w:line="360" w:lineRule="auto"/>
        <w:ind w:firstLine="720"/>
        <w:jc w:val="both"/>
        <w:rPr>
          <w:color w:val="282829"/>
        </w:rPr>
      </w:pPr>
    </w:p>
    <w:p w14:paraId="3762C976" w14:textId="77777777" w:rsidR="0083289D" w:rsidRPr="00EE4A81" w:rsidRDefault="0083289D" w:rsidP="00197A91">
      <w:pPr>
        <w:spacing w:line="360" w:lineRule="auto"/>
        <w:ind w:firstLine="720"/>
        <w:jc w:val="both"/>
        <w:rPr>
          <w:color w:val="282829"/>
        </w:rPr>
      </w:pPr>
    </w:p>
    <w:p w14:paraId="63D78949" w14:textId="6F348FAE" w:rsidR="00201D2C" w:rsidRPr="00EE4A81" w:rsidRDefault="00201D2C" w:rsidP="00197A91">
      <w:pPr>
        <w:spacing w:line="360" w:lineRule="auto"/>
        <w:ind w:firstLine="720"/>
        <w:jc w:val="both"/>
        <w:rPr>
          <w:b/>
          <w:color w:val="282829"/>
        </w:rPr>
      </w:pPr>
      <w:r w:rsidRPr="00EE4A81">
        <w:rPr>
          <w:b/>
          <w:color w:val="282829"/>
        </w:rPr>
        <w:t xml:space="preserve">Reflection </w:t>
      </w:r>
      <w:r w:rsidR="003065F6">
        <w:rPr>
          <w:b/>
          <w:color w:val="282829"/>
        </w:rPr>
        <w:t>Journal</w:t>
      </w:r>
    </w:p>
    <w:p w14:paraId="5EBA920E" w14:textId="77777777" w:rsidR="00201D2C" w:rsidRPr="00EE4A81" w:rsidRDefault="00201D2C" w:rsidP="00197A91">
      <w:pPr>
        <w:spacing w:line="360" w:lineRule="auto"/>
        <w:ind w:firstLine="720"/>
        <w:jc w:val="both"/>
        <w:rPr>
          <w:color w:val="282829"/>
        </w:rPr>
      </w:pPr>
    </w:p>
    <w:p w14:paraId="36820970" w14:textId="77777777" w:rsidR="00201D2C" w:rsidRPr="00EE4A81" w:rsidRDefault="00201D2C" w:rsidP="00197A91">
      <w:pPr>
        <w:spacing w:line="360" w:lineRule="auto"/>
        <w:ind w:firstLine="720"/>
        <w:jc w:val="both"/>
        <w:rPr>
          <w:color w:val="282829"/>
        </w:rPr>
      </w:pPr>
    </w:p>
    <w:p w14:paraId="35B0EC2C" w14:textId="77777777" w:rsidR="00201D2C" w:rsidRPr="00EE4A81" w:rsidRDefault="00EE4A81" w:rsidP="00197A91">
      <w:pPr>
        <w:pStyle w:val="NormalWeb"/>
        <w:spacing w:before="0" w:beforeAutospacing="0" w:after="0" w:afterAutospacing="0" w:line="360" w:lineRule="auto"/>
        <w:jc w:val="both"/>
        <w:rPr>
          <w:rFonts w:ascii="Arial" w:hAnsi="Arial" w:cs="Arial"/>
          <w:color w:val="282829"/>
          <w:sz w:val="22"/>
          <w:szCs w:val="22"/>
        </w:rPr>
      </w:pPr>
      <w:r w:rsidRPr="00EE4A81">
        <w:rPr>
          <w:rFonts w:ascii="Arial" w:hAnsi="Arial" w:cs="Arial"/>
          <w:color w:val="000000"/>
          <w:sz w:val="22"/>
          <w:szCs w:val="22"/>
        </w:rPr>
        <w:t xml:space="preserve">The COVID-19 pandemic, one of the most severe global crises in generations, has had serious and far-reaching consequences for health systems, economies, and societies. In less than three months, COVID-19 has radically altered our relationship with space and with one another. Facemasks are now a commonplace accessory, as opposed to March of this year. Without a second thought, we stand in six-foot-spaced lines to enter grocery stores. As a result of the disaster, thousands of people have become ill or lost their jobs. Families and communities have been put to the test and torn apart. Children and teenagers have been deprived of the chance to learn and socialize. Companies have declared bankruptcy. Millions of people have become impoverished. For decades, stress has been on the rise. As a result of the health, social, and economic consequences, people's mental health has suffered. Many of us became more anxious, but COVID-19 triggered or exacerbated much more serious mental health issues for some of us. Many people have reported psychological distress as well as depression, anxiety, or post-traumatic stress disorder symptoms. There has also been an alarming rise in suicidal thoughts and behaviors, including among health care workers. For decades, the prevalence of occupational stress has been increasing. With the introduction of COVID-19, employees face even more challenges, which can result in increased levels of occupational stress. Organizations frequently </w:t>
      </w:r>
      <w:r w:rsidRPr="00EE4A81">
        <w:rPr>
          <w:rFonts w:ascii="Arial" w:hAnsi="Arial" w:cs="Arial"/>
          <w:color w:val="000000"/>
          <w:sz w:val="22"/>
          <w:szCs w:val="22"/>
        </w:rPr>
        <w:lastRenderedPageBreak/>
        <w:t xml:space="preserve">implement wellness programs to mitigate the negative health outcomes and costs associated with occupational stress. The manner in which services and resources are implemented, on the other hand, can have a significant impact on their success. Despite the fact that several implementation models have been proposed, researchers have little understanding of the extent to which practitioners implementing wellness programs follow the prescribed steps and sequences. Furthermore, because the nature of work is rapidly changing as a result of COVID-19, researchers must understand how the pandemic affects program implementation. </w:t>
      </w:r>
    </w:p>
    <w:p w14:paraId="40D98F21" w14:textId="77777777" w:rsidR="00FA2144" w:rsidRDefault="00FA2144" w:rsidP="00197A91">
      <w:pPr>
        <w:shd w:val="clear" w:color="auto" w:fill="FFFFFF"/>
        <w:spacing w:line="360" w:lineRule="auto"/>
        <w:ind w:firstLine="480"/>
        <w:jc w:val="both"/>
        <w:rPr>
          <w:color w:val="282829"/>
        </w:rPr>
      </w:pPr>
    </w:p>
    <w:p w14:paraId="5F612FB2" w14:textId="3ACF616E" w:rsidR="00EE4A81" w:rsidRPr="00EE4A81" w:rsidRDefault="00EE4A81" w:rsidP="00C97524">
      <w:pPr>
        <w:shd w:val="clear" w:color="auto" w:fill="FFFFFF"/>
        <w:spacing w:line="360" w:lineRule="auto"/>
        <w:jc w:val="both"/>
        <w:rPr>
          <w:rFonts w:eastAsia="Times New Roman"/>
          <w:color w:val="222222"/>
          <w:lang w:val="en-PH"/>
        </w:rPr>
      </w:pPr>
      <w:r w:rsidRPr="00EE4A81">
        <w:rPr>
          <w:color w:val="282829"/>
        </w:rPr>
        <w:t xml:space="preserve">The UK government responded to the COVID-19 infection in a systematic and timely manner, emphasizing social distancing policy and issuing guidelines for infectious disease containment in public places and workplaces. For a time, the majority of society was disturbed as infections in the workplace spread in industries such as call centers and warehouses. Workplace accidents changed in different ways across countries during the COVID-19 pandemic. In the United Kingdom, for example, workplace accidents did not increase significantly, and the number of self-reported occupational injuries decreased in 2020. </w:t>
      </w:r>
      <w:r w:rsidRPr="00EE4A81">
        <w:rPr>
          <w:color w:val="222222"/>
          <w:shd w:val="clear" w:color="auto" w:fill="FFFFFF"/>
        </w:rPr>
        <w:t xml:space="preserve">However, the number of work-related diseases in the UK increased from 200,000 to 1.6 million in 2019, and cases of work-related stress, depression, and anxiety increased from 200,000 to 800,000, while musculoskeletal disease cases remained unchanged from 2019. It is clear that no consistent pattern has been observed in how COVID-19 has affected workplace accidents across countries. COVID-19, on the other hand, has a number of ways of influencing workplace accidents. The first, and most importantly, factor is the decrease in economic activity during the COVID-19 period. </w:t>
      </w:r>
      <w:r w:rsidRPr="00EE4A81">
        <w:rPr>
          <w:rFonts w:eastAsia="Times New Roman"/>
          <w:color w:val="222222"/>
          <w:lang w:val="en-PH"/>
        </w:rPr>
        <w:t>Because of social distancing and lockdown, the level of production fell in 2020, which could have resulted in fewer occupational injuries and diseases.</w:t>
      </w:r>
    </w:p>
    <w:p w14:paraId="2E6FA618" w14:textId="77777777" w:rsidR="00EE4A81" w:rsidRPr="00EE4A81" w:rsidRDefault="00EE4A81" w:rsidP="00197A91">
      <w:pPr>
        <w:shd w:val="clear" w:color="auto" w:fill="FFFFFF"/>
        <w:spacing w:line="360" w:lineRule="auto"/>
        <w:ind w:firstLine="480"/>
        <w:jc w:val="both"/>
        <w:rPr>
          <w:rFonts w:eastAsia="Times New Roman"/>
          <w:color w:val="222222"/>
          <w:lang w:val="en-PH"/>
        </w:rPr>
      </w:pPr>
    </w:p>
    <w:p w14:paraId="0C43A5D0" w14:textId="77777777" w:rsidR="00EE4A81" w:rsidRPr="00EE4A81" w:rsidRDefault="00EE4A81" w:rsidP="00C97524">
      <w:pPr>
        <w:shd w:val="clear" w:color="auto" w:fill="FFFFFF"/>
        <w:spacing w:line="360" w:lineRule="auto"/>
        <w:jc w:val="both"/>
        <w:rPr>
          <w:rFonts w:eastAsia="Times New Roman"/>
          <w:color w:val="222222"/>
          <w:lang w:val="en-PH"/>
        </w:rPr>
      </w:pPr>
      <w:r w:rsidRPr="00EE4A81">
        <w:rPr>
          <w:rFonts w:eastAsia="Times New Roman"/>
          <w:color w:val="222222"/>
          <w:lang w:val="en-PH"/>
        </w:rPr>
        <w:t xml:space="preserve">Second, changes in work methods may have contributed to workplace accidents. Many people were forced to reduce their working hours and work from home as a result of the pandemic. These changes in work methods resulted in less time spent at work and less interaction with coworkers and customers, which is likely to reduce workplace injuries and diseases. Workers in the health care and welfare sectors, on the other hand, have become more vulnerable to occupational injuries and diseases. It should be noted that an increase in part-time work and working from home does not necessarily imply a decrease in workplace accidents because the workload for those who continue to work may increase. Employees in call centers and warehouses are examples of this. Concerning changes in work methods, such as "work from home," there is no official data in the UK to show that females, as opposed to males, changed their working style in </w:t>
      </w:r>
      <w:r w:rsidRPr="00EE4A81">
        <w:rPr>
          <w:rFonts w:eastAsia="Times New Roman"/>
          <w:color w:val="222222"/>
          <w:lang w:val="en-PH"/>
        </w:rPr>
        <w:lastRenderedPageBreak/>
        <w:t>such a way that workplace accidents were avoided during the COVID-19 period. However, Adams-</w:t>
      </w:r>
      <w:proofErr w:type="spellStart"/>
      <w:r w:rsidRPr="00EE4A81">
        <w:rPr>
          <w:rFonts w:eastAsia="Times New Roman"/>
          <w:color w:val="222222"/>
          <w:lang w:val="en-PH"/>
        </w:rPr>
        <w:t>Prassl</w:t>
      </w:r>
      <w:proofErr w:type="spellEnd"/>
      <w:r w:rsidRPr="00EE4A81">
        <w:rPr>
          <w:rFonts w:eastAsia="Times New Roman"/>
          <w:color w:val="222222"/>
          <w:lang w:val="en-PH"/>
        </w:rPr>
        <w:t xml:space="preserve"> et al. estimated the number of jobs that can be done from home in the United States and the United Kingdom and discovered that females are less likely to work from home. Their findings are consistent with Lee and Kim's estimates, which show that female workers are more vulnerable to COVID-19 infection because they are disproportionately more likely to work in health care and welfare sectors, where they come into close contact with patients and clients. As a result, it is unlikely that female injuries increased less than male injuries because females worked from home more frequently. To summarize, we conclude that male workers had a higher growth rate of injuries during the COVID-19 period because their work burden increased more due to the reduction in female workers' employment and hours worked. </w:t>
      </w:r>
    </w:p>
    <w:p w14:paraId="1A3CCDCB" w14:textId="77777777" w:rsidR="00EE4A81" w:rsidRPr="00EE4A81" w:rsidRDefault="00EE4A81" w:rsidP="00197A91">
      <w:pPr>
        <w:shd w:val="clear" w:color="auto" w:fill="FFFFFF"/>
        <w:spacing w:line="360" w:lineRule="auto"/>
        <w:ind w:firstLine="480"/>
        <w:jc w:val="both"/>
        <w:rPr>
          <w:rFonts w:eastAsia="Times New Roman"/>
          <w:color w:val="222222"/>
          <w:lang w:val="en-PH"/>
        </w:rPr>
      </w:pPr>
    </w:p>
    <w:p w14:paraId="29AFA530" w14:textId="77777777" w:rsidR="00EE4A81" w:rsidRPr="00EE4A81" w:rsidRDefault="00EE4A81" w:rsidP="00C97524">
      <w:pPr>
        <w:shd w:val="clear" w:color="auto" w:fill="FFFFFF"/>
        <w:spacing w:line="360" w:lineRule="auto"/>
        <w:jc w:val="both"/>
        <w:rPr>
          <w:rFonts w:eastAsia="Times New Roman"/>
          <w:color w:val="222222"/>
          <w:lang w:val="en-PH"/>
        </w:rPr>
      </w:pPr>
      <w:r w:rsidRPr="00EE4A81">
        <w:rPr>
          <w:rFonts w:eastAsia="Times New Roman"/>
          <w:color w:val="222222"/>
          <w:lang w:val="en-PH"/>
        </w:rPr>
        <w:t>It also investigated why the service industry, including transportation, experienced a higher rate of injury growth than the manufacturing and construction industries during the COVID-19 period. Because the union density in the manufacturing and construction industries is higher than in the service industry, it is possible that a lack of union protection is one of the reasons why workers in the service industry experienced a higher increase in injuries.</w:t>
      </w:r>
    </w:p>
    <w:p w14:paraId="5260DE01" w14:textId="77777777" w:rsidR="00EE4A81" w:rsidRPr="00EE4A81" w:rsidRDefault="00EE4A81" w:rsidP="00197A91">
      <w:pPr>
        <w:shd w:val="clear" w:color="auto" w:fill="FFFFFF"/>
        <w:spacing w:line="360" w:lineRule="auto"/>
        <w:ind w:firstLine="480"/>
        <w:jc w:val="both"/>
        <w:rPr>
          <w:rFonts w:eastAsia="Times New Roman"/>
          <w:color w:val="222222"/>
          <w:lang w:val="en-PH"/>
        </w:rPr>
      </w:pPr>
    </w:p>
    <w:p w14:paraId="6931B5B6" w14:textId="77777777" w:rsidR="00201D2C" w:rsidRPr="00201D2C" w:rsidRDefault="0083289D" w:rsidP="00C97524">
      <w:pPr>
        <w:shd w:val="clear" w:color="auto" w:fill="FFFFFF"/>
        <w:spacing w:line="360" w:lineRule="auto"/>
        <w:jc w:val="both"/>
        <w:rPr>
          <w:rFonts w:eastAsia="Times New Roman"/>
          <w:color w:val="222222"/>
          <w:lang w:val="en-PH"/>
        </w:rPr>
      </w:pPr>
      <w:r w:rsidRPr="0083289D">
        <w:t>Because the steps and processes of organizational change and occupational health implementation models differ, it is beneficial to investigate how practitioners implement wellness programs in the workplace. This will aid in the development of best practices across literatures, which will then guide organizations in their future implementation efforts. Those with first-hand experience implementing wellness programs can provide valuable insight into whether these published models 12 accurately reflect the implementation steps and sequences used by practitioners. Those with first-hand knowledge can also speak to which steps and sequences they believe are necessary for successful wellness program implementation.</w:t>
      </w:r>
      <w:r>
        <w:t xml:space="preserve"> </w:t>
      </w:r>
      <w:r w:rsidRPr="0083289D">
        <w:t xml:space="preserve">While researching the steps and sequences is important for developing a better understanding of wellness program implementation, it is also important to investigate the context in which these programs take place. The emergence of the COVID-19 virus is one such context that has recently impacted organizations all over the world. Another stressor associated with COVID is the need for employees to quickly adapt to a virtual working environment. Telecommuting, also known as telework, flex work, or remote work, first appeared in the 1970s and has since grown to include approximately 16% of the UK workforce. </w:t>
      </w:r>
      <w:r w:rsidR="00197A91" w:rsidRPr="0083289D">
        <w:t>Workforce</w:t>
      </w:r>
      <w:r w:rsidRPr="0083289D">
        <w:t xml:space="preserve"> by the year 2018.</w:t>
      </w:r>
      <w:r>
        <w:t xml:space="preserve"> </w:t>
      </w:r>
      <w:r w:rsidRPr="00EE4A81">
        <w:t xml:space="preserve">Traditionally, telecommuting was offered by organizations as an alternative work arrangement that allowed employees to work a portion of their regular hours 14 away from the workplace, often at home. </w:t>
      </w:r>
      <w:r w:rsidRPr="00EE4A81">
        <w:lastRenderedPageBreak/>
        <w:t>Although 2020 statistics have not been released yet, telecommuting was adopted by most organizations to promote physical distancing for jobs that are suitable to remote work et al., 2020). As a result, many employees are now navigating how to complete their everyday job tasks, once done face-to-face in an office setting, in an online setting. Telecommuting is causing increased stress among employees because of its inters</w:t>
      </w:r>
      <w:r w:rsidR="00EC1A61">
        <w:t xml:space="preserve">ection with work-family issues </w:t>
      </w:r>
      <w:r w:rsidR="00197A91" w:rsidRPr="00EE4A81">
        <w:t>this</w:t>
      </w:r>
      <w:r w:rsidRPr="00EE4A81">
        <w:t xml:space="preserve"> is especially apparent when it comes to boundary management preferences.</w:t>
      </w:r>
      <w:r w:rsidR="00EE4A81" w:rsidRPr="00EE4A81">
        <w:t xml:space="preserve"> </w:t>
      </w:r>
      <w:r w:rsidRPr="0083289D">
        <w:t>People's preferences for how they manage their life roles are referred to as boundary management preferences. Some people prefer to maintain clear distinctions between their life roles, while others prefer to integrate them. Telecommuting can be difficult for people who prefer strict boundaries because work and family events are often held in the same location. As a result, employees who work from home lose control over their boundary management preferences. The difficulty of operating in a virtual environment was a related issue for participants. Some challenges include discovering that virtual programming is less effective than in-person programming, having to reduce some services due to remote-only delivery, and dealing with 53 employee burnout caused by working in a virtual-only environment.</w:t>
      </w:r>
      <w:r>
        <w:t xml:space="preserve"> </w:t>
      </w:r>
      <w:r w:rsidRPr="0083289D">
        <w:t>One participant, for example, stated that she is having difficulty identifying new and exciting wellness program offerings, and that she expects to see a decline in participation rates because employees are tired of the same virtual programming. These takeaways highlight that, while COVID has had some positive effects on workplace wellness programs, it has also created a number of challenges that must be addressed.</w:t>
      </w:r>
    </w:p>
    <w:p w14:paraId="3314EFCB" w14:textId="232D1EC9" w:rsidR="0083289D" w:rsidRDefault="0083289D" w:rsidP="00C97524">
      <w:pPr>
        <w:spacing w:line="360" w:lineRule="auto"/>
        <w:jc w:val="both"/>
      </w:pPr>
      <w:r w:rsidRPr="0083289D">
        <w:t>In conclusion, companies and the government already have regulations and procedures in place if there is a major problem, so that employees can receive short-term assistance. However, it does not address the issues that have arisen as a result of the global COVID-19 pandemic. Following this pandemic, the government must implement procedures and legislation to further support women and their careers. Long-term strategies are required to not only allow companies to adapt to changes efficiently, but also to support employees and prioritize their welfare, particularly in terms of mental h</w:t>
      </w:r>
      <w:r>
        <w:t>ealth and child care facilities.</w:t>
      </w:r>
    </w:p>
    <w:p w14:paraId="45400F12" w14:textId="77777777" w:rsidR="0083289D" w:rsidRDefault="0083289D" w:rsidP="00197A91">
      <w:pPr>
        <w:spacing w:line="360" w:lineRule="auto"/>
        <w:ind w:firstLine="720"/>
        <w:jc w:val="both"/>
      </w:pPr>
    </w:p>
    <w:p w14:paraId="458EF497" w14:textId="77777777" w:rsidR="00637A8B" w:rsidRPr="00EE4A81" w:rsidRDefault="00637A8B" w:rsidP="00C97524">
      <w:pPr>
        <w:spacing w:line="360" w:lineRule="auto"/>
        <w:jc w:val="both"/>
      </w:pPr>
      <w:r w:rsidRPr="00EE4A81">
        <w:t xml:space="preserve"> </w:t>
      </w:r>
      <w:r w:rsidR="0083289D" w:rsidRPr="0083289D">
        <w:t>The following improvements and recommendations should be brought to the government's attention in regard to the women's workforce in order to assist both employers and employees in becoming accustomed to life during this coronavirus pandemic, as well as life af</w:t>
      </w:r>
      <w:r w:rsidR="0083289D">
        <w:t>ter COVID-</w:t>
      </w:r>
      <w:proofErr w:type="gramStart"/>
      <w:r w:rsidR="0083289D">
        <w:t xml:space="preserve">19 </w:t>
      </w:r>
      <w:r w:rsidRPr="00EE4A81">
        <w:t>.</w:t>
      </w:r>
      <w:proofErr w:type="gramEnd"/>
      <w:r w:rsidRPr="00EE4A81">
        <w:t xml:space="preserve"> </w:t>
      </w:r>
    </w:p>
    <w:p w14:paraId="2840E5B6" w14:textId="77777777" w:rsidR="00C97524" w:rsidRDefault="00C97524" w:rsidP="00C97524">
      <w:pPr>
        <w:spacing w:line="360" w:lineRule="auto"/>
        <w:jc w:val="both"/>
      </w:pPr>
    </w:p>
    <w:p w14:paraId="184A1089" w14:textId="1502D20C" w:rsidR="0083289D" w:rsidRDefault="0083289D" w:rsidP="00C97524">
      <w:pPr>
        <w:spacing w:line="360" w:lineRule="auto"/>
        <w:jc w:val="both"/>
      </w:pPr>
      <w:r w:rsidRPr="0083289D">
        <w:t xml:space="preserve">• If businesses encourage remote working, it must be done in an efficient and secure manner. Women who work remotely while caring for children must exercise caution, and companies must </w:t>
      </w:r>
      <w:r w:rsidRPr="0083289D">
        <w:lastRenderedPageBreak/>
        <w:t>ensure that the equipment is set up safely so that it does not pose a hazard to the child, such as tripping over wires or workstations.</w:t>
      </w:r>
    </w:p>
    <w:p w14:paraId="65E725AC" w14:textId="77777777" w:rsidR="00C97524" w:rsidRDefault="00C97524" w:rsidP="00C97524">
      <w:pPr>
        <w:spacing w:line="360" w:lineRule="auto"/>
        <w:jc w:val="both"/>
      </w:pPr>
    </w:p>
    <w:p w14:paraId="6C691CC7" w14:textId="7EDF9E0A" w:rsidR="00637A8B" w:rsidRDefault="00637A8B" w:rsidP="00C97524">
      <w:pPr>
        <w:spacing w:line="360" w:lineRule="auto"/>
        <w:jc w:val="both"/>
      </w:pPr>
      <w:r w:rsidRPr="00EE4A81">
        <w:t xml:space="preserve"> </w:t>
      </w:r>
      <w:r w:rsidRPr="00EE4A81">
        <w:sym w:font="Symbol" w:char="F0B7"/>
      </w:r>
      <w:r w:rsidRPr="00EE4A81">
        <w:t xml:space="preserve"> </w:t>
      </w:r>
      <w:r w:rsidR="0083289D" w:rsidRPr="0083289D">
        <w:t xml:space="preserve">If employees are furloughed, employers must consider that women will have children at home because schools are </w:t>
      </w:r>
      <w:r w:rsidR="00C97524" w:rsidRPr="0083289D">
        <w:t>closed,</w:t>
      </w:r>
      <w:r w:rsidR="0083289D" w:rsidRPr="0083289D">
        <w:t xml:space="preserve"> and childcare services are scarce. Employees are under additional strain as a result of furloughed employees, according to participant 5. If companies are furloughing employees, a system must be in place to ensure that the workload is distributed as evenly as possible. Furthermore, because women are more likely than men to care for children while also working from home, some women are more likely to lose their jobs or be furloughed.</w:t>
      </w:r>
      <w:r w:rsidR="0083289D">
        <w:t xml:space="preserve"> </w:t>
      </w:r>
      <w:r w:rsidR="0083289D" w:rsidRPr="0083289D">
        <w:t>If schools are closed, more support systems and better childcare services are required. Participant 1 had to leave the company because there were no childcare options available. The government must improve childcare services for women in vulnerable situations.</w:t>
      </w:r>
    </w:p>
    <w:p w14:paraId="7C7CB778" w14:textId="77777777" w:rsidR="00C97524" w:rsidRDefault="00C97524" w:rsidP="00C97524">
      <w:pPr>
        <w:spacing w:line="360" w:lineRule="auto"/>
        <w:jc w:val="both"/>
      </w:pPr>
    </w:p>
    <w:p w14:paraId="6CF9AEC0" w14:textId="7DA7CF06" w:rsidR="00637A8B" w:rsidRPr="00EE4A81" w:rsidRDefault="00637A8B" w:rsidP="00C97524">
      <w:pPr>
        <w:spacing w:line="360" w:lineRule="auto"/>
        <w:jc w:val="both"/>
        <w:rPr>
          <w:color w:val="282829"/>
          <w:lang w:val="en-PH"/>
        </w:rPr>
      </w:pPr>
      <w:r w:rsidRPr="00EE4A81">
        <w:sym w:font="Symbol" w:char="F0B7"/>
      </w:r>
      <w:r w:rsidRPr="00EE4A81">
        <w:t xml:space="preserve"> </w:t>
      </w:r>
      <w:r w:rsidR="0083289D" w:rsidRPr="0083289D">
        <w:t>Mental health services are required because more than 80% of participants stated that the pandemic has had an impact on their mental health. The government and businesses must collaborate to provide mental health services to employees, particularly women who bear the additional burden of childcare and domestic responsibilities in addition to their work. Furthermore, with domestic violence cases on the rise, the government must make it a priority to provide a service where people can seek assistance.</w:t>
      </w:r>
      <w:r w:rsidR="0083289D">
        <w:t xml:space="preserve"> </w:t>
      </w:r>
      <w:r w:rsidR="00EC1A61" w:rsidRPr="00EC1A61">
        <w:rPr>
          <w:color w:val="333333"/>
          <w:sz w:val="21"/>
          <w:szCs w:val="21"/>
          <w:shd w:val="clear" w:color="auto" w:fill="FFFFFF"/>
        </w:rPr>
        <w:t>COVID-19 is exacerbating the enormous mental toll already being borne by millions of people around the world who are already subjected to distressing experiences such as losing loved ones, homes, and livelihoods. Early in 2020, as the world began to realize the magnitude of the COVID-19 pandemic's humanitarian and societal consequences, we began to see the huge psychological implications of the virus itself and the measures to prevent it. Worries and fears about losing loved ones, becoming ill, or health-care systems becoming overburdened remain common among those we assist.</w:t>
      </w:r>
      <w:r w:rsidR="00EC1A61">
        <w:rPr>
          <w:color w:val="333333"/>
          <w:sz w:val="21"/>
          <w:szCs w:val="21"/>
          <w:shd w:val="clear" w:color="auto" w:fill="FFFFFF"/>
        </w:rPr>
        <w:t xml:space="preserve"> </w:t>
      </w:r>
      <w:r w:rsidR="00EC1A61" w:rsidRPr="00EC1A61">
        <w:rPr>
          <w:color w:val="333333"/>
          <w:sz w:val="21"/>
          <w:szCs w:val="21"/>
          <w:shd w:val="clear" w:color="auto" w:fill="FFFFFF"/>
        </w:rPr>
        <w:t>Furthermore, government-imposed measures to prevent the spread of the disease, such as lockdown restrictions, quarantines, and physical separation, as well as their economic and social consequences, exacerbate this distress and the risk of mental health problems. There is more to mental health than the presence or absence of a mental illness. It is the intersection of emotional, psychological, and physical well-being. The COVID-19 pandemic has highlighted the importance of prioritizing mental health. Being more proactive and focusing on mental well-being is the best way we can support ourselves and others.</w:t>
      </w:r>
    </w:p>
    <w:p w14:paraId="41B1FB47" w14:textId="77777777" w:rsidR="00637A8B" w:rsidRPr="00EE4A81" w:rsidRDefault="00637A8B" w:rsidP="00197A91">
      <w:pPr>
        <w:spacing w:line="360" w:lineRule="auto"/>
        <w:ind w:firstLine="720"/>
        <w:jc w:val="both"/>
        <w:rPr>
          <w:color w:val="282829"/>
          <w:lang w:val="en-PH"/>
        </w:rPr>
      </w:pPr>
    </w:p>
    <w:p w14:paraId="1ACEB6C2" w14:textId="0745E78D" w:rsidR="00FA2144" w:rsidRDefault="00FA2144" w:rsidP="00FA2144">
      <w:pPr>
        <w:shd w:val="clear" w:color="auto" w:fill="FFFFFF"/>
        <w:spacing w:line="360" w:lineRule="auto"/>
        <w:jc w:val="both"/>
        <w:rPr>
          <w:color w:val="282829"/>
          <w:lang w:val="en-PH"/>
        </w:rPr>
      </w:pPr>
    </w:p>
    <w:p w14:paraId="1FD0D31B" w14:textId="293F8635" w:rsidR="00FA2144" w:rsidRDefault="00FA2144" w:rsidP="00FA2144">
      <w:pPr>
        <w:shd w:val="clear" w:color="auto" w:fill="FFFFFF"/>
        <w:spacing w:line="360" w:lineRule="auto"/>
        <w:jc w:val="both"/>
        <w:rPr>
          <w:color w:val="282829"/>
          <w:lang w:val="en-PH"/>
        </w:rPr>
      </w:pPr>
    </w:p>
    <w:p w14:paraId="050C591A" w14:textId="45C2F69D" w:rsidR="00FA2144" w:rsidRDefault="00FA2144" w:rsidP="00FA2144">
      <w:pPr>
        <w:shd w:val="clear" w:color="auto" w:fill="FFFFFF"/>
        <w:spacing w:line="360" w:lineRule="auto"/>
        <w:jc w:val="both"/>
        <w:rPr>
          <w:color w:val="282829"/>
          <w:lang w:val="en-PH"/>
        </w:rPr>
      </w:pPr>
    </w:p>
    <w:p w14:paraId="0A49D9A4" w14:textId="325E2ABC" w:rsidR="00FA2144" w:rsidRDefault="00FA2144" w:rsidP="00FA2144">
      <w:pPr>
        <w:shd w:val="clear" w:color="auto" w:fill="FFFFFF"/>
        <w:spacing w:line="360" w:lineRule="auto"/>
        <w:rPr>
          <w:b/>
          <w:bCs/>
          <w:color w:val="282829"/>
          <w:lang w:val="en-PH"/>
        </w:rPr>
      </w:pPr>
      <w:r>
        <w:rPr>
          <w:b/>
          <w:bCs/>
          <w:color w:val="282829"/>
          <w:lang w:val="en-PH"/>
        </w:rPr>
        <w:t>References:</w:t>
      </w:r>
    </w:p>
    <w:p w14:paraId="0477C953" w14:textId="77777777" w:rsidR="00637A8B" w:rsidRPr="00EE4A81" w:rsidRDefault="00637A8B" w:rsidP="00E31024">
      <w:pPr>
        <w:spacing w:line="360" w:lineRule="auto"/>
        <w:jc w:val="both"/>
        <w:rPr>
          <w:color w:val="282829"/>
          <w:lang w:val="en-PH"/>
        </w:rPr>
      </w:pPr>
    </w:p>
    <w:p w14:paraId="6AA050D0" w14:textId="7F93F40E"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1: </w:t>
      </w:r>
      <w:proofErr w:type="spellStart"/>
      <w:r>
        <w:rPr>
          <w:rFonts w:ascii="Calibri" w:hAnsi="Calibri" w:cs="Calibri"/>
          <w:color w:val="000000"/>
          <w:sz w:val="27"/>
          <w:szCs w:val="27"/>
        </w:rPr>
        <w:t>Dingel</w:t>
      </w:r>
      <w:proofErr w:type="spellEnd"/>
      <w:r>
        <w:rPr>
          <w:rFonts w:ascii="Calibri" w:hAnsi="Calibri" w:cs="Calibri"/>
          <w:color w:val="000000"/>
          <w:sz w:val="27"/>
          <w:szCs w:val="27"/>
        </w:rPr>
        <w:t>, J.I. and Neiman, B. (2020). How many jobs can be done at home? </w:t>
      </w:r>
      <w:r>
        <w:rPr>
          <w:rFonts w:ascii="Calibri" w:hAnsi="Calibri" w:cs="Calibri"/>
          <w:i/>
          <w:iCs/>
          <w:color w:val="000000"/>
          <w:sz w:val="27"/>
          <w:szCs w:val="27"/>
        </w:rPr>
        <w:t>Journal of Public Economics</w:t>
      </w:r>
      <w:r>
        <w:rPr>
          <w:rFonts w:ascii="Calibri" w:hAnsi="Calibri" w:cs="Calibri"/>
          <w:color w:val="000000"/>
          <w:sz w:val="27"/>
          <w:szCs w:val="27"/>
        </w:rPr>
        <w:t xml:space="preserve">, 189, p.104235. </w:t>
      </w:r>
      <w:proofErr w:type="gramStart"/>
      <w:r>
        <w:rPr>
          <w:rFonts w:ascii="Calibri" w:hAnsi="Calibri" w:cs="Calibri"/>
          <w:color w:val="000000"/>
          <w:sz w:val="27"/>
          <w:szCs w:val="27"/>
        </w:rPr>
        <w:t>doi:10.1016/j.jpubeco</w:t>
      </w:r>
      <w:proofErr w:type="gramEnd"/>
      <w:r>
        <w:rPr>
          <w:rFonts w:ascii="Calibri" w:hAnsi="Calibri" w:cs="Calibri"/>
          <w:color w:val="000000"/>
          <w:sz w:val="27"/>
          <w:szCs w:val="27"/>
        </w:rPr>
        <w:t>.2020.104235.</w:t>
      </w:r>
    </w:p>
    <w:p w14:paraId="3865D48C" w14:textId="1B1D7723" w:rsidR="00E31024" w:rsidRDefault="00E31024" w:rsidP="00E31024">
      <w:pPr>
        <w:pStyle w:val="NormalWeb"/>
        <w:spacing w:before="0" w:beforeAutospacing="0" w:after="0" w:afterAutospacing="0" w:line="360" w:lineRule="atLeast"/>
        <w:rPr>
          <w:rFonts w:ascii="Calibri" w:hAnsi="Calibri" w:cs="Calibri"/>
          <w:color w:val="000000"/>
          <w:sz w:val="27"/>
          <w:szCs w:val="27"/>
        </w:rPr>
      </w:pPr>
      <w:hyperlink r:id="rId7" w:history="1">
        <w:r w:rsidRPr="0019029B">
          <w:rPr>
            <w:rStyle w:val="Hyperlink"/>
            <w:rFonts w:ascii="Calibri" w:hAnsi="Calibri" w:cs="Calibri"/>
            <w:sz w:val="27"/>
            <w:szCs w:val="27"/>
          </w:rPr>
          <w:t>https://www.scie</w:t>
        </w:r>
        <w:r w:rsidRPr="0019029B">
          <w:rPr>
            <w:rStyle w:val="Hyperlink"/>
            <w:rFonts w:ascii="Calibri" w:hAnsi="Calibri" w:cs="Calibri"/>
            <w:sz w:val="27"/>
            <w:szCs w:val="27"/>
          </w:rPr>
          <w:t>n</w:t>
        </w:r>
        <w:r w:rsidRPr="0019029B">
          <w:rPr>
            <w:rStyle w:val="Hyperlink"/>
            <w:rFonts w:ascii="Calibri" w:hAnsi="Calibri" w:cs="Calibri"/>
            <w:sz w:val="27"/>
            <w:szCs w:val="27"/>
          </w:rPr>
          <w:t>cedirect.com/science/article/pii/S0047272720300992</w:t>
        </w:r>
      </w:hyperlink>
      <w:r>
        <w:rPr>
          <w:rFonts w:ascii="Calibri" w:hAnsi="Calibri" w:cs="Calibri"/>
          <w:color w:val="000000"/>
          <w:sz w:val="27"/>
          <w:szCs w:val="27"/>
        </w:rPr>
        <w:t xml:space="preserve"> Accessed at 10/12/2022</w:t>
      </w:r>
    </w:p>
    <w:p w14:paraId="0606D130" w14:textId="77777777"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6B2C15A5" w14:textId="5C9866D9"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2: </w:t>
      </w:r>
      <w:proofErr w:type="spellStart"/>
      <w:r>
        <w:rPr>
          <w:rFonts w:ascii="Calibri" w:hAnsi="Calibri" w:cs="Calibri"/>
          <w:color w:val="000000"/>
          <w:sz w:val="27"/>
          <w:szCs w:val="27"/>
        </w:rPr>
        <w:t>Wahaca</w:t>
      </w:r>
      <w:proofErr w:type="spellEnd"/>
      <w:r>
        <w:rPr>
          <w:rFonts w:ascii="Calibri" w:hAnsi="Calibri" w:cs="Calibri"/>
          <w:color w:val="000000"/>
          <w:sz w:val="27"/>
          <w:szCs w:val="27"/>
        </w:rPr>
        <w:t>. (n.d.). </w:t>
      </w:r>
      <w:r>
        <w:rPr>
          <w:rFonts w:ascii="Calibri" w:hAnsi="Calibri" w:cs="Calibri"/>
          <w:i/>
          <w:iCs/>
          <w:color w:val="000000"/>
          <w:sz w:val="27"/>
          <w:szCs w:val="27"/>
        </w:rPr>
        <w:t xml:space="preserve">The </w:t>
      </w:r>
      <w:proofErr w:type="spellStart"/>
      <w:r>
        <w:rPr>
          <w:rFonts w:ascii="Calibri" w:hAnsi="Calibri" w:cs="Calibri"/>
          <w:i/>
          <w:iCs/>
          <w:color w:val="000000"/>
          <w:sz w:val="27"/>
          <w:szCs w:val="27"/>
        </w:rPr>
        <w:t>Wahaca</w:t>
      </w:r>
      <w:proofErr w:type="spellEnd"/>
      <w:r>
        <w:rPr>
          <w:rFonts w:ascii="Calibri" w:hAnsi="Calibri" w:cs="Calibri"/>
          <w:i/>
          <w:iCs/>
          <w:color w:val="000000"/>
          <w:sz w:val="27"/>
          <w:szCs w:val="27"/>
        </w:rPr>
        <w:t xml:space="preserve"> Story | About </w:t>
      </w:r>
      <w:proofErr w:type="spellStart"/>
      <w:r>
        <w:rPr>
          <w:rFonts w:ascii="Calibri" w:hAnsi="Calibri" w:cs="Calibri"/>
          <w:i/>
          <w:iCs/>
          <w:color w:val="000000"/>
          <w:sz w:val="27"/>
          <w:szCs w:val="27"/>
        </w:rPr>
        <w:t>Wahaca</w:t>
      </w:r>
      <w:proofErr w:type="spellEnd"/>
      <w:r>
        <w:rPr>
          <w:rFonts w:ascii="Calibri" w:hAnsi="Calibri" w:cs="Calibri"/>
          <w:color w:val="000000"/>
          <w:sz w:val="27"/>
          <w:szCs w:val="27"/>
        </w:rPr>
        <w:t xml:space="preserve">. [online] Available at: </w:t>
      </w:r>
      <w:hyperlink r:id="rId8" w:history="1">
        <w:r w:rsidRPr="0019029B">
          <w:rPr>
            <w:rStyle w:val="Hyperlink"/>
            <w:rFonts w:ascii="Calibri" w:hAnsi="Calibri" w:cs="Calibri"/>
            <w:sz w:val="27"/>
            <w:szCs w:val="27"/>
          </w:rPr>
          <w:t>https://www.w</w:t>
        </w:r>
        <w:r w:rsidRPr="0019029B">
          <w:rPr>
            <w:rStyle w:val="Hyperlink"/>
            <w:rFonts w:ascii="Calibri" w:hAnsi="Calibri" w:cs="Calibri"/>
            <w:sz w:val="27"/>
            <w:szCs w:val="27"/>
          </w:rPr>
          <w:t>a</w:t>
        </w:r>
        <w:r w:rsidRPr="0019029B">
          <w:rPr>
            <w:rStyle w:val="Hyperlink"/>
            <w:rFonts w:ascii="Calibri" w:hAnsi="Calibri" w:cs="Calibri"/>
            <w:sz w:val="27"/>
            <w:szCs w:val="27"/>
          </w:rPr>
          <w:t>haca.co.uk/about-us/</w:t>
        </w:r>
      </w:hyperlink>
      <w:r>
        <w:rPr>
          <w:rFonts w:ascii="Calibri" w:hAnsi="Calibri" w:cs="Calibri"/>
          <w:color w:val="000000"/>
          <w:sz w:val="27"/>
          <w:szCs w:val="27"/>
        </w:rPr>
        <w:t>.</w:t>
      </w:r>
      <w:r>
        <w:rPr>
          <w:rFonts w:ascii="Calibri" w:hAnsi="Calibri" w:cs="Calibri"/>
          <w:color w:val="000000"/>
          <w:sz w:val="27"/>
          <w:szCs w:val="27"/>
        </w:rPr>
        <w:t xml:space="preserve"> Accessed at 12/12/2022</w:t>
      </w:r>
    </w:p>
    <w:p w14:paraId="5E66B007" w14:textId="77777777"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A89AF8E" w14:textId="3235ABBD"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3:</w:t>
      </w:r>
      <w:r w:rsidRPr="00E31024">
        <w:rPr>
          <w:rFonts w:ascii="Calibri" w:hAnsi="Calibri" w:cs="Calibri"/>
          <w:color w:val="000000"/>
          <w:sz w:val="27"/>
          <w:szCs w:val="27"/>
        </w:rPr>
        <w:t xml:space="preserve"> </w:t>
      </w:r>
      <w:r>
        <w:rPr>
          <w:rFonts w:ascii="Calibri" w:hAnsi="Calibri" w:cs="Calibri"/>
          <w:color w:val="000000"/>
          <w:sz w:val="27"/>
          <w:szCs w:val="27"/>
        </w:rPr>
        <w:t xml:space="preserve">Aust, B. and </w:t>
      </w:r>
      <w:proofErr w:type="spellStart"/>
      <w:r>
        <w:rPr>
          <w:rFonts w:ascii="Calibri" w:hAnsi="Calibri" w:cs="Calibri"/>
          <w:color w:val="000000"/>
          <w:sz w:val="27"/>
          <w:szCs w:val="27"/>
        </w:rPr>
        <w:t>Ducki</w:t>
      </w:r>
      <w:proofErr w:type="spellEnd"/>
      <w:r>
        <w:rPr>
          <w:rFonts w:ascii="Calibri" w:hAnsi="Calibri" w:cs="Calibri"/>
          <w:color w:val="000000"/>
          <w:sz w:val="27"/>
          <w:szCs w:val="27"/>
        </w:rPr>
        <w:t>, A. (2004). </w:t>
      </w:r>
      <w:r>
        <w:rPr>
          <w:rFonts w:ascii="Calibri" w:hAnsi="Calibri" w:cs="Calibri"/>
          <w:i/>
          <w:iCs/>
          <w:color w:val="000000"/>
          <w:sz w:val="27"/>
          <w:szCs w:val="27"/>
        </w:rPr>
        <w:t>Comprehensive health promotion interventions at the workplace: experiences with health circles in Germany</w:t>
      </w:r>
      <w:r>
        <w:rPr>
          <w:rFonts w:ascii="Calibri" w:hAnsi="Calibri" w:cs="Calibri"/>
          <w:color w:val="000000"/>
          <w:sz w:val="27"/>
          <w:szCs w:val="27"/>
        </w:rPr>
        <w:t>. [online] </w:t>
      </w:r>
      <w:r>
        <w:rPr>
          <w:rFonts w:ascii="Calibri" w:hAnsi="Calibri" w:cs="Calibri"/>
          <w:i/>
          <w:iCs/>
          <w:color w:val="000000"/>
          <w:sz w:val="27"/>
          <w:szCs w:val="27"/>
        </w:rPr>
        <w:t>www.ncbi.nlm.nih.gov</w:t>
      </w:r>
      <w:r>
        <w:rPr>
          <w:rFonts w:ascii="Calibri" w:hAnsi="Calibri" w:cs="Calibri"/>
          <w:color w:val="000000"/>
          <w:sz w:val="27"/>
          <w:szCs w:val="27"/>
        </w:rPr>
        <w:t xml:space="preserve">. Centre for Reviews and Dissemination (UK). Available at: </w:t>
      </w:r>
      <w:hyperlink r:id="rId9" w:history="1">
        <w:r w:rsidRPr="0019029B">
          <w:rPr>
            <w:rStyle w:val="Hyperlink"/>
            <w:rFonts w:ascii="Calibri" w:hAnsi="Calibri" w:cs="Calibri"/>
            <w:sz w:val="27"/>
            <w:szCs w:val="27"/>
          </w:rPr>
          <w:t>https://www.ncbi</w:t>
        </w:r>
        <w:r w:rsidRPr="0019029B">
          <w:rPr>
            <w:rStyle w:val="Hyperlink"/>
            <w:rFonts w:ascii="Calibri" w:hAnsi="Calibri" w:cs="Calibri"/>
            <w:sz w:val="27"/>
            <w:szCs w:val="27"/>
          </w:rPr>
          <w:t>.</w:t>
        </w:r>
        <w:r w:rsidRPr="0019029B">
          <w:rPr>
            <w:rStyle w:val="Hyperlink"/>
            <w:rFonts w:ascii="Calibri" w:hAnsi="Calibri" w:cs="Calibri"/>
            <w:sz w:val="27"/>
            <w:szCs w:val="27"/>
          </w:rPr>
          <w:t>nlm.nih.gov/books/NBK70765/</w:t>
        </w:r>
      </w:hyperlink>
      <w:r>
        <w:rPr>
          <w:rFonts w:ascii="Calibri" w:hAnsi="Calibri" w:cs="Calibri"/>
          <w:color w:val="000000"/>
          <w:sz w:val="27"/>
          <w:szCs w:val="27"/>
        </w:rPr>
        <w:t xml:space="preserve"> </w:t>
      </w:r>
      <w:r>
        <w:rPr>
          <w:rFonts w:ascii="Calibri" w:hAnsi="Calibri" w:cs="Calibri"/>
          <w:color w:val="000000"/>
          <w:sz w:val="27"/>
          <w:szCs w:val="27"/>
        </w:rPr>
        <w:t xml:space="preserve"> [Accessed </w:t>
      </w:r>
      <w:r>
        <w:rPr>
          <w:rFonts w:ascii="Calibri" w:hAnsi="Calibri" w:cs="Calibri"/>
          <w:color w:val="000000"/>
          <w:sz w:val="27"/>
          <w:szCs w:val="27"/>
        </w:rPr>
        <w:t>12/12/2022</w:t>
      </w:r>
      <w:r>
        <w:rPr>
          <w:rFonts w:ascii="Calibri" w:hAnsi="Calibri" w:cs="Calibri"/>
          <w:color w:val="000000"/>
          <w:sz w:val="27"/>
          <w:szCs w:val="27"/>
        </w:rPr>
        <w:t>.</w:t>
      </w:r>
    </w:p>
    <w:p w14:paraId="41840320" w14:textId="77777777" w:rsidR="00E31024" w:rsidRDefault="00E31024" w:rsidP="00E310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5E64D32" w14:textId="045EE410" w:rsidR="00C97524" w:rsidRDefault="00E31024" w:rsidP="00C975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4: </w:t>
      </w:r>
      <w:r w:rsidR="00C97524">
        <w:rPr>
          <w:rFonts w:ascii="Calibri" w:hAnsi="Calibri" w:cs="Calibri"/>
          <w:color w:val="000000"/>
          <w:sz w:val="27"/>
          <w:szCs w:val="27"/>
        </w:rPr>
        <w:t>Alharbi, S. and Hasan, A.A. (2019). Occupational Stress, Coping Strategies, and Quality of Life among Nurses in General and Psychiatric Setting in Jeddah City—KSA. </w:t>
      </w:r>
      <w:r w:rsidR="00C97524">
        <w:rPr>
          <w:rFonts w:ascii="Calibri" w:hAnsi="Calibri" w:cs="Calibri"/>
          <w:i/>
          <w:iCs/>
          <w:color w:val="000000"/>
          <w:sz w:val="27"/>
          <w:szCs w:val="27"/>
        </w:rPr>
        <w:t>Open Journal of Psychiatry</w:t>
      </w:r>
      <w:r w:rsidR="00C97524">
        <w:rPr>
          <w:rFonts w:ascii="Calibri" w:hAnsi="Calibri" w:cs="Calibri"/>
          <w:color w:val="000000"/>
          <w:sz w:val="27"/>
          <w:szCs w:val="27"/>
        </w:rPr>
        <w:t>, 09(02), pp.124–137. doi:10.4236/ojpsych.2019.92010.</w:t>
      </w:r>
      <w:r w:rsidR="00C97524">
        <w:rPr>
          <w:rFonts w:ascii="Calibri" w:hAnsi="Calibri" w:cs="Calibri"/>
          <w:color w:val="000000"/>
          <w:sz w:val="27"/>
          <w:szCs w:val="27"/>
        </w:rPr>
        <w:t xml:space="preserve"> </w:t>
      </w:r>
    </w:p>
    <w:p w14:paraId="32E2F2E7" w14:textId="2AC605FE" w:rsidR="00E31024" w:rsidRDefault="00C97524" w:rsidP="00C97524">
      <w:pPr>
        <w:pStyle w:val="NormalWeb"/>
        <w:rPr>
          <w:rFonts w:ascii="Calibri" w:hAnsi="Calibri" w:cs="Calibri"/>
          <w:color w:val="000000"/>
          <w:sz w:val="27"/>
          <w:szCs w:val="27"/>
        </w:rPr>
      </w:pPr>
      <w:hyperlink r:id="rId10" w:history="1">
        <w:r w:rsidRPr="0019029B">
          <w:rPr>
            <w:rStyle w:val="Hyperlink"/>
            <w:rFonts w:ascii="Calibri" w:hAnsi="Calibri" w:cs="Calibri"/>
            <w:sz w:val="27"/>
            <w:szCs w:val="27"/>
          </w:rPr>
          <w:t>https:/</w:t>
        </w:r>
        <w:r w:rsidRPr="0019029B">
          <w:rPr>
            <w:rStyle w:val="Hyperlink"/>
            <w:rFonts w:ascii="Calibri" w:hAnsi="Calibri" w:cs="Calibri"/>
            <w:sz w:val="27"/>
            <w:szCs w:val="27"/>
          </w:rPr>
          <w:t>/</w:t>
        </w:r>
        <w:r w:rsidRPr="0019029B">
          <w:rPr>
            <w:rStyle w:val="Hyperlink"/>
            <w:rFonts w:ascii="Calibri" w:hAnsi="Calibri" w:cs="Calibri"/>
            <w:sz w:val="27"/>
            <w:szCs w:val="27"/>
          </w:rPr>
          <w:t>www.scirp.org/journal/paperinformation.aspx?paperid=91107</w:t>
        </w:r>
      </w:hyperlink>
      <w:r>
        <w:rPr>
          <w:rFonts w:ascii="Calibri" w:hAnsi="Calibri" w:cs="Calibri"/>
          <w:color w:val="000000"/>
          <w:sz w:val="27"/>
          <w:szCs w:val="27"/>
        </w:rPr>
        <w:t xml:space="preserve"> Accessed at !4/12/2022</w:t>
      </w:r>
    </w:p>
    <w:p w14:paraId="2B0717CD" w14:textId="77777777" w:rsidR="00C97524" w:rsidRDefault="00E31024" w:rsidP="00C975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8D78C1E" w14:textId="286148D0" w:rsidR="00C97524" w:rsidRDefault="00E31024" w:rsidP="00C975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5:</w:t>
      </w:r>
      <w:r w:rsidR="00C97524">
        <w:rPr>
          <w:rFonts w:ascii="Calibri" w:hAnsi="Calibri" w:cs="Calibri"/>
          <w:color w:val="000000"/>
          <w:sz w:val="27"/>
          <w:szCs w:val="27"/>
        </w:rPr>
        <w:t xml:space="preserve"> </w:t>
      </w:r>
      <w:r w:rsidR="00C97524">
        <w:rPr>
          <w:rFonts w:ascii="Calibri" w:hAnsi="Calibri" w:cs="Calibri"/>
          <w:color w:val="000000"/>
          <w:sz w:val="27"/>
          <w:szCs w:val="27"/>
        </w:rPr>
        <w:t>psycnet.apa.org. (n.d.). </w:t>
      </w:r>
      <w:r w:rsidR="00C97524">
        <w:rPr>
          <w:rFonts w:ascii="Calibri" w:hAnsi="Calibri" w:cs="Calibri"/>
          <w:i/>
          <w:iCs/>
          <w:color w:val="000000"/>
          <w:sz w:val="27"/>
          <w:szCs w:val="27"/>
        </w:rPr>
        <w:t xml:space="preserve">APA </w:t>
      </w:r>
      <w:proofErr w:type="spellStart"/>
      <w:r w:rsidR="00C97524">
        <w:rPr>
          <w:rFonts w:ascii="Calibri" w:hAnsi="Calibri" w:cs="Calibri"/>
          <w:i/>
          <w:iCs/>
          <w:color w:val="000000"/>
          <w:sz w:val="27"/>
          <w:szCs w:val="27"/>
        </w:rPr>
        <w:t>PsycNet</w:t>
      </w:r>
      <w:proofErr w:type="spellEnd"/>
      <w:r w:rsidR="00C97524">
        <w:rPr>
          <w:rFonts w:ascii="Calibri" w:hAnsi="Calibri" w:cs="Calibri"/>
          <w:color w:val="000000"/>
          <w:sz w:val="27"/>
          <w:szCs w:val="27"/>
        </w:rPr>
        <w:t xml:space="preserve">. [online] Available at: </w:t>
      </w:r>
      <w:hyperlink r:id="rId11" w:history="1">
        <w:r w:rsidR="00C97524" w:rsidRPr="0019029B">
          <w:rPr>
            <w:rStyle w:val="Hyperlink"/>
            <w:rFonts w:ascii="Calibri" w:hAnsi="Calibri" w:cs="Calibri"/>
            <w:sz w:val="27"/>
            <w:szCs w:val="27"/>
          </w:rPr>
          <w:t>https://psyc</w:t>
        </w:r>
        <w:r w:rsidR="00C97524" w:rsidRPr="0019029B">
          <w:rPr>
            <w:rStyle w:val="Hyperlink"/>
            <w:rFonts w:ascii="Calibri" w:hAnsi="Calibri" w:cs="Calibri"/>
            <w:sz w:val="27"/>
            <w:szCs w:val="27"/>
          </w:rPr>
          <w:t>n</w:t>
        </w:r>
        <w:r w:rsidR="00C97524" w:rsidRPr="0019029B">
          <w:rPr>
            <w:rStyle w:val="Hyperlink"/>
            <w:rFonts w:ascii="Calibri" w:hAnsi="Calibri" w:cs="Calibri"/>
            <w:sz w:val="27"/>
            <w:szCs w:val="27"/>
          </w:rPr>
          <w:t>et.apa.org/record/2004-17575-003</w:t>
        </w:r>
      </w:hyperlink>
      <w:r w:rsidR="00C97524">
        <w:rPr>
          <w:rFonts w:ascii="Calibri" w:hAnsi="Calibri" w:cs="Calibri"/>
          <w:color w:val="000000"/>
          <w:sz w:val="27"/>
          <w:szCs w:val="27"/>
        </w:rPr>
        <w:t xml:space="preserve"> </w:t>
      </w:r>
      <w:r w:rsidR="00C97524">
        <w:rPr>
          <w:rFonts w:ascii="Calibri" w:hAnsi="Calibri" w:cs="Calibri"/>
          <w:color w:val="000000"/>
          <w:sz w:val="27"/>
          <w:szCs w:val="27"/>
        </w:rPr>
        <w:t xml:space="preserve"> [Accessed</w:t>
      </w:r>
      <w:r w:rsidR="00C97524">
        <w:rPr>
          <w:rFonts w:ascii="Calibri" w:hAnsi="Calibri" w:cs="Calibri"/>
          <w:color w:val="000000"/>
          <w:sz w:val="27"/>
          <w:szCs w:val="27"/>
        </w:rPr>
        <w:t xml:space="preserve"> 14/12/2022</w:t>
      </w:r>
      <w:r w:rsidR="00C97524">
        <w:rPr>
          <w:rFonts w:ascii="Calibri" w:hAnsi="Calibri" w:cs="Calibri"/>
          <w:color w:val="000000"/>
          <w:sz w:val="27"/>
          <w:szCs w:val="27"/>
        </w:rPr>
        <w:t>].</w:t>
      </w:r>
    </w:p>
    <w:p w14:paraId="1CA438C1" w14:textId="77777777" w:rsidR="00C97524" w:rsidRDefault="00C97524" w:rsidP="00C975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375CEDF" w14:textId="53E55DCC" w:rsidR="00C97524" w:rsidRDefault="00C97524" w:rsidP="00C975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6: </w:t>
      </w:r>
      <w:proofErr w:type="spellStart"/>
      <w:r>
        <w:rPr>
          <w:rFonts w:ascii="Calibri" w:hAnsi="Calibri" w:cs="Calibri"/>
          <w:color w:val="000000"/>
          <w:sz w:val="27"/>
          <w:szCs w:val="27"/>
        </w:rPr>
        <w:t>Hamar</w:t>
      </w:r>
      <w:proofErr w:type="spellEnd"/>
      <w:r>
        <w:rPr>
          <w:rFonts w:ascii="Calibri" w:hAnsi="Calibri" w:cs="Calibri"/>
          <w:color w:val="000000"/>
          <w:sz w:val="27"/>
          <w:szCs w:val="27"/>
        </w:rPr>
        <w:t xml:space="preserve">, B., </w:t>
      </w:r>
      <w:proofErr w:type="spellStart"/>
      <w:r>
        <w:rPr>
          <w:rFonts w:ascii="Calibri" w:hAnsi="Calibri" w:cs="Calibri"/>
          <w:color w:val="000000"/>
          <w:sz w:val="27"/>
          <w:szCs w:val="27"/>
        </w:rPr>
        <w:t>Coberley</w:t>
      </w:r>
      <w:proofErr w:type="spellEnd"/>
      <w:r>
        <w:rPr>
          <w:rFonts w:ascii="Calibri" w:hAnsi="Calibri" w:cs="Calibri"/>
          <w:color w:val="000000"/>
          <w:sz w:val="27"/>
          <w:szCs w:val="27"/>
        </w:rPr>
        <w:t xml:space="preserve">, C., Pope, J.E. and </w:t>
      </w:r>
      <w:proofErr w:type="spellStart"/>
      <w:r>
        <w:rPr>
          <w:rFonts w:ascii="Calibri" w:hAnsi="Calibri" w:cs="Calibri"/>
          <w:color w:val="000000"/>
          <w:sz w:val="27"/>
          <w:szCs w:val="27"/>
        </w:rPr>
        <w:t>Rula</w:t>
      </w:r>
      <w:proofErr w:type="spellEnd"/>
      <w:r>
        <w:rPr>
          <w:rFonts w:ascii="Calibri" w:hAnsi="Calibri" w:cs="Calibri"/>
          <w:color w:val="000000"/>
          <w:sz w:val="27"/>
          <w:szCs w:val="27"/>
        </w:rPr>
        <w:t>, E.Y. (2015). Well-Being Improvement in a Midsize Employer. </w:t>
      </w:r>
      <w:r>
        <w:rPr>
          <w:rFonts w:ascii="Calibri" w:hAnsi="Calibri" w:cs="Calibri"/>
          <w:i/>
          <w:iCs/>
          <w:color w:val="000000"/>
          <w:sz w:val="27"/>
          <w:szCs w:val="27"/>
        </w:rPr>
        <w:t>Journal of Occupational and Environmental Medicine</w:t>
      </w:r>
      <w:r>
        <w:rPr>
          <w:rFonts w:ascii="Calibri" w:hAnsi="Calibri" w:cs="Calibri"/>
          <w:color w:val="000000"/>
          <w:sz w:val="27"/>
          <w:szCs w:val="27"/>
        </w:rPr>
        <w:t>, 57(4), pp.367–373. doi:10.1097/jom.0000000000000433.</w:t>
      </w:r>
      <w:r>
        <w:rPr>
          <w:rFonts w:ascii="Calibri" w:hAnsi="Calibri" w:cs="Calibri"/>
          <w:color w:val="000000"/>
          <w:sz w:val="27"/>
          <w:szCs w:val="27"/>
        </w:rPr>
        <w:t xml:space="preserve"> </w:t>
      </w:r>
      <w:hyperlink r:id="rId12" w:history="1">
        <w:r w:rsidRPr="0019029B">
          <w:rPr>
            <w:rStyle w:val="Hyperlink"/>
            <w:rFonts w:ascii="Calibri" w:hAnsi="Calibri" w:cs="Calibri"/>
            <w:sz w:val="27"/>
            <w:szCs w:val="27"/>
          </w:rPr>
          <w:t>https://journals.l</w:t>
        </w:r>
        <w:r w:rsidRPr="0019029B">
          <w:rPr>
            <w:rStyle w:val="Hyperlink"/>
            <w:rFonts w:ascii="Calibri" w:hAnsi="Calibri" w:cs="Calibri"/>
            <w:sz w:val="27"/>
            <w:szCs w:val="27"/>
          </w:rPr>
          <w:t>w</w:t>
        </w:r>
        <w:r w:rsidRPr="0019029B">
          <w:rPr>
            <w:rStyle w:val="Hyperlink"/>
            <w:rFonts w:ascii="Calibri" w:hAnsi="Calibri" w:cs="Calibri"/>
            <w:sz w:val="27"/>
            <w:szCs w:val="27"/>
          </w:rPr>
          <w:t>w.com/joem/Fulltext/2015/04000/Well_Being_Improvement_in_a_Midsize_Employer_.4.aspx</w:t>
        </w:r>
      </w:hyperlink>
      <w:r>
        <w:rPr>
          <w:rFonts w:ascii="Calibri" w:hAnsi="Calibri" w:cs="Calibri"/>
          <w:color w:val="000000"/>
          <w:sz w:val="27"/>
          <w:szCs w:val="27"/>
        </w:rPr>
        <w:t xml:space="preserve"> Accessed at 14/12/2022</w:t>
      </w:r>
    </w:p>
    <w:p w14:paraId="198E2951" w14:textId="77777777" w:rsidR="00C97524" w:rsidRDefault="00C97524" w:rsidP="00C97524">
      <w:pPr>
        <w:pStyle w:val="NormalWeb"/>
        <w:rPr>
          <w:rFonts w:ascii="Calibri" w:hAnsi="Calibri" w:cs="Calibri"/>
          <w:color w:val="000000"/>
          <w:sz w:val="27"/>
          <w:szCs w:val="27"/>
        </w:rPr>
      </w:pPr>
      <w:r>
        <w:rPr>
          <w:rFonts w:ascii="Calibri" w:hAnsi="Calibri" w:cs="Calibri"/>
          <w:color w:val="000000"/>
          <w:sz w:val="27"/>
          <w:szCs w:val="27"/>
        </w:rPr>
        <w:t>‌</w:t>
      </w:r>
    </w:p>
    <w:p w14:paraId="2BE5DDC9" w14:textId="275A9A60" w:rsidR="00432B3E" w:rsidRPr="00EE4A81" w:rsidRDefault="00432B3E" w:rsidP="00197A91">
      <w:pPr>
        <w:spacing w:line="360" w:lineRule="auto"/>
        <w:jc w:val="both"/>
      </w:pPr>
    </w:p>
    <w:sectPr w:rsidR="00432B3E" w:rsidRPr="00EE4A8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8844A" w14:textId="77777777" w:rsidR="00A66E57" w:rsidRDefault="00A66E57" w:rsidP="00B613B6">
      <w:pPr>
        <w:spacing w:line="240" w:lineRule="auto"/>
      </w:pPr>
      <w:r>
        <w:separator/>
      </w:r>
    </w:p>
  </w:endnote>
  <w:endnote w:type="continuationSeparator" w:id="0">
    <w:p w14:paraId="1A702B0A" w14:textId="77777777" w:rsidR="00A66E57" w:rsidRDefault="00A66E57" w:rsidP="00B613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61FD5" w14:textId="77777777" w:rsidR="00A66E57" w:rsidRDefault="00A66E57" w:rsidP="00B613B6">
      <w:pPr>
        <w:spacing w:line="240" w:lineRule="auto"/>
      </w:pPr>
      <w:r>
        <w:separator/>
      </w:r>
    </w:p>
  </w:footnote>
  <w:footnote w:type="continuationSeparator" w:id="0">
    <w:p w14:paraId="2A025E47" w14:textId="77777777" w:rsidR="00A66E57" w:rsidRDefault="00A66E57" w:rsidP="00B613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D26D7"/>
    <w:multiLevelType w:val="multilevel"/>
    <w:tmpl w:val="A3D84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FA31C6"/>
    <w:multiLevelType w:val="multilevel"/>
    <w:tmpl w:val="4D74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0989768">
    <w:abstractNumId w:val="0"/>
  </w:num>
  <w:num w:numId="2" w16cid:durableId="1193617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B3E"/>
    <w:rsid w:val="00090A79"/>
    <w:rsid w:val="00197A91"/>
    <w:rsid w:val="00201D2C"/>
    <w:rsid w:val="003065F6"/>
    <w:rsid w:val="00432B3E"/>
    <w:rsid w:val="00637A8B"/>
    <w:rsid w:val="0083289D"/>
    <w:rsid w:val="009734EC"/>
    <w:rsid w:val="009F4953"/>
    <w:rsid w:val="00A66E57"/>
    <w:rsid w:val="00B613B6"/>
    <w:rsid w:val="00C44B34"/>
    <w:rsid w:val="00C97524"/>
    <w:rsid w:val="00D44CA6"/>
    <w:rsid w:val="00E31024"/>
    <w:rsid w:val="00EA6470"/>
    <w:rsid w:val="00EC1A61"/>
    <w:rsid w:val="00EE4A81"/>
    <w:rsid w:val="00F060FE"/>
    <w:rsid w:val="00FA214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30351"/>
  <w15:docId w15:val="{E0E41FEC-0674-4A52-927E-7E05E4D97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201D2C"/>
    <w:pPr>
      <w:spacing w:before="100" w:beforeAutospacing="1" w:after="100" w:afterAutospacing="1" w:line="240" w:lineRule="auto"/>
    </w:pPr>
    <w:rPr>
      <w:rFonts w:ascii="Times New Roman" w:eastAsia="Times New Roman" w:hAnsi="Times New Roman" w:cs="Times New Roman"/>
      <w:sz w:val="24"/>
      <w:szCs w:val="24"/>
      <w:lang w:val="en-PH"/>
    </w:rPr>
  </w:style>
  <w:style w:type="character" w:styleId="Hyperlink">
    <w:name w:val="Hyperlink"/>
    <w:basedOn w:val="DefaultParagraphFont"/>
    <w:uiPriority w:val="99"/>
    <w:unhideWhenUsed/>
    <w:rsid w:val="00201D2C"/>
    <w:rPr>
      <w:color w:val="0000FF"/>
      <w:u w:val="single"/>
    </w:rPr>
  </w:style>
  <w:style w:type="character" w:customStyle="1" w:styleId="html-italic">
    <w:name w:val="html-italic"/>
    <w:basedOn w:val="DefaultParagraphFont"/>
    <w:rsid w:val="00637A8B"/>
  </w:style>
  <w:style w:type="paragraph" w:styleId="Header">
    <w:name w:val="header"/>
    <w:basedOn w:val="Normal"/>
    <w:link w:val="HeaderChar"/>
    <w:uiPriority w:val="99"/>
    <w:unhideWhenUsed/>
    <w:rsid w:val="00B613B6"/>
    <w:pPr>
      <w:tabs>
        <w:tab w:val="center" w:pos="4680"/>
        <w:tab w:val="right" w:pos="9360"/>
      </w:tabs>
      <w:spacing w:line="240" w:lineRule="auto"/>
    </w:pPr>
  </w:style>
  <w:style w:type="character" w:customStyle="1" w:styleId="HeaderChar">
    <w:name w:val="Header Char"/>
    <w:basedOn w:val="DefaultParagraphFont"/>
    <w:link w:val="Header"/>
    <w:uiPriority w:val="99"/>
    <w:rsid w:val="00B613B6"/>
  </w:style>
  <w:style w:type="paragraph" w:styleId="Footer">
    <w:name w:val="footer"/>
    <w:basedOn w:val="Normal"/>
    <w:link w:val="FooterChar"/>
    <w:uiPriority w:val="99"/>
    <w:unhideWhenUsed/>
    <w:rsid w:val="00B613B6"/>
    <w:pPr>
      <w:tabs>
        <w:tab w:val="center" w:pos="4680"/>
        <w:tab w:val="right" w:pos="9360"/>
      </w:tabs>
      <w:spacing w:line="240" w:lineRule="auto"/>
    </w:pPr>
  </w:style>
  <w:style w:type="character" w:customStyle="1" w:styleId="FooterChar">
    <w:name w:val="Footer Char"/>
    <w:basedOn w:val="DefaultParagraphFont"/>
    <w:link w:val="Footer"/>
    <w:uiPriority w:val="99"/>
    <w:rsid w:val="00B613B6"/>
  </w:style>
  <w:style w:type="character" w:styleId="FollowedHyperlink">
    <w:name w:val="FollowedHyperlink"/>
    <w:basedOn w:val="DefaultParagraphFont"/>
    <w:uiPriority w:val="99"/>
    <w:semiHidden/>
    <w:unhideWhenUsed/>
    <w:rsid w:val="00FA2144"/>
    <w:rPr>
      <w:color w:val="800080" w:themeColor="followedHyperlink"/>
      <w:u w:val="single"/>
    </w:rPr>
  </w:style>
  <w:style w:type="character" w:styleId="UnresolvedMention">
    <w:name w:val="Unresolved Mention"/>
    <w:basedOn w:val="DefaultParagraphFont"/>
    <w:uiPriority w:val="99"/>
    <w:semiHidden/>
    <w:unhideWhenUsed/>
    <w:rsid w:val="00E31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85912">
      <w:bodyDiv w:val="1"/>
      <w:marLeft w:val="0"/>
      <w:marRight w:val="0"/>
      <w:marTop w:val="0"/>
      <w:marBottom w:val="0"/>
      <w:divBdr>
        <w:top w:val="none" w:sz="0" w:space="0" w:color="auto"/>
        <w:left w:val="none" w:sz="0" w:space="0" w:color="auto"/>
        <w:bottom w:val="none" w:sz="0" w:space="0" w:color="auto"/>
        <w:right w:val="none" w:sz="0" w:space="0" w:color="auto"/>
      </w:divBdr>
    </w:div>
    <w:div w:id="359864815">
      <w:bodyDiv w:val="1"/>
      <w:marLeft w:val="0"/>
      <w:marRight w:val="0"/>
      <w:marTop w:val="0"/>
      <w:marBottom w:val="0"/>
      <w:divBdr>
        <w:top w:val="none" w:sz="0" w:space="0" w:color="auto"/>
        <w:left w:val="none" w:sz="0" w:space="0" w:color="auto"/>
        <w:bottom w:val="none" w:sz="0" w:space="0" w:color="auto"/>
        <w:right w:val="none" w:sz="0" w:space="0" w:color="auto"/>
      </w:divBdr>
    </w:div>
    <w:div w:id="410583562">
      <w:bodyDiv w:val="1"/>
      <w:marLeft w:val="0"/>
      <w:marRight w:val="0"/>
      <w:marTop w:val="0"/>
      <w:marBottom w:val="0"/>
      <w:divBdr>
        <w:top w:val="none" w:sz="0" w:space="0" w:color="auto"/>
        <w:left w:val="none" w:sz="0" w:space="0" w:color="auto"/>
        <w:bottom w:val="none" w:sz="0" w:space="0" w:color="auto"/>
        <w:right w:val="none" w:sz="0" w:space="0" w:color="auto"/>
      </w:divBdr>
    </w:div>
    <w:div w:id="443351987">
      <w:bodyDiv w:val="1"/>
      <w:marLeft w:val="0"/>
      <w:marRight w:val="0"/>
      <w:marTop w:val="0"/>
      <w:marBottom w:val="0"/>
      <w:divBdr>
        <w:top w:val="none" w:sz="0" w:space="0" w:color="auto"/>
        <w:left w:val="none" w:sz="0" w:space="0" w:color="auto"/>
        <w:bottom w:val="none" w:sz="0" w:space="0" w:color="auto"/>
        <w:right w:val="none" w:sz="0" w:space="0" w:color="auto"/>
      </w:divBdr>
    </w:div>
    <w:div w:id="544216899">
      <w:bodyDiv w:val="1"/>
      <w:marLeft w:val="0"/>
      <w:marRight w:val="0"/>
      <w:marTop w:val="0"/>
      <w:marBottom w:val="0"/>
      <w:divBdr>
        <w:top w:val="none" w:sz="0" w:space="0" w:color="auto"/>
        <w:left w:val="none" w:sz="0" w:space="0" w:color="auto"/>
        <w:bottom w:val="none" w:sz="0" w:space="0" w:color="auto"/>
        <w:right w:val="none" w:sz="0" w:space="0" w:color="auto"/>
      </w:divBdr>
    </w:div>
    <w:div w:id="614407425">
      <w:bodyDiv w:val="1"/>
      <w:marLeft w:val="0"/>
      <w:marRight w:val="0"/>
      <w:marTop w:val="0"/>
      <w:marBottom w:val="0"/>
      <w:divBdr>
        <w:top w:val="none" w:sz="0" w:space="0" w:color="auto"/>
        <w:left w:val="none" w:sz="0" w:space="0" w:color="auto"/>
        <w:bottom w:val="none" w:sz="0" w:space="0" w:color="auto"/>
        <w:right w:val="none" w:sz="0" w:space="0" w:color="auto"/>
      </w:divBdr>
    </w:div>
    <w:div w:id="775447319">
      <w:bodyDiv w:val="1"/>
      <w:marLeft w:val="0"/>
      <w:marRight w:val="0"/>
      <w:marTop w:val="0"/>
      <w:marBottom w:val="0"/>
      <w:divBdr>
        <w:top w:val="none" w:sz="0" w:space="0" w:color="auto"/>
        <w:left w:val="none" w:sz="0" w:space="0" w:color="auto"/>
        <w:bottom w:val="none" w:sz="0" w:space="0" w:color="auto"/>
        <w:right w:val="none" w:sz="0" w:space="0" w:color="auto"/>
      </w:divBdr>
    </w:div>
    <w:div w:id="927733607">
      <w:bodyDiv w:val="1"/>
      <w:marLeft w:val="0"/>
      <w:marRight w:val="0"/>
      <w:marTop w:val="0"/>
      <w:marBottom w:val="0"/>
      <w:divBdr>
        <w:top w:val="none" w:sz="0" w:space="0" w:color="auto"/>
        <w:left w:val="none" w:sz="0" w:space="0" w:color="auto"/>
        <w:bottom w:val="none" w:sz="0" w:space="0" w:color="auto"/>
        <w:right w:val="none" w:sz="0" w:space="0" w:color="auto"/>
      </w:divBdr>
    </w:div>
    <w:div w:id="942231141">
      <w:bodyDiv w:val="1"/>
      <w:marLeft w:val="0"/>
      <w:marRight w:val="0"/>
      <w:marTop w:val="0"/>
      <w:marBottom w:val="0"/>
      <w:divBdr>
        <w:top w:val="none" w:sz="0" w:space="0" w:color="auto"/>
        <w:left w:val="none" w:sz="0" w:space="0" w:color="auto"/>
        <w:bottom w:val="none" w:sz="0" w:space="0" w:color="auto"/>
        <w:right w:val="none" w:sz="0" w:space="0" w:color="auto"/>
      </w:divBdr>
    </w:div>
    <w:div w:id="945696352">
      <w:bodyDiv w:val="1"/>
      <w:marLeft w:val="0"/>
      <w:marRight w:val="0"/>
      <w:marTop w:val="0"/>
      <w:marBottom w:val="0"/>
      <w:divBdr>
        <w:top w:val="none" w:sz="0" w:space="0" w:color="auto"/>
        <w:left w:val="none" w:sz="0" w:space="0" w:color="auto"/>
        <w:bottom w:val="none" w:sz="0" w:space="0" w:color="auto"/>
        <w:right w:val="none" w:sz="0" w:space="0" w:color="auto"/>
      </w:divBdr>
    </w:div>
    <w:div w:id="999626331">
      <w:bodyDiv w:val="1"/>
      <w:marLeft w:val="0"/>
      <w:marRight w:val="0"/>
      <w:marTop w:val="0"/>
      <w:marBottom w:val="0"/>
      <w:divBdr>
        <w:top w:val="none" w:sz="0" w:space="0" w:color="auto"/>
        <w:left w:val="none" w:sz="0" w:space="0" w:color="auto"/>
        <w:bottom w:val="none" w:sz="0" w:space="0" w:color="auto"/>
        <w:right w:val="none" w:sz="0" w:space="0" w:color="auto"/>
      </w:divBdr>
    </w:div>
    <w:div w:id="1095857348">
      <w:bodyDiv w:val="1"/>
      <w:marLeft w:val="0"/>
      <w:marRight w:val="0"/>
      <w:marTop w:val="0"/>
      <w:marBottom w:val="0"/>
      <w:divBdr>
        <w:top w:val="none" w:sz="0" w:space="0" w:color="auto"/>
        <w:left w:val="none" w:sz="0" w:space="0" w:color="auto"/>
        <w:bottom w:val="none" w:sz="0" w:space="0" w:color="auto"/>
        <w:right w:val="none" w:sz="0" w:space="0" w:color="auto"/>
      </w:divBdr>
    </w:div>
    <w:div w:id="1122267121">
      <w:bodyDiv w:val="1"/>
      <w:marLeft w:val="0"/>
      <w:marRight w:val="0"/>
      <w:marTop w:val="0"/>
      <w:marBottom w:val="0"/>
      <w:divBdr>
        <w:top w:val="none" w:sz="0" w:space="0" w:color="auto"/>
        <w:left w:val="none" w:sz="0" w:space="0" w:color="auto"/>
        <w:bottom w:val="none" w:sz="0" w:space="0" w:color="auto"/>
        <w:right w:val="none" w:sz="0" w:space="0" w:color="auto"/>
      </w:divBdr>
    </w:div>
    <w:div w:id="1874609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ahaca.co.uk/about-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0047272720300992" TargetMode="External"/><Relationship Id="rId12" Type="http://schemas.openxmlformats.org/officeDocument/2006/relationships/hyperlink" Target="https://journals.lww.com/joem/Fulltext/2015/04000/Well_Being_Improvement_in_a_Midsize_Employer_.4.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2004-17575-003" TargetMode="External"/><Relationship Id="rId5" Type="http://schemas.openxmlformats.org/officeDocument/2006/relationships/footnotes" Target="footnotes.xml"/><Relationship Id="rId10" Type="http://schemas.openxmlformats.org/officeDocument/2006/relationships/hyperlink" Target="https://www.scirp.org/journal/paperinformation.aspx?paperid=91107" TargetMode="External"/><Relationship Id="rId4" Type="http://schemas.openxmlformats.org/officeDocument/2006/relationships/webSettings" Target="webSettings.xml"/><Relationship Id="rId9" Type="http://schemas.openxmlformats.org/officeDocument/2006/relationships/hyperlink" Target="https://www.ncbi.nlm.nih.gov/books/NBK7076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4569</Words>
  <Characters>26046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 Kbies</dc:creator>
  <cp:lastModifiedBy>Khaled Kbies (2017907)</cp:lastModifiedBy>
  <cp:revision>2</cp:revision>
  <dcterms:created xsi:type="dcterms:W3CDTF">2023-01-03T03:01:00Z</dcterms:created>
  <dcterms:modified xsi:type="dcterms:W3CDTF">2023-01-03T03:01:00Z</dcterms:modified>
</cp:coreProperties>
</file>