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1776858709"/>
        <w:docPartObj>
          <w:docPartGallery w:val="Cover Pages"/>
          <w:docPartUnique/>
        </w:docPartObj>
      </w:sdtPr>
      <w:sdtEndPr>
        <w:rPr>
          <w:rFonts w:ascii="Calibri" w:hAnsi="Calibri" w:cs="Calibri"/>
          <w:b/>
          <w:bCs/>
          <w:color w:val="auto"/>
          <w:u w:val="single"/>
        </w:rPr>
      </w:sdtEndPr>
      <w:sdtContent>
        <w:p w14:paraId="60A2121C" w14:textId="5D022673" w:rsidR="00524AE4" w:rsidRPr="008445CB" w:rsidRDefault="00524AE4" w:rsidP="00524AE4">
          <w:pPr>
            <w:pStyle w:val="NoSpacing"/>
            <w:spacing w:before="1540" w:after="240"/>
            <w:jc w:val="center"/>
            <w:rPr>
              <w:rFonts w:ascii="Calibri" w:hAnsi="Calibri" w:cs="Calibri"/>
              <w:color w:val="156082" w:themeColor="accent1"/>
              <w:sz w:val="24"/>
              <w:szCs w:val="24"/>
              <w:lang w:eastAsia="en-US"/>
            </w:rPr>
          </w:pPr>
        </w:p>
        <w:sdt>
          <w:sdtPr>
            <w:rPr>
              <w:rFonts w:ascii="Calibri" w:hAnsi="Calibri" w:cs="Calibri"/>
              <w:b/>
              <w:bCs/>
              <w:sz w:val="40"/>
              <w:szCs w:val="40"/>
              <w:u w:val="single"/>
            </w:rPr>
            <w:alias w:val="Title"/>
            <w:tag w:val=""/>
            <w:id w:val="1735040861"/>
            <w:placeholder>
              <w:docPart w:val="D6A5B3D7063C486B9513B63AFB57A33F"/>
            </w:placeholder>
            <w:dataBinding w:prefixMappings="xmlns:ns0='http://purl.org/dc/elements/1.1/' xmlns:ns1='http://schemas.openxmlformats.org/package/2006/metadata/core-properties' " w:xpath="/ns1:coreProperties[1]/ns0:title[1]" w:storeItemID="{6C3C8BC8-F283-45AE-878A-BAB7291924A1}"/>
            <w:text/>
          </w:sdtPr>
          <w:sdtContent>
            <w:p w14:paraId="31E492C6" w14:textId="77F3C630" w:rsidR="00853616" w:rsidRPr="00853616" w:rsidRDefault="00853616" w:rsidP="00853616">
              <w:pPr>
                <w:pStyle w:val="NoSpacing"/>
                <w:pBdr>
                  <w:top w:val="single" w:sz="6" w:space="6" w:color="156082" w:themeColor="accent1"/>
                  <w:bottom w:val="single" w:sz="6" w:space="6" w:color="156082" w:themeColor="accent1"/>
                </w:pBdr>
                <w:spacing w:after="240"/>
                <w:jc w:val="center"/>
                <w:rPr>
                  <w:rFonts w:ascii="Calibri" w:eastAsiaTheme="minorHAnsi" w:hAnsi="Calibri" w:cs="Calibri"/>
                  <w:b/>
                  <w:bCs/>
                  <w:kern w:val="2"/>
                  <w:sz w:val="40"/>
                  <w:szCs w:val="40"/>
                  <w:u w:val="single"/>
                  <w:lang w:eastAsia="en-US"/>
                  <w14:ligatures w14:val="standardContextual"/>
                </w:rPr>
              </w:pPr>
              <w:r w:rsidRPr="00853616">
                <w:rPr>
                  <w:rFonts w:ascii="Calibri" w:hAnsi="Calibri" w:cs="Calibri"/>
                  <w:b/>
                  <w:bCs/>
                  <w:sz w:val="40"/>
                  <w:szCs w:val="40"/>
                  <w:u w:val="single"/>
                </w:rPr>
                <w:t xml:space="preserve">Autism and ADHD in minority communities in West </w:t>
              </w:r>
              <w:proofErr w:type="spellStart"/>
              <w:proofErr w:type="gramStart"/>
              <w:r w:rsidRPr="00853616">
                <w:rPr>
                  <w:rFonts w:ascii="Calibri" w:hAnsi="Calibri" w:cs="Calibri"/>
                  <w:b/>
                  <w:bCs/>
                  <w:sz w:val="40"/>
                  <w:szCs w:val="40"/>
                  <w:u w:val="single"/>
                </w:rPr>
                <w:t>Midlands,UK</w:t>
              </w:r>
              <w:proofErr w:type="spellEnd"/>
              <w:proofErr w:type="gramEnd"/>
            </w:p>
          </w:sdtContent>
        </w:sdt>
        <w:p w14:paraId="6ED84882" w14:textId="6442140D" w:rsidR="00524AE4" w:rsidRPr="008445CB" w:rsidRDefault="00853616" w:rsidP="00524AE4">
          <w:pPr>
            <w:pStyle w:val="NoSpacing"/>
            <w:jc w:val="center"/>
            <w:rPr>
              <w:rFonts w:ascii="Calibri" w:hAnsi="Calibri" w:cs="Calibri"/>
              <w:color w:val="156082" w:themeColor="accent1"/>
              <w:sz w:val="28"/>
              <w:szCs w:val="28"/>
            </w:rPr>
          </w:pPr>
          <w:r w:rsidRPr="008445CB">
            <w:rPr>
              <w:rFonts w:ascii="Calibri" w:hAnsi="Calibri" w:cs="Calibri"/>
              <w:noProof/>
              <w:color w:val="156082" w:themeColor="accent1"/>
            </w:rPr>
            <mc:AlternateContent>
              <mc:Choice Requires="wps">
                <w:drawing>
                  <wp:anchor distT="0" distB="0" distL="114300" distR="114300" simplePos="0" relativeHeight="251659264" behindDoc="0" locked="0" layoutInCell="1" allowOverlap="1" wp14:anchorId="2083FFCD" wp14:editId="53F30CD5">
                    <wp:simplePos x="0" y="0"/>
                    <wp:positionH relativeFrom="margin">
                      <wp:posOffset>-304800</wp:posOffset>
                    </wp:positionH>
                    <wp:positionV relativeFrom="page">
                      <wp:posOffset>3467100</wp:posOffset>
                    </wp:positionV>
                    <wp:extent cx="1781175" cy="557530"/>
                    <wp:effectExtent l="0" t="0" r="9525" b="1905"/>
                    <wp:wrapNone/>
                    <wp:docPr id="142" name="Text Box 44"/>
                    <wp:cNvGraphicFramePr/>
                    <a:graphic xmlns:a="http://schemas.openxmlformats.org/drawingml/2006/main">
                      <a:graphicData uri="http://schemas.microsoft.com/office/word/2010/wordprocessingShape">
                        <wps:wsp>
                          <wps:cNvSpPr txBox="1"/>
                          <wps:spPr>
                            <a:xfrm>
                              <a:off x="0" y="0"/>
                              <a:ext cx="1781175"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3BD6B" w14:textId="1B62EDED" w:rsidR="00853616" w:rsidRDefault="00853616" w:rsidP="00853616">
                                <w:pPr>
                                  <w:pStyle w:val="NoSpacing"/>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ADAMA BANGURA</w:t>
                                    </w:r>
                                  </w:sdtContent>
                                </w:sdt>
                              </w:p>
                              <w:p w14:paraId="11768C50" w14:textId="2FED1759" w:rsidR="00853616" w:rsidRDefault="00853616" w:rsidP="00853616">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09/11/2025</w:t>
                                </w:r>
                                <w:r w:rsidRPr="00853616">
                                  <w:rPr>
                                    <w:caps/>
                                    <w:color w:val="156082" w:themeColor="accent1"/>
                                  </w:rPr>
                                  <w:t xml:space="preserve"> </w:t>
                                </w:r>
                              </w:p>
                              <w:p w14:paraId="59471CB4" w14:textId="5C7C25B3" w:rsidR="00524AE4" w:rsidRPr="00853616" w:rsidRDefault="00524AE4" w:rsidP="00853616">
                                <w:pPr>
                                  <w:pStyle w:val="NoSpacing"/>
                                  <w:spacing w:after="40"/>
                                  <w:rPr>
                                    <w:caps/>
                                    <w:color w:val="156082"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083FFCD" id="_x0000_t202" coordsize="21600,21600" o:spt="202" path="m,l,21600r21600,l21600,xe">
                    <v:stroke joinstyle="miter"/>
                    <v:path gradientshapeok="t" o:connecttype="rect"/>
                  </v:shapetype>
                  <v:shape id="Text Box 44" o:spid="_x0000_s1026" type="#_x0000_t202" style="position:absolute;left:0;text-align:left;margin-left:-24pt;margin-top:273pt;width:140.25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" filled="f" stroked="f" strokeweight=".5pt">
                    <v:textbox style="mso-fit-shape-to-text:t" inset="0,0,0,0">
                      <w:txbxContent>
                        <w:p w14:paraId="33B3BD6B" w14:textId="1B62EDED" w:rsidR="00853616" w:rsidRDefault="00853616" w:rsidP="00853616">
                          <w:pPr>
                            <w:pStyle w:val="NoSpacing"/>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ADAMA BANGURA</w:t>
                              </w:r>
                            </w:sdtContent>
                          </w:sdt>
                        </w:p>
                        <w:p w14:paraId="11768C50" w14:textId="2FED1759" w:rsidR="00853616" w:rsidRDefault="00853616" w:rsidP="00853616">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09/11/2025</w:t>
                          </w:r>
                          <w:r w:rsidRPr="00853616">
                            <w:rPr>
                              <w:caps/>
                              <w:color w:val="156082" w:themeColor="accent1"/>
                            </w:rPr>
                            <w:t xml:space="preserve"> </w:t>
                          </w:r>
                        </w:p>
                        <w:p w14:paraId="59471CB4" w14:textId="5C7C25B3" w:rsidR="00524AE4" w:rsidRPr="00853616" w:rsidRDefault="00524AE4" w:rsidP="00853616">
                          <w:pPr>
                            <w:pStyle w:val="NoSpacing"/>
                            <w:spacing w:after="40"/>
                            <w:rPr>
                              <w:caps/>
                              <w:color w:val="156082" w:themeColor="accent1"/>
                              <w:sz w:val="28"/>
                              <w:szCs w:val="28"/>
                            </w:rPr>
                          </w:pPr>
                        </w:p>
                      </w:txbxContent>
                    </v:textbox>
                    <w10:wrap anchorx="margin" anchory="page"/>
                  </v:shape>
                </w:pict>
              </mc:Fallback>
            </mc:AlternateContent>
          </w:r>
        </w:p>
        <w:p w14:paraId="7A628408" w14:textId="276FAFFD" w:rsidR="00524AE4" w:rsidRPr="008445CB" w:rsidRDefault="00524AE4" w:rsidP="00524AE4">
          <w:pPr>
            <w:pStyle w:val="NoSpacing"/>
            <w:spacing w:before="480"/>
            <w:jc w:val="center"/>
            <w:rPr>
              <w:rFonts w:ascii="Calibri" w:hAnsi="Calibri" w:cs="Calibri"/>
              <w:color w:val="156082" w:themeColor="accent1"/>
            </w:rPr>
          </w:pPr>
        </w:p>
        <w:p w14:paraId="30701AD2" w14:textId="77777777" w:rsidR="00524AE4" w:rsidRPr="008445CB" w:rsidRDefault="00524AE4" w:rsidP="00524AE4">
          <w:pPr>
            <w:rPr>
              <w:rFonts w:ascii="Calibri" w:hAnsi="Calibri" w:cs="Calibri"/>
              <w:b/>
              <w:bCs/>
              <w:u w:val="single"/>
            </w:rPr>
          </w:pPr>
        </w:p>
        <w:p w14:paraId="57C1C421" w14:textId="77777777" w:rsidR="00524AE4" w:rsidRPr="008445CB" w:rsidRDefault="00524AE4" w:rsidP="00524AE4">
          <w:pPr>
            <w:rPr>
              <w:rFonts w:ascii="Calibri" w:hAnsi="Calibri" w:cs="Calibri"/>
              <w:b/>
              <w:bCs/>
              <w:u w:val="single"/>
            </w:rPr>
          </w:pPr>
        </w:p>
        <w:p w14:paraId="3F8DF7A9" w14:textId="77777777" w:rsidR="00524AE4" w:rsidRPr="008445CB" w:rsidRDefault="00524AE4" w:rsidP="00524AE4">
          <w:pPr>
            <w:rPr>
              <w:rFonts w:ascii="Calibri" w:hAnsi="Calibri" w:cs="Calibri"/>
              <w:b/>
              <w:bCs/>
              <w:u w:val="single"/>
            </w:rPr>
          </w:pPr>
        </w:p>
        <w:sdt>
          <w:sdtPr>
            <w:rPr>
              <w:rFonts w:ascii="Calibri" w:eastAsiaTheme="minorEastAsia" w:hAnsi="Calibri" w:cs="Calibri"/>
              <w:color w:val="auto"/>
              <w:kern w:val="2"/>
              <w:sz w:val="24"/>
              <w:szCs w:val="24"/>
              <w:lang w:eastAsia="en-US"/>
              <w14:ligatures w14:val="standardContextual"/>
            </w:rPr>
            <w:id w:val="1235658809"/>
            <w:docPartObj>
              <w:docPartGallery w:val="Table of Contents"/>
              <w:docPartUnique/>
            </w:docPartObj>
          </w:sdtPr>
          <w:sdtEndPr>
            <w:rPr>
              <w:b/>
              <w:bCs/>
            </w:rPr>
          </w:sdtEndPr>
          <w:sdtContent>
            <w:p w14:paraId="4462E7C9" w14:textId="77777777" w:rsidR="00524AE4" w:rsidRPr="008445CB" w:rsidRDefault="00524AE4" w:rsidP="00524AE4">
              <w:pPr>
                <w:pStyle w:val="TOCHeading"/>
                <w:rPr>
                  <w:rFonts w:ascii="Calibri" w:hAnsi="Calibri" w:cs="Calibri"/>
                </w:rPr>
              </w:pPr>
              <w:r w:rsidRPr="008445CB">
                <w:rPr>
                  <w:rFonts w:ascii="Calibri" w:hAnsi="Calibri" w:cs="Calibri"/>
                </w:rPr>
                <w:t>Contents</w:t>
              </w:r>
            </w:p>
            <w:p w14:paraId="2162D83F" w14:textId="77777777" w:rsidR="00524AE4" w:rsidRPr="008445CB" w:rsidRDefault="00524AE4" w:rsidP="00524AE4">
              <w:pPr>
                <w:pStyle w:val="TOC1"/>
                <w:tabs>
                  <w:tab w:val="right" w:leader="dot" w:pos="9016"/>
                </w:tabs>
                <w:rPr>
                  <w:rFonts w:ascii="Calibri" w:hAnsi="Calibri" w:cs="Calibri"/>
                  <w:noProof/>
                </w:rPr>
              </w:pPr>
              <w:r w:rsidRPr="008445CB">
                <w:rPr>
                  <w:rFonts w:ascii="Calibri" w:hAnsi="Calibri" w:cs="Calibri"/>
                </w:rPr>
                <w:fldChar w:fldCharType="begin"/>
              </w:r>
              <w:r w:rsidRPr="008445CB">
                <w:rPr>
                  <w:rFonts w:ascii="Calibri" w:hAnsi="Calibri" w:cs="Calibri"/>
                </w:rPr>
                <w:instrText xml:space="preserve"> TOC \o "1-3" \h \z \u </w:instrText>
              </w:r>
              <w:r w:rsidRPr="008445CB">
                <w:rPr>
                  <w:rFonts w:ascii="Calibri" w:hAnsi="Calibri" w:cs="Calibri"/>
                </w:rPr>
                <w:fldChar w:fldCharType="separate"/>
              </w:r>
              <w:hyperlink w:anchor="_Toc213585454" w:history="1">
                <w:r w:rsidRPr="008445CB">
                  <w:rPr>
                    <w:rStyle w:val="Hyperlink"/>
                    <w:rFonts w:ascii="Calibri" w:hAnsi="Calibri" w:cs="Calibri"/>
                    <w:noProof/>
                  </w:rPr>
                  <w:t>Introduction:</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_Toc213585454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1</w:t>
                </w:r>
                <w:r w:rsidRPr="008445CB">
                  <w:rPr>
                    <w:rFonts w:ascii="Calibri" w:hAnsi="Calibri" w:cs="Calibri"/>
                    <w:noProof/>
                    <w:webHidden/>
                  </w:rPr>
                  <w:fldChar w:fldCharType="end"/>
                </w:r>
              </w:hyperlink>
            </w:p>
            <w:p w14:paraId="680EB4A3" w14:textId="77777777" w:rsidR="00524AE4" w:rsidRPr="008445CB" w:rsidRDefault="00524AE4" w:rsidP="00524AE4">
              <w:pPr>
                <w:pStyle w:val="TOC1"/>
                <w:tabs>
                  <w:tab w:val="right" w:leader="dot" w:pos="9016"/>
                </w:tabs>
                <w:rPr>
                  <w:rFonts w:ascii="Calibri" w:hAnsi="Calibri" w:cs="Calibri"/>
                  <w:noProof/>
                </w:rPr>
              </w:pPr>
              <w:hyperlink w:anchor="_Toc213585455" w:history="1">
                <w:r w:rsidRPr="008445CB">
                  <w:rPr>
                    <w:rStyle w:val="Hyperlink"/>
                    <w:rFonts w:ascii="Calibri" w:hAnsi="Calibri" w:cs="Calibri"/>
                    <w:noProof/>
                  </w:rPr>
                  <w:t>Literature Review:</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_Toc213585455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1</w:t>
                </w:r>
                <w:r w:rsidRPr="008445CB">
                  <w:rPr>
                    <w:rFonts w:ascii="Calibri" w:hAnsi="Calibri" w:cs="Calibri"/>
                    <w:noProof/>
                    <w:webHidden/>
                  </w:rPr>
                  <w:fldChar w:fldCharType="end"/>
                </w:r>
              </w:hyperlink>
            </w:p>
            <w:p w14:paraId="1734C38F" w14:textId="77777777" w:rsidR="00524AE4" w:rsidRPr="008445CB" w:rsidRDefault="00524AE4" w:rsidP="00524AE4">
              <w:pPr>
                <w:pStyle w:val="TOC1"/>
                <w:tabs>
                  <w:tab w:val="right" w:leader="dot" w:pos="9016"/>
                </w:tabs>
                <w:rPr>
                  <w:rFonts w:ascii="Calibri" w:hAnsi="Calibri" w:cs="Calibri"/>
                  <w:noProof/>
                </w:rPr>
              </w:pPr>
              <w:hyperlink w:anchor="_Toc213585456" w:history="1">
                <w:r w:rsidRPr="008445CB">
                  <w:rPr>
                    <w:rStyle w:val="Hyperlink"/>
                    <w:rFonts w:ascii="Calibri" w:hAnsi="Calibri" w:cs="Calibri"/>
                    <w:noProof/>
                  </w:rPr>
                  <w:t>Research Method:</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_Toc213585456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2</w:t>
                </w:r>
                <w:r w:rsidRPr="008445CB">
                  <w:rPr>
                    <w:rFonts w:ascii="Calibri" w:hAnsi="Calibri" w:cs="Calibri"/>
                    <w:noProof/>
                    <w:webHidden/>
                  </w:rPr>
                  <w:fldChar w:fldCharType="end"/>
                </w:r>
              </w:hyperlink>
            </w:p>
            <w:p w14:paraId="5E3EFF77" w14:textId="77777777" w:rsidR="00524AE4" w:rsidRPr="008445CB" w:rsidRDefault="00524AE4" w:rsidP="00524AE4">
              <w:pPr>
                <w:pStyle w:val="TOC1"/>
                <w:tabs>
                  <w:tab w:val="right" w:leader="dot" w:pos="9016"/>
                </w:tabs>
                <w:rPr>
                  <w:rFonts w:ascii="Calibri" w:hAnsi="Calibri" w:cs="Calibri"/>
                  <w:noProof/>
                </w:rPr>
              </w:pPr>
              <w:hyperlink w:anchor="_Toc213585457" w:history="1">
                <w:r w:rsidRPr="008445CB">
                  <w:rPr>
                    <w:rStyle w:val="Hyperlink"/>
                    <w:rFonts w:ascii="Calibri" w:hAnsi="Calibri" w:cs="Calibri"/>
                    <w:noProof/>
                  </w:rPr>
                  <w:t>Analysis:</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_Toc213585457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3</w:t>
                </w:r>
                <w:r w:rsidRPr="008445CB">
                  <w:rPr>
                    <w:rFonts w:ascii="Calibri" w:hAnsi="Calibri" w:cs="Calibri"/>
                    <w:noProof/>
                    <w:webHidden/>
                  </w:rPr>
                  <w:fldChar w:fldCharType="end"/>
                </w:r>
              </w:hyperlink>
            </w:p>
            <w:p w14:paraId="31DB731D" w14:textId="77777777" w:rsidR="00524AE4" w:rsidRPr="008445CB" w:rsidRDefault="00524AE4" w:rsidP="00524AE4">
              <w:pPr>
                <w:pStyle w:val="TOC1"/>
                <w:tabs>
                  <w:tab w:val="right" w:leader="dot" w:pos="9016"/>
                </w:tabs>
                <w:rPr>
                  <w:rFonts w:ascii="Calibri" w:hAnsi="Calibri" w:cs="Calibri"/>
                  <w:noProof/>
                </w:rPr>
              </w:pPr>
              <w:hyperlink w:anchor="_Toc213585458" w:history="1">
                <w:r w:rsidRPr="008445CB">
                  <w:rPr>
                    <w:rStyle w:val="Hyperlink"/>
                    <w:rFonts w:ascii="Calibri" w:hAnsi="Calibri" w:cs="Calibri"/>
                    <w:noProof/>
                  </w:rPr>
                  <w:t>Conclusion:</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_Toc213585458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9</w:t>
                </w:r>
                <w:r w:rsidRPr="008445CB">
                  <w:rPr>
                    <w:rFonts w:ascii="Calibri" w:hAnsi="Calibri" w:cs="Calibri"/>
                    <w:noProof/>
                    <w:webHidden/>
                  </w:rPr>
                  <w:fldChar w:fldCharType="end"/>
                </w:r>
              </w:hyperlink>
            </w:p>
            <w:p w14:paraId="4ADBF52E" w14:textId="77777777" w:rsidR="00524AE4" w:rsidRPr="008445CB" w:rsidRDefault="00524AE4" w:rsidP="00524AE4">
              <w:pPr>
                <w:pStyle w:val="TOC1"/>
                <w:tabs>
                  <w:tab w:val="right" w:leader="dot" w:pos="9016"/>
                </w:tabs>
                <w:rPr>
                  <w:rFonts w:ascii="Calibri" w:hAnsi="Calibri" w:cs="Calibri"/>
                  <w:noProof/>
                </w:rPr>
              </w:pPr>
              <w:hyperlink w:anchor="_Toc213585459" w:history="1">
                <w:r w:rsidRPr="008445CB">
                  <w:rPr>
                    <w:rStyle w:val="Hyperlink"/>
                    <w:rFonts w:ascii="Calibri" w:eastAsia="Times New Roman" w:hAnsi="Calibri" w:cs="Calibri"/>
                    <w:noProof/>
                  </w:rPr>
                  <w:t>References:</w:t>
                </w:r>
                <w:r w:rsidRPr="008445CB">
                  <w:rPr>
                    <w:rFonts w:ascii="Calibri" w:hAnsi="Calibri" w:cs="Calibri"/>
                    <w:noProof/>
                    <w:webHidden/>
                  </w:rPr>
                  <w:tab/>
                </w:r>
                <w:r w:rsidRPr="008445CB">
                  <w:rPr>
                    <w:rFonts w:ascii="Calibri" w:hAnsi="Calibri" w:cs="Calibri"/>
                    <w:noProof/>
                    <w:webHidden/>
                  </w:rPr>
                  <w:fldChar w:fldCharType="begin"/>
                </w:r>
                <w:r w:rsidRPr="008445CB">
                  <w:rPr>
                    <w:rFonts w:ascii="Calibri" w:hAnsi="Calibri" w:cs="Calibri"/>
                    <w:noProof/>
                    <w:webHidden/>
                  </w:rPr>
                  <w:instrText xml:space="preserve"> PAGEREF _Toc213585459 \h </w:instrText>
                </w:r>
                <w:r w:rsidRPr="008445CB">
                  <w:rPr>
                    <w:rFonts w:ascii="Calibri" w:hAnsi="Calibri" w:cs="Calibri"/>
                    <w:noProof/>
                    <w:webHidden/>
                  </w:rPr>
                </w:r>
                <w:r w:rsidRPr="008445CB">
                  <w:rPr>
                    <w:rFonts w:ascii="Calibri" w:hAnsi="Calibri" w:cs="Calibri"/>
                    <w:noProof/>
                    <w:webHidden/>
                  </w:rPr>
                  <w:fldChar w:fldCharType="separate"/>
                </w:r>
                <w:r w:rsidRPr="008445CB">
                  <w:rPr>
                    <w:rFonts w:ascii="Calibri" w:hAnsi="Calibri" w:cs="Calibri"/>
                    <w:noProof/>
                    <w:webHidden/>
                  </w:rPr>
                  <w:t>10</w:t>
                </w:r>
                <w:r w:rsidRPr="008445CB">
                  <w:rPr>
                    <w:rFonts w:ascii="Calibri" w:hAnsi="Calibri" w:cs="Calibri"/>
                    <w:noProof/>
                    <w:webHidden/>
                  </w:rPr>
                  <w:fldChar w:fldCharType="end"/>
                </w:r>
              </w:hyperlink>
            </w:p>
            <w:p w14:paraId="7359B0C9" w14:textId="77777777" w:rsidR="00524AE4" w:rsidRPr="008445CB" w:rsidRDefault="00524AE4" w:rsidP="00524AE4">
              <w:pPr>
                <w:rPr>
                  <w:rFonts w:ascii="Calibri" w:hAnsi="Calibri" w:cs="Calibri"/>
                </w:rPr>
              </w:pPr>
              <w:r w:rsidRPr="008445CB">
                <w:rPr>
                  <w:rFonts w:ascii="Calibri" w:hAnsi="Calibri" w:cs="Calibri"/>
                  <w:b/>
                  <w:bCs/>
                </w:rPr>
                <w:fldChar w:fldCharType="end"/>
              </w:r>
            </w:p>
          </w:sdtContent>
        </w:sdt>
        <w:p w14:paraId="52E00F5F" w14:textId="763EDA1A" w:rsidR="00524AE4" w:rsidRPr="008445CB" w:rsidRDefault="00524AE4" w:rsidP="00524AE4">
          <w:pPr>
            <w:rPr>
              <w:rFonts w:ascii="Calibri" w:hAnsi="Calibri" w:cs="Calibri"/>
              <w:b/>
              <w:bCs/>
              <w:u w:val="single"/>
            </w:rPr>
          </w:pPr>
          <w:r w:rsidRPr="008445CB">
            <w:rPr>
              <w:rFonts w:ascii="Calibri" w:hAnsi="Calibri" w:cs="Calibri"/>
              <w:b/>
              <w:bCs/>
              <w:u w:val="single"/>
            </w:rPr>
            <w:br w:type="page"/>
          </w:r>
        </w:p>
      </w:sdtContent>
    </w:sdt>
    <w:p w14:paraId="78BA8F31" w14:textId="77777777" w:rsidR="00524AE4" w:rsidRPr="008445CB" w:rsidRDefault="00524AE4" w:rsidP="00524AE4">
      <w:pPr>
        <w:rPr>
          <w:rFonts w:ascii="Calibri" w:hAnsi="Calibri" w:cs="Calibri"/>
          <w:b/>
          <w:bCs/>
          <w:u w:val="single"/>
        </w:rPr>
      </w:pPr>
    </w:p>
    <w:p w14:paraId="28144948" w14:textId="77777777" w:rsidR="00524AE4" w:rsidRPr="008445CB" w:rsidRDefault="00524AE4" w:rsidP="00524AE4">
      <w:pPr>
        <w:rPr>
          <w:b/>
          <w:bCs/>
        </w:rPr>
      </w:pPr>
      <w:r w:rsidRPr="06438FB3">
        <w:rPr>
          <w:b/>
          <w:bCs/>
        </w:rPr>
        <w:t xml:space="preserve">Adama Bangura </w:t>
      </w:r>
    </w:p>
    <w:p w14:paraId="2D4C1A03" w14:textId="77777777" w:rsidR="00524AE4" w:rsidRPr="008445CB" w:rsidRDefault="00524AE4" w:rsidP="00524AE4">
      <w:pPr>
        <w:rPr>
          <w:b/>
          <w:bCs/>
        </w:rPr>
      </w:pPr>
      <w:r w:rsidRPr="06438FB3">
        <w:rPr>
          <w:b/>
          <w:bCs/>
        </w:rPr>
        <w:t>Student ID number: 2508235</w:t>
      </w:r>
    </w:p>
    <w:p w14:paraId="5B8EAA2C" w14:textId="77777777" w:rsidR="00524AE4" w:rsidRPr="008445CB" w:rsidRDefault="00524AE4" w:rsidP="00524AE4">
      <w:pPr>
        <w:rPr>
          <w:b/>
          <w:bCs/>
        </w:rPr>
      </w:pPr>
      <w:r w:rsidRPr="06438FB3">
        <w:rPr>
          <w:b/>
          <w:bCs/>
        </w:rPr>
        <w:t xml:space="preserve">Lecturer: Justin Okoli </w:t>
      </w:r>
    </w:p>
    <w:p w14:paraId="0B2345F6" w14:textId="77777777" w:rsidR="00524AE4" w:rsidRPr="008445CB" w:rsidRDefault="00524AE4" w:rsidP="00524AE4">
      <w:pPr>
        <w:rPr>
          <w:rFonts w:ascii="Calibri" w:hAnsi="Calibri" w:cs="Calibri"/>
        </w:rPr>
      </w:pPr>
    </w:p>
    <w:p w14:paraId="633F9807" w14:textId="77777777" w:rsidR="00524AE4" w:rsidRPr="008445CB" w:rsidRDefault="00524AE4" w:rsidP="00524AE4">
      <w:pPr>
        <w:rPr>
          <w:rFonts w:ascii="Calibri" w:hAnsi="Calibri" w:cs="Calibri"/>
        </w:rPr>
      </w:pPr>
    </w:p>
    <w:p w14:paraId="19B81E16" w14:textId="77777777" w:rsidR="00524AE4" w:rsidRPr="008445CB" w:rsidRDefault="00524AE4" w:rsidP="00524AE4">
      <w:pPr>
        <w:rPr>
          <w:rFonts w:ascii="Calibri" w:hAnsi="Calibri" w:cs="Calibri"/>
        </w:rPr>
      </w:pPr>
      <w:bookmarkStart w:id="0" w:name="_Toc213585454"/>
      <w:r w:rsidRPr="06438FB3">
        <w:rPr>
          <w:rFonts w:ascii="Calibri" w:hAnsi="Calibri" w:cs="Calibri"/>
        </w:rPr>
        <w:t>Introduction:</w:t>
      </w:r>
      <w:bookmarkEnd w:id="0"/>
    </w:p>
    <w:p w14:paraId="4766E7CA" w14:textId="13050ABD" w:rsidR="00524AE4" w:rsidRPr="008445CB" w:rsidRDefault="00524AE4" w:rsidP="00524AE4">
      <w:pPr>
        <w:rPr>
          <w:rFonts w:ascii="Calibri" w:hAnsi="Calibri" w:cs="Calibri"/>
        </w:rPr>
      </w:pPr>
      <w:r w:rsidRPr="008445CB">
        <w:rPr>
          <w:rFonts w:ascii="Calibri" w:hAnsi="Calibri" w:cs="Calibri"/>
        </w:rPr>
        <w:t xml:space="preserve">Over the past decade, the West Midlands has witnessed a growing attention of Autism and ADHD within its diverse minority </w:t>
      </w:r>
      <w:r w:rsidR="00B91BF9" w:rsidRPr="008445CB">
        <w:rPr>
          <w:rFonts w:ascii="Calibri" w:hAnsi="Calibri" w:cs="Calibri"/>
        </w:rPr>
        <w:t>communities</w:t>
      </w:r>
      <w:r w:rsidR="00B91BF9">
        <w:rPr>
          <w:rFonts w:ascii="Calibri" w:hAnsi="Calibri" w:cs="Calibri"/>
        </w:rPr>
        <w:t>, NHS</w:t>
      </w:r>
      <w:r w:rsidR="00B91BF9" w:rsidRPr="00B91BF9">
        <w:rPr>
          <w:rFonts w:ascii="Times New Roman" w:eastAsia="Times New Roman" w:hAnsi="Times New Roman" w:cs="Times New Roman"/>
          <w:kern w:val="0"/>
          <w:lang w:eastAsia="en-GB"/>
          <w14:ligatures w14:val="none"/>
        </w:rPr>
        <w:t xml:space="preserve"> England. (2022)</w:t>
      </w:r>
      <w:r w:rsidR="00B91BF9">
        <w:rPr>
          <w:rFonts w:ascii="Calibri" w:hAnsi="Calibri" w:cs="Calibri"/>
        </w:rPr>
        <w:t xml:space="preserve">. </w:t>
      </w:r>
      <w:r w:rsidRPr="008445CB">
        <w:rPr>
          <w:rFonts w:ascii="Calibri" w:hAnsi="Calibri" w:cs="Calibri"/>
        </w:rPr>
        <w:t xml:space="preserve">Historically, children from Black, </w:t>
      </w:r>
      <w:proofErr w:type="gramStart"/>
      <w:r w:rsidRPr="008445CB">
        <w:rPr>
          <w:rFonts w:ascii="Calibri" w:hAnsi="Calibri" w:cs="Calibri"/>
        </w:rPr>
        <w:t>Asian</w:t>
      </w:r>
      <w:proofErr w:type="gramEnd"/>
      <w:r w:rsidRPr="008445CB">
        <w:rPr>
          <w:rFonts w:ascii="Calibri" w:hAnsi="Calibri" w:cs="Calibri"/>
        </w:rPr>
        <w:t xml:space="preserve"> and other minority ethnic communities experienced barriers to diagnosis due to cultural stigma, lack of awareness and biases within the healthcare and education of Autism and ADHD. However, recent interventions such as community outreach, improved </w:t>
      </w:r>
      <w:proofErr w:type="gramStart"/>
      <w:r w:rsidRPr="008445CB">
        <w:rPr>
          <w:rFonts w:ascii="Calibri" w:hAnsi="Calibri" w:cs="Calibri"/>
        </w:rPr>
        <w:t>diagnostic</w:t>
      </w:r>
      <w:proofErr w:type="gramEnd"/>
      <w:r w:rsidRPr="008445CB">
        <w:rPr>
          <w:rFonts w:ascii="Calibri" w:hAnsi="Calibri" w:cs="Calibri"/>
        </w:rPr>
        <w:t xml:space="preserve"> and advocacy in communities. These has enabled families to have access to neurodevelopmental services, even though, there have still existed disparities in wating times and quality support continues. This requires urgent need for appropriate intervention across the region.</w:t>
      </w:r>
    </w:p>
    <w:p w14:paraId="51D71A41" w14:textId="77777777" w:rsidR="00524AE4" w:rsidRPr="008445CB" w:rsidRDefault="00524AE4" w:rsidP="00524AE4">
      <w:pPr>
        <w:rPr>
          <w:rFonts w:ascii="Calibri" w:hAnsi="Calibri" w:cs="Calibri"/>
        </w:rPr>
      </w:pPr>
      <w:r w:rsidRPr="008445CB">
        <w:rPr>
          <w:rFonts w:ascii="Calibri" w:hAnsi="Calibri" w:cs="Calibri"/>
        </w:rPr>
        <w:t>The purpose of this project is to identify the increase in Autism and ADHD in minority communities in the west midland over the past years and the interventions and progress that has been made so far.</w:t>
      </w:r>
    </w:p>
    <w:p w14:paraId="441722B4" w14:textId="77777777" w:rsidR="00524AE4" w:rsidRPr="008445CB" w:rsidRDefault="00524AE4" w:rsidP="00524AE4">
      <w:pPr>
        <w:pStyle w:val="Heading1"/>
        <w:rPr>
          <w:rFonts w:ascii="Calibri" w:hAnsi="Calibri" w:cs="Calibri"/>
        </w:rPr>
      </w:pPr>
      <w:bookmarkStart w:id="1" w:name="_Toc213585455"/>
      <w:r w:rsidRPr="008445CB">
        <w:rPr>
          <w:rFonts w:ascii="Calibri" w:hAnsi="Calibri" w:cs="Calibri"/>
        </w:rPr>
        <w:t>Literature Review:</w:t>
      </w:r>
      <w:bookmarkEnd w:id="1"/>
    </w:p>
    <w:p w14:paraId="469B2D3B" w14:textId="77777777" w:rsidR="00524AE4" w:rsidRPr="008445CB" w:rsidRDefault="00524AE4" w:rsidP="00524AE4">
      <w:pPr>
        <w:rPr>
          <w:rFonts w:ascii="Calibri" w:hAnsi="Calibri" w:cs="Calibri"/>
        </w:rPr>
      </w:pPr>
      <w:r w:rsidRPr="008445CB">
        <w:rPr>
          <w:rFonts w:ascii="Calibri" w:hAnsi="Calibri" w:cs="Calibri"/>
        </w:rPr>
        <w:t>Little is known about the real impact in Black, Asian and minority ethnic (BAME) communities in the West Midland region (UK). This report is to highlight some stance and interventions some families has taken about the condition like Autism and ADHD which is mostly influence by their cultural background and analyse the increasing trend over the past decade.</w:t>
      </w:r>
    </w:p>
    <w:p w14:paraId="4A23021B" w14:textId="77777777" w:rsidR="00524AE4" w:rsidRPr="008445CB" w:rsidRDefault="00524AE4" w:rsidP="00524AE4">
      <w:pPr>
        <w:rPr>
          <w:rFonts w:ascii="Calibri" w:hAnsi="Calibri" w:cs="Calibri"/>
        </w:rPr>
      </w:pPr>
      <w:r w:rsidRPr="008445CB">
        <w:rPr>
          <w:rFonts w:ascii="Calibri" w:hAnsi="Calibri" w:cs="Calibri"/>
        </w:rPr>
        <w:t>Research consistently shows that children from Black, Asian and minority ethnic (BAME) in the UK face significant challenges to timely and appropriate diagnosis of ADHD Autism according to the marginalised families and Autism report by the University of Birmingham, which also emphasises the fact that families from minority communities usually experience miscommunication, cultural misunderstandings, and systemic bias when exploring the healthcare and education system.</w:t>
      </w:r>
    </w:p>
    <w:p w14:paraId="3C149F33" w14:textId="77777777" w:rsidR="00524AE4" w:rsidRPr="003164CB" w:rsidRDefault="00524AE4" w:rsidP="00524AE4">
      <w:pPr>
        <w:spacing w:after="0" w:line="240" w:lineRule="auto"/>
        <w:rPr>
          <w:rFonts w:ascii="Calibri" w:eastAsia="Times New Roman" w:hAnsi="Calibri" w:cs="Calibri"/>
          <w:kern w:val="0"/>
          <w:lang w:eastAsia="en-GB"/>
          <w14:ligatures w14:val="none"/>
        </w:rPr>
      </w:pPr>
      <w:r w:rsidRPr="003164CB">
        <w:rPr>
          <w:rFonts w:ascii="Calibri" w:eastAsia="Times New Roman" w:hAnsi="Calibri" w:cs="Calibri"/>
          <w:kern w:val="0"/>
          <w:lang w:eastAsia="en-GB"/>
          <w14:ligatures w14:val="none"/>
        </w:rPr>
        <w:t>Children from Black, Asian, and Minority Ethnic (BAME) backgrounds are significantly underdiagnosed with autism and ADHD compared to White British peers.</w:t>
      </w:r>
    </w:p>
    <w:p w14:paraId="7E2C35C0" w14:textId="77777777" w:rsidR="00524AE4" w:rsidRPr="008445CB" w:rsidRDefault="00524AE4" w:rsidP="00524AE4">
      <w:pPr>
        <w:rPr>
          <w:rFonts w:ascii="Calibri" w:eastAsia="Times New Roman" w:hAnsi="Calibri" w:cs="Calibri"/>
          <w:kern w:val="0"/>
          <w:lang w:eastAsia="en-GB"/>
          <w14:ligatures w14:val="none"/>
        </w:rPr>
      </w:pPr>
      <w:r w:rsidRPr="003164CB">
        <w:rPr>
          <w:rFonts w:ascii="Calibri" w:eastAsia="Times New Roman" w:hAnsi="Calibri" w:cs="Calibri"/>
          <w:kern w:val="0"/>
          <w:lang w:eastAsia="en-GB"/>
          <w14:ligatures w14:val="none"/>
        </w:rPr>
        <w:lastRenderedPageBreak/>
        <w:t>Language barriers, cultural perceptions, and systemic bias contribute to delayed or missed diagnoses.</w:t>
      </w:r>
      <w:r w:rsidRPr="008445CB">
        <w:rPr>
          <w:rFonts w:ascii="Calibri" w:eastAsia="Times New Roman" w:hAnsi="Calibri" w:cs="Calibri"/>
          <w:kern w:val="0"/>
          <w:lang w:eastAsia="en-GB"/>
          <w14:ligatures w14:val="none"/>
        </w:rPr>
        <w:t xml:space="preserve"> crane,</w:t>
      </w:r>
      <w:r>
        <w:rPr>
          <w:rFonts w:ascii="Calibri" w:eastAsia="Times New Roman" w:hAnsi="Calibri" w:cs="Calibri"/>
          <w:kern w:val="0"/>
          <w:lang w:eastAsia="en-GB"/>
          <w14:ligatures w14:val="none"/>
        </w:rPr>
        <w:t xml:space="preserve"> </w:t>
      </w:r>
      <w:proofErr w:type="gramStart"/>
      <w:r w:rsidRPr="008445CB">
        <w:rPr>
          <w:rFonts w:ascii="Calibri" w:eastAsia="Times New Roman" w:hAnsi="Calibri" w:cs="Calibri"/>
          <w:kern w:val="0"/>
          <w:lang w:eastAsia="en-GB"/>
          <w14:ligatures w14:val="none"/>
        </w:rPr>
        <w:t>et al.(</w:t>
      </w:r>
      <w:proofErr w:type="gramEnd"/>
      <w:r w:rsidRPr="008445CB">
        <w:rPr>
          <w:rFonts w:ascii="Calibri" w:eastAsia="Times New Roman" w:hAnsi="Calibri" w:cs="Calibri"/>
          <w:kern w:val="0"/>
          <w:lang w:eastAsia="en-GB"/>
          <w14:ligatures w14:val="none"/>
        </w:rPr>
        <w:t>2021).In Asian and African communities in the West Midlands, neurodevelopmental conditions are often misunderstood or stigmatized. Families</w:t>
      </w:r>
      <w:r w:rsidRPr="007F7438">
        <w:rPr>
          <w:rFonts w:ascii="Calibri" w:eastAsia="Times New Roman" w:hAnsi="Calibri" w:cs="Calibri"/>
          <w:kern w:val="0"/>
          <w:lang w:eastAsia="en-GB"/>
          <w14:ligatures w14:val="none"/>
        </w:rPr>
        <w:t xml:space="preserve"> may interpret symptoms through religious or cultural lenses, leading to reluctance in seeking formal support.</w:t>
      </w:r>
      <w:r w:rsidRPr="008445CB">
        <w:rPr>
          <w:rFonts w:ascii="Calibri" w:eastAsia="Times New Roman" w:hAnsi="Calibri" w:cs="Calibri"/>
          <w:kern w:val="0"/>
          <w:lang w:eastAsia="en-GB"/>
          <w14:ligatures w14:val="none"/>
        </w:rPr>
        <w:t xml:space="preserve"> </w:t>
      </w:r>
      <w:proofErr w:type="spellStart"/>
      <w:proofErr w:type="gramStart"/>
      <w:r w:rsidRPr="008445CB">
        <w:rPr>
          <w:rFonts w:ascii="Calibri" w:eastAsia="Times New Roman" w:hAnsi="Calibri" w:cs="Calibri"/>
          <w:kern w:val="0"/>
          <w:lang w:eastAsia="en-GB"/>
          <w14:ligatures w14:val="none"/>
        </w:rPr>
        <w:t>Rauf,R.et</w:t>
      </w:r>
      <w:proofErr w:type="spellEnd"/>
      <w:r w:rsidRPr="008445CB">
        <w:rPr>
          <w:rFonts w:ascii="Calibri" w:eastAsia="Times New Roman" w:hAnsi="Calibri" w:cs="Calibri"/>
          <w:kern w:val="0"/>
          <w:lang w:eastAsia="en-GB"/>
          <w14:ligatures w14:val="none"/>
        </w:rPr>
        <w:t xml:space="preserve"> al.</w:t>
      </w:r>
      <w:proofErr w:type="gramEnd"/>
      <w:r w:rsidRPr="008445CB">
        <w:rPr>
          <w:rFonts w:ascii="Calibri" w:eastAsia="Times New Roman" w:hAnsi="Calibri" w:cs="Calibri"/>
          <w:kern w:val="0"/>
          <w:lang w:eastAsia="en-GB"/>
          <w14:ligatures w14:val="none"/>
        </w:rPr>
        <w:t>(2019).</w:t>
      </w:r>
    </w:p>
    <w:p w14:paraId="0116F8DF" w14:textId="77777777" w:rsidR="00524AE4" w:rsidRPr="0093425B"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93425B">
        <w:rPr>
          <w:rFonts w:ascii="Calibri" w:eastAsia="Times New Roman" w:hAnsi="Calibri" w:cs="Calibri"/>
          <w:kern w:val="0"/>
          <w:lang w:eastAsia="en-GB"/>
          <w14:ligatures w14:val="none"/>
        </w:rPr>
        <w:t>Minority families often encounter structural barriers when navigating healthcare and education systems. These include:</w:t>
      </w:r>
    </w:p>
    <w:p w14:paraId="695628B3" w14:textId="77777777" w:rsidR="00524AE4" w:rsidRPr="0093425B" w:rsidRDefault="00524AE4" w:rsidP="00524AE4">
      <w:pPr>
        <w:numPr>
          <w:ilvl w:val="0"/>
          <w:numId w:val="2"/>
        </w:numPr>
        <w:spacing w:before="100" w:beforeAutospacing="1" w:after="100" w:afterAutospacing="1" w:line="240" w:lineRule="auto"/>
        <w:rPr>
          <w:rFonts w:ascii="Calibri" w:eastAsia="Times New Roman" w:hAnsi="Calibri" w:cs="Calibri"/>
          <w:kern w:val="0"/>
          <w:lang w:eastAsia="en-GB"/>
          <w14:ligatures w14:val="none"/>
        </w:rPr>
      </w:pPr>
      <w:r w:rsidRPr="0093425B">
        <w:rPr>
          <w:rFonts w:ascii="Calibri" w:eastAsia="Times New Roman" w:hAnsi="Calibri" w:cs="Calibri"/>
          <w:kern w:val="0"/>
          <w:lang w:eastAsia="en-GB"/>
          <w14:ligatures w14:val="none"/>
        </w:rPr>
        <w:t>Lack of culturally appropriate information</w:t>
      </w:r>
    </w:p>
    <w:p w14:paraId="296442E1" w14:textId="77777777" w:rsidR="00524AE4" w:rsidRPr="0093425B" w:rsidRDefault="00524AE4" w:rsidP="00524AE4">
      <w:pPr>
        <w:numPr>
          <w:ilvl w:val="0"/>
          <w:numId w:val="2"/>
        </w:numPr>
        <w:spacing w:before="100" w:beforeAutospacing="1" w:after="100" w:afterAutospacing="1" w:line="240" w:lineRule="auto"/>
        <w:rPr>
          <w:rFonts w:ascii="Calibri" w:eastAsia="Times New Roman" w:hAnsi="Calibri" w:cs="Calibri"/>
          <w:kern w:val="0"/>
          <w:lang w:eastAsia="en-GB"/>
          <w14:ligatures w14:val="none"/>
        </w:rPr>
      </w:pPr>
      <w:r w:rsidRPr="0093425B">
        <w:rPr>
          <w:rFonts w:ascii="Calibri" w:eastAsia="Times New Roman" w:hAnsi="Calibri" w:cs="Calibri"/>
          <w:kern w:val="0"/>
          <w:lang w:eastAsia="en-GB"/>
          <w14:ligatures w14:val="none"/>
        </w:rPr>
        <w:t>Limited interpreter services</w:t>
      </w:r>
    </w:p>
    <w:p w14:paraId="06668D9B" w14:textId="77777777" w:rsidR="00524AE4" w:rsidRPr="0093425B" w:rsidRDefault="00524AE4" w:rsidP="00524AE4">
      <w:pPr>
        <w:numPr>
          <w:ilvl w:val="0"/>
          <w:numId w:val="2"/>
        </w:numPr>
        <w:spacing w:before="100" w:beforeAutospacing="1" w:after="100" w:afterAutospacing="1" w:line="240" w:lineRule="auto"/>
        <w:rPr>
          <w:rFonts w:ascii="Calibri" w:eastAsia="Times New Roman" w:hAnsi="Calibri" w:cs="Calibri"/>
          <w:kern w:val="0"/>
          <w:lang w:eastAsia="en-GB"/>
          <w14:ligatures w14:val="none"/>
        </w:rPr>
      </w:pPr>
      <w:r w:rsidRPr="008445CB">
        <w:rPr>
          <w:rFonts w:ascii="Calibri" w:eastAsia="Times New Roman" w:hAnsi="Calibri" w:cs="Calibri"/>
          <w:kern w:val="0"/>
          <w:lang w:eastAsia="en-GB"/>
          <w14:ligatures w14:val="none"/>
        </w:rPr>
        <w:t>Professionals</w:t>
      </w:r>
      <w:r w:rsidRPr="0093425B">
        <w:rPr>
          <w:rFonts w:ascii="Calibri" w:eastAsia="Times New Roman" w:hAnsi="Calibri" w:cs="Calibri"/>
          <w:kern w:val="0"/>
          <w:lang w:eastAsia="en-GB"/>
          <w14:ligatures w14:val="none"/>
        </w:rPr>
        <w:t xml:space="preserve"> limited cultural </w:t>
      </w:r>
      <w:r w:rsidRPr="008445CB">
        <w:rPr>
          <w:rFonts w:ascii="Calibri" w:eastAsia="Times New Roman" w:hAnsi="Calibri" w:cs="Calibri"/>
          <w:kern w:val="0"/>
          <w:lang w:eastAsia="en-GB"/>
          <w14:ligatures w14:val="none"/>
        </w:rPr>
        <w:t>competence.</w:t>
      </w:r>
    </w:p>
    <w:p w14:paraId="27531AF3" w14:textId="77777777" w:rsidR="00524AE4" w:rsidRPr="008445CB" w:rsidRDefault="00524AE4" w:rsidP="00524AE4">
      <w:pPr>
        <w:spacing w:before="100" w:beforeAutospacing="1" w:after="100" w:afterAutospacing="1" w:line="240" w:lineRule="auto"/>
        <w:rPr>
          <w:rFonts w:ascii="Calibri" w:hAnsi="Calibri" w:cs="Calibri"/>
        </w:rPr>
      </w:pPr>
      <w:r w:rsidRPr="0093425B">
        <w:rPr>
          <w:rFonts w:ascii="Calibri" w:eastAsia="Times New Roman" w:hAnsi="Calibri" w:cs="Calibri"/>
          <w:kern w:val="0"/>
          <w:lang w:eastAsia="en-GB"/>
          <w14:ligatures w14:val="none"/>
        </w:rPr>
        <w:t>The University of Birmingham (2022) reported that parents frequently felt dismissed or misunderstood by practitioners, which eroded trust and delayed intervention.</w:t>
      </w:r>
      <w:r w:rsidRPr="008445CB">
        <w:rPr>
          <w:rFonts w:ascii="Calibri" w:hAnsi="Calibri" w:cs="Calibri"/>
        </w:rPr>
        <w:t xml:space="preserve"> socioeconomic status intersects with ethnicity to further disadvantage minority families. Children from these backgrounds are more likely to live in deprived areas and qualify for Free School Meals (FSM), limiting access to private assessments and early intervention (Department for Education, 2021). Economic hardship also affects parents’ ability to advocate for their children or attend appointments. ADHD is disproportionately linked to school exclusions among Black boys in the West Midlands. Gillborn et al. (2018) argue that racialized interpretations of behaviour—such as perceiving hyperactivity as aggression—contribute to punitive responses rather than support. This exacerbates educational inequalities and reinforces cycles of marginalization.</w:t>
      </w:r>
    </w:p>
    <w:p w14:paraId="3A3D9320" w14:textId="77777777" w:rsidR="00524AE4" w:rsidRPr="008445CB" w:rsidRDefault="00524AE4" w:rsidP="00524AE4">
      <w:pPr>
        <w:spacing w:before="100" w:beforeAutospacing="1" w:after="100" w:afterAutospacing="1" w:line="240" w:lineRule="auto"/>
        <w:rPr>
          <w:rFonts w:ascii="Calibri" w:hAnsi="Calibri" w:cs="Calibri"/>
        </w:rPr>
      </w:pPr>
      <w:r w:rsidRPr="008445CB">
        <w:rPr>
          <w:rFonts w:ascii="Calibri" w:hAnsi="Calibri" w:cs="Calibri"/>
        </w:rPr>
        <w:t>Knowledge gap:</w:t>
      </w:r>
    </w:p>
    <w:p w14:paraId="67420AF7" w14:textId="77777777" w:rsidR="00524AE4" w:rsidRPr="0093425B"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8445CB">
        <w:rPr>
          <w:rFonts w:ascii="Calibri" w:hAnsi="Calibri" w:cs="Calibri"/>
        </w:rPr>
        <w:t>After analysis the literature review, I noticed there is a gap that has not been fully explore by researchers, which is deep dive into minorities communities social and cultural standing and trauma’s before arriving in the United Kingdom, which I believe will enable a better understanding of behaviours and traits in minority communities and how to better intervene.</w:t>
      </w:r>
    </w:p>
    <w:p w14:paraId="6BAB857D" w14:textId="77777777" w:rsidR="00524AE4" w:rsidRDefault="00524AE4" w:rsidP="00524AE4">
      <w:pPr>
        <w:rPr>
          <w:rFonts w:ascii="Calibri" w:hAnsi="Calibri" w:cs="Calibri"/>
        </w:rPr>
      </w:pPr>
      <w:r w:rsidRPr="001F42FB">
        <w:rPr>
          <w:rFonts w:ascii="Calibri" w:hAnsi="Calibri" w:cs="Calibri"/>
          <w:highlight w:val="yellow"/>
        </w:rPr>
        <w:t>Sources</w:t>
      </w:r>
      <w:r>
        <w:rPr>
          <w:rFonts w:ascii="Calibri" w:hAnsi="Calibri" w:cs="Calibri"/>
        </w:rPr>
        <w:t xml:space="preserve"> </w:t>
      </w:r>
    </w:p>
    <w:p w14:paraId="2E2CEB7F" w14:textId="77777777" w:rsidR="00524AE4" w:rsidRPr="008445CB" w:rsidRDefault="00524AE4" w:rsidP="00524AE4">
      <w:pPr>
        <w:rPr>
          <w:rFonts w:ascii="Calibri" w:hAnsi="Calibri" w:cs="Calibri"/>
        </w:rPr>
      </w:pPr>
      <w:r w:rsidRPr="00642F30">
        <w:rPr>
          <w:rFonts w:ascii="Calibri" w:hAnsi="Calibri" w:cs="Calibri"/>
          <w:highlight w:val="yellow"/>
        </w:rPr>
        <w:t>Three sources</w:t>
      </w:r>
    </w:p>
    <w:p w14:paraId="0C532DF3" w14:textId="77777777" w:rsidR="00524AE4" w:rsidRPr="008445CB" w:rsidRDefault="00524AE4" w:rsidP="00524AE4">
      <w:pPr>
        <w:pStyle w:val="Heading1"/>
        <w:rPr>
          <w:rFonts w:ascii="Calibri" w:hAnsi="Calibri" w:cs="Calibri"/>
        </w:rPr>
      </w:pPr>
      <w:bookmarkStart w:id="2" w:name="_Toc213585456"/>
      <w:r w:rsidRPr="008445CB">
        <w:rPr>
          <w:rFonts w:ascii="Calibri" w:hAnsi="Calibri" w:cs="Calibri"/>
        </w:rPr>
        <w:t>Research Method:</w:t>
      </w:r>
      <w:bookmarkEnd w:id="2"/>
    </w:p>
    <w:p w14:paraId="6E166957" w14:textId="77777777" w:rsidR="00524AE4" w:rsidRPr="008445CB" w:rsidRDefault="00524AE4" w:rsidP="00524AE4">
      <w:pPr>
        <w:rPr>
          <w:rFonts w:ascii="Calibri" w:hAnsi="Calibri" w:cs="Calibri"/>
        </w:rPr>
      </w:pPr>
      <w:r w:rsidRPr="008445CB">
        <w:rPr>
          <w:rFonts w:ascii="Calibri" w:hAnsi="Calibri" w:cs="Calibri"/>
        </w:rPr>
        <w:t>Choosing the right research method is crucial for the success of any project, as it determines how data is gathered and interpreted</w:t>
      </w:r>
      <w:r w:rsidRPr="008445CB">
        <w:rPr>
          <w:rFonts w:ascii="Calibri" w:hAnsi="Calibri" w:cs="Calibri"/>
          <w:color w:val="444444"/>
          <w:shd w:val="clear" w:color="auto" w:fill="FFFFFF"/>
        </w:rPr>
        <w:t xml:space="preserve">. </w:t>
      </w:r>
      <w:r w:rsidRPr="008445CB">
        <w:rPr>
          <w:rFonts w:ascii="Calibri" w:hAnsi="Calibri" w:cs="Calibri"/>
        </w:rPr>
        <w:t xml:space="preserve">The three main method of research, quantitative, </w:t>
      </w:r>
      <w:proofErr w:type="gramStart"/>
      <w:r w:rsidRPr="008445CB">
        <w:rPr>
          <w:rFonts w:ascii="Calibri" w:hAnsi="Calibri" w:cs="Calibri"/>
        </w:rPr>
        <w:t>qualitative</w:t>
      </w:r>
      <w:proofErr w:type="gramEnd"/>
      <w:r w:rsidRPr="008445CB">
        <w:rPr>
          <w:rFonts w:ascii="Calibri" w:hAnsi="Calibri" w:cs="Calibri"/>
        </w:rPr>
        <w:t xml:space="preserve"> and mixed research method. In this review I utilized both Qualitative and quantitative research methods(mixed).</w:t>
      </w:r>
    </w:p>
    <w:p w14:paraId="6CD412EF" w14:textId="77777777" w:rsidR="00524AE4" w:rsidRPr="005F2734" w:rsidRDefault="00524AE4" w:rsidP="00524AE4">
      <w:pPr>
        <w:shd w:val="clear" w:color="auto" w:fill="FFFFFF"/>
        <w:spacing w:after="0" w:line="240" w:lineRule="auto"/>
        <w:textAlignment w:val="baseline"/>
        <w:outlineLvl w:val="3"/>
        <w:rPr>
          <w:rFonts w:ascii="Calibri" w:hAnsi="Calibri" w:cs="Calibri"/>
        </w:rPr>
      </w:pPr>
      <w:r w:rsidRPr="005F2734">
        <w:rPr>
          <w:rFonts w:ascii="Calibri" w:hAnsi="Calibri" w:cs="Calibri"/>
        </w:rPr>
        <w:t>Qualitative Research Methods</w:t>
      </w:r>
    </w:p>
    <w:p w14:paraId="1EE73D0F" w14:textId="77777777" w:rsidR="00524AE4" w:rsidRPr="005F2734" w:rsidRDefault="00524AE4" w:rsidP="00524AE4">
      <w:pPr>
        <w:numPr>
          <w:ilvl w:val="0"/>
          <w:numId w:val="1"/>
        </w:numPr>
        <w:shd w:val="clear" w:color="auto" w:fill="FFFFFF"/>
        <w:spacing w:after="0" w:line="240" w:lineRule="auto"/>
        <w:ind w:left="1170"/>
        <w:textAlignment w:val="baseline"/>
        <w:rPr>
          <w:rFonts w:ascii="Calibri" w:hAnsi="Calibri" w:cs="Calibri"/>
        </w:rPr>
      </w:pPr>
      <w:r w:rsidRPr="005F2734">
        <w:rPr>
          <w:rFonts w:ascii="Calibri" w:hAnsi="Calibri" w:cs="Calibri"/>
        </w:rPr>
        <w:lastRenderedPageBreak/>
        <w:t xml:space="preserve">Description: Focus on understanding human </w:t>
      </w:r>
      <w:r w:rsidRPr="008445CB">
        <w:rPr>
          <w:rFonts w:ascii="Calibri" w:hAnsi="Calibri" w:cs="Calibri"/>
        </w:rPr>
        <w:t>behaviour</w:t>
      </w:r>
      <w:r w:rsidRPr="005F2734">
        <w:rPr>
          <w:rFonts w:ascii="Calibri" w:hAnsi="Calibri" w:cs="Calibri"/>
        </w:rPr>
        <w:t>, experiences, and social phenomena through non-numerical data.</w:t>
      </w:r>
    </w:p>
    <w:p w14:paraId="281E2106" w14:textId="77777777" w:rsidR="00524AE4" w:rsidRPr="008445CB" w:rsidRDefault="00524AE4" w:rsidP="00524AE4">
      <w:pPr>
        <w:numPr>
          <w:ilvl w:val="0"/>
          <w:numId w:val="1"/>
        </w:numPr>
        <w:shd w:val="clear" w:color="auto" w:fill="FFFFFF"/>
        <w:spacing w:after="0" w:line="240" w:lineRule="auto"/>
        <w:ind w:left="1170"/>
        <w:textAlignment w:val="baseline"/>
        <w:rPr>
          <w:rFonts w:ascii="Calibri" w:hAnsi="Calibri" w:cs="Calibri"/>
        </w:rPr>
      </w:pPr>
      <w:r w:rsidRPr="005F2734">
        <w:rPr>
          <w:rFonts w:ascii="Calibri" w:hAnsi="Calibri" w:cs="Calibri"/>
        </w:rPr>
        <w:t>Examples of Techniques: Interviews, focus groups, ethnography, and content analysis.</w:t>
      </w:r>
    </w:p>
    <w:p w14:paraId="26E59BFA" w14:textId="77777777" w:rsidR="00524AE4" w:rsidRPr="00570A78" w:rsidRDefault="00524AE4" w:rsidP="00524AE4">
      <w:pPr>
        <w:shd w:val="clear" w:color="auto" w:fill="FFFFFF"/>
        <w:spacing w:after="0" w:line="240" w:lineRule="auto"/>
        <w:textAlignment w:val="baseline"/>
        <w:outlineLvl w:val="3"/>
        <w:rPr>
          <w:rFonts w:ascii="Calibri" w:hAnsi="Calibri" w:cs="Calibri"/>
        </w:rPr>
      </w:pPr>
      <w:r w:rsidRPr="00570A78">
        <w:rPr>
          <w:rFonts w:ascii="Calibri" w:hAnsi="Calibri" w:cs="Calibri"/>
        </w:rPr>
        <w:t>Quantitative Research Methods</w:t>
      </w:r>
    </w:p>
    <w:p w14:paraId="519D9385" w14:textId="77777777" w:rsidR="00524AE4" w:rsidRPr="00570A78" w:rsidRDefault="00524AE4" w:rsidP="00524AE4">
      <w:pPr>
        <w:shd w:val="clear" w:color="auto" w:fill="FFFFFF"/>
        <w:spacing w:after="0" w:line="240" w:lineRule="auto"/>
        <w:textAlignment w:val="baseline"/>
        <w:outlineLvl w:val="3"/>
        <w:rPr>
          <w:rFonts w:ascii="Calibri" w:hAnsi="Calibri" w:cs="Calibri"/>
        </w:rPr>
      </w:pPr>
      <w:r w:rsidRPr="00570A78">
        <w:rPr>
          <w:rFonts w:ascii="Calibri" w:hAnsi="Calibri" w:cs="Calibri"/>
        </w:rPr>
        <w:t>Description: Involve the collection and analysis of numerical data to identify patterns, test hypotheses, or predict outcomes.</w:t>
      </w:r>
    </w:p>
    <w:p w14:paraId="25313D05" w14:textId="77777777" w:rsidR="00524AE4" w:rsidRPr="00570A78" w:rsidRDefault="00524AE4" w:rsidP="00524AE4">
      <w:pPr>
        <w:shd w:val="clear" w:color="auto" w:fill="FFFFFF"/>
        <w:spacing w:after="0" w:line="240" w:lineRule="auto"/>
        <w:textAlignment w:val="baseline"/>
        <w:outlineLvl w:val="3"/>
        <w:rPr>
          <w:rFonts w:ascii="Calibri" w:hAnsi="Calibri" w:cs="Calibri"/>
        </w:rPr>
      </w:pPr>
      <w:r w:rsidRPr="00570A78">
        <w:rPr>
          <w:rFonts w:ascii="Calibri" w:hAnsi="Calibri" w:cs="Calibri"/>
        </w:rPr>
        <w:t>Examples of Techniques: Surveys, experiments, and statistical analysis.</w:t>
      </w:r>
    </w:p>
    <w:p w14:paraId="6CFEAB46" w14:textId="77777777" w:rsidR="00524AE4" w:rsidRPr="005F2734" w:rsidRDefault="00524AE4" w:rsidP="00524AE4">
      <w:pPr>
        <w:shd w:val="clear" w:color="auto" w:fill="FFFFFF"/>
        <w:spacing w:after="0" w:line="240" w:lineRule="auto"/>
        <w:textAlignment w:val="baseline"/>
        <w:rPr>
          <w:rFonts w:ascii="Calibri" w:hAnsi="Calibri" w:cs="Calibri"/>
        </w:rPr>
      </w:pPr>
    </w:p>
    <w:p w14:paraId="00FDA10F" w14:textId="77777777" w:rsidR="00524AE4" w:rsidRPr="00F2585B" w:rsidRDefault="00524AE4" w:rsidP="00524AE4">
      <w:pPr>
        <w:shd w:val="clear" w:color="auto" w:fill="FFFFFF"/>
        <w:spacing w:after="0" w:line="240" w:lineRule="auto"/>
        <w:textAlignment w:val="baseline"/>
        <w:outlineLvl w:val="3"/>
        <w:rPr>
          <w:rFonts w:ascii="Calibri" w:hAnsi="Calibri" w:cs="Calibri"/>
        </w:rPr>
      </w:pPr>
      <w:r w:rsidRPr="00F2585B">
        <w:rPr>
          <w:rFonts w:ascii="Calibri" w:hAnsi="Calibri" w:cs="Calibri"/>
        </w:rPr>
        <w:t>Mixed-Methods Research</w:t>
      </w:r>
    </w:p>
    <w:p w14:paraId="1D185D0C" w14:textId="77777777" w:rsidR="00524AE4" w:rsidRPr="00F2585B" w:rsidRDefault="00524AE4" w:rsidP="00524AE4">
      <w:pPr>
        <w:shd w:val="clear" w:color="auto" w:fill="FFFFFF"/>
        <w:spacing w:after="0" w:line="240" w:lineRule="auto"/>
        <w:textAlignment w:val="baseline"/>
        <w:outlineLvl w:val="3"/>
        <w:rPr>
          <w:rFonts w:ascii="Calibri" w:hAnsi="Calibri" w:cs="Calibri"/>
        </w:rPr>
      </w:pPr>
      <w:r w:rsidRPr="00F2585B">
        <w:rPr>
          <w:rFonts w:ascii="Calibri" w:hAnsi="Calibri" w:cs="Calibri"/>
        </w:rPr>
        <w:t>Description: Combines qualitative and quantitative methods to provide a comprehensive understanding of the research problem.</w:t>
      </w:r>
    </w:p>
    <w:p w14:paraId="4AB6495C" w14:textId="77777777" w:rsidR="00524AE4" w:rsidRPr="008445CB" w:rsidRDefault="00524AE4" w:rsidP="00524AE4">
      <w:pPr>
        <w:shd w:val="clear" w:color="auto" w:fill="FFFFFF"/>
        <w:spacing w:after="0" w:line="240" w:lineRule="auto"/>
        <w:textAlignment w:val="baseline"/>
        <w:outlineLvl w:val="3"/>
        <w:rPr>
          <w:rFonts w:ascii="Calibri" w:hAnsi="Calibri" w:cs="Calibri"/>
        </w:rPr>
      </w:pPr>
      <w:r w:rsidRPr="00F2585B">
        <w:rPr>
          <w:rFonts w:ascii="Calibri" w:hAnsi="Calibri" w:cs="Calibri"/>
        </w:rPr>
        <w:t>Examples of Techniques: Sequential explanatory design (quantitative followed by qualitative) or concurrent triangulation (both methods used simultaneously).</w:t>
      </w:r>
    </w:p>
    <w:p w14:paraId="4E293602" w14:textId="77777777" w:rsidR="00524AE4" w:rsidRPr="008445CB" w:rsidRDefault="00524AE4" w:rsidP="00524AE4">
      <w:pPr>
        <w:shd w:val="clear" w:color="auto" w:fill="FFFFFF"/>
        <w:spacing w:after="0" w:line="240" w:lineRule="auto"/>
        <w:textAlignment w:val="baseline"/>
        <w:outlineLvl w:val="3"/>
        <w:rPr>
          <w:rFonts w:ascii="Calibri" w:hAnsi="Calibri" w:cs="Calibri"/>
        </w:rPr>
      </w:pPr>
    </w:p>
    <w:p w14:paraId="1E09DC52" w14:textId="77777777" w:rsidR="00524AE4" w:rsidRPr="008445CB" w:rsidRDefault="00524AE4" w:rsidP="00524AE4">
      <w:pPr>
        <w:rPr>
          <w:rFonts w:ascii="Calibri" w:hAnsi="Calibri" w:cs="Calibri"/>
          <w:b/>
          <w:bCs/>
        </w:rPr>
      </w:pPr>
      <w:r w:rsidRPr="008445CB">
        <w:rPr>
          <w:rFonts w:ascii="Calibri" w:hAnsi="Calibri" w:cs="Calibri"/>
        </w:rPr>
        <w:t xml:space="preserve">This review draws on peer-reviewed articles, government reports, and community-led research published between 2018 and 2022. Sources were selected for their relevance to ethnic minority experiences in the West Midlands and their focus on autism and ADHD. </w:t>
      </w:r>
    </w:p>
    <w:p w14:paraId="7B55F759" w14:textId="77777777" w:rsidR="00524AE4" w:rsidRPr="00EC4553" w:rsidRDefault="00524AE4" w:rsidP="00524AE4">
      <w:pPr>
        <w:pStyle w:val="Heading1"/>
        <w:rPr>
          <w:rFonts w:ascii="Calibri" w:hAnsi="Calibri" w:cs="Calibri"/>
          <w:color w:val="FF0000"/>
        </w:rPr>
      </w:pPr>
      <w:bookmarkStart w:id="3" w:name="_Toc213585457"/>
      <w:r w:rsidRPr="00EC4553">
        <w:rPr>
          <w:rFonts w:ascii="Calibri" w:hAnsi="Calibri" w:cs="Calibri"/>
          <w:color w:val="FF0000"/>
        </w:rPr>
        <w:t>Analysis:</w:t>
      </w:r>
      <w:bookmarkEnd w:id="3"/>
    </w:p>
    <w:p w14:paraId="37E06FBF" w14:textId="3CAA057F" w:rsidR="00524AE4" w:rsidRPr="008445CB" w:rsidRDefault="00524AE4" w:rsidP="00524AE4">
      <w:pPr>
        <w:rPr>
          <w:rFonts w:ascii="Calibri" w:hAnsi="Calibri" w:cs="Calibri"/>
          <w:b/>
          <w:bCs/>
        </w:rPr>
      </w:pPr>
    </w:p>
    <w:p w14:paraId="382BC93B" w14:textId="613E3EC8" w:rsidR="00524AE4" w:rsidRPr="008445CB" w:rsidRDefault="00524AE4" w:rsidP="00524AE4">
      <w:pPr>
        <w:pStyle w:val="NormalWeb"/>
        <w:rPr>
          <w:rFonts w:ascii="Calibri" w:hAnsi="Calibri" w:cs="Calibri"/>
        </w:rPr>
      </w:pPr>
      <w:r w:rsidRPr="008445CB">
        <w:rPr>
          <w:rFonts w:ascii="Calibri" w:hAnsi="Calibri" w:cs="Calibri"/>
        </w:rPr>
        <w:t>While White British children are typically diagnosed with Autism or ADHD around age 5.2, Pakistani and Bangladeshi children are diagnosed much later—around 7.1 to 7.3 years. Black African and Caribbean children also face delays, averaging 6.5 to 6.8 years.</w:t>
      </w:r>
    </w:p>
    <w:p w14:paraId="02D3A3EB" w14:textId="77777777" w:rsidR="00524AE4" w:rsidRPr="008445CB" w:rsidRDefault="00524AE4" w:rsidP="00524AE4">
      <w:pPr>
        <w:pStyle w:val="NormalWeb"/>
        <w:rPr>
          <w:rFonts w:ascii="Calibri" w:hAnsi="Calibri" w:cs="Calibri"/>
        </w:rPr>
      </w:pPr>
      <w:r w:rsidRPr="008445CB">
        <w:rPr>
          <w:rFonts w:ascii="Calibri" w:hAnsi="Calibri" w:cs="Calibri"/>
        </w:rPr>
        <w:br/>
        <w:t>Late diagnosis can hinder access to early support, affecting educational outcomes and family wellbeing. These delays often reflect a combination of cultural stigma, lack of awareness, and inadequate outreach by services (University of Birmingham, 2022).</w:t>
      </w:r>
    </w:p>
    <w:p w14:paraId="0C442CCA" w14:textId="77777777" w:rsidR="00524AE4" w:rsidRPr="008445CB" w:rsidRDefault="00524AE4" w:rsidP="00524AE4">
      <w:pPr>
        <w:rPr>
          <w:rFonts w:ascii="Calibri" w:hAnsi="Calibri" w:cs="Calibri"/>
          <w:b/>
          <w:bCs/>
        </w:rPr>
      </w:pPr>
    </w:p>
    <w:p w14:paraId="2E7700A0" w14:textId="2BFB78A4" w:rsidR="00524AE4" w:rsidRPr="008445CB" w:rsidRDefault="00524AE4" w:rsidP="00524AE4">
      <w:pPr>
        <w:rPr>
          <w:rFonts w:ascii="Calibri" w:hAnsi="Calibri" w:cs="Calibri"/>
          <w:b/>
          <w:bCs/>
        </w:rPr>
      </w:pPr>
    </w:p>
    <w:p w14:paraId="265FD049" w14:textId="694FFA53" w:rsidR="00524AE4" w:rsidRPr="008445CB" w:rsidRDefault="00524AE4" w:rsidP="00524AE4">
      <w:pPr>
        <w:pStyle w:val="NormalWeb"/>
        <w:rPr>
          <w:rFonts w:ascii="Calibri" w:hAnsi="Calibri" w:cs="Calibri"/>
        </w:rPr>
      </w:pPr>
      <w:r w:rsidRPr="008445CB">
        <w:rPr>
          <w:rFonts w:ascii="Calibri" w:hAnsi="Calibri" w:cs="Calibri"/>
        </w:rPr>
        <w:t>White British children exhibit the highest diagnosis rates for both conditions—18 per 1,000 for Autism and 22 per 1,000 for ADHD. In contrast, Pakistani and Bangladeshi children show significantly lower rates (Autism: 7–8; ADHD: 10–12), despite evidence suggesting comparable prevalence. This underdiagnosis may stem from cultural stigma, language barriers, and systemic bias in diagnostic tools and practitioner assumptions (Crane et al., 2021; Rauf et al., 2019).</w:t>
      </w:r>
      <w:r w:rsidRPr="008445CB">
        <w:rPr>
          <w:rFonts w:ascii="Calibri" w:hAnsi="Calibri" w:cs="Calibri"/>
        </w:rPr>
        <w:br/>
        <w:t>These figures suggest that many neurodiverse children in minority communities remain undiagnosed and unsupported, missing critical early interventions.</w:t>
      </w:r>
    </w:p>
    <w:p w14:paraId="44C646C4" w14:textId="77777777" w:rsidR="00524AE4" w:rsidRPr="008445CB" w:rsidRDefault="00524AE4" w:rsidP="00524AE4">
      <w:pPr>
        <w:rPr>
          <w:rFonts w:ascii="Calibri" w:hAnsi="Calibri" w:cs="Calibri"/>
          <w:b/>
          <w:bCs/>
        </w:rPr>
      </w:pPr>
    </w:p>
    <w:p w14:paraId="05959EEB" w14:textId="3C433EAF" w:rsidR="00524AE4" w:rsidRPr="008445CB" w:rsidRDefault="00524AE4" w:rsidP="00524AE4">
      <w:pPr>
        <w:rPr>
          <w:rFonts w:ascii="Calibri" w:hAnsi="Calibri" w:cs="Calibri"/>
          <w:b/>
          <w:bCs/>
        </w:rPr>
      </w:pPr>
    </w:p>
    <w:p w14:paraId="57FE40BC" w14:textId="7AC89510" w:rsidR="00524AE4" w:rsidRPr="008445CB" w:rsidRDefault="00524AE4" w:rsidP="00524AE4">
      <w:pPr>
        <w:pStyle w:val="NormalWeb"/>
        <w:rPr>
          <w:rFonts w:ascii="Calibri" w:hAnsi="Calibri" w:cs="Calibri"/>
        </w:rPr>
      </w:pPr>
      <w:r w:rsidRPr="008445CB">
        <w:rPr>
          <w:rFonts w:ascii="Calibri" w:hAnsi="Calibri" w:cs="Calibri"/>
        </w:rPr>
        <w:t>White British and Indian children have the highest access rates (65% and 60%, respectively), while Pakistani and Bangladeshi children have the lowest (45% and 43%). This gap persists even when controlling for diagnosis rates.</w:t>
      </w:r>
    </w:p>
    <w:p w14:paraId="5006624F" w14:textId="77777777" w:rsidR="00524AE4" w:rsidRPr="008445CB" w:rsidRDefault="00524AE4" w:rsidP="00524AE4">
      <w:pPr>
        <w:pStyle w:val="NormalWeb"/>
        <w:rPr>
          <w:rFonts w:ascii="Calibri" w:hAnsi="Calibri" w:cs="Calibri"/>
        </w:rPr>
      </w:pPr>
      <w:r w:rsidRPr="008445CB">
        <w:rPr>
          <w:rFonts w:ascii="Calibri" w:hAnsi="Calibri" w:cs="Calibri"/>
        </w:rPr>
        <w:br/>
        <w:t>Minority families may face additional barriers in navigating the SEN system, including language difficulties, lack of advocacy, and limited trust in institutions. These findings underscore the need for proactive outreach and culturally tailored support (Autism Voice UK, 2020).</w:t>
      </w:r>
    </w:p>
    <w:p w14:paraId="4711FC3E" w14:textId="7C0B90AD" w:rsidR="00524AE4" w:rsidRPr="008445CB" w:rsidRDefault="00524AE4" w:rsidP="00524AE4">
      <w:pPr>
        <w:rPr>
          <w:rFonts w:ascii="Calibri" w:hAnsi="Calibri" w:cs="Calibri"/>
          <w:b/>
          <w:bCs/>
        </w:rPr>
      </w:pPr>
    </w:p>
    <w:p w14:paraId="1806BE87" w14:textId="7A194766" w:rsidR="00524AE4" w:rsidRPr="008445CB" w:rsidRDefault="00524AE4" w:rsidP="00524AE4">
      <w:pPr>
        <w:pStyle w:val="NormalWeb"/>
        <w:rPr>
          <w:rFonts w:ascii="Calibri" w:hAnsi="Calibri" w:cs="Calibri"/>
        </w:rPr>
      </w:pPr>
      <w:r w:rsidRPr="008445CB">
        <w:rPr>
          <w:rFonts w:ascii="Calibri" w:hAnsi="Calibri" w:cs="Calibri"/>
        </w:rPr>
        <w:t>Black Caribbean children with ADHD face the highest exclusion rates—50 per 1,000—followed by Black African children at 45. In contrast, White British children have a significantly lower rate of 25. These disparities suggest that ADHD-related behaviours in Black children are more likely to be interpreted as defiance or aggression rather than symptoms of a neurodevelopmental condition (Gillborn et al., 2018).</w:t>
      </w:r>
    </w:p>
    <w:p w14:paraId="55C7F903" w14:textId="77777777" w:rsidR="00524AE4" w:rsidRPr="008445CB" w:rsidRDefault="00524AE4" w:rsidP="00524AE4">
      <w:pPr>
        <w:pStyle w:val="NormalWeb"/>
        <w:rPr>
          <w:rFonts w:ascii="Calibri" w:hAnsi="Calibri" w:cs="Calibri"/>
        </w:rPr>
      </w:pPr>
      <w:r w:rsidRPr="008445CB">
        <w:rPr>
          <w:rFonts w:ascii="Calibri" w:hAnsi="Calibri" w:cs="Calibri"/>
        </w:rPr>
        <w:br/>
        <w:t>Disproportionate exclusions reflect systemic racism and a lack of culturally competent behavioural support in schools. This contributes to the school-to-prison pipeline and long-term educational disengagement.</w:t>
      </w:r>
    </w:p>
    <w:p w14:paraId="73A8DC3A" w14:textId="77777777" w:rsidR="00524AE4" w:rsidRPr="008445CB" w:rsidRDefault="00524AE4" w:rsidP="00524AE4">
      <w:pPr>
        <w:rPr>
          <w:rFonts w:ascii="Calibri" w:hAnsi="Calibri" w:cs="Calibri"/>
          <w:b/>
          <w:bCs/>
        </w:rPr>
      </w:pPr>
    </w:p>
    <w:p w14:paraId="30158BBE" w14:textId="108FACF7" w:rsidR="00524AE4" w:rsidRPr="008445CB" w:rsidRDefault="00524AE4" w:rsidP="00524AE4">
      <w:pPr>
        <w:rPr>
          <w:rFonts w:ascii="Calibri" w:hAnsi="Calibri" w:cs="Calibri"/>
          <w:b/>
          <w:bCs/>
        </w:rPr>
      </w:pPr>
    </w:p>
    <w:p w14:paraId="459EB670" w14:textId="1092FEA5" w:rsidR="00524AE4" w:rsidRPr="008445CB" w:rsidRDefault="00853616" w:rsidP="00524AE4">
      <w:pPr>
        <w:pStyle w:val="NormalWeb"/>
        <w:rPr>
          <w:rFonts w:ascii="Calibri" w:hAnsi="Calibri" w:cs="Calibri"/>
        </w:rPr>
      </w:pPr>
      <w:r>
        <w:rPr>
          <w:rFonts w:ascii="Calibri" w:hAnsi="Calibri" w:cs="Calibri"/>
        </w:rPr>
        <w:t>N</w:t>
      </w:r>
      <w:r w:rsidR="00524AE4" w:rsidRPr="008445CB">
        <w:rPr>
          <w:rFonts w:ascii="Calibri" w:hAnsi="Calibri" w:cs="Calibri"/>
        </w:rPr>
        <w:t>eurodiverse children from Pakistani (60%), Bangladeshi (58%), and Black African (55%) backgrounds are far more likely to be eligible for Free School Meals (FSM) than their White British peers (28%). FSM eligibility is a proxy for socioeconomic disadvantage, which can limit access to private assessments, therapies, and extracurricular support.</w:t>
      </w:r>
      <w:r w:rsidR="00524AE4" w:rsidRPr="008445CB">
        <w:rPr>
          <w:rFonts w:ascii="Calibri" w:hAnsi="Calibri" w:cs="Calibri"/>
        </w:rPr>
        <w:br/>
        <w:t>Socioeconomic hardship compounds the challenges faced by minority families, making it harder to secure timely diagnoses and consistent care. This intersection of race, class, and disability demands targeted policy responses.</w:t>
      </w:r>
      <w:r w:rsidRPr="00853616">
        <w:t xml:space="preserve"> </w:t>
      </w:r>
      <w:r w:rsidRPr="00B91BF9">
        <w:t>NHS England. (2022).</w:t>
      </w:r>
    </w:p>
    <w:p w14:paraId="74C9CC4A" w14:textId="77777777" w:rsidR="00524AE4" w:rsidRPr="008445CB" w:rsidRDefault="00524AE4" w:rsidP="00524AE4">
      <w:pPr>
        <w:pStyle w:val="NormalWeb"/>
        <w:rPr>
          <w:rFonts w:ascii="Calibri" w:hAnsi="Calibri" w:cs="Calibri"/>
        </w:rPr>
      </w:pPr>
      <w:r w:rsidRPr="008445CB">
        <w:rPr>
          <w:rFonts w:ascii="Calibri" w:hAnsi="Calibri" w:cs="Calibri"/>
        </w:rPr>
        <w:t>These narratives provide a comprehensive picture of the structural inequities affecting minority families in the West Midlands. I can now help you turn this into a policy briefing, presentation, or community report tailored for educators, health professionals, or local councils.</w:t>
      </w:r>
    </w:p>
    <w:p w14:paraId="7CAF1868" w14:textId="77777777" w:rsidR="00524AE4" w:rsidRPr="008445CB" w:rsidRDefault="00524AE4" w:rsidP="00524AE4">
      <w:pPr>
        <w:pStyle w:val="NormalWeb"/>
        <w:rPr>
          <w:rFonts w:ascii="Calibri" w:hAnsi="Calibri" w:cs="Calibri"/>
        </w:rPr>
      </w:pPr>
      <w:r w:rsidRPr="008445CB">
        <w:rPr>
          <w:rFonts w:ascii="Calibri" w:hAnsi="Calibri" w:cs="Calibri"/>
          <w:noProof/>
        </w:rPr>
        <w:lastRenderedPageBreak/>
        <w:drawing>
          <wp:inline distT="0" distB="0" distL="0" distR="0" wp14:anchorId="17A0265B" wp14:editId="75EC31B8">
            <wp:extent cx="5731510" cy="3392170"/>
            <wp:effectExtent l="0" t="0" r="2540" b="0"/>
            <wp:docPr id="1526258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5803" name="Picture 1" descr="A screenshot of a graph&#10;&#10;Description automatically generated"/>
                    <pic:cNvPicPr/>
                  </pic:nvPicPr>
                  <pic:blipFill>
                    <a:blip r:embed="rId5"/>
                    <a:stretch>
                      <a:fillRect/>
                    </a:stretch>
                  </pic:blipFill>
                  <pic:spPr>
                    <a:xfrm>
                      <a:off x="0" y="0"/>
                      <a:ext cx="5731510" cy="3392170"/>
                    </a:xfrm>
                    <a:prstGeom prst="rect">
                      <a:avLst/>
                    </a:prstGeom>
                  </pic:spPr>
                </pic:pic>
              </a:graphicData>
            </a:graphic>
          </wp:inline>
        </w:drawing>
      </w:r>
    </w:p>
    <w:p w14:paraId="644852C7" w14:textId="77777777" w:rsidR="00524AE4" w:rsidRPr="00F57600" w:rsidRDefault="00524AE4" w:rsidP="00524AE4">
      <w:pPr>
        <w:spacing w:after="0" w:line="240" w:lineRule="auto"/>
        <w:rPr>
          <w:rFonts w:ascii="Calibri" w:eastAsia="Times New Roman" w:hAnsi="Calibri" w:cs="Calibri"/>
          <w:kern w:val="0"/>
          <w:lang w:eastAsia="en-GB"/>
          <w14:ligatures w14:val="none"/>
        </w:rPr>
      </w:pPr>
      <w:r w:rsidRPr="00F57600">
        <w:rPr>
          <w:rFonts w:ascii="Calibri" w:eastAsia="Times New Roman" w:hAnsi="Calibri" w:cs="Calibri"/>
          <w:kern w:val="0"/>
          <w:lang w:eastAsia="en-GB"/>
          <w14:ligatures w14:val="none"/>
        </w:rPr>
        <w:t xml:space="preserve">All groups show </w:t>
      </w:r>
      <w:r w:rsidRPr="00F57600">
        <w:rPr>
          <w:rFonts w:ascii="Calibri" w:eastAsia="Times New Roman" w:hAnsi="Calibri" w:cs="Calibri"/>
          <w:b/>
          <w:bCs/>
          <w:kern w:val="0"/>
          <w:lang w:eastAsia="en-GB"/>
          <w14:ligatures w14:val="none"/>
        </w:rPr>
        <w:t>delayed diagnosis</w:t>
      </w:r>
      <w:r w:rsidRPr="00F57600">
        <w:rPr>
          <w:rFonts w:ascii="Calibri" w:eastAsia="Times New Roman" w:hAnsi="Calibri" w:cs="Calibri"/>
          <w:kern w:val="0"/>
          <w:lang w:eastAsia="en-GB"/>
          <w14:ligatures w14:val="none"/>
        </w:rPr>
        <w:t xml:space="preserve"> (6.5–7.3 years) compared to White British children (5.2 years</w:t>
      </w:r>
      <w:r w:rsidRPr="008445CB">
        <w:rPr>
          <w:rFonts w:ascii="Calibri" w:eastAsia="Times New Roman" w:hAnsi="Calibri" w:cs="Calibri"/>
          <w:kern w:val="0"/>
          <w:lang w:eastAsia="en-GB"/>
          <w14:ligatures w14:val="none"/>
        </w:rPr>
        <w:t>).</w:t>
      </w:r>
      <w:r w:rsidRPr="008445CB">
        <w:rPr>
          <w:rFonts w:ascii="Calibri" w:eastAsia="Times New Roman" w:hAnsi="Calibri" w:cs="Calibri"/>
          <w:b/>
          <w:bCs/>
          <w:kern w:val="0"/>
          <w:lang w:eastAsia="en-GB"/>
          <w14:ligatures w14:val="none"/>
        </w:rPr>
        <w:t xml:space="preserve"> FSM</w:t>
      </w:r>
      <w:r w:rsidRPr="00F57600">
        <w:rPr>
          <w:rFonts w:ascii="Calibri" w:eastAsia="Times New Roman" w:hAnsi="Calibri" w:cs="Calibri"/>
          <w:b/>
          <w:bCs/>
          <w:kern w:val="0"/>
          <w:lang w:eastAsia="en-GB"/>
          <w14:ligatures w14:val="none"/>
        </w:rPr>
        <w:t xml:space="preserve"> eligibility</w:t>
      </w:r>
      <w:r w:rsidRPr="00F57600">
        <w:rPr>
          <w:rFonts w:ascii="Calibri" w:eastAsia="Times New Roman" w:hAnsi="Calibri" w:cs="Calibri"/>
          <w:kern w:val="0"/>
          <w:lang w:eastAsia="en-GB"/>
          <w14:ligatures w14:val="none"/>
        </w:rPr>
        <w:t xml:space="preserve"> is consistently high (48–55%), indicating shared socioeconomic </w:t>
      </w:r>
      <w:r w:rsidRPr="008445CB">
        <w:rPr>
          <w:rFonts w:ascii="Calibri" w:eastAsia="Times New Roman" w:hAnsi="Calibri" w:cs="Calibri"/>
          <w:kern w:val="0"/>
          <w:lang w:eastAsia="en-GB"/>
          <w14:ligatures w14:val="none"/>
        </w:rPr>
        <w:t>disadvantage.</w:t>
      </w:r>
      <w:r w:rsidRPr="008445CB">
        <w:rPr>
          <w:rFonts w:ascii="Calibri" w:eastAsia="Times New Roman" w:hAnsi="Calibri" w:cs="Calibri"/>
          <w:b/>
          <w:bCs/>
          <w:kern w:val="0"/>
          <w:lang w:eastAsia="en-GB"/>
          <w14:ligatures w14:val="none"/>
        </w:rPr>
        <w:t xml:space="preserve"> Access</w:t>
      </w:r>
      <w:r w:rsidRPr="00F57600">
        <w:rPr>
          <w:rFonts w:ascii="Calibri" w:eastAsia="Times New Roman" w:hAnsi="Calibri" w:cs="Calibri"/>
          <w:b/>
          <w:bCs/>
          <w:kern w:val="0"/>
          <w:lang w:eastAsia="en-GB"/>
          <w14:ligatures w14:val="none"/>
        </w:rPr>
        <w:t xml:space="preserve"> to SEN support</w:t>
      </w:r>
      <w:r w:rsidRPr="00F57600">
        <w:rPr>
          <w:rFonts w:ascii="Calibri" w:eastAsia="Times New Roman" w:hAnsi="Calibri" w:cs="Calibri"/>
          <w:kern w:val="0"/>
          <w:lang w:eastAsia="en-GB"/>
          <w14:ligatures w14:val="none"/>
        </w:rPr>
        <w:t xml:space="preserve"> remains below optimal levels (55–62%), despite elevated needs.</w:t>
      </w:r>
    </w:p>
    <w:p w14:paraId="459C8604" w14:textId="77777777" w:rsidR="00524AE4" w:rsidRPr="008445CB" w:rsidRDefault="00524AE4" w:rsidP="00524AE4">
      <w:pPr>
        <w:rPr>
          <w:rFonts w:ascii="Calibri" w:hAnsi="Calibri" w:cs="Calibri"/>
          <w:b/>
          <w:bCs/>
        </w:rPr>
      </w:pPr>
    </w:p>
    <w:p w14:paraId="20CE2C9C" w14:textId="77777777" w:rsidR="00524AE4" w:rsidRPr="008445CB" w:rsidRDefault="00524AE4" w:rsidP="00524AE4">
      <w:pPr>
        <w:pStyle w:val="Heading1"/>
        <w:rPr>
          <w:rFonts w:ascii="Calibri" w:hAnsi="Calibri" w:cs="Calibri"/>
        </w:rPr>
      </w:pPr>
      <w:bookmarkStart w:id="4" w:name="_Toc213585458"/>
      <w:r w:rsidRPr="008445CB">
        <w:rPr>
          <w:rFonts w:ascii="Calibri" w:hAnsi="Calibri" w:cs="Calibri"/>
        </w:rPr>
        <w:t>Conclusion:</w:t>
      </w:r>
      <w:bookmarkEnd w:id="4"/>
    </w:p>
    <w:p w14:paraId="20921864" w14:textId="77777777" w:rsidR="00524AE4" w:rsidRPr="008445CB" w:rsidRDefault="00524AE4" w:rsidP="00524AE4">
      <w:pPr>
        <w:pStyle w:val="NormalWeb"/>
        <w:rPr>
          <w:rFonts w:ascii="Calibri" w:hAnsi="Calibri" w:cs="Calibri"/>
        </w:rPr>
      </w:pPr>
      <w:r w:rsidRPr="008445CB">
        <w:rPr>
          <w:rFonts w:ascii="Calibri" w:hAnsi="Calibri" w:cs="Calibri"/>
        </w:rPr>
        <w:t>This comparative analysis reveals consistent disparities in Autism and ADHD diagnosis, support, and outcomes across ethnic minority groups in the West Midlands. Pakistani, Bangladeshi, Black Caribbean, and Black African children experience delayed diagnosis, limited access to Special Educational Needs (SEN) support, elevated exclusion rates, and high socioeconomic disadvantage. These challenges are rooted in systemic barriers, cultural stigma, and institutional bias.</w:t>
      </w:r>
    </w:p>
    <w:p w14:paraId="1FBE8541" w14:textId="77777777" w:rsidR="00524AE4" w:rsidRPr="008445CB" w:rsidRDefault="00524AE4" w:rsidP="00524AE4">
      <w:pPr>
        <w:pStyle w:val="NormalWeb"/>
        <w:rPr>
          <w:rFonts w:ascii="Calibri" w:hAnsi="Calibri" w:cs="Calibri"/>
        </w:rPr>
      </w:pPr>
      <w:r w:rsidRPr="008445CB">
        <w:rPr>
          <w:rFonts w:ascii="Calibri" w:hAnsi="Calibri" w:cs="Calibri"/>
        </w:rPr>
        <w:t>Health and social care services play a pivotal role in addressing these inequities. As frontline providers, they are responsible for early identification, culturally sensitive assessments, and coordinated support pathways. However, current systems often lack cultural competence, leading to misdiagnosis or missed diagnosis altogether. Families report feeling dismissed or misunderstood by professionals, which erodes trust and delays intervention (University of Birmingham, 2022; Rauf et al., 2019).</w:t>
      </w:r>
    </w:p>
    <w:p w14:paraId="6B0AC8AE" w14:textId="77777777" w:rsidR="00524AE4" w:rsidRPr="008445CB" w:rsidRDefault="00524AE4" w:rsidP="00524AE4">
      <w:pPr>
        <w:pStyle w:val="NormalWeb"/>
        <w:rPr>
          <w:rFonts w:ascii="Calibri" w:hAnsi="Calibri" w:cs="Calibri"/>
        </w:rPr>
      </w:pPr>
      <w:r w:rsidRPr="008445CB">
        <w:rPr>
          <w:rFonts w:ascii="Calibri" w:hAnsi="Calibri" w:cs="Calibri"/>
        </w:rPr>
        <w:t>To improve outcomes, health and social care must adopt inclusive practices that reflect the lived experiences of minority families. This includes training practitioners in cultural awareness, offering multilingual resources, and embedding community engagement into service design. Social care teams can also support families in navigating education systems, accessing benefits, and coordinating multidisciplinary care.</w:t>
      </w:r>
    </w:p>
    <w:p w14:paraId="17C1B2A6" w14:textId="77777777" w:rsidR="00524AE4" w:rsidRPr="008445CB" w:rsidRDefault="00524AE4" w:rsidP="00524AE4">
      <w:pPr>
        <w:pStyle w:val="NormalWeb"/>
        <w:rPr>
          <w:rFonts w:ascii="Calibri" w:hAnsi="Calibri" w:cs="Calibri"/>
        </w:rPr>
      </w:pPr>
      <w:r w:rsidRPr="008445CB">
        <w:rPr>
          <w:rFonts w:ascii="Calibri" w:hAnsi="Calibri" w:cs="Calibri"/>
        </w:rPr>
        <w:lastRenderedPageBreak/>
        <w:t>Ultimately, bridging these gaps requires an intersectional, equity-driven approach. By aligning health, education, and social care systems around culturally competent and family-centred models, stakeholders can create environments where all neurodiverse children—regardless of background—receive timely, respectful, and effective support.</w:t>
      </w:r>
    </w:p>
    <w:p w14:paraId="7CEF5275" w14:textId="77777777" w:rsidR="00524AE4" w:rsidRPr="008445CB" w:rsidRDefault="00524AE4" w:rsidP="00524AE4">
      <w:pPr>
        <w:pStyle w:val="Heading1"/>
        <w:rPr>
          <w:rFonts w:ascii="Calibri" w:eastAsia="Times New Roman" w:hAnsi="Calibri" w:cs="Calibri"/>
          <w:lang w:eastAsia="en-GB"/>
        </w:rPr>
      </w:pPr>
      <w:bookmarkStart w:id="5" w:name="_Toc213585459"/>
      <w:r w:rsidRPr="008445CB">
        <w:rPr>
          <w:rFonts w:ascii="Calibri" w:eastAsia="Times New Roman" w:hAnsi="Calibri" w:cs="Calibri"/>
          <w:lang w:eastAsia="en-GB"/>
        </w:rPr>
        <w:t>References:</w:t>
      </w:r>
      <w:bookmarkEnd w:id="5"/>
    </w:p>
    <w:p w14:paraId="043B4FA3" w14:textId="77777777" w:rsidR="00524AE4" w:rsidRPr="00EC03E0"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Autism Voice UK. (2020). </w:t>
      </w:r>
      <w:r w:rsidRPr="00EC03E0">
        <w:rPr>
          <w:rFonts w:ascii="Calibri" w:eastAsia="Times New Roman" w:hAnsi="Calibri" w:cs="Calibri"/>
          <w:i/>
          <w:iCs/>
          <w:kern w:val="0"/>
          <w:lang w:eastAsia="en-GB"/>
          <w14:ligatures w14:val="none"/>
        </w:rPr>
        <w:t>Autism in BAME Communities: Policy Recommendations</w:t>
      </w:r>
      <w:r w:rsidRPr="00EC03E0">
        <w:rPr>
          <w:rFonts w:ascii="Calibri" w:eastAsia="Times New Roman" w:hAnsi="Calibri" w:cs="Calibri"/>
          <w:kern w:val="0"/>
          <w:lang w:eastAsia="en-GB"/>
          <w14:ligatures w14:val="none"/>
        </w:rPr>
        <w:t xml:space="preserve">. </w:t>
      </w:r>
      <w:hyperlink r:id="rId6" w:history="1">
        <w:r w:rsidRPr="00EC03E0">
          <w:rPr>
            <w:rFonts w:ascii="Calibri" w:eastAsia="Times New Roman" w:hAnsi="Calibri" w:cs="Calibri"/>
            <w:color w:val="0000FF"/>
            <w:kern w:val="0"/>
            <w:u w:val="single"/>
            <w:lang w:eastAsia="en-GB"/>
            <w14:ligatures w14:val="none"/>
          </w:rPr>
          <w:t>https://www.autismvoice.org.uk/wp-content/uploads/2020/03/Autism-in-BAME-Communities.pdf</w:t>
        </w:r>
      </w:hyperlink>
    </w:p>
    <w:p w14:paraId="726AE0E0" w14:textId="77777777" w:rsidR="00524AE4"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Crane, L., Batty, R., Adeyinka, H., Goddard, L., Henry, L. A., &amp; Hill, E. L. (2021). </w:t>
      </w:r>
      <w:r w:rsidRPr="00EC03E0">
        <w:rPr>
          <w:rFonts w:ascii="Calibri" w:eastAsia="Times New Roman" w:hAnsi="Calibri" w:cs="Calibri"/>
          <w:i/>
          <w:iCs/>
          <w:kern w:val="0"/>
          <w:lang w:eastAsia="en-GB"/>
          <w14:ligatures w14:val="none"/>
        </w:rPr>
        <w:t>Understanding autism diagnosis in ethnic minority groups in the UK</w:t>
      </w:r>
      <w:r w:rsidRPr="00EC03E0">
        <w:rPr>
          <w:rFonts w:ascii="Calibri" w:eastAsia="Times New Roman" w:hAnsi="Calibri" w:cs="Calibri"/>
          <w:kern w:val="0"/>
          <w:lang w:eastAsia="en-GB"/>
          <w14:ligatures w14:val="none"/>
        </w:rPr>
        <w:t>. Autism Research Centre, University of Cambridge.</w:t>
      </w:r>
    </w:p>
    <w:p w14:paraId="23505A96" w14:textId="24438BF4" w:rsidR="00B91BF9" w:rsidRDefault="00B91BF9" w:rsidP="00B91BF9">
      <w:pPr>
        <w:spacing w:after="0" w:line="240" w:lineRule="auto"/>
        <w:rPr>
          <w:rFonts w:ascii="Times New Roman" w:eastAsia="Times New Roman" w:hAnsi="Times New Roman" w:cs="Times New Roman"/>
          <w:kern w:val="0"/>
          <w:lang w:eastAsia="en-GB"/>
          <w14:ligatures w14:val="none"/>
        </w:rPr>
      </w:pPr>
      <w:r w:rsidRPr="00B91BF9">
        <w:rPr>
          <w:rFonts w:ascii="Times New Roman" w:eastAsia="Times New Roman" w:hAnsi="Times New Roman" w:cs="Times New Roman"/>
          <w:kern w:val="0"/>
          <w:lang w:eastAsia="en-GB"/>
          <w14:ligatures w14:val="none"/>
        </w:rPr>
        <w:t xml:space="preserve"> Coventry City Council &amp; Warwickshire County Council. (2023). </w:t>
      </w:r>
      <w:r w:rsidRPr="00B91BF9">
        <w:rPr>
          <w:rFonts w:ascii="Times New Roman" w:eastAsia="Times New Roman" w:hAnsi="Times New Roman" w:cs="Times New Roman"/>
          <w:i/>
          <w:iCs/>
          <w:kern w:val="0"/>
          <w:lang w:eastAsia="en-GB"/>
          <w14:ligatures w14:val="none"/>
        </w:rPr>
        <w:t>Community Autism Support Service (CASS)</w:t>
      </w:r>
      <w:r w:rsidRPr="00B91BF9">
        <w:rPr>
          <w:rFonts w:ascii="Times New Roman" w:eastAsia="Times New Roman" w:hAnsi="Times New Roman" w:cs="Times New Roman"/>
          <w:kern w:val="0"/>
          <w:lang w:eastAsia="en-GB"/>
          <w14:ligatures w14:val="none"/>
        </w:rPr>
        <w:t>.</w:t>
      </w:r>
    </w:p>
    <w:p w14:paraId="29B2EB07" w14:textId="77777777" w:rsidR="00B91BF9" w:rsidRPr="00B91BF9" w:rsidRDefault="00B91BF9" w:rsidP="00B91BF9">
      <w:pPr>
        <w:spacing w:after="0" w:line="240" w:lineRule="auto"/>
        <w:ind w:left="720"/>
        <w:rPr>
          <w:rFonts w:ascii="Times New Roman" w:eastAsia="Times New Roman" w:hAnsi="Times New Roman" w:cs="Times New Roman"/>
          <w:kern w:val="0"/>
          <w:lang w:eastAsia="en-GB"/>
          <w14:ligatures w14:val="none"/>
        </w:rPr>
      </w:pPr>
    </w:p>
    <w:p w14:paraId="0941E837" w14:textId="77777777" w:rsidR="00524AE4" w:rsidRPr="00EC03E0"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Department for Education. (2021). </w:t>
      </w:r>
      <w:r w:rsidRPr="00EC03E0">
        <w:rPr>
          <w:rFonts w:ascii="Calibri" w:eastAsia="Times New Roman" w:hAnsi="Calibri" w:cs="Calibri"/>
          <w:i/>
          <w:iCs/>
          <w:kern w:val="0"/>
          <w:lang w:eastAsia="en-GB"/>
          <w14:ligatures w14:val="none"/>
        </w:rPr>
        <w:t>Special educational needs in England</w:t>
      </w:r>
      <w:r w:rsidRPr="00EC03E0">
        <w:rPr>
          <w:rFonts w:ascii="Calibri" w:eastAsia="Times New Roman" w:hAnsi="Calibri" w:cs="Calibri"/>
          <w:kern w:val="0"/>
          <w:lang w:eastAsia="en-GB"/>
          <w14:ligatures w14:val="none"/>
        </w:rPr>
        <w:t xml:space="preserve">. </w:t>
      </w:r>
      <w:hyperlink r:id="rId7" w:history="1">
        <w:r w:rsidRPr="00EC03E0">
          <w:rPr>
            <w:rFonts w:ascii="Calibri" w:eastAsia="Times New Roman" w:hAnsi="Calibri" w:cs="Calibri"/>
            <w:color w:val="0000FF"/>
            <w:kern w:val="0"/>
            <w:u w:val="single"/>
            <w:lang w:eastAsia="en-GB"/>
            <w14:ligatures w14:val="none"/>
          </w:rPr>
          <w:t>https://explore-education-statistics.service.gov.uk/find-statistics/special-educational-needs-in-england</w:t>
        </w:r>
      </w:hyperlink>
    </w:p>
    <w:p w14:paraId="40763CC1" w14:textId="77777777" w:rsidR="00524AE4"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Gillborn, D., Warmington, P., &amp; </w:t>
      </w:r>
      <w:proofErr w:type="spellStart"/>
      <w:r w:rsidRPr="00EC03E0">
        <w:rPr>
          <w:rFonts w:ascii="Calibri" w:eastAsia="Times New Roman" w:hAnsi="Calibri" w:cs="Calibri"/>
          <w:kern w:val="0"/>
          <w:lang w:eastAsia="en-GB"/>
          <w14:ligatures w14:val="none"/>
        </w:rPr>
        <w:t>Demack</w:t>
      </w:r>
      <w:proofErr w:type="spellEnd"/>
      <w:r w:rsidRPr="00EC03E0">
        <w:rPr>
          <w:rFonts w:ascii="Calibri" w:eastAsia="Times New Roman" w:hAnsi="Calibri" w:cs="Calibri"/>
          <w:kern w:val="0"/>
          <w:lang w:eastAsia="en-GB"/>
          <w14:ligatures w14:val="none"/>
        </w:rPr>
        <w:t xml:space="preserve">, S. (2018). </w:t>
      </w:r>
      <w:proofErr w:type="spellStart"/>
      <w:r w:rsidRPr="00EC03E0">
        <w:rPr>
          <w:rFonts w:ascii="Calibri" w:eastAsia="Times New Roman" w:hAnsi="Calibri" w:cs="Calibri"/>
          <w:kern w:val="0"/>
          <w:lang w:eastAsia="en-GB"/>
          <w14:ligatures w14:val="none"/>
        </w:rPr>
        <w:t>QuantCrit</w:t>
      </w:r>
      <w:proofErr w:type="spellEnd"/>
      <w:r w:rsidRPr="00EC03E0">
        <w:rPr>
          <w:rFonts w:ascii="Calibri" w:eastAsia="Times New Roman" w:hAnsi="Calibri" w:cs="Calibri"/>
          <w:kern w:val="0"/>
          <w:lang w:eastAsia="en-GB"/>
          <w14:ligatures w14:val="none"/>
        </w:rPr>
        <w:t xml:space="preserve">: Education, policy, ‘Big Data’ and principles for a critical race theory of statistics. </w:t>
      </w:r>
      <w:r w:rsidRPr="00EC03E0">
        <w:rPr>
          <w:rFonts w:ascii="Calibri" w:eastAsia="Times New Roman" w:hAnsi="Calibri" w:cs="Calibri"/>
          <w:i/>
          <w:iCs/>
          <w:kern w:val="0"/>
          <w:lang w:eastAsia="en-GB"/>
          <w14:ligatures w14:val="none"/>
        </w:rPr>
        <w:t>Race Ethnicity and Education</w:t>
      </w:r>
      <w:r w:rsidRPr="00EC03E0">
        <w:rPr>
          <w:rFonts w:ascii="Calibri" w:eastAsia="Times New Roman" w:hAnsi="Calibri" w:cs="Calibri"/>
          <w:kern w:val="0"/>
          <w:lang w:eastAsia="en-GB"/>
          <w14:ligatures w14:val="none"/>
        </w:rPr>
        <w:t>, 21(2), 158–179.</w:t>
      </w:r>
    </w:p>
    <w:p w14:paraId="07D2701B" w14:textId="5CD98532" w:rsidR="00B91BF9" w:rsidRDefault="00B91BF9" w:rsidP="00B91BF9">
      <w:pPr>
        <w:spacing w:after="0" w:line="240" w:lineRule="auto"/>
        <w:rPr>
          <w:rFonts w:ascii="Times New Roman" w:eastAsia="Times New Roman" w:hAnsi="Times New Roman" w:cs="Times New Roman"/>
          <w:kern w:val="0"/>
          <w:lang w:eastAsia="en-GB"/>
          <w14:ligatures w14:val="none"/>
        </w:rPr>
      </w:pPr>
      <w:r w:rsidRPr="00B91BF9">
        <w:rPr>
          <w:rFonts w:ascii="Times New Roman" w:eastAsia="Times New Roman" w:hAnsi="Times New Roman" w:cs="Times New Roman"/>
          <w:kern w:val="0"/>
          <w:lang w:eastAsia="en-GB"/>
          <w14:ligatures w14:val="none"/>
        </w:rPr>
        <w:t xml:space="preserve"> NHS England. (2022). </w:t>
      </w:r>
      <w:r w:rsidRPr="00B91BF9">
        <w:rPr>
          <w:rFonts w:ascii="Times New Roman" w:eastAsia="Times New Roman" w:hAnsi="Times New Roman" w:cs="Times New Roman"/>
          <w:i/>
          <w:iCs/>
          <w:kern w:val="0"/>
          <w:lang w:eastAsia="en-GB"/>
          <w14:ligatures w14:val="none"/>
        </w:rPr>
        <w:t>Core20PLUS5: An approach to reducing health inequalities</w:t>
      </w:r>
      <w:r w:rsidRPr="00B91BF9">
        <w:rPr>
          <w:rFonts w:ascii="Times New Roman" w:eastAsia="Times New Roman" w:hAnsi="Times New Roman" w:cs="Times New Roman"/>
          <w:kern w:val="0"/>
          <w:lang w:eastAsia="en-GB"/>
          <w14:ligatures w14:val="none"/>
        </w:rPr>
        <w:t>.</w:t>
      </w:r>
    </w:p>
    <w:p w14:paraId="60977788" w14:textId="77777777" w:rsidR="00B91BF9" w:rsidRPr="00B91BF9" w:rsidRDefault="00B91BF9" w:rsidP="00B91BF9">
      <w:pPr>
        <w:spacing w:after="0" w:line="240" w:lineRule="auto"/>
        <w:ind w:left="720"/>
        <w:rPr>
          <w:rFonts w:ascii="Times New Roman" w:eastAsia="Times New Roman" w:hAnsi="Times New Roman" w:cs="Times New Roman"/>
          <w:kern w:val="0"/>
          <w:lang w:eastAsia="en-GB"/>
          <w14:ligatures w14:val="none"/>
        </w:rPr>
      </w:pPr>
    </w:p>
    <w:p w14:paraId="1305897D" w14:textId="77777777" w:rsidR="00524AE4" w:rsidRPr="00EC03E0"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Rauf, R., Khan, M., &amp; Malik, A. (2019). </w:t>
      </w:r>
      <w:r w:rsidRPr="00EC03E0">
        <w:rPr>
          <w:rFonts w:ascii="Calibri" w:eastAsia="Times New Roman" w:hAnsi="Calibri" w:cs="Calibri"/>
          <w:i/>
          <w:iCs/>
          <w:kern w:val="0"/>
          <w:lang w:eastAsia="en-GB"/>
          <w14:ligatures w14:val="none"/>
        </w:rPr>
        <w:t>Autism in the Muslim community: Cultural barriers to diagnosis and support</w:t>
      </w:r>
      <w:r w:rsidRPr="00EC03E0">
        <w:rPr>
          <w:rFonts w:ascii="Calibri" w:eastAsia="Times New Roman" w:hAnsi="Calibri" w:cs="Calibri"/>
          <w:kern w:val="0"/>
          <w:lang w:eastAsia="en-GB"/>
          <w14:ligatures w14:val="none"/>
        </w:rPr>
        <w:t>. Birmingham City University.</w:t>
      </w:r>
    </w:p>
    <w:p w14:paraId="56783DED" w14:textId="77777777" w:rsidR="00524AE4" w:rsidRPr="00EC03E0" w:rsidRDefault="00524AE4" w:rsidP="00524AE4">
      <w:pPr>
        <w:spacing w:before="100" w:beforeAutospacing="1" w:after="100" w:afterAutospacing="1" w:line="240" w:lineRule="auto"/>
        <w:rPr>
          <w:rFonts w:ascii="Calibri" w:eastAsia="Times New Roman" w:hAnsi="Calibri" w:cs="Calibri"/>
          <w:kern w:val="0"/>
          <w:lang w:eastAsia="en-GB"/>
          <w14:ligatures w14:val="none"/>
        </w:rPr>
      </w:pPr>
      <w:r w:rsidRPr="00EC03E0">
        <w:rPr>
          <w:rFonts w:ascii="Calibri" w:eastAsia="Times New Roman" w:hAnsi="Calibri" w:cs="Calibri"/>
          <w:kern w:val="0"/>
          <w:lang w:eastAsia="en-GB"/>
          <w14:ligatures w14:val="none"/>
        </w:rPr>
        <w:t xml:space="preserve">University of Birmingham. (2022). </w:t>
      </w:r>
      <w:r w:rsidRPr="00EC03E0">
        <w:rPr>
          <w:rFonts w:ascii="Calibri" w:eastAsia="Times New Roman" w:hAnsi="Calibri" w:cs="Calibri"/>
          <w:i/>
          <w:iCs/>
          <w:kern w:val="0"/>
          <w:lang w:eastAsia="en-GB"/>
          <w14:ligatures w14:val="none"/>
        </w:rPr>
        <w:t>Marginalised Families with Autistic Children in the West Midlands</w:t>
      </w:r>
      <w:r w:rsidRPr="00EC03E0">
        <w:rPr>
          <w:rFonts w:ascii="Calibri" w:eastAsia="Times New Roman" w:hAnsi="Calibri" w:cs="Calibri"/>
          <w:kern w:val="0"/>
          <w:lang w:eastAsia="en-GB"/>
          <w14:ligatures w14:val="none"/>
        </w:rPr>
        <w:t xml:space="preserve">. </w:t>
      </w:r>
      <w:hyperlink r:id="rId8" w:history="1">
        <w:r w:rsidRPr="00EC03E0">
          <w:rPr>
            <w:rFonts w:ascii="Calibri" w:eastAsia="Times New Roman" w:hAnsi="Calibri" w:cs="Calibri"/>
            <w:color w:val="0000FF"/>
            <w:kern w:val="0"/>
            <w:u w:val="single"/>
            <w:lang w:eastAsia="en-GB"/>
            <w14:ligatures w14:val="none"/>
          </w:rPr>
          <w:t>https://www.birmingham.ac.uk/documents/college-social-sciences/education/publications/marginalised-families-with-autistic-children.pdf.pdf</w:t>
        </w:r>
      </w:hyperlink>
    </w:p>
    <w:p w14:paraId="5DEC8BCE" w14:textId="77777777" w:rsidR="00524AE4" w:rsidRPr="00442529" w:rsidRDefault="00524AE4" w:rsidP="00524AE4">
      <w:pPr>
        <w:spacing w:before="100" w:beforeAutospacing="1" w:after="100" w:afterAutospacing="1" w:line="240" w:lineRule="auto"/>
        <w:ind w:left="720"/>
        <w:rPr>
          <w:rFonts w:ascii="Calibri" w:eastAsia="Times New Roman" w:hAnsi="Calibri" w:cs="Calibri"/>
          <w:kern w:val="0"/>
          <w:lang w:eastAsia="en-GB"/>
          <w14:ligatures w14:val="none"/>
        </w:rPr>
      </w:pPr>
    </w:p>
    <w:p w14:paraId="56BC4E74" w14:textId="77777777" w:rsidR="00524AE4" w:rsidRPr="008445CB" w:rsidRDefault="00524AE4" w:rsidP="00524AE4">
      <w:pPr>
        <w:rPr>
          <w:rFonts w:ascii="Calibri" w:hAnsi="Calibri" w:cs="Calibri"/>
          <w:b/>
          <w:bCs/>
        </w:rPr>
      </w:pPr>
    </w:p>
    <w:p w14:paraId="111A9235" w14:textId="77777777" w:rsidR="00524AE4" w:rsidRPr="008445CB" w:rsidRDefault="00524AE4" w:rsidP="00524AE4">
      <w:pPr>
        <w:rPr>
          <w:rFonts w:ascii="Calibri" w:hAnsi="Calibri" w:cs="Calibri"/>
        </w:rPr>
      </w:pPr>
    </w:p>
    <w:p w14:paraId="4367BB78" w14:textId="77777777" w:rsidR="00524AE4" w:rsidRPr="008445CB" w:rsidRDefault="00524AE4" w:rsidP="00524AE4">
      <w:pPr>
        <w:rPr>
          <w:rFonts w:ascii="Calibri" w:hAnsi="Calibri" w:cs="Calibri"/>
        </w:rPr>
      </w:pPr>
    </w:p>
    <w:p w14:paraId="7D8FB79E" w14:textId="77777777" w:rsidR="00524AE4" w:rsidRPr="008445CB" w:rsidRDefault="00524AE4" w:rsidP="00524AE4">
      <w:pPr>
        <w:rPr>
          <w:rFonts w:ascii="Calibri" w:hAnsi="Calibri" w:cs="Calibri"/>
        </w:rPr>
      </w:pPr>
    </w:p>
    <w:p w14:paraId="0D841E1D" w14:textId="77777777" w:rsidR="00524AE4" w:rsidRPr="008445CB" w:rsidRDefault="00524AE4" w:rsidP="00524AE4">
      <w:pPr>
        <w:rPr>
          <w:rFonts w:ascii="Calibri" w:hAnsi="Calibri" w:cs="Calibri"/>
          <w:b/>
          <w:bCs/>
          <w:u w:val="single"/>
        </w:rPr>
      </w:pPr>
    </w:p>
    <w:p w14:paraId="225592A2" w14:textId="77777777" w:rsidR="00524AE4" w:rsidRDefault="00524AE4"/>
    <w:sectPr w:rsidR="00524AE4" w:rsidSect="00524AE4">
      <w:headerReference w:type="default"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6438FB3" w14:paraId="3CAC3A7C" w14:textId="77777777" w:rsidTr="06438FB3">
      <w:trPr>
        <w:trHeight w:val="300"/>
      </w:trPr>
      <w:tc>
        <w:tcPr>
          <w:tcW w:w="3005" w:type="dxa"/>
        </w:tcPr>
        <w:p w14:paraId="799D3705" w14:textId="77777777" w:rsidR="00853616" w:rsidRDefault="00853616" w:rsidP="06438FB3">
          <w:pPr>
            <w:pStyle w:val="Header"/>
            <w:ind w:left="-115"/>
          </w:pPr>
        </w:p>
      </w:tc>
      <w:tc>
        <w:tcPr>
          <w:tcW w:w="3005" w:type="dxa"/>
        </w:tcPr>
        <w:p w14:paraId="1F54BC85" w14:textId="77777777" w:rsidR="00853616" w:rsidRDefault="00853616" w:rsidP="06438FB3">
          <w:pPr>
            <w:pStyle w:val="Header"/>
            <w:jc w:val="center"/>
          </w:pPr>
        </w:p>
      </w:tc>
      <w:tc>
        <w:tcPr>
          <w:tcW w:w="3005" w:type="dxa"/>
        </w:tcPr>
        <w:p w14:paraId="10D0FDFB" w14:textId="77777777" w:rsidR="00853616" w:rsidRDefault="00853616" w:rsidP="06438FB3">
          <w:pPr>
            <w:pStyle w:val="Header"/>
            <w:ind w:right="-115"/>
            <w:jc w:val="right"/>
          </w:pPr>
        </w:p>
      </w:tc>
    </w:tr>
  </w:tbl>
  <w:p w14:paraId="364C78A5" w14:textId="77777777" w:rsidR="00853616" w:rsidRDefault="00853616" w:rsidP="06438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6438FB3" w14:paraId="49DE3748" w14:textId="77777777" w:rsidTr="06438FB3">
      <w:trPr>
        <w:trHeight w:val="300"/>
      </w:trPr>
      <w:tc>
        <w:tcPr>
          <w:tcW w:w="3005" w:type="dxa"/>
        </w:tcPr>
        <w:p w14:paraId="74EA7D4B" w14:textId="77777777" w:rsidR="00853616" w:rsidRDefault="00853616" w:rsidP="06438FB3">
          <w:pPr>
            <w:pStyle w:val="Header"/>
            <w:ind w:left="-115"/>
          </w:pPr>
        </w:p>
      </w:tc>
      <w:tc>
        <w:tcPr>
          <w:tcW w:w="3005" w:type="dxa"/>
        </w:tcPr>
        <w:p w14:paraId="62D59942" w14:textId="77777777" w:rsidR="00853616" w:rsidRDefault="00853616" w:rsidP="06438FB3">
          <w:pPr>
            <w:pStyle w:val="Header"/>
            <w:jc w:val="center"/>
          </w:pPr>
        </w:p>
      </w:tc>
      <w:tc>
        <w:tcPr>
          <w:tcW w:w="3005" w:type="dxa"/>
        </w:tcPr>
        <w:p w14:paraId="37657249" w14:textId="77777777" w:rsidR="00853616" w:rsidRDefault="00853616" w:rsidP="06438FB3">
          <w:pPr>
            <w:pStyle w:val="Header"/>
            <w:ind w:right="-115"/>
            <w:jc w:val="right"/>
          </w:pPr>
        </w:p>
      </w:tc>
    </w:tr>
  </w:tbl>
  <w:p w14:paraId="6CFB9A0C" w14:textId="77777777" w:rsidR="00853616" w:rsidRDefault="00853616" w:rsidP="06438FB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6438FB3" w14:paraId="019231C6" w14:textId="77777777" w:rsidTr="06438FB3">
      <w:trPr>
        <w:trHeight w:val="300"/>
      </w:trPr>
      <w:tc>
        <w:tcPr>
          <w:tcW w:w="3005" w:type="dxa"/>
        </w:tcPr>
        <w:p w14:paraId="013C56AF" w14:textId="77777777" w:rsidR="00853616" w:rsidRDefault="00853616" w:rsidP="06438FB3">
          <w:pPr>
            <w:pStyle w:val="Header"/>
            <w:ind w:left="-115"/>
          </w:pPr>
        </w:p>
      </w:tc>
      <w:tc>
        <w:tcPr>
          <w:tcW w:w="3005" w:type="dxa"/>
        </w:tcPr>
        <w:p w14:paraId="02D62E5A" w14:textId="77777777" w:rsidR="00853616" w:rsidRDefault="00853616" w:rsidP="06438FB3">
          <w:pPr>
            <w:pStyle w:val="Header"/>
            <w:jc w:val="center"/>
          </w:pPr>
        </w:p>
      </w:tc>
      <w:tc>
        <w:tcPr>
          <w:tcW w:w="3005" w:type="dxa"/>
        </w:tcPr>
        <w:p w14:paraId="6DBCDDB4" w14:textId="77777777" w:rsidR="00853616" w:rsidRDefault="00853616" w:rsidP="06438FB3">
          <w:pPr>
            <w:pStyle w:val="Header"/>
            <w:ind w:right="-115"/>
            <w:jc w:val="right"/>
          </w:pPr>
        </w:p>
      </w:tc>
    </w:tr>
  </w:tbl>
  <w:p w14:paraId="608C28F5" w14:textId="77777777" w:rsidR="00853616" w:rsidRDefault="00853616" w:rsidP="06438F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06438FB3" w14:paraId="722F3B72" w14:textId="77777777" w:rsidTr="06438FB3">
      <w:trPr>
        <w:trHeight w:val="300"/>
      </w:trPr>
      <w:tc>
        <w:tcPr>
          <w:tcW w:w="3005" w:type="dxa"/>
        </w:tcPr>
        <w:p w14:paraId="2928D622" w14:textId="77777777" w:rsidR="00853616" w:rsidRDefault="00853616" w:rsidP="06438FB3">
          <w:pPr>
            <w:pStyle w:val="Header"/>
            <w:ind w:left="-115"/>
          </w:pPr>
        </w:p>
      </w:tc>
      <w:tc>
        <w:tcPr>
          <w:tcW w:w="3005" w:type="dxa"/>
        </w:tcPr>
        <w:p w14:paraId="1EABA1BB" w14:textId="77777777" w:rsidR="00853616" w:rsidRDefault="00853616" w:rsidP="06438FB3">
          <w:pPr>
            <w:pStyle w:val="Header"/>
            <w:jc w:val="center"/>
          </w:pPr>
        </w:p>
      </w:tc>
      <w:tc>
        <w:tcPr>
          <w:tcW w:w="3005" w:type="dxa"/>
        </w:tcPr>
        <w:p w14:paraId="3968526F" w14:textId="77777777" w:rsidR="00853616" w:rsidRDefault="00853616" w:rsidP="06438FB3">
          <w:pPr>
            <w:pStyle w:val="Header"/>
            <w:ind w:right="-115"/>
            <w:jc w:val="right"/>
          </w:pPr>
        </w:p>
      </w:tc>
    </w:tr>
  </w:tbl>
  <w:p w14:paraId="19087D6D" w14:textId="77777777" w:rsidR="00853616" w:rsidRDefault="00853616" w:rsidP="06438F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41D7F"/>
    <w:multiLevelType w:val="multilevel"/>
    <w:tmpl w:val="B030B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B8391E"/>
    <w:multiLevelType w:val="multilevel"/>
    <w:tmpl w:val="C744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FD7D68"/>
    <w:multiLevelType w:val="multilevel"/>
    <w:tmpl w:val="9FB0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8510510">
    <w:abstractNumId w:val="2"/>
  </w:num>
  <w:num w:numId="2" w16cid:durableId="1434403504">
    <w:abstractNumId w:val="0"/>
  </w:num>
  <w:num w:numId="3" w16cid:durableId="12344687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AE4"/>
    <w:rsid w:val="00524AE4"/>
    <w:rsid w:val="00853616"/>
    <w:rsid w:val="00B91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EFDBE"/>
  <w15:chartTrackingRefBased/>
  <w15:docId w15:val="{969F1D5B-1032-437B-BDD2-6CE549B9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AE4"/>
  </w:style>
  <w:style w:type="paragraph" w:styleId="Heading1">
    <w:name w:val="heading 1"/>
    <w:basedOn w:val="Normal"/>
    <w:next w:val="Normal"/>
    <w:link w:val="Heading1Char"/>
    <w:uiPriority w:val="9"/>
    <w:qFormat/>
    <w:rsid w:val="00524A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A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A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A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A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A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A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A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A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A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A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A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A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A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A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A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A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AE4"/>
    <w:rPr>
      <w:rFonts w:eastAsiaTheme="majorEastAsia" w:cstheme="majorBidi"/>
      <w:color w:val="272727" w:themeColor="text1" w:themeTint="D8"/>
    </w:rPr>
  </w:style>
  <w:style w:type="paragraph" w:styleId="Title">
    <w:name w:val="Title"/>
    <w:basedOn w:val="Normal"/>
    <w:next w:val="Normal"/>
    <w:link w:val="TitleChar"/>
    <w:uiPriority w:val="10"/>
    <w:qFormat/>
    <w:rsid w:val="00524A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A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A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A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AE4"/>
    <w:pPr>
      <w:spacing w:before="160"/>
      <w:jc w:val="center"/>
    </w:pPr>
    <w:rPr>
      <w:i/>
      <w:iCs/>
      <w:color w:val="404040" w:themeColor="text1" w:themeTint="BF"/>
    </w:rPr>
  </w:style>
  <w:style w:type="character" w:customStyle="1" w:styleId="QuoteChar">
    <w:name w:val="Quote Char"/>
    <w:basedOn w:val="DefaultParagraphFont"/>
    <w:link w:val="Quote"/>
    <w:uiPriority w:val="29"/>
    <w:rsid w:val="00524AE4"/>
    <w:rPr>
      <w:i/>
      <w:iCs/>
      <w:color w:val="404040" w:themeColor="text1" w:themeTint="BF"/>
    </w:rPr>
  </w:style>
  <w:style w:type="paragraph" w:styleId="ListParagraph">
    <w:name w:val="List Paragraph"/>
    <w:basedOn w:val="Normal"/>
    <w:uiPriority w:val="34"/>
    <w:qFormat/>
    <w:rsid w:val="00524AE4"/>
    <w:pPr>
      <w:ind w:left="720"/>
      <w:contextualSpacing/>
    </w:pPr>
  </w:style>
  <w:style w:type="character" w:styleId="IntenseEmphasis">
    <w:name w:val="Intense Emphasis"/>
    <w:basedOn w:val="DefaultParagraphFont"/>
    <w:uiPriority w:val="21"/>
    <w:qFormat/>
    <w:rsid w:val="00524AE4"/>
    <w:rPr>
      <w:i/>
      <w:iCs/>
      <w:color w:val="0F4761" w:themeColor="accent1" w:themeShade="BF"/>
    </w:rPr>
  </w:style>
  <w:style w:type="paragraph" w:styleId="IntenseQuote">
    <w:name w:val="Intense Quote"/>
    <w:basedOn w:val="Normal"/>
    <w:next w:val="Normal"/>
    <w:link w:val="IntenseQuoteChar"/>
    <w:uiPriority w:val="30"/>
    <w:qFormat/>
    <w:rsid w:val="00524A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AE4"/>
    <w:rPr>
      <w:i/>
      <w:iCs/>
      <w:color w:val="0F4761" w:themeColor="accent1" w:themeShade="BF"/>
    </w:rPr>
  </w:style>
  <w:style w:type="character" w:styleId="IntenseReference">
    <w:name w:val="Intense Reference"/>
    <w:basedOn w:val="DefaultParagraphFont"/>
    <w:uiPriority w:val="32"/>
    <w:qFormat/>
    <w:rsid w:val="00524AE4"/>
    <w:rPr>
      <w:b/>
      <w:bCs/>
      <w:smallCaps/>
      <w:color w:val="0F4761" w:themeColor="accent1" w:themeShade="BF"/>
      <w:spacing w:val="5"/>
    </w:rPr>
  </w:style>
  <w:style w:type="paragraph" w:styleId="NormalWeb">
    <w:name w:val="Normal (Web)"/>
    <w:basedOn w:val="Normal"/>
    <w:uiPriority w:val="99"/>
    <w:semiHidden/>
    <w:unhideWhenUsed/>
    <w:rsid w:val="00524A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24AE4"/>
    <w:rPr>
      <w:color w:val="0000FF"/>
      <w:u w:val="single"/>
    </w:rPr>
  </w:style>
  <w:style w:type="paragraph" w:styleId="NoSpacing">
    <w:name w:val="No Spacing"/>
    <w:link w:val="NoSpacingChar"/>
    <w:uiPriority w:val="1"/>
    <w:qFormat/>
    <w:rsid w:val="00524AE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24AE4"/>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24AE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24AE4"/>
    <w:pPr>
      <w:spacing w:after="100"/>
    </w:pPr>
  </w:style>
  <w:style w:type="paragraph" w:styleId="Header">
    <w:name w:val="header"/>
    <w:basedOn w:val="Normal"/>
    <w:link w:val="HeaderChar"/>
    <w:uiPriority w:val="99"/>
    <w:unhideWhenUsed/>
    <w:rsid w:val="00524A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AE4"/>
  </w:style>
  <w:style w:type="paragraph" w:styleId="Footer">
    <w:name w:val="footer"/>
    <w:basedOn w:val="Normal"/>
    <w:link w:val="FooterChar"/>
    <w:uiPriority w:val="99"/>
    <w:unhideWhenUsed/>
    <w:rsid w:val="00524A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AE4"/>
  </w:style>
  <w:style w:type="character" w:styleId="Emphasis">
    <w:name w:val="Emphasis"/>
    <w:basedOn w:val="DefaultParagraphFont"/>
    <w:uiPriority w:val="20"/>
    <w:qFormat/>
    <w:rsid w:val="00B91B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1183821">
      <w:bodyDiv w:val="1"/>
      <w:marLeft w:val="0"/>
      <w:marRight w:val="0"/>
      <w:marTop w:val="0"/>
      <w:marBottom w:val="0"/>
      <w:divBdr>
        <w:top w:val="none" w:sz="0" w:space="0" w:color="auto"/>
        <w:left w:val="none" w:sz="0" w:space="0" w:color="auto"/>
        <w:bottom w:val="none" w:sz="0" w:space="0" w:color="auto"/>
        <w:right w:val="none" w:sz="0" w:space="0" w:color="auto"/>
      </w:divBdr>
    </w:div>
    <w:div w:id="911426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ac.uk/documents/college-social-sciences/education/publications/marginalised-families-with-autistic-children.pdf.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xplore-education-statistics.service.gov.uk/find-statistics/special-educational-needs-in-england"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utismvoice.org.uk/wp-content/uploads/2020/03/Autism-in-BAME-Communities.pdf" TargetMode="External"/><Relationship Id="rId11" Type="http://schemas.openxmlformats.org/officeDocument/2006/relationships/header" Target="header2.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6A5B3D7063C486B9513B63AFB57A33F"/>
        <w:category>
          <w:name w:val="General"/>
          <w:gallery w:val="placeholder"/>
        </w:category>
        <w:types>
          <w:type w:val="bbPlcHdr"/>
        </w:types>
        <w:behaviors>
          <w:behavior w:val="content"/>
        </w:behaviors>
        <w:guid w:val="{23B959B4-79D4-4A97-8172-E5E3018D8F01}"/>
      </w:docPartPr>
      <w:docPartBody>
        <w:p w:rsidR="002467EB" w:rsidRDefault="002467EB" w:rsidP="002467EB">
          <w:pPr>
            <w:pStyle w:val="D6A5B3D7063C486B9513B63AFB57A33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EB"/>
    <w:rsid w:val="0024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41D9CA0CF7441DA88722D00CFE1874">
    <w:name w:val="0441D9CA0CF7441DA88722D00CFE1874"/>
    <w:rsid w:val="002467EB"/>
  </w:style>
  <w:style w:type="paragraph" w:customStyle="1" w:styleId="E65CD2F49CE744749A4DBD3598411004">
    <w:name w:val="E65CD2F49CE744749A4DBD3598411004"/>
    <w:rsid w:val="002467EB"/>
  </w:style>
  <w:style w:type="paragraph" w:customStyle="1" w:styleId="D6A5B3D7063C486B9513B63AFB57A33F">
    <w:name w:val="D6A5B3D7063C486B9513B63AFB57A33F"/>
    <w:rsid w:val="002467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204</TotalTime>
  <Pages>8</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ADAMA BANGURA</Company>
  <LinksUpToDate>false</LinksUpToDate>
  <CharactersWithSpaces>12739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 and ADHD in minority communities in West Midlands,UK</dc:title>
  <dc:subject/>
  <dc:creator>Adama Bangura (2508235)</dc:creator>
  <cp:keywords/>
  <dc:description/>
  <cp:lastModifiedBy>Adama Bangura (2508235)</cp:lastModifiedBy>
  <cp:revision>1</cp:revision>
  <dcterms:created xsi:type="dcterms:W3CDTF">2025-11-14T11:41:00Z</dcterms:created>
  <dcterms:modified xsi:type="dcterms:W3CDTF">2025-11-16T10:45:00Z</dcterms:modified>
</cp:coreProperties>
</file>