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485DC" w14:textId="77777777" w:rsidR="009B7F3F" w:rsidRPr="000F6B7C" w:rsidRDefault="009B7F3F" w:rsidP="009B7F3F">
      <w:pPr>
        <w:jc w:val="center"/>
        <w:rPr>
          <w:rFonts w:asciiTheme="majorHAnsi" w:hAnsiTheme="majorHAnsi" w:cstheme="majorHAnsi"/>
          <w:bCs/>
          <w:sz w:val="28"/>
          <w:szCs w:val="28"/>
        </w:rPr>
      </w:pPr>
      <w:r w:rsidRPr="000F6B7C">
        <w:rPr>
          <w:rFonts w:asciiTheme="majorHAnsi" w:hAnsiTheme="majorHAnsi" w:cstheme="majorHAnsi"/>
          <w:bCs/>
          <w:sz w:val="28"/>
          <w:szCs w:val="28"/>
        </w:rPr>
        <w:t xml:space="preserve">BA Law &amp; Public Services </w:t>
      </w:r>
    </w:p>
    <w:p w14:paraId="3B20350B" w14:textId="06C64193" w:rsidR="009B7F3F" w:rsidRPr="000F6B7C" w:rsidRDefault="009B7F3F" w:rsidP="009B7F3F">
      <w:pPr>
        <w:jc w:val="center"/>
        <w:rPr>
          <w:rFonts w:asciiTheme="majorHAnsi" w:hAnsiTheme="majorHAnsi" w:cstheme="majorHAnsi"/>
          <w:bCs/>
          <w:sz w:val="28"/>
          <w:szCs w:val="28"/>
        </w:rPr>
      </w:pPr>
      <w:r w:rsidRPr="000F6B7C">
        <w:rPr>
          <w:rFonts w:asciiTheme="majorHAnsi" w:hAnsiTheme="majorHAnsi" w:cstheme="majorHAnsi"/>
          <w:bCs/>
          <w:sz w:val="28"/>
          <w:szCs w:val="28"/>
        </w:rPr>
        <w:t>Equity and Trusts BMLW6005</w:t>
      </w:r>
    </w:p>
    <w:p w14:paraId="0C025FB4" w14:textId="660F19D2" w:rsidR="009B7F3F" w:rsidRPr="000F6B7C" w:rsidRDefault="009B7F3F" w:rsidP="009B7F3F">
      <w:pPr>
        <w:jc w:val="center"/>
        <w:rPr>
          <w:rFonts w:asciiTheme="majorHAnsi" w:hAnsiTheme="majorHAnsi" w:cstheme="majorHAnsi"/>
          <w:bCs/>
          <w:sz w:val="28"/>
          <w:szCs w:val="28"/>
        </w:rPr>
      </w:pPr>
      <w:r w:rsidRPr="000F6B7C">
        <w:rPr>
          <w:rFonts w:asciiTheme="majorHAnsi" w:hAnsiTheme="majorHAnsi" w:cstheme="majorHAnsi"/>
          <w:bCs/>
          <w:sz w:val="28"/>
          <w:szCs w:val="28"/>
        </w:rPr>
        <w:t xml:space="preserve">Equitable </w:t>
      </w:r>
      <w:r w:rsidR="00BB1B43" w:rsidRPr="000F6B7C">
        <w:rPr>
          <w:rFonts w:asciiTheme="majorHAnsi" w:hAnsiTheme="majorHAnsi" w:cstheme="majorHAnsi"/>
          <w:bCs/>
          <w:sz w:val="28"/>
          <w:szCs w:val="28"/>
        </w:rPr>
        <w:t>R</w:t>
      </w:r>
      <w:r w:rsidRPr="000F6B7C">
        <w:rPr>
          <w:rFonts w:asciiTheme="majorHAnsi" w:hAnsiTheme="majorHAnsi" w:cstheme="majorHAnsi"/>
          <w:bCs/>
          <w:sz w:val="28"/>
          <w:szCs w:val="28"/>
        </w:rPr>
        <w:t>emedies</w:t>
      </w:r>
    </w:p>
    <w:p w14:paraId="5D9FC508" w14:textId="6C5E7896" w:rsidR="009B7F3F" w:rsidRPr="000F6B7C" w:rsidRDefault="009B7F3F" w:rsidP="009B7F3F">
      <w:pPr>
        <w:jc w:val="center"/>
        <w:rPr>
          <w:rFonts w:asciiTheme="majorHAnsi" w:hAnsiTheme="majorHAnsi" w:cstheme="majorHAnsi"/>
          <w:bCs/>
          <w:sz w:val="28"/>
          <w:szCs w:val="28"/>
        </w:rPr>
      </w:pPr>
      <w:r w:rsidRPr="000F6B7C">
        <w:rPr>
          <w:rFonts w:asciiTheme="majorHAnsi" w:hAnsiTheme="majorHAnsi" w:cstheme="majorHAnsi"/>
          <w:bCs/>
          <w:sz w:val="28"/>
          <w:szCs w:val="28"/>
        </w:rPr>
        <w:t>Stephen Emyr Harries 1801259</w:t>
      </w:r>
    </w:p>
    <w:p w14:paraId="4141E66F" w14:textId="2ECECFA3" w:rsidR="00BB1B43" w:rsidRPr="000F6B7C" w:rsidRDefault="00BB1B43" w:rsidP="00CA594C">
      <w:pPr>
        <w:rPr>
          <w:rFonts w:asciiTheme="majorHAnsi" w:hAnsiTheme="majorHAnsi" w:cstheme="majorHAnsi"/>
          <w:bCs/>
          <w:sz w:val="28"/>
          <w:szCs w:val="28"/>
        </w:rPr>
      </w:pPr>
      <w:r w:rsidRPr="000F6B7C">
        <w:rPr>
          <w:rFonts w:asciiTheme="majorHAnsi" w:hAnsiTheme="majorHAnsi" w:cstheme="majorHAnsi"/>
          <w:bCs/>
          <w:sz w:val="28"/>
          <w:szCs w:val="28"/>
        </w:rPr>
        <w:br w:type="page"/>
      </w:r>
    </w:p>
    <w:p w14:paraId="047ABCC5" w14:textId="4DCF963C" w:rsidR="00895D08" w:rsidRPr="000F6B7C" w:rsidRDefault="00CA594C" w:rsidP="00863BA1">
      <w:pPr>
        <w:spacing w:line="480" w:lineRule="auto"/>
        <w:rPr>
          <w:rFonts w:cstheme="minorHAnsi"/>
          <w:bCs/>
          <w:sz w:val="24"/>
          <w:szCs w:val="24"/>
        </w:rPr>
      </w:pPr>
      <w:r w:rsidRPr="000F6B7C">
        <w:rPr>
          <w:rFonts w:cstheme="minorHAnsi"/>
          <w:bCs/>
          <w:sz w:val="24"/>
          <w:szCs w:val="24"/>
        </w:rPr>
        <w:lastRenderedPageBreak/>
        <w:t>A freezing order is an interim injunction that is put into place to ensure the defendant will not be able to affect the ri</w:t>
      </w:r>
      <w:r w:rsidR="00BF1B60" w:rsidRPr="000F6B7C">
        <w:rPr>
          <w:rFonts w:cstheme="minorHAnsi"/>
          <w:bCs/>
          <w:sz w:val="24"/>
          <w:szCs w:val="24"/>
        </w:rPr>
        <w:t xml:space="preserve">ghts of the claimant to assets </w:t>
      </w:r>
      <w:r w:rsidR="00DA254F" w:rsidRPr="000F6B7C">
        <w:rPr>
          <w:rFonts w:cstheme="minorHAnsi"/>
          <w:bCs/>
          <w:sz w:val="24"/>
          <w:szCs w:val="24"/>
        </w:rPr>
        <w:t xml:space="preserve">that otherwise would be at risk. This </w:t>
      </w:r>
      <w:r w:rsidR="00E00490" w:rsidRPr="000F6B7C">
        <w:rPr>
          <w:rFonts w:cstheme="minorHAnsi"/>
          <w:bCs/>
          <w:sz w:val="24"/>
          <w:szCs w:val="24"/>
        </w:rPr>
        <w:t xml:space="preserve">was outlined in the </w:t>
      </w:r>
      <w:r w:rsidR="00E00490" w:rsidRPr="000F6B7C">
        <w:rPr>
          <w:rFonts w:cstheme="minorHAnsi"/>
          <w:bCs/>
          <w:sz w:val="24"/>
          <w:szCs w:val="24"/>
        </w:rPr>
        <w:t>Mareva Compania Naviera SA</w:t>
      </w:r>
      <w:r w:rsidR="008B5E03" w:rsidRPr="000F6B7C">
        <w:rPr>
          <w:rFonts w:cstheme="minorHAnsi"/>
          <w:bCs/>
          <w:sz w:val="24"/>
          <w:szCs w:val="24"/>
        </w:rPr>
        <w:t xml:space="preserve"> 1980 case</w:t>
      </w:r>
      <w:r w:rsidR="004E11CF" w:rsidRPr="000F6B7C">
        <w:rPr>
          <w:rFonts w:cstheme="minorHAnsi"/>
          <w:bCs/>
          <w:sz w:val="24"/>
          <w:szCs w:val="24"/>
        </w:rPr>
        <w:t>.</w:t>
      </w:r>
      <w:r w:rsidR="00E00490" w:rsidRPr="000F6B7C">
        <w:rPr>
          <w:rFonts w:cstheme="minorHAnsi"/>
          <w:bCs/>
          <w:sz w:val="24"/>
          <w:szCs w:val="24"/>
        </w:rPr>
        <w:t xml:space="preserve"> </w:t>
      </w:r>
      <w:r w:rsidR="004E11CF" w:rsidRPr="000F6B7C">
        <w:rPr>
          <w:rFonts w:cstheme="minorHAnsi"/>
          <w:bCs/>
          <w:sz w:val="24"/>
          <w:szCs w:val="24"/>
        </w:rPr>
        <w:t>F</w:t>
      </w:r>
      <w:r w:rsidR="00E00490" w:rsidRPr="000F6B7C">
        <w:rPr>
          <w:rFonts w:cstheme="minorHAnsi"/>
          <w:bCs/>
          <w:sz w:val="24"/>
          <w:szCs w:val="24"/>
        </w:rPr>
        <w:t xml:space="preserve">rom this </w:t>
      </w:r>
      <w:r w:rsidR="008B5E03" w:rsidRPr="000F6B7C">
        <w:rPr>
          <w:rFonts w:cstheme="minorHAnsi"/>
          <w:bCs/>
          <w:sz w:val="24"/>
          <w:szCs w:val="24"/>
        </w:rPr>
        <w:t>decision</w:t>
      </w:r>
      <w:r w:rsidR="00E00490" w:rsidRPr="000F6B7C">
        <w:rPr>
          <w:rFonts w:cstheme="minorHAnsi"/>
          <w:bCs/>
          <w:sz w:val="24"/>
          <w:szCs w:val="24"/>
        </w:rPr>
        <w:t xml:space="preserve"> the freezing order has now gained statutory rights within the </w:t>
      </w:r>
      <w:r w:rsidR="004E11CF" w:rsidRPr="000F6B7C">
        <w:rPr>
          <w:rFonts w:cstheme="minorHAnsi"/>
          <w:bCs/>
          <w:sz w:val="24"/>
          <w:szCs w:val="24"/>
        </w:rPr>
        <w:t>law. A</w:t>
      </w:r>
      <w:r w:rsidR="008B5E03" w:rsidRPr="000F6B7C">
        <w:rPr>
          <w:rFonts w:cstheme="minorHAnsi"/>
          <w:bCs/>
          <w:sz w:val="24"/>
          <w:szCs w:val="24"/>
        </w:rPr>
        <w:t xml:space="preserve">lthough it is made clear that the claimant does not gain any rights of ownership over the </w:t>
      </w:r>
      <w:r w:rsidR="00895D08" w:rsidRPr="000F6B7C">
        <w:rPr>
          <w:rFonts w:cstheme="minorHAnsi"/>
          <w:bCs/>
          <w:sz w:val="24"/>
          <w:szCs w:val="24"/>
        </w:rPr>
        <w:t>items belonging to the defendant. This is stated by Lord Bingham freezing order</w:t>
      </w:r>
      <w:r w:rsidR="004E11CF" w:rsidRPr="000F6B7C">
        <w:rPr>
          <w:rFonts w:cstheme="minorHAnsi"/>
          <w:bCs/>
          <w:sz w:val="24"/>
          <w:szCs w:val="24"/>
        </w:rPr>
        <w:t>s</w:t>
      </w:r>
      <w:r w:rsidR="00895D08" w:rsidRPr="000F6B7C">
        <w:rPr>
          <w:rFonts w:cstheme="minorHAnsi"/>
          <w:bCs/>
          <w:sz w:val="24"/>
          <w:szCs w:val="24"/>
        </w:rPr>
        <w:t xml:space="preserve"> gives the right to deal with the asset</w:t>
      </w:r>
      <w:r w:rsidR="004E11CF" w:rsidRPr="000F6B7C">
        <w:rPr>
          <w:rFonts w:cstheme="minorHAnsi"/>
          <w:bCs/>
          <w:sz w:val="24"/>
          <w:szCs w:val="24"/>
        </w:rPr>
        <w:t xml:space="preserve"> by the court</w:t>
      </w:r>
      <w:r w:rsidR="00D86BDB" w:rsidRPr="000F6B7C">
        <w:rPr>
          <w:rFonts w:cstheme="minorHAnsi"/>
          <w:bCs/>
          <w:sz w:val="24"/>
          <w:szCs w:val="24"/>
        </w:rPr>
        <w:t xml:space="preserve">, </w:t>
      </w:r>
      <w:r w:rsidR="004E11CF" w:rsidRPr="000F6B7C">
        <w:rPr>
          <w:rFonts w:cstheme="minorHAnsi"/>
          <w:bCs/>
          <w:sz w:val="24"/>
          <w:szCs w:val="24"/>
        </w:rPr>
        <w:t>assets</w:t>
      </w:r>
      <w:r w:rsidR="00D86BDB" w:rsidRPr="000F6B7C">
        <w:rPr>
          <w:rFonts w:cstheme="minorHAnsi"/>
          <w:bCs/>
          <w:sz w:val="24"/>
          <w:szCs w:val="24"/>
        </w:rPr>
        <w:t xml:space="preserve"> </w:t>
      </w:r>
      <w:r w:rsidR="004E11CF" w:rsidRPr="000F6B7C">
        <w:rPr>
          <w:rFonts w:cstheme="minorHAnsi"/>
          <w:bCs/>
          <w:sz w:val="24"/>
          <w:szCs w:val="24"/>
        </w:rPr>
        <w:t>do</w:t>
      </w:r>
      <w:r w:rsidR="00D86BDB" w:rsidRPr="000F6B7C">
        <w:rPr>
          <w:rFonts w:cstheme="minorHAnsi"/>
          <w:bCs/>
          <w:sz w:val="24"/>
          <w:szCs w:val="24"/>
        </w:rPr>
        <w:t xml:space="preserve"> not move ownership</w:t>
      </w:r>
      <w:r w:rsidR="004E11CF" w:rsidRPr="000F6B7C">
        <w:rPr>
          <w:rFonts w:cstheme="minorHAnsi"/>
          <w:bCs/>
          <w:sz w:val="24"/>
          <w:szCs w:val="24"/>
        </w:rPr>
        <w:t xml:space="preserve"> and the claimant does not gain </w:t>
      </w:r>
      <w:r w:rsidR="00CB27B6" w:rsidRPr="000F6B7C">
        <w:rPr>
          <w:rFonts w:cstheme="minorHAnsi"/>
          <w:bCs/>
          <w:sz w:val="24"/>
          <w:szCs w:val="24"/>
        </w:rPr>
        <w:t>an</w:t>
      </w:r>
      <w:r w:rsidR="004E11CF" w:rsidRPr="000F6B7C">
        <w:rPr>
          <w:rFonts w:cstheme="minorHAnsi"/>
          <w:bCs/>
          <w:sz w:val="24"/>
          <w:szCs w:val="24"/>
        </w:rPr>
        <w:t>y equitable nor legal rights of assets of the defendant</w:t>
      </w:r>
      <w:r w:rsidR="00895D08" w:rsidRPr="000F6B7C">
        <w:rPr>
          <w:rFonts w:cstheme="minorHAnsi"/>
          <w:bCs/>
          <w:sz w:val="24"/>
          <w:szCs w:val="24"/>
        </w:rPr>
        <w:t xml:space="preserve">. </w:t>
      </w:r>
      <w:sdt>
        <w:sdtPr>
          <w:rPr>
            <w:rFonts w:cstheme="minorHAnsi"/>
            <w:bCs/>
            <w:sz w:val="24"/>
            <w:szCs w:val="24"/>
          </w:rPr>
          <w:id w:val="929086557"/>
          <w:citation/>
        </w:sdtPr>
        <w:sdtContent>
          <w:r w:rsidR="00895D08" w:rsidRPr="000F6B7C">
            <w:rPr>
              <w:rFonts w:cstheme="minorHAnsi"/>
              <w:bCs/>
              <w:sz w:val="24"/>
              <w:szCs w:val="24"/>
            </w:rPr>
            <w:fldChar w:fldCharType="begin"/>
          </w:r>
          <w:r w:rsidR="00895D08" w:rsidRPr="000F6B7C">
            <w:rPr>
              <w:rFonts w:cstheme="minorHAnsi"/>
              <w:bCs/>
              <w:sz w:val="24"/>
              <w:szCs w:val="24"/>
            </w:rPr>
            <w:instrText xml:space="preserve"> CITATION Wat21 \l 2057 </w:instrText>
          </w:r>
          <w:r w:rsidR="00895D08" w:rsidRPr="000F6B7C">
            <w:rPr>
              <w:rFonts w:cstheme="minorHAnsi"/>
              <w:bCs/>
              <w:sz w:val="24"/>
              <w:szCs w:val="24"/>
            </w:rPr>
            <w:fldChar w:fldCharType="separate"/>
          </w:r>
          <w:r w:rsidR="000F6B7C" w:rsidRPr="000F6B7C">
            <w:rPr>
              <w:rFonts w:cstheme="minorHAnsi"/>
              <w:noProof/>
              <w:sz w:val="24"/>
              <w:szCs w:val="24"/>
            </w:rPr>
            <w:t>(Watt, 2021)</w:t>
          </w:r>
          <w:r w:rsidR="00895D08" w:rsidRPr="000F6B7C">
            <w:rPr>
              <w:rFonts w:cstheme="minorHAnsi"/>
              <w:bCs/>
              <w:sz w:val="24"/>
              <w:szCs w:val="24"/>
            </w:rPr>
            <w:fldChar w:fldCharType="end"/>
          </w:r>
        </w:sdtContent>
      </w:sdt>
    </w:p>
    <w:p w14:paraId="3988CBDD" w14:textId="7F7D7ACE" w:rsidR="006F231A" w:rsidRPr="000F6B7C" w:rsidRDefault="006F231A" w:rsidP="00863BA1">
      <w:pPr>
        <w:spacing w:line="480" w:lineRule="auto"/>
        <w:rPr>
          <w:rFonts w:cstheme="minorHAnsi"/>
          <w:bCs/>
          <w:sz w:val="24"/>
          <w:szCs w:val="24"/>
        </w:rPr>
      </w:pPr>
      <w:r w:rsidRPr="000F6B7C">
        <w:rPr>
          <w:rFonts w:cstheme="minorHAnsi"/>
          <w:bCs/>
          <w:sz w:val="24"/>
          <w:szCs w:val="24"/>
        </w:rPr>
        <w:t xml:space="preserve">For the court to be able to </w:t>
      </w:r>
      <w:r w:rsidR="0058540A" w:rsidRPr="000F6B7C">
        <w:rPr>
          <w:rFonts w:cstheme="minorHAnsi"/>
          <w:bCs/>
          <w:sz w:val="24"/>
          <w:szCs w:val="24"/>
        </w:rPr>
        <w:t xml:space="preserve">make a freezing order there </w:t>
      </w:r>
      <w:r w:rsidR="00237A0A" w:rsidRPr="000F6B7C">
        <w:rPr>
          <w:rFonts w:cstheme="minorHAnsi"/>
          <w:bCs/>
          <w:sz w:val="24"/>
          <w:szCs w:val="24"/>
        </w:rPr>
        <w:t>must</w:t>
      </w:r>
      <w:r w:rsidR="0058540A" w:rsidRPr="000F6B7C">
        <w:rPr>
          <w:rFonts w:cstheme="minorHAnsi"/>
          <w:bCs/>
          <w:sz w:val="24"/>
          <w:szCs w:val="24"/>
        </w:rPr>
        <w:t xml:space="preserve"> be </w:t>
      </w:r>
      <w:r w:rsidR="00237A0A" w:rsidRPr="000F6B7C">
        <w:rPr>
          <w:rFonts w:cstheme="minorHAnsi"/>
          <w:bCs/>
          <w:sz w:val="24"/>
          <w:szCs w:val="24"/>
        </w:rPr>
        <w:t>some r</w:t>
      </w:r>
      <w:r w:rsidR="004E11CF" w:rsidRPr="000F6B7C">
        <w:rPr>
          <w:rFonts w:cstheme="minorHAnsi"/>
          <w:bCs/>
          <w:sz w:val="24"/>
          <w:szCs w:val="24"/>
        </w:rPr>
        <w:t>ules</w:t>
      </w:r>
      <w:r w:rsidR="00237A0A" w:rsidRPr="000F6B7C">
        <w:rPr>
          <w:rFonts w:cstheme="minorHAnsi"/>
          <w:bCs/>
          <w:sz w:val="24"/>
          <w:szCs w:val="24"/>
        </w:rPr>
        <w:t xml:space="preserve"> in place to ensure that it </w:t>
      </w:r>
      <w:r w:rsidR="00CB27B6" w:rsidRPr="000F6B7C">
        <w:rPr>
          <w:rFonts w:cstheme="minorHAnsi"/>
          <w:bCs/>
          <w:sz w:val="24"/>
          <w:szCs w:val="24"/>
        </w:rPr>
        <w:t xml:space="preserve">is not </w:t>
      </w:r>
      <w:r w:rsidR="00237A0A" w:rsidRPr="000F6B7C">
        <w:rPr>
          <w:rFonts w:cstheme="minorHAnsi"/>
          <w:bCs/>
          <w:sz w:val="24"/>
          <w:szCs w:val="24"/>
        </w:rPr>
        <w:t xml:space="preserve">in an arbitrary manner. </w:t>
      </w:r>
      <w:r w:rsidR="0037576A" w:rsidRPr="000F6B7C">
        <w:rPr>
          <w:rFonts w:cstheme="minorHAnsi"/>
          <w:bCs/>
          <w:sz w:val="24"/>
          <w:szCs w:val="24"/>
        </w:rPr>
        <w:t xml:space="preserve">It must be convenient and just to have it apply as well it must either be unconditional or with conditions that the court think would be just. </w:t>
      </w:r>
      <w:sdt>
        <w:sdtPr>
          <w:rPr>
            <w:rFonts w:cstheme="minorHAnsi"/>
            <w:bCs/>
            <w:sz w:val="24"/>
            <w:szCs w:val="24"/>
          </w:rPr>
          <w:id w:val="442729004"/>
          <w:citation/>
        </w:sdtPr>
        <w:sdtContent>
          <w:r w:rsidR="0037576A" w:rsidRPr="000F6B7C">
            <w:rPr>
              <w:rFonts w:cstheme="minorHAnsi"/>
              <w:bCs/>
              <w:sz w:val="24"/>
              <w:szCs w:val="24"/>
            </w:rPr>
            <w:fldChar w:fldCharType="begin"/>
          </w:r>
          <w:r w:rsidR="0037576A" w:rsidRPr="000F6B7C">
            <w:rPr>
              <w:rFonts w:cstheme="minorHAnsi"/>
              <w:bCs/>
              <w:sz w:val="24"/>
              <w:szCs w:val="24"/>
            </w:rPr>
            <w:instrText xml:space="preserve"> CITATION Wil05 \l 2057 </w:instrText>
          </w:r>
          <w:r w:rsidR="0037576A" w:rsidRPr="000F6B7C">
            <w:rPr>
              <w:rFonts w:cstheme="minorHAnsi"/>
              <w:bCs/>
              <w:sz w:val="24"/>
              <w:szCs w:val="24"/>
            </w:rPr>
            <w:fldChar w:fldCharType="separate"/>
          </w:r>
          <w:r w:rsidR="000F6B7C" w:rsidRPr="000F6B7C">
            <w:rPr>
              <w:rFonts w:cstheme="minorHAnsi"/>
              <w:noProof/>
              <w:sz w:val="24"/>
              <w:szCs w:val="24"/>
            </w:rPr>
            <w:t>(Wilson, 2005)</w:t>
          </w:r>
          <w:r w:rsidR="0037576A" w:rsidRPr="000F6B7C">
            <w:rPr>
              <w:rFonts w:cstheme="minorHAnsi"/>
              <w:bCs/>
              <w:sz w:val="24"/>
              <w:szCs w:val="24"/>
            </w:rPr>
            <w:fldChar w:fldCharType="end"/>
          </w:r>
        </w:sdtContent>
      </w:sdt>
    </w:p>
    <w:p w14:paraId="02D87538" w14:textId="7657026E" w:rsidR="00BF4922" w:rsidRPr="000F6B7C" w:rsidRDefault="000B3ABF" w:rsidP="00863BA1">
      <w:pPr>
        <w:spacing w:line="480" w:lineRule="auto"/>
        <w:rPr>
          <w:rFonts w:cstheme="minorHAnsi"/>
          <w:bCs/>
          <w:sz w:val="24"/>
          <w:szCs w:val="24"/>
        </w:rPr>
      </w:pPr>
      <w:r w:rsidRPr="000F6B7C">
        <w:rPr>
          <w:rFonts w:cstheme="minorHAnsi"/>
          <w:bCs/>
          <w:sz w:val="24"/>
          <w:szCs w:val="24"/>
        </w:rPr>
        <w:t xml:space="preserve">In the case of </w:t>
      </w:r>
      <w:r w:rsidRPr="000F6B7C">
        <w:rPr>
          <w:rFonts w:cstheme="minorHAnsi"/>
          <w:bCs/>
          <w:sz w:val="24"/>
          <w:szCs w:val="24"/>
        </w:rPr>
        <w:t>American Cyanamid</w:t>
      </w:r>
      <w:r w:rsidRPr="000F6B7C">
        <w:rPr>
          <w:rFonts w:cstheme="minorHAnsi"/>
          <w:bCs/>
          <w:sz w:val="24"/>
          <w:szCs w:val="24"/>
        </w:rPr>
        <w:t xml:space="preserve"> 1975</w:t>
      </w:r>
      <w:r w:rsidR="001F4870" w:rsidRPr="000F6B7C">
        <w:rPr>
          <w:rFonts w:cstheme="minorHAnsi"/>
          <w:bCs/>
          <w:sz w:val="24"/>
          <w:szCs w:val="24"/>
        </w:rPr>
        <w:t xml:space="preserve"> </w:t>
      </w:r>
      <w:r w:rsidR="002D1662" w:rsidRPr="000F6B7C">
        <w:rPr>
          <w:rFonts w:cstheme="minorHAnsi"/>
          <w:bCs/>
          <w:sz w:val="24"/>
          <w:szCs w:val="24"/>
        </w:rPr>
        <w:t xml:space="preserve">it can be seen </w:t>
      </w:r>
      <w:r w:rsidR="00CB27B6" w:rsidRPr="000F6B7C">
        <w:rPr>
          <w:rFonts w:cstheme="minorHAnsi"/>
          <w:bCs/>
          <w:sz w:val="24"/>
          <w:szCs w:val="24"/>
        </w:rPr>
        <w:t xml:space="preserve">from the </w:t>
      </w:r>
      <w:r w:rsidR="002D1662" w:rsidRPr="000F6B7C">
        <w:rPr>
          <w:rFonts w:cstheme="minorHAnsi"/>
          <w:bCs/>
          <w:sz w:val="24"/>
          <w:szCs w:val="24"/>
        </w:rPr>
        <w:t xml:space="preserve">ruling </w:t>
      </w:r>
      <w:r w:rsidR="00CB27B6" w:rsidRPr="000F6B7C">
        <w:rPr>
          <w:rFonts w:cstheme="minorHAnsi"/>
          <w:bCs/>
          <w:sz w:val="24"/>
          <w:szCs w:val="24"/>
        </w:rPr>
        <w:t>that it is a</w:t>
      </w:r>
      <w:r w:rsidR="002D1662" w:rsidRPr="000F6B7C">
        <w:rPr>
          <w:rFonts w:cstheme="minorHAnsi"/>
          <w:bCs/>
          <w:sz w:val="24"/>
          <w:szCs w:val="24"/>
        </w:rPr>
        <w:t xml:space="preserve"> test of probability, this means that there would have to be an above 50% chance of the case to be successful for the injunction to be put forth. This was then seen as too harsh of a requirement as it is not the place of the </w:t>
      </w:r>
      <w:r w:rsidR="00A25709" w:rsidRPr="000F6B7C">
        <w:rPr>
          <w:rFonts w:cstheme="minorHAnsi"/>
          <w:bCs/>
          <w:sz w:val="24"/>
          <w:szCs w:val="24"/>
        </w:rPr>
        <w:t xml:space="preserve">court to come to such a verdict at an early sage of trial. </w:t>
      </w:r>
      <w:r w:rsidR="00BB3A3A" w:rsidRPr="000F6B7C">
        <w:rPr>
          <w:rFonts w:cstheme="minorHAnsi"/>
          <w:bCs/>
          <w:sz w:val="24"/>
          <w:szCs w:val="24"/>
        </w:rPr>
        <w:t>Therefore,</w:t>
      </w:r>
      <w:r w:rsidR="00A25709" w:rsidRPr="000F6B7C">
        <w:rPr>
          <w:rFonts w:cstheme="minorHAnsi"/>
          <w:bCs/>
          <w:sz w:val="24"/>
          <w:szCs w:val="24"/>
        </w:rPr>
        <w:t xml:space="preserve"> instead of the prima face requirement that was first needed at the appeal it was on the balance of convenience. This was to ensure that </w:t>
      </w:r>
      <w:r w:rsidR="00BB3A3A" w:rsidRPr="000F6B7C">
        <w:rPr>
          <w:rFonts w:cstheme="minorHAnsi"/>
          <w:bCs/>
          <w:sz w:val="24"/>
          <w:szCs w:val="24"/>
        </w:rPr>
        <w:t xml:space="preserve">both the defendant and claimant would be in the same position whomever would be successful in the case, such can be seen in the argument made by Lord Diplock. </w:t>
      </w:r>
      <w:sdt>
        <w:sdtPr>
          <w:rPr>
            <w:rFonts w:cstheme="minorHAnsi"/>
            <w:bCs/>
            <w:sz w:val="24"/>
            <w:szCs w:val="24"/>
          </w:rPr>
          <w:id w:val="284927655"/>
          <w:citation/>
        </w:sdtPr>
        <w:sdtContent>
          <w:r w:rsidR="00BB3A3A" w:rsidRPr="000F6B7C">
            <w:rPr>
              <w:rFonts w:cstheme="minorHAnsi"/>
              <w:bCs/>
              <w:sz w:val="24"/>
              <w:szCs w:val="24"/>
            </w:rPr>
            <w:fldChar w:fldCharType="begin"/>
          </w:r>
          <w:r w:rsidR="00BB3A3A" w:rsidRPr="000F6B7C">
            <w:rPr>
              <w:rFonts w:cstheme="minorHAnsi"/>
              <w:bCs/>
              <w:sz w:val="24"/>
              <w:szCs w:val="24"/>
            </w:rPr>
            <w:instrText xml:space="preserve"> CITATION Mof05 \l 2057 </w:instrText>
          </w:r>
          <w:r w:rsidR="00BB3A3A" w:rsidRPr="000F6B7C">
            <w:rPr>
              <w:rFonts w:cstheme="minorHAnsi"/>
              <w:bCs/>
              <w:sz w:val="24"/>
              <w:szCs w:val="24"/>
            </w:rPr>
            <w:fldChar w:fldCharType="separate"/>
          </w:r>
          <w:r w:rsidR="000F6B7C" w:rsidRPr="000F6B7C">
            <w:rPr>
              <w:rFonts w:cstheme="minorHAnsi"/>
              <w:noProof/>
              <w:sz w:val="24"/>
              <w:szCs w:val="24"/>
            </w:rPr>
            <w:t>(Moffat, 2005)</w:t>
          </w:r>
          <w:r w:rsidR="00BB3A3A" w:rsidRPr="000F6B7C">
            <w:rPr>
              <w:rFonts w:cstheme="minorHAnsi"/>
              <w:bCs/>
              <w:sz w:val="24"/>
              <w:szCs w:val="24"/>
            </w:rPr>
            <w:fldChar w:fldCharType="end"/>
          </w:r>
        </w:sdtContent>
      </w:sdt>
    </w:p>
    <w:p w14:paraId="021BC05C" w14:textId="340D12D4" w:rsidR="00147463" w:rsidRPr="000F6B7C" w:rsidRDefault="00147463" w:rsidP="00863BA1">
      <w:pPr>
        <w:spacing w:line="480" w:lineRule="auto"/>
        <w:rPr>
          <w:rFonts w:cstheme="minorHAnsi"/>
          <w:bCs/>
          <w:sz w:val="24"/>
          <w:szCs w:val="24"/>
        </w:rPr>
      </w:pPr>
      <w:r w:rsidRPr="000F6B7C">
        <w:rPr>
          <w:rFonts w:cstheme="minorHAnsi"/>
          <w:bCs/>
          <w:sz w:val="24"/>
          <w:szCs w:val="24"/>
        </w:rPr>
        <w:t xml:space="preserve">A criticism of the </w:t>
      </w:r>
      <w:r w:rsidRPr="000F6B7C">
        <w:rPr>
          <w:rFonts w:cstheme="minorHAnsi"/>
          <w:bCs/>
          <w:sz w:val="24"/>
          <w:szCs w:val="24"/>
        </w:rPr>
        <w:t>American Cyanamid</w:t>
      </w:r>
      <w:r w:rsidR="00540053" w:rsidRPr="000F6B7C">
        <w:rPr>
          <w:rFonts w:cstheme="minorHAnsi"/>
          <w:bCs/>
          <w:sz w:val="24"/>
          <w:szCs w:val="24"/>
        </w:rPr>
        <w:t xml:space="preserve"> 1975</w:t>
      </w:r>
      <w:r w:rsidRPr="000F6B7C">
        <w:rPr>
          <w:rFonts w:cstheme="minorHAnsi"/>
          <w:bCs/>
          <w:sz w:val="24"/>
          <w:szCs w:val="24"/>
        </w:rPr>
        <w:t xml:space="preserve"> case can be seen by </w:t>
      </w:r>
      <w:r w:rsidR="00655A62" w:rsidRPr="000F6B7C">
        <w:rPr>
          <w:rFonts w:cstheme="minorHAnsi"/>
          <w:noProof/>
          <w:sz w:val="24"/>
          <w:szCs w:val="24"/>
        </w:rPr>
        <w:t>Zuckerman (1993)</w:t>
      </w:r>
      <w:r w:rsidRPr="000F6B7C">
        <w:rPr>
          <w:rFonts w:cstheme="minorHAnsi"/>
          <w:bCs/>
          <w:sz w:val="24"/>
          <w:szCs w:val="24"/>
        </w:rPr>
        <w:t xml:space="preserve"> </w:t>
      </w:r>
      <w:r w:rsidR="00F138E4" w:rsidRPr="000F6B7C">
        <w:rPr>
          <w:rFonts w:cstheme="minorHAnsi"/>
          <w:bCs/>
          <w:sz w:val="24"/>
          <w:szCs w:val="24"/>
        </w:rPr>
        <w:t>where</w:t>
      </w:r>
      <w:r w:rsidR="00E81EAA" w:rsidRPr="000F6B7C">
        <w:rPr>
          <w:rFonts w:cstheme="minorHAnsi"/>
          <w:bCs/>
          <w:sz w:val="24"/>
          <w:szCs w:val="24"/>
        </w:rPr>
        <w:t xml:space="preserve"> </w:t>
      </w:r>
      <w:r w:rsidR="00F138E4" w:rsidRPr="000F6B7C">
        <w:rPr>
          <w:rFonts w:cstheme="minorHAnsi"/>
          <w:bCs/>
          <w:sz w:val="24"/>
          <w:szCs w:val="24"/>
        </w:rPr>
        <w:t>the</w:t>
      </w:r>
      <w:r w:rsidR="00E81EAA" w:rsidRPr="000F6B7C">
        <w:rPr>
          <w:rFonts w:cstheme="minorHAnsi"/>
          <w:bCs/>
          <w:sz w:val="24"/>
          <w:szCs w:val="24"/>
        </w:rPr>
        <w:t xml:space="preserve"> lowering of the factual merit of the case it would allow both cases with as well as without merit from being accepted</w:t>
      </w:r>
      <w:r w:rsidR="00F138E4" w:rsidRPr="000F6B7C">
        <w:rPr>
          <w:rFonts w:cstheme="minorHAnsi"/>
          <w:bCs/>
          <w:sz w:val="24"/>
          <w:szCs w:val="24"/>
        </w:rPr>
        <w:t xml:space="preserve">, this would mean it would negatively affect the </w:t>
      </w:r>
      <w:r w:rsidR="00F138E4" w:rsidRPr="000F6B7C">
        <w:rPr>
          <w:rFonts w:cstheme="minorHAnsi"/>
          <w:bCs/>
          <w:sz w:val="24"/>
          <w:szCs w:val="24"/>
        </w:rPr>
        <w:lastRenderedPageBreak/>
        <w:t xml:space="preserve">defendant as it removes some of the burden of proof </w:t>
      </w:r>
      <w:r w:rsidR="00851006" w:rsidRPr="000F6B7C">
        <w:rPr>
          <w:rFonts w:cstheme="minorHAnsi"/>
          <w:bCs/>
          <w:sz w:val="24"/>
          <w:szCs w:val="24"/>
        </w:rPr>
        <w:t>from</w:t>
      </w:r>
      <w:r w:rsidR="00F138E4" w:rsidRPr="000F6B7C">
        <w:rPr>
          <w:rFonts w:cstheme="minorHAnsi"/>
          <w:bCs/>
          <w:sz w:val="24"/>
          <w:szCs w:val="24"/>
        </w:rPr>
        <w:t xml:space="preserve"> the claimant. On the other </w:t>
      </w:r>
      <w:r w:rsidR="00317FBF" w:rsidRPr="000F6B7C">
        <w:rPr>
          <w:rFonts w:cstheme="minorHAnsi"/>
          <w:bCs/>
          <w:sz w:val="24"/>
          <w:szCs w:val="24"/>
        </w:rPr>
        <w:t>hand,</w:t>
      </w:r>
      <w:r w:rsidR="00F138E4" w:rsidRPr="000F6B7C">
        <w:rPr>
          <w:rFonts w:cstheme="minorHAnsi"/>
          <w:bCs/>
          <w:sz w:val="24"/>
          <w:szCs w:val="24"/>
        </w:rPr>
        <w:t xml:space="preserve"> without</w:t>
      </w:r>
      <w:r w:rsidR="00786A75" w:rsidRPr="000F6B7C">
        <w:rPr>
          <w:rFonts w:cstheme="minorHAnsi"/>
          <w:bCs/>
          <w:sz w:val="24"/>
          <w:szCs w:val="24"/>
        </w:rPr>
        <w:t xml:space="preserve"> it </w:t>
      </w:r>
      <w:r w:rsidR="00F138E4" w:rsidRPr="000F6B7C">
        <w:rPr>
          <w:rFonts w:cstheme="minorHAnsi"/>
          <w:bCs/>
          <w:sz w:val="24"/>
          <w:szCs w:val="24"/>
        </w:rPr>
        <w:t xml:space="preserve">would then negatively affect the </w:t>
      </w:r>
      <w:r w:rsidR="00851006" w:rsidRPr="000F6B7C">
        <w:rPr>
          <w:rFonts w:cstheme="minorHAnsi"/>
          <w:bCs/>
          <w:sz w:val="24"/>
          <w:szCs w:val="24"/>
        </w:rPr>
        <w:t>claimant</w:t>
      </w:r>
      <w:r w:rsidR="00F138E4" w:rsidRPr="000F6B7C">
        <w:rPr>
          <w:rFonts w:cstheme="minorHAnsi"/>
          <w:bCs/>
          <w:sz w:val="24"/>
          <w:szCs w:val="24"/>
        </w:rPr>
        <w:t xml:space="preserve"> as the burden of proof would be so high that before the case is brought to </w:t>
      </w:r>
      <w:r w:rsidR="000A068D" w:rsidRPr="000F6B7C">
        <w:rPr>
          <w:rFonts w:cstheme="minorHAnsi"/>
          <w:bCs/>
          <w:sz w:val="24"/>
          <w:szCs w:val="24"/>
        </w:rPr>
        <w:t>trial</w:t>
      </w:r>
      <w:r w:rsidR="00F138E4" w:rsidRPr="000F6B7C">
        <w:rPr>
          <w:rFonts w:cstheme="minorHAnsi"/>
          <w:bCs/>
          <w:sz w:val="24"/>
          <w:szCs w:val="24"/>
        </w:rPr>
        <w:t xml:space="preserve"> </w:t>
      </w:r>
      <w:r w:rsidR="00317FBF" w:rsidRPr="000F6B7C">
        <w:rPr>
          <w:rFonts w:cstheme="minorHAnsi"/>
          <w:bCs/>
          <w:sz w:val="24"/>
          <w:szCs w:val="24"/>
        </w:rPr>
        <w:t>a substantial amount of proof would be needed and before this could be found irreparable damage could be done</w:t>
      </w:r>
      <w:r w:rsidR="00E81EAA" w:rsidRPr="000F6B7C">
        <w:rPr>
          <w:rFonts w:cstheme="minorHAnsi"/>
          <w:bCs/>
          <w:sz w:val="24"/>
          <w:szCs w:val="24"/>
        </w:rPr>
        <w:t xml:space="preserve">. Although a Zuckerman does accept that there is a need for some sort of </w:t>
      </w:r>
      <w:r w:rsidR="00540053" w:rsidRPr="000F6B7C">
        <w:rPr>
          <w:rFonts w:cstheme="minorHAnsi"/>
          <w:bCs/>
          <w:sz w:val="24"/>
          <w:szCs w:val="24"/>
        </w:rPr>
        <w:t xml:space="preserve">pretrial judgement decision to ensure that only cases that have metric come before the court bit it should be on the balance of the rights of the defendant as well as the claimant to ensure justice is done whatever the outcome of the tile would be. It would also be necessary to look at what the potential for damage would </w:t>
      </w:r>
      <w:r w:rsidR="00494CB4" w:rsidRPr="000F6B7C">
        <w:rPr>
          <w:rFonts w:cstheme="minorHAnsi"/>
          <w:bCs/>
          <w:sz w:val="24"/>
          <w:szCs w:val="24"/>
        </w:rPr>
        <w:t>be as</w:t>
      </w:r>
      <w:r w:rsidR="00540053" w:rsidRPr="000F6B7C">
        <w:rPr>
          <w:rFonts w:cstheme="minorHAnsi"/>
          <w:bCs/>
          <w:sz w:val="24"/>
          <w:szCs w:val="24"/>
        </w:rPr>
        <w:t xml:space="preserve"> well as weather</w:t>
      </w:r>
      <w:r w:rsidR="00494CB4" w:rsidRPr="000F6B7C">
        <w:rPr>
          <w:rFonts w:cstheme="minorHAnsi"/>
          <w:bCs/>
          <w:sz w:val="24"/>
          <w:szCs w:val="24"/>
        </w:rPr>
        <w:t xml:space="preserve"> the defendant would be able to right the wrong. If there is a high chance of damage and the defendant would not be able to pay the claimant, it would then be prudent to ensure that the assets belonging to the defendant would not be able to be damages ensuring justice will be able to be done at trial. This is a key distinguishing factor that gives back some rights to the defendant preventing the court freezing assets with no real need.</w:t>
      </w:r>
    </w:p>
    <w:p w14:paraId="2DCF21C0" w14:textId="20495B62" w:rsidR="0012636E" w:rsidRPr="000F6B7C" w:rsidRDefault="00E640CA" w:rsidP="00863BA1">
      <w:pPr>
        <w:spacing w:line="480" w:lineRule="auto"/>
        <w:rPr>
          <w:rFonts w:cstheme="minorHAnsi"/>
          <w:bCs/>
          <w:sz w:val="24"/>
          <w:szCs w:val="24"/>
        </w:rPr>
      </w:pPr>
      <w:r w:rsidRPr="000F6B7C">
        <w:rPr>
          <w:rFonts w:cstheme="minorHAnsi"/>
          <w:bCs/>
          <w:sz w:val="24"/>
          <w:szCs w:val="24"/>
        </w:rPr>
        <w:t>Additionally</w:t>
      </w:r>
      <w:r w:rsidR="0012636E" w:rsidRPr="000F6B7C">
        <w:rPr>
          <w:rFonts w:cstheme="minorHAnsi"/>
          <w:bCs/>
          <w:sz w:val="24"/>
          <w:szCs w:val="24"/>
        </w:rPr>
        <w:t xml:space="preserve">, this is expanded upon with the case of </w:t>
      </w:r>
      <w:r w:rsidR="0012636E" w:rsidRPr="000F6B7C">
        <w:rPr>
          <w:rFonts w:cstheme="minorHAnsi"/>
          <w:bCs/>
          <w:sz w:val="24"/>
          <w:szCs w:val="24"/>
        </w:rPr>
        <w:t>Re Bank of Credit and Commerce International SA (No 9)</w:t>
      </w:r>
      <w:r w:rsidR="0012636E" w:rsidRPr="000F6B7C">
        <w:rPr>
          <w:rFonts w:cstheme="minorHAnsi"/>
          <w:bCs/>
          <w:sz w:val="24"/>
          <w:szCs w:val="24"/>
        </w:rPr>
        <w:t xml:space="preserve"> 1994. In this case the requirements for the court to be able to enforce a freezing order was expended to more detailed rules. </w:t>
      </w:r>
      <w:r w:rsidR="00D134B4" w:rsidRPr="000F6B7C">
        <w:rPr>
          <w:rFonts w:cstheme="minorHAnsi"/>
          <w:bCs/>
          <w:sz w:val="24"/>
          <w:szCs w:val="24"/>
        </w:rPr>
        <w:t xml:space="preserve">The claimant must be able to make a reasonable ability to make the case in fact. The claimant must also prove that there are assets for the injunction to apply to either within jurisdiction or outside of with the addition an extra-territorial order. </w:t>
      </w:r>
      <w:r w:rsidR="00BB3A3A" w:rsidRPr="000F6B7C">
        <w:rPr>
          <w:rFonts w:cstheme="minorHAnsi"/>
          <w:bCs/>
          <w:sz w:val="24"/>
          <w:szCs w:val="24"/>
        </w:rPr>
        <w:t>Finally,</w:t>
      </w:r>
      <w:r w:rsidR="00D134B4" w:rsidRPr="000F6B7C">
        <w:rPr>
          <w:rFonts w:cstheme="minorHAnsi"/>
          <w:bCs/>
          <w:sz w:val="24"/>
          <w:szCs w:val="24"/>
        </w:rPr>
        <w:t xml:space="preserve"> there </w:t>
      </w:r>
      <w:r w:rsidR="00BF4922" w:rsidRPr="000F6B7C">
        <w:rPr>
          <w:rFonts w:cstheme="minorHAnsi"/>
          <w:bCs/>
          <w:sz w:val="24"/>
          <w:szCs w:val="24"/>
        </w:rPr>
        <w:t>must be a real risk to the assets that would render any verdict of the court unable to be enforced.</w:t>
      </w:r>
      <w:r w:rsidR="000D7868" w:rsidRPr="000F6B7C">
        <w:rPr>
          <w:rFonts w:cstheme="minorHAnsi"/>
          <w:bCs/>
          <w:sz w:val="24"/>
          <w:szCs w:val="24"/>
        </w:rPr>
        <w:t xml:space="preserve"> The more stringent rules show that the court is very limited to where and when they </w:t>
      </w:r>
      <w:r w:rsidR="000B3ABF" w:rsidRPr="000F6B7C">
        <w:rPr>
          <w:rFonts w:cstheme="minorHAnsi"/>
          <w:bCs/>
          <w:sz w:val="24"/>
          <w:szCs w:val="24"/>
        </w:rPr>
        <w:t>can</w:t>
      </w:r>
      <w:r w:rsidR="000D7868" w:rsidRPr="000F6B7C">
        <w:rPr>
          <w:rFonts w:cstheme="minorHAnsi"/>
          <w:bCs/>
          <w:sz w:val="24"/>
          <w:szCs w:val="24"/>
        </w:rPr>
        <w:t xml:space="preserve"> freeze assets of the defendant, this is a major shift towards the rights of </w:t>
      </w:r>
      <w:r w:rsidR="000B3ABF" w:rsidRPr="000F6B7C">
        <w:rPr>
          <w:rFonts w:cstheme="minorHAnsi"/>
          <w:bCs/>
          <w:sz w:val="24"/>
          <w:szCs w:val="24"/>
        </w:rPr>
        <w:t>the defendant and their assets.</w:t>
      </w:r>
      <w:r w:rsidRPr="000F6B7C">
        <w:rPr>
          <w:rFonts w:cstheme="minorHAnsi"/>
          <w:bCs/>
          <w:sz w:val="24"/>
          <w:szCs w:val="24"/>
        </w:rPr>
        <w:t xml:space="preserve"> </w:t>
      </w:r>
      <w:sdt>
        <w:sdtPr>
          <w:rPr>
            <w:rFonts w:cstheme="minorHAnsi"/>
            <w:bCs/>
            <w:sz w:val="24"/>
            <w:szCs w:val="24"/>
          </w:rPr>
          <w:id w:val="-1955792228"/>
          <w:citation/>
        </w:sdtPr>
        <w:sdtContent>
          <w:r w:rsidR="00E41194" w:rsidRPr="000F6B7C">
            <w:rPr>
              <w:rFonts w:cstheme="minorHAnsi"/>
              <w:bCs/>
              <w:sz w:val="24"/>
              <w:szCs w:val="24"/>
            </w:rPr>
            <w:fldChar w:fldCharType="begin"/>
          </w:r>
          <w:r w:rsidR="00E41194" w:rsidRPr="000F6B7C">
            <w:rPr>
              <w:rFonts w:cstheme="minorHAnsi"/>
              <w:bCs/>
              <w:sz w:val="24"/>
              <w:szCs w:val="24"/>
            </w:rPr>
            <w:instrText xml:space="preserve"> CITATION Wil05 \l 2057 </w:instrText>
          </w:r>
          <w:r w:rsidR="00E41194" w:rsidRPr="000F6B7C">
            <w:rPr>
              <w:rFonts w:cstheme="minorHAnsi"/>
              <w:bCs/>
              <w:sz w:val="24"/>
              <w:szCs w:val="24"/>
            </w:rPr>
            <w:fldChar w:fldCharType="separate"/>
          </w:r>
          <w:r w:rsidR="000F6B7C" w:rsidRPr="000F6B7C">
            <w:rPr>
              <w:rFonts w:cstheme="minorHAnsi"/>
              <w:noProof/>
              <w:sz w:val="24"/>
              <w:szCs w:val="24"/>
            </w:rPr>
            <w:t>(Wilson, 2005)</w:t>
          </w:r>
          <w:r w:rsidR="00E41194" w:rsidRPr="000F6B7C">
            <w:rPr>
              <w:rFonts w:cstheme="minorHAnsi"/>
              <w:bCs/>
              <w:sz w:val="24"/>
              <w:szCs w:val="24"/>
            </w:rPr>
            <w:fldChar w:fldCharType="end"/>
          </w:r>
        </w:sdtContent>
      </w:sdt>
    </w:p>
    <w:p w14:paraId="3B608582" w14:textId="1DE93054" w:rsidR="00147463" w:rsidRPr="000F6B7C" w:rsidRDefault="008326FA" w:rsidP="00863BA1">
      <w:pPr>
        <w:spacing w:line="480" w:lineRule="auto"/>
        <w:rPr>
          <w:rFonts w:cstheme="minorHAnsi"/>
          <w:bCs/>
          <w:sz w:val="24"/>
          <w:szCs w:val="24"/>
        </w:rPr>
      </w:pPr>
      <w:r w:rsidRPr="000F6B7C">
        <w:rPr>
          <w:rFonts w:cstheme="minorHAnsi"/>
          <w:bCs/>
          <w:sz w:val="24"/>
          <w:szCs w:val="24"/>
        </w:rPr>
        <w:lastRenderedPageBreak/>
        <w:t xml:space="preserve">Further expanding on the freezing order is weather the intent of the defendant matters when considering approval of a freezing injunction. On one hand it can be seen as purely the possibility of said assets being removed </w:t>
      </w:r>
      <w:r w:rsidR="00F15F7C" w:rsidRPr="000F6B7C">
        <w:rPr>
          <w:rFonts w:cstheme="minorHAnsi"/>
          <w:bCs/>
          <w:sz w:val="24"/>
          <w:szCs w:val="24"/>
        </w:rPr>
        <w:t>warrants</w:t>
      </w:r>
      <w:r w:rsidRPr="000F6B7C">
        <w:rPr>
          <w:rFonts w:cstheme="minorHAnsi"/>
          <w:bCs/>
          <w:sz w:val="24"/>
          <w:szCs w:val="24"/>
        </w:rPr>
        <w:t xml:space="preserve"> the freezing order as it would be a very difficult task to prove ill intent </w:t>
      </w:r>
      <w:r w:rsidR="00F15F7C" w:rsidRPr="000F6B7C">
        <w:rPr>
          <w:rFonts w:cstheme="minorHAnsi"/>
          <w:bCs/>
          <w:sz w:val="24"/>
          <w:szCs w:val="24"/>
        </w:rPr>
        <w:t xml:space="preserve">as previous action would not help. In the case of </w:t>
      </w:r>
      <w:r w:rsidR="00F15F7C" w:rsidRPr="000F6B7C">
        <w:rPr>
          <w:rFonts w:cstheme="minorHAnsi"/>
          <w:bCs/>
          <w:sz w:val="24"/>
          <w:szCs w:val="24"/>
        </w:rPr>
        <w:t>Third Chandris Shipping Corporation</w:t>
      </w:r>
      <w:r w:rsidR="00F15F7C" w:rsidRPr="000F6B7C">
        <w:rPr>
          <w:rFonts w:cstheme="minorHAnsi"/>
          <w:bCs/>
          <w:sz w:val="24"/>
          <w:szCs w:val="24"/>
        </w:rPr>
        <w:t xml:space="preserve"> 1979 </w:t>
      </w:r>
      <w:r w:rsidR="00B3666D" w:rsidRPr="000F6B7C">
        <w:rPr>
          <w:rFonts w:cstheme="minorHAnsi"/>
          <w:bCs/>
          <w:sz w:val="24"/>
          <w:szCs w:val="24"/>
        </w:rPr>
        <w:t>it can also be seen that it may also not be from the potential of the assets being removed, this can be seen with international cases. If a freezing order could be given as a result of this it would place too high of a disadvantage on any company that was doing biasness internationall</w:t>
      </w:r>
      <w:r w:rsidR="00CB4E71" w:rsidRPr="000F6B7C">
        <w:rPr>
          <w:rFonts w:cstheme="minorHAnsi"/>
          <w:bCs/>
          <w:sz w:val="24"/>
          <w:szCs w:val="24"/>
        </w:rPr>
        <w:t>y, allowing this to be a factor would heavily discourage any form of international trade as they would always be at risk of having assets frozen without justification. Lord Denning states that it is the outcome that needs to be looked at, therefore</w:t>
      </w:r>
      <w:r w:rsidR="00AC713D" w:rsidRPr="000F6B7C">
        <w:rPr>
          <w:rFonts w:cstheme="minorHAnsi"/>
          <w:bCs/>
          <w:sz w:val="24"/>
          <w:szCs w:val="24"/>
        </w:rPr>
        <w:t xml:space="preserve"> it was not on the intention to deprive the claimant of assets rather if the defendant has a poor history with payment or if they do not have a clear past. </w:t>
      </w:r>
      <w:sdt>
        <w:sdtPr>
          <w:rPr>
            <w:rFonts w:cstheme="minorHAnsi"/>
            <w:bCs/>
            <w:sz w:val="24"/>
            <w:szCs w:val="24"/>
          </w:rPr>
          <w:id w:val="-124322748"/>
          <w:citation/>
        </w:sdtPr>
        <w:sdtContent>
          <w:r w:rsidR="00AC713D" w:rsidRPr="000F6B7C">
            <w:rPr>
              <w:rFonts w:cstheme="minorHAnsi"/>
              <w:bCs/>
              <w:sz w:val="24"/>
              <w:szCs w:val="24"/>
            </w:rPr>
            <w:fldChar w:fldCharType="begin"/>
          </w:r>
          <w:r w:rsidR="00AC713D" w:rsidRPr="000F6B7C">
            <w:rPr>
              <w:rFonts w:cstheme="minorHAnsi"/>
              <w:bCs/>
              <w:sz w:val="24"/>
              <w:szCs w:val="24"/>
            </w:rPr>
            <w:instrText xml:space="preserve"> CITATION Mof05 \l 2057 </w:instrText>
          </w:r>
          <w:r w:rsidR="00AC713D" w:rsidRPr="000F6B7C">
            <w:rPr>
              <w:rFonts w:cstheme="minorHAnsi"/>
              <w:bCs/>
              <w:sz w:val="24"/>
              <w:szCs w:val="24"/>
            </w:rPr>
            <w:fldChar w:fldCharType="separate"/>
          </w:r>
          <w:r w:rsidR="000F6B7C" w:rsidRPr="000F6B7C">
            <w:rPr>
              <w:rFonts w:cstheme="minorHAnsi"/>
              <w:noProof/>
              <w:sz w:val="24"/>
              <w:szCs w:val="24"/>
            </w:rPr>
            <w:t>(Moffat, 2005)</w:t>
          </w:r>
          <w:r w:rsidR="00AC713D" w:rsidRPr="000F6B7C">
            <w:rPr>
              <w:rFonts w:cstheme="minorHAnsi"/>
              <w:bCs/>
              <w:sz w:val="24"/>
              <w:szCs w:val="24"/>
            </w:rPr>
            <w:fldChar w:fldCharType="end"/>
          </w:r>
        </w:sdtContent>
      </w:sdt>
    </w:p>
    <w:p w14:paraId="47621FAB" w14:textId="2696EC47" w:rsidR="003720B9" w:rsidRPr="000F6B7C" w:rsidRDefault="00C60E3C" w:rsidP="00863BA1">
      <w:pPr>
        <w:spacing w:line="480" w:lineRule="auto"/>
        <w:rPr>
          <w:rFonts w:cstheme="minorHAnsi"/>
          <w:bCs/>
          <w:sz w:val="24"/>
          <w:szCs w:val="24"/>
        </w:rPr>
      </w:pPr>
      <w:r w:rsidRPr="000F6B7C">
        <w:rPr>
          <w:rFonts w:cstheme="minorHAnsi"/>
          <w:bCs/>
          <w:sz w:val="24"/>
          <w:szCs w:val="24"/>
        </w:rPr>
        <w:t xml:space="preserve">Furthermore, in the </w:t>
      </w:r>
      <w:r w:rsidRPr="000F6B7C">
        <w:rPr>
          <w:rFonts w:cstheme="minorHAnsi"/>
          <w:bCs/>
          <w:sz w:val="24"/>
          <w:szCs w:val="24"/>
        </w:rPr>
        <w:t xml:space="preserve">Third Chandris Shipping </w:t>
      </w:r>
      <w:r w:rsidRPr="000F6B7C">
        <w:rPr>
          <w:rFonts w:cstheme="minorHAnsi"/>
          <w:bCs/>
          <w:sz w:val="24"/>
          <w:szCs w:val="24"/>
        </w:rPr>
        <w:t>1979 case it can also be seen that issues may arise from freeing orders being able to be carried out in an ex parte, meaning without notice, for both the defendant as well as the need for some concessions made by the claimant. This is as a result of it being much easier for someone to make a stronger case when they do not have any competition</w:t>
      </w:r>
      <w:r w:rsidR="003720B9" w:rsidRPr="000F6B7C">
        <w:rPr>
          <w:rFonts w:cstheme="minorHAnsi"/>
          <w:bCs/>
          <w:sz w:val="24"/>
          <w:szCs w:val="24"/>
        </w:rPr>
        <w:t xml:space="preserve">. </w:t>
      </w:r>
      <w:r w:rsidR="00CB27B6" w:rsidRPr="000F6B7C">
        <w:rPr>
          <w:rFonts w:cstheme="minorHAnsi"/>
          <w:bCs/>
          <w:sz w:val="24"/>
          <w:szCs w:val="24"/>
        </w:rPr>
        <w:t xml:space="preserve">As a result of this it was then decided that </w:t>
      </w:r>
      <w:r w:rsidR="00175AC8" w:rsidRPr="000F6B7C">
        <w:rPr>
          <w:rFonts w:cstheme="minorHAnsi"/>
          <w:bCs/>
          <w:sz w:val="24"/>
          <w:szCs w:val="24"/>
        </w:rPr>
        <w:t>claimant would have to give all the relevant information that they had in position to the court while making an application and such the court would be able to make a more rounded diction based on all the facts as a result of the claimant having to supply all information. This could be abused by the claimant if they do not provide some information, but if this is discovered then they would risk having the injunction being stopped.</w:t>
      </w:r>
      <w:r w:rsidR="005F53B6" w:rsidRPr="000F6B7C">
        <w:rPr>
          <w:rFonts w:cstheme="minorHAnsi"/>
          <w:bCs/>
          <w:sz w:val="24"/>
          <w:szCs w:val="24"/>
        </w:rPr>
        <w:t xml:space="preserve"> </w:t>
      </w:r>
      <w:sdt>
        <w:sdtPr>
          <w:rPr>
            <w:rFonts w:cstheme="minorHAnsi"/>
            <w:bCs/>
            <w:sz w:val="24"/>
            <w:szCs w:val="24"/>
          </w:rPr>
          <w:id w:val="1335874432"/>
          <w:citation/>
        </w:sdtPr>
        <w:sdtContent>
          <w:r w:rsidR="005F53B6" w:rsidRPr="000F6B7C">
            <w:rPr>
              <w:rFonts w:cstheme="minorHAnsi"/>
              <w:bCs/>
              <w:sz w:val="24"/>
              <w:szCs w:val="24"/>
            </w:rPr>
            <w:fldChar w:fldCharType="begin"/>
          </w:r>
          <w:r w:rsidR="005F53B6" w:rsidRPr="000F6B7C">
            <w:rPr>
              <w:rFonts w:cstheme="minorHAnsi"/>
              <w:bCs/>
              <w:sz w:val="24"/>
              <w:szCs w:val="24"/>
            </w:rPr>
            <w:instrText xml:space="preserve"> CITATION Mof05 \l 2057 </w:instrText>
          </w:r>
          <w:r w:rsidR="005F53B6" w:rsidRPr="000F6B7C">
            <w:rPr>
              <w:rFonts w:cstheme="minorHAnsi"/>
              <w:bCs/>
              <w:sz w:val="24"/>
              <w:szCs w:val="24"/>
            </w:rPr>
            <w:fldChar w:fldCharType="separate"/>
          </w:r>
          <w:r w:rsidR="000F6B7C" w:rsidRPr="000F6B7C">
            <w:rPr>
              <w:rFonts w:cstheme="minorHAnsi"/>
              <w:noProof/>
              <w:sz w:val="24"/>
              <w:szCs w:val="24"/>
            </w:rPr>
            <w:t>(Moffat, 2005)</w:t>
          </w:r>
          <w:r w:rsidR="005F53B6" w:rsidRPr="000F6B7C">
            <w:rPr>
              <w:rFonts w:cstheme="minorHAnsi"/>
              <w:bCs/>
              <w:sz w:val="24"/>
              <w:szCs w:val="24"/>
            </w:rPr>
            <w:fldChar w:fldCharType="end"/>
          </w:r>
        </w:sdtContent>
      </w:sdt>
    </w:p>
    <w:p w14:paraId="6DD6A576" w14:textId="2DFBC480" w:rsidR="006022EF" w:rsidRPr="000F6B7C" w:rsidRDefault="00C72C0A" w:rsidP="00863BA1">
      <w:pPr>
        <w:spacing w:line="480" w:lineRule="auto"/>
        <w:rPr>
          <w:rFonts w:cstheme="minorHAnsi"/>
          <w:bCs/>
          <w:sz w:val="24"/>
          <w:szCs w:val="24"/>
        </w:rPr>
      </w:pPr>
      <w:r w:rsidRPr="000F6B7C">
        <w:rPr>
          <w:rFonts w:cstheme="minorHAnsi"/>
          <w:bCs/>
          <w:sz w:val="24"/>
          <w:szCs w:val="24"/>
        </w:rPr>
        <w:lastRenderedPageBreak/>
        <w:t xml:space="preserve">Another tool that is used to ensure justice is done as it ought to be done with international freezing orders. Typically, a freezing order would only work within the borders of the English legal system but as a result of the </w:t>
      </w:r>
      <w:r w:rsidR="0005007A" w:rsidRPr="000F6B7C">
        <w:rPr>
          <w:rFonts w:cstheme="minorHAnsi"/>
          <w:bCs/>
          <w:sz w:val="24"/>
          <w:szCs w:val="24"/>
        </w:rPr>
        <w:t xml:space="preserve">order being against the person rather than the assets with the addition to the normal rules of international law. This is key in modern cases as many cases are international, especially fraud cases on a scale that would cause an immense amount of damage. This can be seen in the case of </w:t>
      </w:r>
      <w:r w:rsidR="00F3378A" w:rsidRPr="000F6B7C">
        <w:rPr>
          <w:rFonts w:cstheme="minorHAnsi"/>
          <w:bCs/>
          <w:sz w:val="24"/>
          <w:szCs w:val="24"/>
        </w:rPr>
        <w:t>Derby and Co Ltd</w:t>
      </w:r>
      <w:r w:rsidR="00F3378A" w:rsidRPr="000F6B7C">
        <w:rPr>
          <w:rFonts w:cstheme="minorHAnsi"/>
          <w:bCs/>
          <w:sz w:val="24"/>
          <w:szCs w:val="24"/>
        </w:rPr>
        <w:t xml:space="preserve"> 1990 where the claimant was in the United Kingdome and the defendant was in Luxemburg and none of the assets of the defendant was within the jurisdiction of the United Kingdome. The claimant was </w:t>
      </w:r>
      <w:r w:rsidR="002B5C08" w:rsidRPr="000F6B7C">
        <w:rPr>
          <w:rFonts w:cstheme="minorHAnsi"/>
          <w:bCs/>
          <w:sz w:val="24"/>
          <w:szCs w:val="24"/>
        </w:rPr>
        <w:t>acting</w:t>
      </w:r>
      <w:r w:rsidR="00F3378A" w:rsidRPr="000F6B7C">
        <w:rPr>
          <w:rFonts w:cstheme="minorHAnsi"/>
          <w:bCs/>
          <w:sz w:val="24"/>
          <w:szCs w:val="24"/>
        </w:rPr>
        <w:t xml:space="preserve"> against the people not the positions, so it was allowed.</w:t>
      </w:r>
      <w:r w:rsidR="00687345" w:rsidRPr="000F6B7C">
        <w:rPr>
          <w:rFonts w:cstheme="minorHAnsi"/>
          <w:bCs/>
          <w:sz w:val="24"/>
          <w:szCs w:val="24"/>
        </w:rPr>
        <w:t xml:space="preserve"> </w:t>
      </w:r>
      <w:sdt>
        <w:sdtPr>
          <w:rPr>
            <w:rFonts w:cstheme="minorHAnsi"/>
            <w:bCs/>
            <w:sz w:val="24"/>
            <w:szCs w:val="24"/>
          </w:rPr>
          <w:id w:val="1860462921"/>
          <w:citation/>
        </w:sdtPr>
        <w:sdtContent>
          <w:r w:rsidR="00863BA1">
            <w:rPr>
              <w:rFonts w:cstheme="minorHAnsi"/>
              <w:bCs/>
              <w:sz w:val="24"/>
              <w:szCs w:val="24"/>
            </w:rPr>
            <w:fldChar w:fldCharType="begin"/>
          </w:r>
          <w:r w:rsidR="00863BA1">
            <w:rPr>
              <w:rFonts w:cstheme="minorHAnsi"/>
              <w:bCs/>
              <w:sz w:val="24"/>
              <w:szCs w:val="24"/>
            </w:rPr>
            <w:instrText xml:space="preserve"> CITATION Pet21 \l 2057 </w:instrText>
          </w:r>
          <w:r w:rsidR="00863BA1">
            <w:rPr>
              <w:rFonts w:cstheme="minorHAnsi"/>
              <w:bCs/>
              <w:sz w:val="24"/>
              <w:szCs w:val="24"/>
            </w:rPr>
            <w:fldChar w:fldCharType="separate"/>
          </w:r>
          <w:r w:rsidR="00863BA1" w:rsidRPr="00863BA1">
            <w:rPr>
              <w:rFonts w:cstheme="minorHAnsi"/>
              <w:noProof/>
              <w:sz w:val="24"/>
              <w:szCs w:val="24"/>
            </w:rPr>
            <w:t>(Pettit, 2021)</w:t>
          </w:r>
          <w:r w:rsidR="00863BA1">
            <w:rPr>
              <w:rFonts w:cstheme="minorHAnsi"/>
              <w:bCs/>
              <w:sz w:val="24"/>
              <w:szCs w:val="24"/>
            </w:rPr>
            <w:fldChar w:fldCharType="end"/>
          </w:r>
        </w:sdtContent>
      </w:sdt>
    </w:p>
    <w:p w14:paraId="2971A9B4" w14:textId="4987E524" w:rsidR="002B5C08" w:rsidRPr="000F6B7C" w:rsidRDefault="006022EF" w:rsidP="00863BA1">
      <w:pPr>
        <w:spacing w:line="480" w:lineRule="auto"/>
        <w:rPr>
          <w:rFonts w:cstheme="minorHAnsi"/>
          <w:bCs/>
          <w:sz w:val="24"/>
          <w:szCs w:val="24"/>
        </w:rPr>
      </w:pPr>
      <w:r w:rsidRPr="000F6B7C">
        <w:rPr>
          <w:rFonts w:cstheme="minorHAnsi"/>
          <w:bCs/>
          <w:sz w:val="24"/>
          <w:szCs w:val="24"/>
        </w:rPr>
        <w:t>Furthermore, in international aspect of freezing orders work both ways. This can be seen with the case</w:t>
      </w:r>
      <w:r w:rsidR="002B5C08" w:rsidRPr="000F6B7C">
        <w:rPr>
          <w:rFonts w:cstheme="minorHAnsi"/>
          <w:bCs/>
          <w:sz w:val="24"/>
          <w:szCs w:val="24"/>
        </w:rPr>
        <w:t xml:space="preserve"> </w:t>
      </w:r>
      <w:r w:rsidRPr="000F6B7C">
        <w:rPr>
          <w:rFonts w:cstheme="minorHAnsi"/>
          <w:bCs/>
          <w:sz w:val="24"/>
          <w:szCs w:val="24"/>
        </w:rPr>
        <w:t>Fourie v Le Roux and others</w:t>
      </w:r>
      <w:r w:rsidR="00687345" w:rsidRPr="000F6B7C">
        <w:rPr>
          <w:rFonts w:cstheme="minorHAnsi"/>
          <w:bCs/>
          <w:sz w:val="24"/>
          <w:szCs w:val="24"/>
        </w:rPr>
        <w:t>. I this case they key aspect of allowing the freezing order was as a result of the freezing being directly related to the</w:t>
      </w:r>
      <w:r w:rsidR="009D707C" w:rsidRPr="000F6B7C">
        <w:rPr>
          <w:rFonts w:cstheme="minorHAnsi"/>
          <w:bCs/>
          <w:sz w:val="24"/>
          <w:szCs w:val="24"/>
        </w:rPr>
        <w:t xml:space="preserve"> judgement, if it was not then it was likely for the freezing order to fail, there would also have to be a connection between the United Kingdme and the other territory in legal terms otherwise </w:t>
      </w:r>
      <w:r w:rsidR="007E605F" w:rsidRPr="000F6B7C">
        <w:rPr>
          <w:rFonts w:cstheme="minorHAnsi"/>
          <w:bCs/>
          <w:sz w:val="24"/>
          <w:szCs w:val="24"/>
        </w:rPr>
        <w:t xml:space="preserve">it would be very difficult to carry out any action. </w:t>
      </w:r>
      <w:sdt>
        <w:sdtPr>
          <w:rPr>
            <w:rFonts w:cstheme="minorHAnsi"/>
            <w:bCs/>
            <w:sz w:val="24"/>
            <w:szCs w:val="24"/>
          </w:rPr>
          <w:id w:val="2124870052"/>
          <w:citation/>
        </w:sdtPr>
        <w:sdtContent>
          <w:r w:rsidR="007E605F" w:rsidRPr="000F6B7C">
            <w:rPr>
              <w:rFonts w:cstheme="minorHAnsi"/>
              <w:bCs/>
              <w:sz w:val="24"/>
              <w:szCs w:val="24"/>
            </w:rPr>
            <w:fldChar w:fldCharType="begin"/>
          </w:r>
          <w:r w:rsidR="007E605F" w:rsidRPr="000F6B7C">
            <w:rPr>
              <w:rFonts w:cstheme="minorHAnsi"/>
              <w:bCs/>
              <w:sz w:val="24"/>
              <w:szCs w:val="24"/>
            </w:rPr>
            <w:instrText xml:space="preserve"> CITATION Wat21 \l 2057 </w:instrText>
          </w:r>
          <w:r w:rsidR="007E605F" w:rsidRPr="000F6B7C">
            <w:rPr>
              <w:rFonts w:cstheme="minorHAnsi"/>
              <w:bCs/>
              <w:sz w:val="24"/>
              <w:szCs w:val="24"/>
            </w:rPr>
            <w:fldChar w:fldCharType="separate"/>
          </w:r>
          <w:r w:rsidR="000F6B7C" w:rsidRPr="000F6B7C">
            <w:rPr>
              <w:rFonts w:cstheme="minorHAnsi"/>
              <w:noProof/>
              <w:sz w:val="24"/>
              <w:szCs w:val="24"/>
            </w:rPr>
            <w:t>(Watt, 2021)</w:t>
          </w:r>
          <w:r w:rsidR="007E605F" w:rsidRPr="000F6B7C">
            <w:rPr>
              <w:rFonts w:cstheme="minorHAnsi"/>
              <w:bCs/>
              <w:sz w:val="24"/>
              <w:szCs w:val="24"/>
            </w:rPr>
            <w:fldChar w:fldCharType="end"/>
          </w:r>
        </w:sdtContent>
      </w:sdt>
    </w:p>
    <w:p w14:paraId="3BE29DEE" w14:textId="3C518103" w:rsidR="0004519F" w:rsidRPr="000F6B7C" w:rsidRDefault="0004519F" w:rsidP="00863BA1">
      <w:pPr>
        <w:spacing w:line="480" w:lineRule="auto"/>
        <w:rPr>
          <w:rFonts w:cstheme="minorHAnsi"/>
          <w:bCs/>
          <w:sz w:val="24"/>
          <w:szCs w:val="24"/>
        </w:rPr>
      </w:pPr>
      <w:r w:rsidRPr="000F6B7C">
        <w:rPr>
          <w:rFonts w:cstheme="minorHAnsi"/>
          <w:bCs/>
          <w:sz w:val="24"/>
          <w:szCs w:val="24"/>
        </w:rPr>
        <w:t xml:space="preserve">Another key aspect can be seen in the case of </w:t>
      </w:r>
      <w:r w:rsidRPr="000F6B7C">
        <w:rPr>
          <w:rFonts w:cstheme="minorHAnsi"/>
          <w:bCs/>
          <w:sz w:val="24"/>
          <w:szCs w:val="24"/>
        </w:rPr>
        <w:t>HM Revenue &amp; Customs v Clayton Egleton</w:t>
      </w:r>
      <w:r w:rsidRPr="000F6B7C">
        <w:rPr>
          <w:rFonts w:cstheme="minorHAnsi"/>
          <w:bCs/>
          <w:sz w:val="24"/>
          <w:szCs w:val="24"/>
        </w:rPr>
        <w:t xml:space="preserve"> 2006 </w:t>
      </w:r>
      <w:r w:rsidR="009C6169" w:rsidRPr="000F6B7C">
        <w:rPr>
          <w:rFonts w:cstheme="minorHAnsi"/>
          <w:bCs/>
          <w:sz w:val="24"/>
          <w:szCs w:val="24"/>
        </w:rPr>
        <w:t xml:space="preserve">where it can be seen some exceptions can be made in the need of direct interest. In this case it is in relating to a substantial non-payment of vat, the </w:t>
      </w:r>
      <w:r w:rsidR="00A45C42" w:rsidRPr="000F6B7C">
        <w:rPr>
          <w:rFonts w:cstheme="minorHAnsi"/>
          <w:bCs/>
          <w:sz w:val="24"/>
          <w:szCs w:val="24"/>
        </w:rPr>
        <w:t>claimant</w:t>
      </w:r>
      <w:r w:rsidR="009C6169" w:rsidRPr="000F6B7C">
        <w:rPr>
          <w:rFonts w:cstheme="minorHAnsi"/>
          <w:bCs/>
          <w:sz w:val="24"/>
          <w:szCs w:val="24"/>
        </w:rPr>
        <w:t xml:space="preserve"> did not have a legal claim to the money and was not directly associated with the party that had the freezing order against </w:t>
      </w:r>
      <w:r w:rsidR="00A45C42" w:rsidRPr="000F6B7C">
        <w:rPr>
          <w:rFonts w:cstheme="minorHAnsi"/>
          <w:bCs/>
          <w:sz w:val="24"/>
          <w:szCs w:val="24"/>
        </w:rPr>
        <w:t>them,</w:t>
      </w:r>
      <w:r w:rsidR="009C6169" w:rsidRPr="000F6B7C">
        <w:rPr>
          <w:rFonts w:cstheme="minorHAnsi"/>
          <w:bCs/>
          <w:sz w:val="24"/>
          <w:szCs w:val="24"/>
        </w:rPr>
        <w:t xml:space="preserve"> but they did have an equitable interest in the assets owned by the </w:t>
      </w:r>
      <w:r w:rsidR="00A45C42" w:rsidRPr="000F6B7C">
        <w:rPr>
          <w:rFonts w:cstheme="minorHAnsi"/>
          <w:bCs/>
          <w:sz w:val="24"/>
          <w:szCs w:val="24"/>
        </w:rPr>
        <w:t>defendants</w:t>
      </w:r>
      <w:r w:rsidR="009C6169" w:rsidRPr="000F6B7C">
        <w:rPr>
          <w:rFonts w:cstheme="minorHAnsi"/>
          <w:bCs/>
          <w:sz w:val="24"/>
          <w:szCs w:val="24"/>
        </w:rPr>
        <w:t xml:space="preserve">. Following the </w:t>
      </w:r>
      <w:r w:rsidR="00A45C42" w:rsidRPr="000F6B7C">
        <w:rPr>
          <w:rFonts w:cstheme="minorHAnsi"/>
          <w:bCs/>
          <w:sz w:val="24"/>
          <w:szCs w:val="24"/>
        </w:rPr>
        <w:t>printable</w:t>
      </w:r>
      <w:r w:rsidR="009C6169" w:rsidRPr="000F6B7C">
        <w:rPr>
          <w:rFonts w:cstheme="minorHAnsi"/>
          <w:bCs/>
          <w:sz w:val="24"/>
          <w:szCs w:val="24"/>
        </w:rPr>
        <w:t xml:space="preserve"> that the court will ensure that a full and proper ju</w:t>
      </w:r>
      <w:r w:rsidR="00A45C42" w:rsidRPr="000F6B7C">
        <w:rPr>
          <w:rFonts w:cstheme="minorHAnsi"/>
          <w:bCs/>
          <w:sz w:val="24"/>
          <w:szCs w:val="24"/>
        </w:rPr>
        <w:t>dgement</w:t>
      </w:r>
      <w:r w:rsidR="009C6169" w:rsidRPr="000F6B7C">
        <w:rPr>
          <w:rFonts w:cstheme="minorHAnsi"/>
          <w:bCs/>
          <w:sz w:val="24"/>
          <w:szCs w:val="24"/>
        </w:rPr>
        <w:t xml:space="preserve"> will be able to be fount it was seen if the assets of the third party was not frozen it would </w:t>
      </w:r>
      <w:r w:rsidR="00A45C42" w:rsidRPr="000F6B7C">
        <w:rPr>
          <w:rFonts w:cstheme="minorHAnsi"/>
          <w:bCs/>
          <w:sz w:val="24"/>
          <w:szCs w:val="24"/>
        </w:rPr>
        <w:t xml:space="preserve">place the claimant under too high of a risk. </w:t>
      </w:r>
      <w:r w:rsidR="00E640CA" w:rsidRPr="000F6B7C">
        <w:rPr>
          <w:rFonts w:cstheme="minorHAnsi"/>
          <w:bCs/>
          <w:sz w:val="24"/>
          <w:szCs w:val="24"/>
        </w:rPr>
        <w:t>Considering</w:t>
      </w:r>
      <w:r w:rsidR="00A45C42" w:rsidRPr="000F6B7C">
        <w:rPr>
          <w:rFonts w:cstheme="minorHAnsi"/>
          <w:bCs/>
          <w:sz w:val="24"/>
          <w:szCs w:val="24"/>
        </w:rPr>
        <w:t xml:space="preserve"> the fact this could be done </w:t>
      </w:r>
      <w:r w:rsidR="00A45C42" w:rsidRPr="000F6B7C">
        <w:rPr>
          <w:rFonts w:cstheme="minorHAnsi"/>
          <w:bCs/>
          <w:sz w:val="24"/>
          <w:szCs w:val="24"/>
        </w:rPr>
        <w:lastRenderedPageBreak/>
        <w:t xml:space="preserve">ex party it shifts strongly to the rights of the claimant as such an order can be taken against parties who may be fully unaware and not associated. </w:t>
      </w:r>
      <w:sdt>
        <w:sdtPr>
          <w:rPr>
            <w:rFonts w:cstheme="minorHAnsi"/>
            <w:bCs/>
            <w:sz w:val="24"/>
            <w:szCs w:val="24"/>
          </w:rPr>
          <w:id w:val="1575166998"/>
          <w:citation/>
        </w:sdtPr>
        <w:sdtContent>
          <w:r w:rsidR="00A45C42" w:rsidRPr="000F6B7C">
            <w:rPr>
              <w:rFonts w:cstheme="minorHAnsi"/>
              <w:bCs/>
              <w:sz w:val="24"/>
              <w:szCs w:val="24"/>
            </w:rPr>
            <w:fldChar w:fldCharType="begin"/>
          </w:r>
          <w:r w:rsidR="00A45C42" w:rsidRPr="000F6B7C">
            <w:rPr>
              <w:rFonts w:cstheme="minorHAnsi"/>
              <w:bCs/>
              <w:sz w:val="24"/>
              <w:szCs w:val="24"/>
            </w:rPr>
            <w:instrText xml:space="preserve"> CITATION Hic07 \l 2057 </w:instrText>
          </w:r>
          <w:r w:rsidR="00A45C42" w:rsidRPr="000F6B7C">
            <w:rPr>
              <w:rFonts w:cstheme="minorHAnsi"/>
              <w:bCs/>
              <w:sz w:val="24"/>
              <w:szCs w:val="24"/>
            </w:rPr>
            <w:fldChar w:fldCharType="separate"/>
          </w:r>
          <w:r w:rsidR="000F6B7C" w:rsidRPr="000F6B7C">
            <w:rPr>
              <w:rFonts w:cstheme="minorHAnsi"/>
              <w:noProof/>
              <w:sz w:val="24"/>
              <w:szCs w:val="24"/>
            </w:rPr>
            <w:t>(Hickin, 2007)</w:t>
          </w:r>
          <w:r w:rsidR="00A45C42" w:rsidRPr="000F6B7C">
            <w:rPr>
              <w:rFonts w:cstheme="minorHAnsi"/>
              <w:bCs/>
              <w:sz w:val="24"/>
              <w:szCs w:val="24"/>
            </w:rPr>
            <w:fldChar w:fldCharType="end"/>
          </w:r>
        </w:sdtContent>
      </w:sdt>
    </w:p>
    <w:p w14:paraId="47345883" w14:textId="479E6395" w:rsidR="00307411" w:rsidRPr="000F6B7C" w:rsidRDefault="00537B9E" w:rsidP="00863BA1">
      <w:pPr>
        <w:spacing w:line="480" w:lineRule="auto"/>
        <w:rPr>
          <w:rFonts w:cstheme="minorHAnsi"/>
          <w:bCs/>
          <w:sz w:val="24"/>
          <w:szCs w:val="24"/>
        </w:rPr>
      </w:pPr>
      <w:r w:rsidRPr="000F6B7C">
        <w:rPr>
          <w:rFonts w:cstheme="minorHAnsi"/>
          <w:bCs/>
          <w:sz w:val="24"/>
          <w:szCs w:val="24"/>
        </w:rPr>
        <w:t xml:space="preserve">As well as a freezing order a court would also have other opinions in the injunctions that they would be able to implement depending on the </w:t>
      </w:r>
      <w:r w:rsidR="00C95191" w:rsidRPr="000F6B7C">
        <w:rPr>
          <w:rFonts w:cstheme="minorHAnsi"/>
          <w:bCs/>
          <w:sz w:val="24"/>
          <w:szCs w:val="24"/>
        </w:rPr>
        <w:t>facts</w:t>
      </w:r>
      <w:r w:rsidRPr="000F6B7C">
        <w:rPr>
          <w:rFonts w:cstheme="minorHAnsi"/>
          <w:bCs/>
          <w:sz w:val="24"/>
          <w:szCs w:val="24"/>
        </w:rPr>
        <w:t xml:space="preserve"> of the case as well as what outcome would be the </w:t>
      </w:r>
      <w:r w:rsidR="00C95191" w:rsidRPr="000F6B7C">
        <w:rPr>
          <w:rFonts w:cstheme="minorHAnsi"/>
          <w:bCs/>
          <w:sz w:val="24"/>
          <w:szCs w:val="24"/>
        </w:rPr>
        <w:t>most</w:t>
      </w:r>
      <w:r w:rsidRPr="000F6B7C">
        <w:rPr>
          <w:rFonts w:cstheme="minorHAnsi"/>
          <w:bCs/>
          <w:sz w:val="24"/>
          <w:szCs w:val="24"/>
        </w:rPr>
        <w:t xml:space="preserve"> beneficial for the </w:t>
      </w:r>
      <w:r w:rsidR="00C95191" w:rsidRPr="000F6B7C">
        <w:rPr>
          <w:rFonts w:cstheme="minorHAnsi"/>
          <w:bCs/>
          <w:sz w:val="24"/>
          <w:szCs w:val="24"/>
        </w:rPr>
        <w:t>defendant</w:t>
      </w:r>
      <w:r w:rsidRPr="000F6B7C">
        <w:rPr>
          <w:rFonts w:cstheme="minorHAnsi"/>
          <w:bCs/>
          <w:sz w:val="24"/>
          <w:szCs w:val="24"/>
        </w:rPr>
        <w:t xml:space="preserve">, the </w:t>
      </w:r>
      <w:r w:rsidR="00C95191" w:rsidRPr="000F6B7C">
        <w:rPr>
          <w:rFonts w:cstheme="minorHAnsi"/>
          <w:bCs/>
          <w:sz w:val="24"/>
          <w:szCs w:val="24"/>
        </w:rPr>
        <w:t>claimant and what would be the most just. The rights of this is seen in the Supreme Court Act 1981 s37</w:t>
      </w:r>
      <w:r w:rsidR="00307411" w:rsidRPr="000F6B7C">
        <w:rPr>
          <w:rFonts w:cstheme="minorHAnsi"/>
          <w:bCs/>
          <w:sz w:val="24"/>
          <w:szCs w:val="24"/>
        </w:rPr>
        <w:t xml:space="preserve"> and mush like a freezing order will only act when it is just and convenient to do so. The key case in this would be </w:t>
      </w:r>
      <w:r w:rsidR="000A2273" w:rsidRPr="000F6B7C">
        <w:rPr>
          <w:rFonts w:cstheme="minorHAnsi"/>
          <w:bCs/>
          <w:sz w:val="24"/>
          <w:szCs w:val="24"/>
        </w:rPr>
        <w:t>Anton Piller v Manufacturing Processes Ltd</w:t>
      </w:r>
      <w:r w:rsidR="000A2273" w:rsidRPr="000F6B7C">
        <w:rPr>
          <w:rFonts w:cstheme="minorHAnsi"/>
          <w:bCs/>
          <w:sz w:val="24"/>
          <w:szCs w:val="24"/>
        </w:rPr>
        <w:t xml:space="preserve"> 1975</w:t>
      </w:r>
      <w:r w:rsidR="00D4740B" w:rsidRPr="000F6B7C">
        <w:rPr>
          <w:rFonts w:cstheme="minorHAnsi"/>
          <w:bCs/>
          <w:sz w:val="24"/>
          <w:szCs w:val="24"/>
        </w:rPr>
        <w:t xml:space="preserve">, the ruling of the is meant that the claimant was able to look at privet documents of the defendant and much like a freezing order it would have been done ex party and on a prima face judgement, meaning from the facts and without notice. This was to ensure that there was not the chance that before the client was able to look for the evidence of wrongdoing the evidence could be destroyed. </w:t>
      </w:r>
      <w:sdt>
        <w:sdtPr>
          <w:rPr>
            <w:rFonts w:cstheme="minorHAnsi"/>
            <w:bCs/>
            <w:sz w:val="24"/>
            <w:szCs w:val="24"/>
          </w:rPr>
          <w:id w:val="97837615"/>
          <w:citation/>
        </w:sdtPr>
        <w:sdtContent>
          <w:r w:rsidR="00D4740B" w:rsidRPr="000F6B7C">
            <w:rPr>
              <w:rFonts w:cstheme="minorHAnsi"/>
              <w:bCs/>
              <w:sz w:val="24"/>
              <w:szCs w:val="24"/>
            </w:rPr>
            <w:fldChar w:fldCharType="begin"/>
          </w:r>
          <w:r w:rsidR="00D4740B" w:rsidRPr="000F6B7C">
            <w:rPr>
              <w:rFonts w:cstheme="minorHAnsi"/>
              <w:bCs/>
              <w:sz w:val="24"/>
              <w:szCs w:val="24"/>
            </w:rPr>
            <w:instrText xml:space="preserve"> CITATION Wil05 \l 2057 </w:instrText>
          </w:r>
          <w:r w:rsidR="00D4740B" w:rsidRPr="000F6B7C">
            <w:rPr>
              <w:rFonts w:cstheme="minorHAnsi"/>
              <w:bCs/>
              <w:sz w:val="24"/>
              <w:szCs w:val="24"/>
            </w:rPr>
            <w:fldChar w:fldCharType="separate"/>
          </w:r>
          <w:r w:rsidR="000F6B7C" w:rsidRPr="000F6B7C">
            <w:rPr>
              <w:rFonts w:cstheme="minorHAnsi"/>
              <w:noProof/>
              <w:sz w:val="24"/>
              <w:szCs w:val="24"/>
            </w:rPr>
            <w:t>(Wilson, 2005)</w:t>
          </w:r>
          <w:r w:rsidR="00D4740B" w:rsidRPr="000F6B7C">
            <w:rPr>
              <w:rFonts w:cstheme="minorHAnsi"/>
              <w:bCs/>
              <w:sz w:val="24"/>
              <w:szCs w:val="24"/>
            </w:rPr>
            <w:fldChar w:fldCharType="end"/>
          </w:r>
        </w:sdtContent>
      </w:sdt>
    </w:p>
    <w:p w14:paraId="270431AF" w14:textId="10D4B2FF" w:rsidR="00B53088" w:rsidRPr="000F6B7C" w:rsidRDefault="00B53088" w:rsidP="00863BA1">
      <w:pPr>
        <w:spacing w:line="480" w:lineRule="auto"/>
        <w:rPr>
          <w:rFonts w:cstheme="minorHAnsi"/>
          <w:bCs/>
          <w:sz w:val="24"/>
          <w:szCs w:val="24"/>
        </w:rPr>
      </w:pPr>
      <w:r w:rsidRPr="000F6B7C">
        <w:rPr>
          <w:rFonts w:cstheme="minorHAnsi"/>
          <w:bCs/>
          <w:sz w:val="24"/>
          <w:szCs w:val="24"/>
        </w:rPr>
        <w:t xml:space="preserve">Further establishing this printable the case of </w:t>
      </w:r>
      <w:r w:rsidRPr="000F6B7C">
        <w:rPr>
          <w:rFonts w:cstheme="minorHAnsi"/>
          <w:bCs/>
          <w:sz w:val="24"/>
          <w:szCs w:val="24"/>
        </w:rPr>
        <w:t>Rank Film Distributors</w:t>
      </w:r>
      <w:r w:rsidR="0078665B" w:rsidRPr="000F6B7C">
        <w:rPr>
          <w:rFonts w:cstheme="minorHAnsi"/>
          <w:bCs/>
          <w:sz w:val="24"/>
          <w:szCs w:val="24"/>
        </w:rPr>
        <w:t xml:space="preserve"> </w:t>
      </w:r>
      <w:r w:rsidR="0078665B" w:rsidRPr="000F6B7C">
        <w:rPr>
          <w:rFonts w:cstheme="minorHAnsi"/>
          <w:bCs/>
          <w:sz w:val="24"/>
          <w:szCs w:val="24"/>
        </w:rPr>
        <w:t>v Video Information Centre</w:t>
      </w:r>
      <w:r w:rsidRPr="000F6B7C">
        <w:rPr>
          <w:rFonts w:cstheme="minorHAnsi"/>
          <w:bCs/>
          <w:sz w:val="24"/>
          <w:szCs w:val="24"/>
        </w:rPr>
        <w:t xml:space="preserve"> 1981 had brought the same printable to the House of Lords. The diction that came</w:t>
      </w:r>
      <w:r w:rsidR="0078665B" w:rsidRPr="000F6B7C">
        <w:rPr>
          <w:rFonts w:cstheme="minorHAnsi"/>
          <w:bCs/>
          <w:sz w:val="24"/>
          <w:szCs w:val="24"/>
        </w:rPr>
        <w:t xml:space="preserve"> from this was </w:t>
      </w:r>
      <w:r w:rsidR="001F169C" w:rsidRPr="000F6B7C">
        <w:rPr>
          <w:rFonts w:cstheme="minorHAnsi"/>
          <w:bCs/>
          <w:sz w:val="24"/>
          <w:szCs w:val="24"/>
        </w:rPr>
        <w:t xml:space="preserve">more in depth. The first key issue that was discussed was the use of the information that was obtained. As a result of the refusal to comply with the order would be in contempt of court it would have meant any statement would be given under duress and so unable to be used the intended purpose. </w:t>
      </w:r>
      <w:r w:rsidR="0025048F" w:rsidRPr="000F6B7C">
        <w:rPr>
          <w:rFonts w:cstheme="minorHAnsi"/>
          <w:bCs/>
          <w:sz w:val="24"/>
          <w:szCs w:val="24"/>
        </w:rPr>
        <w:t>Therefore,</w:t>
      </w:r>
      <w:r w:rsidR="001F169C" w:rsidRPr="000F6B7C">
        <w:rPr>
          <w:rFonts w:cstheme="minorHAnsi"/>
          <w:bCs/>
          <w:sz w:val="24"/>
          <w:szCs w:val="24"/>
        </w:rPr>
        <w:t xml:space="preserve"> a compromise had to come to where any information that was </w:t>
      </w:r>
      <w:r w:rsidR="00C64A30" w:rsidRPr="000F6B7C">
        <w:rPr>
          <w:rFonts w:cstheme="minorHAnsi"/>
          <w:bCs/>
          <w:sz w:val="24"/>
          <w:szCs w:val="24"/>
        </w:rPr>
        <w:t>receive</w:t>
      </w:r>
      <w:r w:rsidR="001F169C" w:rsidRPr="000F6B7C">
        <w:rPr>
          <w:rFonts w:cstheme="minorHAnsi"/>
          <w:bCs/>
          <w:sz w:val="24"/>
          <w:szCs w:val="24"/>
        </w:rPr>
        <w:t xml:space="preserve"> </w:t>
      </w:r>
      <w:r w:rsidR="00C64A30" w:rsidRPr="000F6B7C">
        <w:rPr>
          <w:rFonts w:cstheme="minorHAnsi"/>
          <w:bCs/>
          <w:sz w:val="24"/>
          <w:szCs w:val="24"/>
        </w:rPr>
        <w:t>under</w:t>
      </w:r>
      <w:r w:rsidR="001F169C" w:rsidRPr="000F6B7C">
        <w:rPr>
          <w:rFonts w:cstheme="minorHAnsi"/>
          <w:bCs/>
          <w:sz w:val="24"/>
          <w:szCs w:val="24"/>
        </w:rPr>
        <w:t xml:space="preserve"> the </w:t>
      </w:r>
      <w:r w:rsidR="00C64A30" w:rsidRPr="000F6B7C">
        <w:rPr>
          <w:rFonts w:cstheme="minorHAnsi"/>
          <w:bCs/>
          <w:sz w:val="24"/>
          <w:szCs w:val="24"/>
        </w:rPr>
        <w:t xml:space="preserve">search order must only be used for said order and for no other reason in accordance </w:t>
      </w:r>
      <w:r w:rsidR="0025048F" w:rsidRPr="000F6B7C">
        <w:rPr>
          <w:rFonts w:cstheme="minorHAnsi"/>
          <w:bCs/>
          <w:sz w:val="24"/>
          <w:szCs w:val="24"/>
        </w:rPr>
        <w:t>with</w:t>
      </w:r>
      <w:r w:rsidR="00C64A30" w:rsidRPr="000F6B7C">
        <w:rPr>
          <w:rFonts w:cstheme="minorHAnsi"/>
          <w:bCs/>
          <w:sz w:val="24"/>
          <w:szCs w:val="24"/>
        </w:rPr>
        <w:t xml:space="preserve"> the self-incrimination principles.</w:t>
      </w:r>
      <w:r w:rsidR="0025048F" w:rsidRPr="000F6B7C">
        <w:rPr>
          <w:rFonts w:cstheme="minorHAnsi"/>
          <w:bCs/>
          <w:sz w:val="24"/>
          <w:szCs w:val="24"/>
        </w:rPr>
        <w:t xml:space="preserve"> </w:t>
      </w:r>
      <w:sdt>
        <w:sdtPr>
          <w:rPr>
            <w:rFonts w:cstheme="minorHAnsi"/>
            <w:bCs/>
            <w:sz w:val="24"/>
            <w:szCs w:val="24"/>
          </w:rPr>
          <w:id w:val="1993364001"/>
          <w:citation/>
        </w:sdtPr>
        <w:sdtContent>
          <w:r w:rsidR="0025048F" w:rsidRPr="000F6B7C">
            <w:rPr>
              <w:rFonts w:cstheme="minorHAnsi"/>
              <w:bCs/>
              <w:sz w:val="24"/>
              <w:szCs w:val="24"/>
            </w:rPr>
            <w:fldChar w:fldCharType="begin"/>
          </w:r>
          <w:r w:rsidR="0025048F" w:rsidRPr="000F6B7C">
            <w:rPr>
              <w:rFonts w:cstheme="minorHAnsi"/>
              <w:bCs/>
              <w:sz w:val="24"/>
              <w:szCs w:val="24"/>
            </w:rPr>
            <w:instrText xml:space="preserve"> CITATION McI88 \l 2057 </w:instrText>
          </w:r>
          <w:r w:rsidR="0025048F" w:rsidRPr="000F6B7C">
            <w:rPr>
              <w:rFonts w:cstheme="minorHAnsi"/>
              <w:bCs/>
              <w:sz w:val="24"/>
              <w:szCs w:val="24"/>
            </w:rPr>
            <w:fldChar w:fldCharType="separate"/>
          </w:r>
          <w:r w:rsidR="000F6B7C" w:rsidRPr="000F6B7C">
            <w:rPr>
              <w:rFonts w:cstheme="minorHAnsi"/>
              <w:noProof/>
              <w:sz w:val="24"/>
              <w:szCs w:val="24"/>
            </w:rPr>
            <w:t>(McInnes, 1988)</w:t>
          </w:r>
          <w:r w:rsidR="0025048F" w:rsidRPr="000F6B7C">
            <w:rPr>
              <w:rFonts w:cstheme="minorHAnsi"/>
              <w:bCs/>
              <w:sz w:val="24"/>
              <w:szCs w:val="24"/>
            </w:rPr>
            <w:fldChar w:fldCharType="end"/>
          </w:r>
        </w:sdtContent>
      </w:sdt>
    </w:p>
    <w:p w14:paraId="2222B0C2" w14:textId="739598C3" w:rsidR="003B5E5B" w:rsidRPr="000F6B7C" w:rsidRDefault="003B5E5B" w:rsidP="00863BA1">
      <w:pPr>
        <w:spacing w:line="480" w:lineRule="auto"/>
        <w:rPr>
          <w:rFonts w:cstheme="minorHAnsi"/>
          <w:bCs/>
          <w:sz w:val="24"/>
          <w:szCs w:val="24"/>
        </w:rPr>
      </w:pPr>
      <w:r w:rsidRPr="000F6B7C">
        <w:rPr>
          <w:rFonts w:cstheme="minorHAnsi"/>
          <w:bCs/>
          <w:sz w:val="24"/>
          <w:szCs w:val="24"/>
        </w:rPr>
        <w:lastRenderedPageBreak/>
        <w:t xml:space="preserve">This can also be seen in the case of </w:t>
      </w:r>
      <w:r w:rsidR="0036559D" w:rsidRPr="000F6B7C">
        <w:rPr>
          <w:rFonts w:cstheme="minorHAnsi"/>
          <w:bCs/>
          <w:sz w:val="24"/>
          <w:szCs w:val="24"/>
        </w:rPr>
        <w:t>Coca-Cola Co v Gilbey</w:t>
      </w:r>
      <w:r w:rsidR="0039755B" w:rsidRPr="000F6B7C">
        <w:rPr>
          <w:rFonts w:cstheme="minorHAnsi"/>
          <w:bCs/>
          <w:sz w:val="24"/>
          <w:szCs w:val="24"/>
        </w:rPr>
        <w:t xml:space="preserve"> 1988</w:t>
      </w:r>
      <w:r w:rsidR="0036559D" w:rsidRPr="000F6B7C">
        <w:rPr>
          <w:rFonts w:cstheme="minorHAnsi"/>
          <w:bCs/>
          <w:sz w:val="24"/>
          <w:szCs w:val="24"/>
        </w:rPr>
        <w:t xml:space="preserve"> it is made clear that the court will decide if a sech order is in the best interests of the claimant, the defendant as well as the wider community. In this case the decision </w:t>
      </w:r>
      <w:r w:rsidR="0039755B" w:rsidRPr="000F6B7C">
        <w:rPr>
          <w:rFonts w:cstheme="minorHAnsi"/>
          <w:bCs/>
          <w:sz w:val="24"/>
          <w:szCs w:val="24"/>
        </w:rPr>
        <w:t xml:space="preserve">considered the safety of the defendant with threats of violence against them, but it was seen if that they were able to continue there would have been a much larger risk to the claimant as well as the wider community. </w:t>
      </w:r>
      <w:sdt>
        <w:sdtPr>
          <w:rPr>
            <w:rFonts w:cstheme="minorHAnsi"/>
            <w:bCs/>
            <w:sz w:val="24"/>
            <w:szCs w:val="24"/>
          </w:rPr>
          <w:id w:val="-1095010467"/>
          <w:citation/>
        </w:sdtPr>
        <w:sdtContent>
          <w:r w:rsidR="00785486" w:rsidRPr="000F6B7C">
            <w:rPr>
              <w:rFonts w:cstheme="minorHAnsi"/>
              <w:bCs/>
              <w:sz w:val="24"/>
              <w:szCs w:val="24"/>
            </w:rPr>
            <w:fldChar w:fldCharType="begin"/>
          </w:r>
          <w:r w:rsidR="00785486" w:rsidRPr="000F6B7C">
            <w:rPr>
              <w:rFonts w:cstheme="minorHAnsi"/>
              <w:bCs/>
              <w:sz w:val="24"/>
              <w:szCs w:val="24"/>
            </w:rPr>
            <w:instrText xml:space="preserve"> CITATION Pet21 \l 2057 </w:instrText>
          </w:r>
          <w:r w:rsidR="00785486" w:rsidRPr="000F6B7C">
            <w:rPr>
              <w:rFonts w:cstheme="minorHAnsi"/>
              <w:bCs/>
              <w:sz w:val="24"/>
              <w:szCs w:val="24"/>
            </w:rPr>
            <w:fldChar w:fldCharType="separate"/>
          </w:r>
          <w:r w:rsidR="000F6B7C" w:rsidRPr="000F6B7C">
            <w:rPr>
              <w:rFonts w:cstheme="minorHAnsi"/>
              <w:noProof/>
              <w:sz w:val="24"/>
              <w:szCs w:val="24"/>
            </w:rPr>
            <w:t>(Pettit, 2021)</w:t>
          </w:r>
          <w:r w:rsidR="00785486" w:rsidRPr="000F6B7C">
            <w:rPr>
              <w:rFonts w:cstheme="minorHAnsi"/>
              <w:bCs/>
              <w:sz w:val="24"/>
              <w:szCs w:val="24"/>
            </w:rPr>
            <w:fldChar w:fldCharType="end"/>
          </w:r>
        </w:sdtContent>
      </w:sdt>
    </w:p>
    <w:p w14:paraId="54026B42" w14:textId="79DB44DE" w:rsidR="0025048F" w:rsidRPr="000F6B7C" w:rsidRDefault="00AD281D" w:rsidP="00863BA1">
      <w:pPr>
        <w:spacing w:line="480" w:lineRule="auto"/>
        <w:rPr>
          <w:rFonts w:cstheme="minorHAnsi"/>
          <w:bCs/>
          <w:sz w:val="24"/>
          <w:szCs w:val="24"/>
        </w:rPr>
      </w:pPr>
      <w:r w:rsidRPr="000F6B7C">
        <w:rPr>
          <w:rFonts w:cstheme="minorHAnsi"/>
          <w:bCs/>
          <w:sz w:val="24"/>
          <w:szCs w:val="24"/>
        </w:rPr>
        <w:t xml:space="preserve">Expanding upon this </w:t>
      </w:r>
      <w:r w:rsidR="00A31794" w:rsidRPr="000F6B7C">
        <w:rPr>
          <w:rFonts w:cstheme="minorHAnsi"/>
          <w:bCs/>
          <w:sz w:val="24"/>
          <w:szCs w:val="24"/>
        </w:rPr>
        <w:t xml:space="preserve">there is a heavy limitation to the powers that a search order may give, this is to ensure that it would be fair as it is only a search order making a distinction between the powers associated with a sech warrant. </w:t>
      </w:r>
      <w:r w:rsidR="00A10231" w:rsidRPr="000F6B7C">
        <w:rPr>
          <w:rFonts w:cstheme="minorHAnsi"/>
          <w:bCs/>
          <w:sz w:val="24"/>
          <w:szCs w:val="24"/>
        </w:rPr>
        <w:t xml:space="preserve">This is shown as it is a mere request for the information rather than a demand. As well it would be on the discretion of the judge to decide the factors such as </w:t>
      </w:r>
      <w:r w:rsidR="00AD4719" w:rsidRPr="000F6B7C">
        <w:rPr>
          <w:rFonts w:cstheme="minorHAnsi"/>
          <w:bCs/>
          <w:sz w:val="24"/>
          <w:szCs w:val="24"/>
        </w:rPr>
        <w:t>who</w:t>
      </w:r>
      <w:r w:rsidR="00A10231" w:rsidRPr="000F6B7C">
        <w:rPr>
          <w:rFonts w:cstheme="minorHAnsi"/>
          <w:bCs/>
          <w:sz w:val="24"/>
          <w:szCs w:val="24"/>
        </w:rPr>
        <w:t xml:space="preserve"> may look for the information as well</w:t>
      </w:r>
      <w:r w:rsidR="00AD4719" w:rsidRPr="000F6B7C">
        <w:rPr>
          <w:rFonts w:cstheme="minorHAnsi"/>
          <w:bCs/>
          <w:sz w:val="24"/>
          <w:szCs w:val="24"/>
        </w:rPr>
        <w:t xml:space="preserve">. </w:t>
      </w:r>
      <w:r w:rsidR="00A35B79" w:rsidRPr="000F6B7C">
        <w:rPr>
          <w:rFonts w:cstheme="minorHAnsi"/>
          <w:bCs/>
          <w:sz w:val="24"/>
          <w:szCs w:val="24"/>
        </w:rPr>
        <w:t>Furthermore,</w:t>
      </w:r>
      <w:r w:rsidR="00AD4719" w:rsidRPr="000F6B7C">
        <w:rPr>
          <w:rFonts w:cstheme="minorHAnsi"/>
          <w:bCs/>
          <w:sz w:val="24"/>
          <w:szCs w:val="24"/>
        </w:rPr>
        <w:t xml:space="preserve"> </w:t>
      </w:r>
      <w:r w:rsidR="00A35B79" w:rsidRPr="000F6B7C">
        <w:rPr>
          <w:rFonts w:cstheme="minorHAnsi"/>
          <w:bCs/>
          <w:sz w:val="24"/>
          <w:szCs w:val="24"/>
        </w:rPr>
        <w:t xml:space="preserve">as can be seen in the Lock International plc Beswick 1989 it brings forth complicating factors as a result of there being no right to demand access to property and so a person who would carry out such an order could be guilty of trespass. </w:t>
      </w:r>
      <w:sdt>
        <w:sdtPr>
          <w:rPr>
            <w:rFonts w:cstheme="minorHAnsi"/>
            <w:bCs/>
            <w:sz w:val="24"/>
            <w:szCs w:val="24"/>
          </w:rPr>
          <w:id w:val="-889035861"/>
          <w:citation/>
        </w:sdtPr>
        <w:sdtContent>
          <w:r w:rsidR="00A35B79" w:rsidRPr="000F6B7C">
            <w:rPr>
              <w:rFonts w:cstheme="minorHAnsi"/>
              <w:bCs/>
              <w:sz w:val="24"/>
              <w:szCs w:val="24"/>
            </w:rPr>
            <w:fldChar w:fldCharType="begin"/>
          </w:r>
          <w:r w:rsidR="00A35B79" w:rsidRPr="000F6B7C">
            <w:rPr>
              <w:rFonts w:cstheme="minorHAnsi"/>
              <w:bCs/>
              <w:sz w:val="24"/>
              <w:szCs w:val="24"/>
            </w:rPr>
            <w:instrText xml:space="preserve"> CITATION Mof05 \l 2057 </w:instrText>
          </w:r>
          <w:r w:rsidR="00A35B79" w:rsidRPr="000F6B7C">
            <w:rPr>
              <w:rFonts w:cstheme="minorHAnsi"/>
              <w:bCs/>
              <w:sz w:val="24"/>
              <w:szCs w:val="24"/>
            </w:rPr>
            <w:fldChar w:fldCharType="separate"/>
          </w:r>
          <w:r w:rsidR="000F6B7C" w:rsidRPr="000F6B7C">
            <w:rPr>
              <w:rFonts w:cstheme="minorHAnsi"/>
              <w:noProof/>
              <w:sz w:val="24"/>
              <w:szCs w:val="24"/>
            </w:rPr>
            <w:t>(Moffat, 2005)</w:t>
          </w:r>
          <w:r w:rsidR="00A35B79" w:rsidRPr="000F6B7C">
            <w:rPr>
              <w:rFonts w:cstheme="minorHAnsi"/>
              <w:bCs/>
              <w:sz w:val="24"/>
              <w:szCs w:val="24"/>
            </w:rPr>
            <w:fldChar w:fldCharType="end"/>
          </w:r>
        </w:sdtContent>
      </w:sdt>
    </w:p>
    <w:p w14:paraId="051AFCE7" w14:textId="3B55626C" w:rsidR="009E670C" w:rsidRPr="000F6B7C" w:rsidRDefault="009E670C" w:rsidP="00863BA1">
      <w:pPr>
        <w:spacing w:line="480" w:lineRule="auto"/>
        <w:rPr>
          <w:rFonts w:cstheme="minorHAnsi"/>
          <w:bCs/>
          <w:sz w:val="24"/>
          <w:szCs w:val="24"/>
        </w:rPr>
      </w:pPr>
      <w:r w:rsidRPr="000F6B7C">
        <w:rPr>
          <w:rFonts w:cstheme="minorHAnsi"/>
          <w:bCs/>
          <w:sz w:val="24"/>
          <w:szCs w:val="24"/>
        </w:rPr>
        <w:t xml:space="preserve">The key duty of a search order would be to retrieve evidence so that the defendant would not be able to destroy or alter them. This is especially important in cases that rely on documents as such items could easily be tampered with or destroyed given notice. This is a </w:t>
      </w:r>
      <w:r w:rsidR="00F37345" w:rsidRPr="000F6B7C">
        <w:rPr>
          <w:rFonts w:cstheme="minorHAnsi"/>
          <w:bCs/>
          <w:sz w:val="24"/>
          <w:szCs w:val="24"/>
        </w:rPr>
        <w:t>defence</w:t>
      </w:r>
      <w:r w:rsidRPr="000F6B7C">
        <w:rPr>
          <w:rFonts w:cstheme="minorHAnsi"/>
          <w:bCs/>
          <w:sz w:val="24"/>
          <w:szCs w:val="24"/>
        </w:rPr>
        <w:t xml:space="preserve"> of the </w:t>
      </w:r>
      <w:r w:rsidR="00F37345" w:rsidRPr="000F6B7C">
        <w:rPr>
          <w:rFonts w:cstheme="minorHAnsi"/>
          <w:bCs/>
          <w:sz w:val="24"/>
          <w:szCs w:val="24"/>
        </w:rPr>
        <w:t>claimant’s</w:t>
      </w:r>
      <w:r w:rsidRPr="000F6B7C">
        <w:rPr>
          <w:rFonts w:cstheme="minorHAnsi"/>
          <w:bCs/>
          <w:sz w:val="24"/>
          <w:szCs w:val="24"/>
        </w:rPr>
        <w:t xml:space="preserve"> interests as it ensures that the </w:t>
      </w:r>
      <w:r w:rsidR="00F37345" w:rsidRPr="000F6B7C">
        <w:rPr>
          <w:rFonts w:cstheme="minorHAnsi"/>
          <w:bCs/>
          <w:sz w:val="24"/>
          <w:szCs w:val="24"/>
        </w:rPr>
        <w:t>defendant</w:t>
      </w:r>
      <w:r w:rsidRPr="000F6B7C">
        <w:rPr>
          <w:rFonts w:cstheme="minorHAnsi"/>
          <w:bCs/>
          <w:sz w:val="24"/>
          <w:szCs w:val="24"/>
        </w:rPr>
        <w:t xml:space="preserve"> will not be </w:t>
      </w:r>
      <w:r w:rsidR="00F37345" w:rsidRPr="000F6B7C">
        <w:rPr>
          <w:rFonts w:cstheme="minorHAnsi"/>
          <w:bCs/>
          <w:sz w:val="24"/>
          <w:szCs w:val="24"/>
        </w:rPr>
        <w:t>able</w:t>
      </w:r>
      <w:r w:rsidRPr="000F6B7C">
        <w:rPr>
          <w:rFonts w:cstheme="minorHAnsi"/>
          <w:bCs/>
          <w:sz w:val="24"/>
          <w:szCs w:val="24"/>
        </w:rPr>
        <w:t xml:space="preserve"> to </w:t>
      </w:r>
      <w:r w:rsidR="00F37345" w:rsidRPr="000F6B7C">
        <w:rPr>
          <w:rFonts w:cstheme="minorHAnsi"/>
          <w:bCs/>
          <w:sz w:val="24"/>
          <w:szCs w:val="24"/>
        </w:rPr>
        <w:t>destroy</w:t>
      </w:r>
      <w:r w:rsidRPr="000F6B7C">
        <w:rPr>
          <w:rFonts w:cstheme="minorHAnsi"/>
          <w:bCs/>
          <w:sz w:val="24"/>
          <w:szCs w:val="24"/>
        </w:rPr>
        <w:t xml:space="preserve"> key evidence, although it could also lead to the breach of rights of the </w:t>
      </w:r>
      <w:r w:rsidR="00F37345" w:rsidRPr="000F6B7C">
        <w:rPr>
          <w:rFonts w:cstheme="minorHAnsi"/>
          <w:bCs/>
          <w:sz w:val="24"/>
          <w:szCs w:val="24"/>
        </w:rPr>
        <w:t>defendant</w:t>
      </w:r>
      <w:r w:rsidRPr="000F6B7C">
        <w:rPr>
          <w:rFonts w:cstheme="minorHAnsi"/>
          <w:bCs/>
          <w:sz w:val="24"/>
          <w:szCs w:val="24"/>
        </w:rPr>
        <w:t xml:space="preserve"> as when given without notice it would mean it could interrupt the </w:t>
      </w:r>
      <w:r w:rsidR="00F37345" w:rsidRPr="000F6B7C">
        <w:rPr>
          <w:rFonts w:cstheme="minorHAnsi"/>
          <w:bCs/>
          <w:sz w:val="24"/>
          <w:szCs w:val="24"/>
        </w:rPr>
        <w:t>day-to-day</w:t>
      </w:r>
      <w:r w:rsidRPr="000F6B7C">
        <w:rPr>
          <w:rFonts w:cstheme="minorHAnsi"/>
          <w:bCs/>
          <w:sz w:val="24"/>
          <w:szCs w:val="24"/>
        </w:rPr>
        <w:t xml:space="preserve"> life of an individual or the</w:t>
      </w:r>
      <w:r w:rsidR="00F37345" w:rsidRPr="000F6B7C">
        <w:rPr>
          <w:rFonts w:cstheme="minorHAnsi"/>
          <w:bCs/>
          <w:sz w:val="24"/>
          <w:szCs w:val="24"/>
        </w:rPr>
        <w:t xml:space="preserve"> key</w:t>
      </w:r>
      <w:r w:rsidRPr="000F6B7C">
        <w:rPr>
          <w:rFonts w:cstheme="minorHAnsi"/>
          <w:bCs/>
          <w:sz w:val="24"/>
          <w:szCs w:val="24"/>
        </w:rPr>
        <w:t xml:space="preserve"> operations </w:t>
      </w:r>
      <w:r w:rsidR="00F37345" w:rsidRPr="000F6B7C">
        <w:rPr>
          <w:rFonts w:cstheme="minorHAnsi"/>
          <w:bCs/>
          <w:sz w:val="24"/>
          <w:szCs w:val="24"/>
        </w:rPr>
        <w:t xml:space="preserve">of a company. </w:t>
      </w:r>
      <w:sdt>
        <w:sdtPr>
          <w:rPr>
            <w:rFonts w:cstheme="minorHAnsi"/>
            <w:bCs/>
            <w:sz w:val="24"/>
            <w:szCs w:val="24"/>
          </w:rPr>
          <w:id w:val="1250545856"/>
          <w:citation/>
        </w:sdtPr>
        <w:sdtContent>
          <w:r w:rsidR="00F37345" w:rsidRPr="000F6B7C">
            <w:rPr>
              <w:rFonts w:cstheme="minorHAnsi"/>
              <w:bCs/>
              <w:sz w:val="24"/>
              <w:szCs w:val="24"/>
            </w:rPr>
            <w:fldChar w:fldCharType="begin"/>
          </w:r>
          <w:r w:rsidR="00F37345" w:rsidRPr="000F6B7C">
            <w:rPr>
              <w:rFonts w:cstheme="minorHAnsi"/>
              <w:bCs/>
              <w:sz w:val="24"/>
              <w:szCs w:val="24"/>
            </w:rPr>
            <w:instrText xml:space="preserve"> CITATION Wat21 \l 2057 </w:instrText>
          </w:r>
          <w:r w:rsidR="00F37345" w:rsidRPr="000F6B7C">
            <w:rPr>
              <w:rFonts w:cstheme="minorHAnsi"/>
              <w:bCs/>
              <w:sz w:val="24"/>
              <w:szCs w:val="24"/>
            </w:rPr>
            <w:fldChar w:fldCharType="separate"/>
          </w:r>
          <w:r w:rsidR="000F6B7C" w:rsidRPr="000F6B7C">
            <w:rPr>
              <w:rFonts w:cstheme="minorHAnsi"/>
              <w:noProof/>
              <w:sz w:val="24"/>
              <w:szCs w:val="24"/>
            </w:rPr>
            <w:t>(Watt, 2021)</w:t>
          </w:r>
          <w:r w:rsidR="00F37345" w:rsidRPr="000F6B7C">
            <w:rPr>
              <w:rFonts w:cstheme="minorHAnsi"/>
              <w:bCs/>
              <w:sz w:val="24"/>
              <w:szCs w:val="24"/>
            </w:rPr>
            <w:fldChar w:fldCharType="end"/>
          </w:r>
        </w:sdtContent>
      </w:sdt>
    </w:p>
    <w:p w14:paraId="3A52B112" w14:textId="03F298B5" w:rsidR="00CD4AB1" w:rsidRPr="000F6B7C" w:rsidRDefault="00CD4AB1" w:rsidP="00863BA1">
      <w:pPr>
        <w:spacing w:line="480" w:lineRule="auto"/>
        <w:rPr>
          <w:rFonts w:cstheme="minorHAnsi"/>
          <w:bCs/>
          <w:sz w:val="24"/>
          <w:szCs w:val="24"/>
        </w:rPr>
      </w:pPr>
      <w:r w:rsidRPr="000F6B7C">
        <w:rPr>
          <w:rFonts w:cstheme="minorHAnsi"/>
          <w:bCs/>
          <w:sz w:val="24"/>
          <w:szCs w:val="24"/>
        </w:rPr>
        <w:t xml:space="preserve">One of the ways that the search order favours the defendant though would be with the limitation to the use of force then executing the order, another difference between a search </w:t>
      </w:r>
      <w:r w:rsidR="00D3395F" w:rsidRPr="000F6B7C">
        <w:rPr>
          <w:rFonts w:cstheme="minorHAnsi"/>
          <w:bCs/>
          <w:sz w:val="24"/>
          <w:szCs w:val="24"/>
        </w:rPr>
        <w:lastRenderedPageBreak/>
        <w:t>order</w:t>
      </w:r>
      <w:r w:rsidRPr="000F6B7C">
        <w:rPr>
          <w:rFonts w:cstheme="minorHAnsi"/>
          <w:bCs/>
          <w:sz w:val="24"/>
          <w:szCs w:val="24"/>
        </w:rPr>
        <w:t xml:space="preserve"> and a search warrant. </w:t>
      </w:r>
      <w:r w:rsidR="00D3395F" w:rsidRPr="000F6B7C">
        <w:rPr>
          <w:rFonts w:cstheme="minorHAnsi"/>
          <w:bCs/>
          <w:sz w:val="24"/>
          <w:szCs w:val="24"/>
        </w:rPr>
        <w:t>This is in defence of the defendant because it limits the options that the claimant or whomever may be searching instead of the claimant when entering property especially, this again takes precedent from the Lock International case</w:t>
      </w:r>
      <w:r w:rsidR="00592BF4" w:rsidRPr="000F6B7C">
        <w:rPr>
          <w:rFonts w:cstheme="minorHAnsi"/>
          <w:bCs/>
          <w:sz w:val="24"/>
          <w:szCs w:val="24"/>
        </w:rPr>
        <w:t xml:space="preserve">. </w:t>
      </w:r>
      <w:sdt>
        <w:sdtPr>
          <w:rPr>
            <w:rFonts w:cstheme="minorHAnsi"/>
            <w:bCs/>
            <w:sz w:val="24"/>
            <w:szCs w:val="24"/>
          </w:rPr>
          <w:id w:val="-865903835"/>
          <w:citation/>
        </w:sdtPr>
        <w:sdtContent>
          <w:r w:rsidR="00592BF4" w:rsidRPr="000F6B7C">
            <w:rPr>
              <w:rFonts w:cstheme="minorHAnsi"/>
              <w:bCs/>
              <w:sz w:val="24"/>
              <w:szCs w:val="24"/>
            </w:rPr>
            <w:fldChar w:fldCharType="begin"/>
          </w:r>
          <w:r w:rsidR="00592BF4" w:rsidRPr="000F6B7C">
            <w:rPr>
              <w:rFonts w:cstheme="minorHAnsi"/>
              <w:bCs/>
              <w:sz w:val="24"/>
              <w:szCs w:val="24"/>
            </w:rPr>
            <w:instrText xml:space="preserve"> CITATION Wat21 \l 2057 </w:instrText>
          </w:r>
          <w:r w:rsidR="00592BF4" w:rsidRPr="000F6B7C">
            <w:rPr>
              <w:rFonts w:cstheme="minorHAnsi"/>
              <w:bCs/>
              <w:sz w:val="24"/>
              <w:szCs w:val="24"/>
            </w:rPr>
            <w:fldChar w:fldCharType="separate"/>
          </w:r>
          <w:r w:rsidR="000F6B7C" w:rsidRPr="000F6B7C">
            <w:rPr>
              <w:rFonts w:cstheme="minorHAnsi"/>
              <w:noProof/>
              <w:sz w:val="24"/>
              <w:szCs w:val="24"/>
            </w:rPr>
            <w:t>(Watt, 2021)</w:t>
          </w:r>
          <w:r w:rsidR="00592BF4" w:rsidRPr="000F6B7C">
            <w:rPr>
              <w:rFonts w:cstheme="minorHAnsi"/>
              <w:bCs/>
              <w:sz w:val="24"/>
              <w:szCs w:val="24"/>
            </w:rPr>
            <w:fldChar w:fldCharType="end"/>
          </w:r>
        </w:sdtContent>
      </w:sdt>
    </w:p>
    <w:p w14:paraId="1B24D283" w14:textId="63C0A8EE" w:rsidR="00285C9A" w:rsidRPr="000F6B7C" w:rsidRDefault="00285C9A" w:rsidP="00863BA1">
      <w:pPr>
        <w:spacing w:line="480" w:lineRule="auto"/>
        <w:rPr>
          <w:rFonts w:cstheme="minorHAnsi"/>
          <w:bCs/>
          <w:sz w:val="24"/>
          <w:szCs w:val="24"/>
        </w:rPr>
      </w:pPr>
      <w:r w:rsidRPr="000F6B7C">
        <w:rPr>
          <w:rFonts w:cstheme="minorHAnsi"/>
          <w:bCs/>
          <w:sz w:val="24"/>
          <w:szCs w:val="24"/>
        </w:rPr>
        <w:t>Although In theory a person may be able to deny entry to a person caring out this a search order, they would still be refusing to comply with an order given by the court, and as such they would be guilty of contempt of court.</w:t>
      </w:r>
      <w:r w:rsidR="00FA0FBB" w:rsidRPr="000F6B7C">
        <w:rPr>
          <w:rFonts w:cstheme="minorHAnsi"/>
          <w:bCs/>
          <w:sz w:val="24"/>
          <w:szCs w:val="24"/>
        </w:rPr>
        <w:t xml:space="preserve"> This brings up the question on the validity of the Civil Praeger Act 1997 7(3) where it only permits entry. It would then mean the defendant would have the ability to say no in theory but would face persecution and allowing entry would be done under duress. </w:t>
      </w:r>
      <w:sdt>
        <w:sdtPr>
          <w:rPr>
            <w:rFonts w:cstheme="minorHAnsi"/>
            <w:bCs/>
            <w:sz w:val="24"/>
            <w:szCs w:val="24"/>
          </w:rPr>
          <w:id w:val="-972285911"/>
          <w:citation/>
        </w:sdtPr>
        <w:sdtContent>
          <w:r w:rsidR="00FA0FBB" w:rsidRPr="000F6B7C">
            <w:rPr>
              <w:rFonts w:cstheme="minorHAnsi"/>
              <w:bCs/>
              <w:sz w:val="24"/>
              <w:szCs w:val="24"/>
            </w:rPr>
            <w:fldChar w:fldCharType="begin"/>
          </w:r>
          <w:r w:rsidR="00FA0FBB" w:rsidRPr="000F6B7C">
            <w:rPr>
              <w:rFonts w:cstheme="minorHAnsi"/>
              <w:bCs/>
              <w:sz w:val="24"/>
              <w:szCs w:val="24"/>
            </w:rPr>
            <w:instrText xml:space="preserve"> CITATION Mof05 \l 2057 </w:instrText>
          </w:r>
          <w:r w:rsidR="00FA0FBB" w:rsidRPr="000F6B7C">
            <w:rPr>
              <w:rFonts w:cstheme="minorHAnsi"/>
              <w:bCs/>
              <w:sz w:val="24"/>
              <w:szCs w:val="24"/>
            </w:rPr>
            <w:fldChar w:fldCharType="separate"/>
          </w:r>
          <w:r w:rsidR="000F6B7C" w:rsidRPr="000F6B7C">
            <w:rPr>
              <w:rFonts w:cstheme="minorHAnsi"/>
              <w:noProof/>
              <w:sz w:val="24"/>
              <w:szCs w:val="24"/>
            </w:rPr>
            <w:t>(Moffat, 2005)</w:t>
          </w:r>
          <w:r w:rsidR="00FA0FBB" w:rsidRPr="000F6B7C">
            <w:rPr>
              <w:rFonts w:cstheme="minorHAnsi"/>
              <w:bCs/>
              <w:sz w:val="24"/>
              <w:szCs w:val="24"/>
            </w:rPr>
            <w:fldChar w:fldCharType="end"/>
          </w:r>
        </w:sdtContent>
      </w:sdt>
    </w:p>
    <w:p w14:paraId="7C4CCC52" w14:textId="52DC300E" w:rsidR="00285C9A" w:rsidRPr="000F6B7C" w:rsidRDefault="00CC2710" w:rsidP="00863BA1">
      <w:pPr>
        <w:spacing w:line="480" w:lineRule="auto"/>
        <w:rPr>
          <w:rFonts w:cstheme="minorHAnsi"/>
          <w:bCs/>
          <w:sz w:val="24"/>
          <w:szCs w:val="24"/>
        </w:rPr>
      </w:pPr>
      <w:r w:rsidRPr="000F6B7C">
        <w:rPr>
          <w:rFonts w:cstheme="minorHAnsi"/>
          <w:bCs/>
          <w:sz w:val="24"/>
          <w:szCs w:val="24"/>
        </w:rPr>
        <w:t>The</w:t>
      </w:r>
      <w:r w:rsidR="00592BF4" w:rsidRPr="000F6B7C">
        <w:rPr>
          <w:rFonts w:cstheme="minorHAnsi"/>
          <w:bCs/>
          <w:sz w:val="24"/>
          <w:szCs w:val="24"/>
        </w:rPr>
        <w:t xml:space="preserve"> concept of the search order from its initial development can be seen as having changed drastically as a result of a change of name. Originally called an Anton Pillar </w:t>
      </w:r>
      <w:r w:rsidRPr="000F6B7C">
        <w:rPr>
          <w:rFonts w:cstheme="minorHAnsi"/>
          <w:bCs/>
          <w:sz w:val="24"/>
          <w:szCs w:val="24"/>
        </w:rPr>
        <w:t xml:space="preserve">and now called a such order the change in name may appear to be minor but played a large role in the way it is perceived and the clarification that it had had through other cases. Theis is most clear with the deaccession that a judge may place on the function of the order. At a basic level </w:t>
      </w:r>
      <w:r w:rsidR="0053595B" w:rsidRPr="000F6B7C">
        <w:rPr>
          <w:rFonts w:cstheme="minorHAnsi"/>
          <w:bCs/>
          <w:sz w:val="24"/>
          <w:szCs w:val="24"/>
        </w:rPr>
        <w:t xml:space="preserve">it is to </w:t>
      </w:r>
      <w:r w:rsidR="0009666B" w:rsidRPr="000F6B7C">
        <w:rPr>
          <w:rFonts w:cstheme="minorHAnsi"/>
          <w:bCs/>
          <w:sz w:val="24"/>
          <w:szCs w:val="24"/>
        </w:rPr>
        <w:t xml:space="preserve">gather information that would otherwise be destroyed although it may be deemed necessity to confiscate some items as well to ensure that the law does is not able to continue to be broken while the trail is going ahead, an example of this would be the </w:t>
      </w:r>
      <w:r w:rsidR="0009666B" w:rsidRPr="000F6B7C">
        <w:rPr>
          <w:rFonts w:cstheme="minorHAnsi"/>
          <w:bCs/>
          <w:sz w:val="24"/>
          <w:szCs w:val="24"/>
        </w:rPr>
        <w:t>Columbia Pictures Industries Inc v Robinson</w:t>
      </w:r>
      <w:r w:rsidR="0009666B" w:rsidRPr="000F6B7C">
        <w:rPr>
          <w:rFonts w:cstheme="minorHAnsi"/>
          <w:bCs/>
          <w:sz w:val="24"/>
          <w:szCs w:val="24"/>
        </w:rPr>
        <w:t xml:space="preserve"> 1986. In this case </w:t>
      </w:r>
      <w:r w:rsidR="00285C9A" w:rsidRPr="000F6B7C">
        <w:rPr>
          <w:rFonts w:cstheme="minorHAnsi"/>
          <w:bCs/>
          <w:sz w:val="24"/>
          <w:szCs w:val="24"/>
        </w:rPr>
        <w:t>allowing</w:t>
      </w:r>
      <w:r w:rsidR="0009666B" w:rsidRPr="000F6B7C">
        <w:rPr>
          <w:rFonts w:cstheme="minorHAnsi"/>
          <w:bCs/>
          <w:sz w:val="24"/>
          <w:szCs w:val="24"/>
        </w:rPr>
        <w:t xml:space="preserve"> the defendant to keep items that allow them to breach the rights of the claimant should </w:t>
      </w:r>
      <w:r w:rsidR="00285C9A" w:rsidRPr="000F6B7C">
        <w:rPr>
          <w:rFonts w:cstheme="minorHAnsi"/>
          <w:bCs/>
          <w:sz w:val="24"/>
          <w:szCs w:val="24"/>
        </w:rPr>
        <w:t>not be</w:t>
      </w:r>
      <w:r w:rsidR="0009666B" w:rsidRPr="000F6B7C">
        <w:rPr>
          <w:rFonts w:cstheme="minorHAnsi"/>
          <w:bCs/>
          <w:sz w:val="24"/>
          <w:szCs w:val="24"/>
        </w:rPr>
        <w:t xml:space="preserve"> allowed and so it would be in the best 9intrest to </w:t>
      </w:r>
      <w:r w:rsidR="00285C9A" w:rsidRPr="000F6B7C">
        <w:rPr>
          <w:rFonts w:cstheme="minorHAnsi"/>
          <w:bCs/>
          <w:sz w:val="24"/>
          <w:szCs w:val="24"/>
        </w:rPr>
        <w:t>remove</w:t>
      </w:r>
      <w:r w:rsidR="0009666B" w:rsidRPr="000F6B7C">
        <w:rPr>
          <w:rFonts w:cstheme="minorHAnsi"/>
          <w:bCs/>
          <w:sz w:val="24"/>
          <w:szCs w:val="24"/>
        </w:rPr>
        <w:t xml:space="preserve"> said items from them until a time </w:t>
      </w:r>
      <w:r w:rsidR="00285C9A" w:rsidRPr="000F6B7C">
        <w:rPr>
          <w:rFonts w:cstheme="minorHAnsi"/>
          <w:bCs/>
          <w:sz w:val="24"/>
          <w:szCs w:val="24"/>
        </w:rPr>
        <w:t xml:space="preserve">judgement could be made. </w:t>
      </w:r>
      <w:sdt>
        <w:sdtPr>
          <w:rPr>
            <w:rFonts w:cstheme="minorHAnsi"/>
            <w:bCs/>
            <w:sz w:val="24"/>
            <w:szCs w:val="24"/>
          </w:rPr>
          <w:id w:val="2084182142"/>
          <w:citation/>
        </w:sdtPr>
        <w:sdtContent>
          <w:r w:rsidR="00285C9A" w:rsidRPr="000F6B7C">
            <w:rPr>
              <w:rFonts w:cstheme="minorHAnsi"/>
              <w:bCs/>
              <w:sz w:val="24"/>
              <w:szCs w:val="24"/>
            </w:rPr>
            <w:fldChar w:fldCharType="begin"/>
          </w:r>
          <w:r w:rsidR="00285C9A" w:rsidRPr="000F6B7C">
            <w:rPr>
              <w:rFonts w:cstheme="minorHAnsi"/>
              <w:bCs/>
              <w:sz w:val="24"/>
              <w:szCs w:val="24"/>
            </w:rPr>
            <w:instrText xml:space="preserve"> CITATION Wil05 \l 2057 </w:instrText>
          </w:r>
          <w:r w:rsidR="00285C9A" w:rsidRPr="000F6B7C">
            <w:rPr>
              <w:rFonts w:cstheme="minorHAnsi"/>
              <w:bCs/>
              <w:sz w:val="24"/>
              <w:szCs w:val="24"/>
            </w:rPr>
            <w:fldChar w:fldCharType="separate"/>
          </w:r>
          <w:r w:rsidR="000F6B7C" w:rsidRPr="000F6B7C">
            <w:rPr>
              <w:rFonts w:cstheme="minorHAnsi"/>
              <w:noProof/>
              <w:sz w:val="24"/>
              <w:szCs w:val="24"/>
            </w:rPr>
            <w:t>(Wilson, 2005)</w:t>
          </w:r>
          <w:r w:rsidR="00285C9A" w:rsidRPr="000F6B7C">
            <w:rPr>
              <w:rFonts w:cstheme="minorHAnsi"/>
              <w:bCs/>
              <w:sz w:val="24"/>
              <w:szCs w:val="24"/>
            </w:rPr>
            <w:fldChar w:fldCharType="end"/>
          </w:r>
        </w:sdtContent>
      </w:sdt>
    </w:p>
    <w:p w14:paraId="78D24AAE" w14:textId="05ABBDA3" w:rsidR="000F6B7C" w:rsidRPr="000F6B7C" w:rsidRDefault="001C57E1" w:rsidP="00863BA1">
      <w:pPr>
        <w:spacing w:line="480" w:lineRule="auto"/>
        <w:rPr>
          <w:rFonts w:cstheme="minorHAnsi"/>
          <w:bCs/>
          <w:sz w:val="24"/>
          <w:szCs w:val="24"/>
        </w:rPr>
      </w:pPr>
      <w:r w:rsidRPr="000F6B7C">
        <w:rPr>
          <w:rFonts w:cstheme="minorHAnsi"/>
          <w:bCs/>
          <w:sz w:val="24"/>
          <w:szCs w:val="24"/>
        </w:rPr>
        <w:lastRenderedPageBreak/>
        <w:t xml:space="preserve">As a result of the heavy burden on the </w:t>
      </w:r>
      <w:r w:rsidR="00EC2FDE" w:rsidRPr="000F6B7C">
        <w:rPr>
          <w:rFonts w:cstheme="minorHAnsi"/>
          <w:bCs/>
          <w:sz w:val="24"/>
          <w:szCs w:val="24"/>
        </w:rPr>
        <w:t>defendant</w:t>
      </w:r>
      <w:r w:rsidRPr="000F6B7C">
        <w:rPr>
          <w:rFonts w:cstheme="minorHAnsi"/>
          <w:bCs/>
          <w:sz w:val="24"/>
          <w:szCs w:val="24"/>
        </w:rPr>
        <w:t xml:space="preserve"> in search orders there must be </w:t>
      </w:r>
      <w:r w:rsidR="00EC2FDE" w:rsidRPr="000F6B7C">
        <w:rPr>
          <w:rFonts w:cstheme="minorHAnsi"/>
          <w:bCs/>
          <w:sz w:val="24"/>
          <w:szCs w:val="24"/>
        </w:rPr>
        <w:t>a balance</w:t>
      </w:r>
      <w:r w:rsidRPr="000F6B7C">
        <w:rPr>
          <w:rFonts w:cstheme="minorHAnsi"/>
          <w:bCs/>
          <w:sz w:val="24"/>
          <w:szCs w:val="24"/>
        </w:rPr>
        <w:t xml:space="preserve"> placed on the </w:t>
      </w:r>
      <w:r w:rsidR="00EC2FDE" w:rsidRPr="000F6B7C">
        <w:rPr>
          <w:rFonts w:cstheme="minorHAnsi"/>
          <w:bCs/>
          <w:sz w:val="24"/>
          <w:szCs w:val="24"/>
        </w:rPr>
        <w:t>claimant</w:t>
      </w:r>
      <w:r w:rsidRPr="000F6B7C">
        <w:rPr>
          <w:rFonts w:cstheme="minorHAnsi"/>
          <w:bCs/>
          <w:sz w:val="24"/>
          <w:szCs w:val="24"/>
        </w:rPr>
        <w:t xml:space="preserve"> to both ensure the rights of the </w:t>
      </w:r>
      <w:r w:rsidR="00EC2FDE" w:rsidRPr="000F6B7C">
        <w:rPr>
          <w:rFonts w:cstheme="minorHAnsi"/>
          <w:bCs/>
          <w:sz w:val="24"/>
          <w:szCs w:val="24"/>
        </w:rPr>
        <w:t>defendant</w:t>
      </w:r>
      <w:r w:rsidRPr="000F6B7C">
        <w:rPr>
          <w:rFonts w:cstheme="minorHAnsi"/>
          <w:bCs/>
          <w:sz w:val="24"/>
          <w:szCs w:val="24"/>
        </w:rPr>
        <w:t xml:space="preserve"> in law as well as to prevent any malicious or </w:t>
      </w:r>
      <w:r w:rsidR="00EC2FDE" w:rsidRPr="000F6B7C">
        <w:rPr>
          <w:rFonts w:cstheme="minorHAnsi"/>
          <w:bCs/>
          <w:sz w:val="24"/>
          <w:szCs w:val="24"/>
        </w:rPr>
        <w:t>vexatious</w:t>
      </w:r>
      <w:r w:rsidRPr="000F6B7C">
        <w:rPr>
          <w:rFonts w:cstheme="minorHAnsi"/>
          <w:bCs/>
          <w:sz w:val="24"/>
          <w:szCs w:val="24"/>
        </w:rPr>
        <w:t xml:space="preserve"> uses of such an order. an example of this would be </w:t>
      </w:r>
      <w:r w:rsidR="00BF191F" w:rsidRPr="000F6B7C">
        <w:rPr>
          <w:rFonts w:cstheme="minorHAnsi"/>
          <w:bCs/>
          <w:sz w:val="24"/>
          <w:szCs w:val="24"/>
        </w:rPr>
        <w:t xml:space="preserve">with the search order only being given for a </w:t>
      </w:r>
      <w:r w:rsidR="00EC2FDE" w:rsidRPr="000F6B7C">
        <w:rPr>
          <w:rFonts w:cstheme="minorHAnsi"/>
          <w:bCs/>
          <w:sz w:val="24"/>
          <w:szCs w:val="24"/>
        </w:rPr>
        <w:t>little right</w:t>
      </w:r>
      <w:r w:rsidR="00BF191F" w:rsidRPr="000F6B7C">
        <w:rPr>
          <w:rFonts w:cstheme="minorHAnsi"/>
          <w:bCs/>
          <w:sz w:val="24"/>
          <w:szCs w:val="24"/>
        </w:rPr>
        <w:t xml:space="preserve"> to the claimant as it is </w:t>
      </w:r>
      <w:r w:rsidR="00EC2FDE" w:rsidRPr="000F6B7C">
        <w:rPr>
          <w:rFonts w:cstheme="minorHAnsi"/>
          <w:bCs/>
          <w:sz w:val="24"/>
          <w:szCs w:val="24"/>
        </w:rPr>
        <w:t>necessary</w:t>
      </w:r>
      <w:r w:rsidR="00BF191F" w:rsidRPr="000F6B7C">
        <w:rPr>
          <w:rFonts w:cstheme="minorHAnsi"/>
          <w:bCs/>
          <w:sz w:val="24"/>
          <w:szCs w:val="24"/>
        </w:rPr>
        <w:t xml:space="preserve"> to gain the information relevant to the case to ensure that the rights of the </w:t>
      </w:r>
      <w:r w:rsidR="00EC2FDE" w:rsidRPr="000F6B7C">
        <w:rPr>
          <w:rFonts w:cstheme="minorHAnsi"/>
          <w:bCs/>
          <w:sz w:val="24"/>
          <w:szCs w:val="24"/>
        </w:rPr>
        <w:t>defendant</w:t>
      </w:r>
      <w:r w:rsidR="00BF191F" w:rsidRPr="000F6B7C">
        <w:rPr>
          <w:rFonts w:cstheme="minorHAnsi"/>
          <w:bCs/>
          <w:sz w:val="24"/>
          <w:szCs w:val="24"/>
        </w:rPr>
        <w:t xml:space="preserve"> will not be crossed. When items are taken there needs to be a detailed list of items that has been taken to ensure </w:t>
      </w:r>
      <w:r w:rsidR="00EC2FDE" w:rsidRPr="000F6B7C">
        <w:rPr>
          <w:rFonts w:cstheme="minorHAnsi"/>
          <w:bCs/>
          <w:sz w:val="24"/>
          <w:szCs w:val="24"/>
        </w:rPr>
        <w:t>that</w:t>
      </w:r>
      <w:r w:rsidR="00BF191F" w:rsidRPr="000F6B7C">
        <w:rPr>
          <w:rFonts w:cstheme="minorHAnsi"/>
          <w:bCs/>
          <w:sz w:val="24"/>
          <w:szCs w:val="24"/>
        </w:rPr>
        <w:t xml:space="preserve"> </w:t>
      </w:r>
      <w:r w:rsidR="00EC2FDE" w:rsidRPr="000F6B7C">
        <w:rPr>
          <w:rFonts w:cstheme="minorHAnsi"/>
          <w:bCs/>
          <w:sz w:val="24"/>
          <w:szCs w:val="24"/>
        </w:rPr>
        <w:t>property</w:t>
      </w:r>
      <w:r w:rsidR="00BF191F" w:rsidRPr="000F6B7C">
        <w:rPr>
          <w:rFonts w:cstheme="minorHAnsi"/>
          <w:bCs/>
          <w:sz w:val="24"/>
          <w:szCs w:val="24"/>
        </w:rPr>
        <w:t xml:space="preserve"> that the </w:t>
      </w:r>
      <w:r w:rsidR="00EC2FDE" w:rsidRPr="000F6B7C">
        <w:rPr>
          <w:rFonts w:cstheme="minorHAnsi"/>
          <w:bCs/>
          <w:sz w:val="24"/>
          <w:szCs w:val="24"/>
        </w:rPr>
        <w:t>defendant</w:t>
      </w:r>
      <w:r w:rsidR="00BF191F" w:rsidRPr="000F6B7C">
        <w:rPr>
          <w:rFonts w:cstheme="minorHAnsi"/>
          <w:bCs/>
          <w:sz w:val="24"/>
          <w:szCs w:val="24"/>
        </w:rPr>
        <w:t xml:space="preserve"> still is the legal owner of does not go missing and finally limits to whom may take items from the property to only the </w:t>
      </w:r>
      <w:r w:rsidR="00EC2FDE" w:rsidRPr="000F6B7C">
        <w:rPr>
          <w:rFonts w:cstheme="minorHAnsi"/>
          <w:bCs/>
          <w:sz w:val="24"/>
          <w:szCs w:val="24"/>
        </w:rPr>
        <w:t>solicitor</w:t>
      </w:r>
      <w:r w:rsidR="00BF191F" w:rsidRPr="000F6B7C">
        <w:rPr>
          <w:rFonts w:cstheme="minorHAnsi"/>
          <w:bCs/>
          <w:sz w:val="24"/>
          <w:szCs w:val="24"/>
        </w:rPr>
        <w:t xml:space="preserve"> unless specified otherwise.</w:t>
      </w:r>
      <w:r w:rsidR="00EC2FDE" w:rsidRPr="000F6B7C">
        <w:rPr>
          <w:rFonts w:cstheme="minorHAnsi"/>
          <w:bCs/>
          <w:sz w:val="24"/>
          <w:szCs w:val="24"/>
        </w:rPr>
        <w:t xml:space="preserve"> This ensures that the rights of the defendant remain a priority as this would be done before a trial and it would be unfair to treat them as they have committed a crime before it has been proven, as well it ensures the status quo will remain resulting in a much more clear and easier job for the court.</w:t>
      </w:r>
      <w:r w:rsidR="000F6B7C" w:rsidRPr="000F6B7C">
        <w:rPr>
          <w:rFonts w:cstheme="minorHAnsi"/>
          <w:bCs/>
          <w:sz w:val="24"/>
          <w:szCs w:val="24"/>
        </w:rPr>
        <w:t xml:space="preserve"> </w:t>
      </w:r>
      <w:sdt>
        <w:sdtPr>
          <w:rPr>
            <w:rFonts w:cstheme="minorHAnsi"/>
            <w:bCs/>
            <w:sz w:val="24"/>
            <w:szCs w:val="24"/>
          </w:rPr>
          <w:id w:val="184260640"/>
          <w:citation/>
        </w:sdtPr>
        <w:sdtContent>
          <w:r w:rsidR="000F6B7C" w:rsidRPr="000F6B7C">
            <w:rPr>
              <w:rFonts w:cstheme="minorHAnsi"/>
              <w:bCs/>
              <w:sz w:val="24"/>
              <w:szCs w:val="24"/>
            </w:rPr>
            <w:fldChar w:fldCharType="begin"/>
          </w:r>
          <w:r w:rsidR="000F6B7C" w:rsidRPr="000F6B7C">
            <w:rPr>
              <w:rFonts w:cstheme="minorHAnsi"/>
              <w:bCs/>
              <w:sz w:val="24"/>
              <w:szCs w:val="24"/>
            </w:rPr>
            <w:instrText xml:space="preserve"> CITATION Pet21 \l 2057 </w:instrText>
          </w:r>
          <w:r w:rsidR="000F6B7C" w:rsidRPr="000F6B7C">
            <w:rPr>
              <w:rFonts w:cstheme="minorHAnsi"/>
              <w:bCs/>
              <w:sz w:val="24"/>
              <w:szCs w:val="24"/>
            </w:rPr>
            <w:fldChar w:fldCharType="separate"/>
          </w:r>
          <w:r w:rsidR="000F6B7C" w:rsidRPr="000F6B7C">
            <w:rPr>
              <w:rFonts w:cstheme="minorHAnsi"/>
              <w:noProof/>
              <w:sz w:val="24"/>
              <w:szCs w:val="24"/>
            </w:rPr>
            <w:t>(Pettit, 2021)</w:t>
          </w:r>
          <w:r w:rsidR="000F6B7C" w:rsidRPr="000F6B7C">
            <w:rPr>
              <w:rFonts w:cstheme="minorHAnsi"/>
              <w:bCs/>
              <w:sz w:val="24"/>
              <w:szCs w:val="24"/>
            </w:rPr>
            <w:fldChar w:fldCharType="end"/>
          </w:r>
        </w:sdtContent>
      </w:sdt>
    </w:p>
    <w:p w14:paraId="14F7105E" w14:textId="2AC63B5B" w:rsidR="001C57E1" w:rsidRPr="000F6B7C" w:rsidRDefault="000F6B7C" w:rsidP="00863BA1">
      <w:pPr>
        <w:spacing w:line="480" w:lineRule="auto"/>
        <w:rPr>
          <w:rFonts w:cstheme="minorHAnsi"/>
          <w:bCs/>
          <w:sz w:val="24"/>
          <w:szCs w:val="24"/>
        </w:rPr>
      </w:pPr>
      <w:r w:rsidRPr="000F6B7C">
        <w:rPr>
          <w:rFonts w:cstheme="minorHAnsi"/>
          <w:bCs/>
          <w:sz w:val="24"/>
          <w:szCs w:val="24"/>
        </w:rPr>
        <w:t>As can be seen there are specific protections afforded both the defendant as well as the claimant, the rights of both must be balanced alongside the need for justice. It could be said that the rights afforded are to bring all parties more in compliance with the law and to ensure all parties are following the best interest of the court.</w:t>
      </w:r>
    </w:p>
    <w:p w14:paraId="10F2BB4C" w14:textId="547FD6D9" w:rsidR="00E00490" w:rsidRPr="000F6B7C" w:rsidRDefault="00E00490">
      <w:pPr>
        <w:rPr>
          <w:rFonts w:cstheme="minorHAnsi"/>
          <w:bCs/>
          <w:sz w:val="24"/>
          <w:szCs w:val="24"/>
        </w:rPr>
      </w:pPr>
      <w:r w:rsidRPr="000F6B7C">
        <w:rPr>
          <w:rFonts w:cstheme="minorHAnsi"/>
          <w:bCs/>
          <w:sz w:val="24"/>
          <w:szCs w:val="24"/>
        </w:rPr>
        <w:br w:type="page"/>
      </w:r>
    </w:p>
    <w:p w14:paraId="3CAD722A" w14:textId="3D7B3812" w:rsidR="00537B9E" w:rsidRPr="000F6B7C" w:rsidRDefault="00537B9E" w:rsidP="00537B9E">
      <w:pPr>
        <w:pStyle w:val="Heading1"/>
        <w:jc w:val="center"/>
        <w:rPr>
          <w:color w:val="auto"/>
        </w:rPr>
      </w:pPr>
      <w:r w:rsidRPr="000F6B7C">
        <w:rPr>
          <w:color w:val="auto"/>
        </w:rPr>
        <w:lastRenderedPageBreak/>
        <w:t>Case list</w:t>
      </w:r>
    </w:p>
    <w:p w14:paraId="3B22EBB9" w14:textId="2628F6C8" w:rsidR="00537B9E" w:rsidRDefault="00537B9E" w:rsidP="00863BA1">
      <w:pPr>
        <w:spacing w:line="480" w:lineRule="auto"/>
        <w:rPr>
          <w:rFonts w:cstheme="minorHAnsi"/>
          <w:bCs/>
          <w:sz w:val="24"/>
          <w:szCs w:val="24"/>
        </w:rPr>
      </w:pPr>
      <w:r w:rsidRPr="000F6B7C">
        <w:rPr>
          <w:rFonts w:cstheme="minorHAnsi"/>
          <w:bCs/>
          <w:sz w:val="24"/>
          <w:szCs w:val="24"/>
        </w:rPr>
        <w:t>HM Revenue &amp; Customs v Clayton Egleton, Trade Eazy Limited, Shaheed Vali, Frakhameed Raman [2006] EWHC 2313</w:t>
      </w:r>
    </w:p>
    <w:p w14:paraId="0C902449" w14:textId="4CF42735" w:rsidR="00863BA1" w:rsidRPr="000F6B7C" w:rsidRDefault="00863BA1" w:rsidP="00863BA1">
      <w:pPr>
        <w:spacing w:line="480" w:lineRule="auto"/>
        <w:rPr>
          <w:rFonts w:cstheme="minorHAnsi"/>
          <w:bCs/>
          <w:sz w:val="24"/>
          <w:szCs w:val="24"/>
        </w:rPr>
      </w:pPr>
      <w:r w:rsidRPr="000F6B7C">
        <w:rPr>
          <w:rFonts w:cstheme="minorHAnsi"/>
          <w:bCs/>
          <w:sz w:val="24"/>
          <w:szCs w:val="24"/>
        </w:rPr>
        <w:t>Coca-Cola Co v Gilbey [1995] 4 All ER 711</w:t>
      </w:r>
    </w:p>
    <w:p w14:paraId="20B1A4B3" w14:textId="2CD2BA12" w:rsidR="00537B9E" w:rsidRPr="000F6B7C" w:rsidRDefault="00537B9E" w:rsidP="00863BA1">
      <w:pPr>
        <w:spacing w:line="480" w:lineRule="auto"/>
        <w:rPr>
          <w:rFonts w:cstheme="minorHAnsi"/>
          <w:bCs/>
          <w:sz w:val="24"/>
          <w:szCs w:val="24"/>
        </w:rPr>
      </w:pPr>
      <w:r w:rsidRPr="000F6B7C">
        <w:rPr>
          <w:rFonts w:cstheme="minorHAnsi"/>
          <w:bCs/>
          <w:sz w:val="24"/>
          <w:szCs w:val="24"/>
        </w:rPr>
        <w:t>Re Bank of Credit and Commerce International SA (No 9) [1994] 3 All ER 764</w:t>
      </w:r>
    </w:p>
    <w:p w14:paraId="36077EFB" w14:textId="62ADA136" w:rsidR="00537B9E" w:rsidRPr="000F6B7C" w:rsidRDefault="00537B9E" w:rsidP="00863BA1">
      <w:pPr>
        <w:spacing w:line="480" w:lineRule="auto"/>
        <w:rPr>
          <w:rFonts w:cstheme="minorHAnsi"/>
          <w:bCs/>
          <w:sz w:val="24"/>
          <w:szCs w:val="24"/>
        </w:rPr>
      </w:pPr>
      <w:r w:rsidRPr="000F6B7C">
        <w:rPr>
          <w:rFonts w:cstheme="minorHAnsi"/>
          <w:bCs/>
          <w:sz w:val="24"/>
          <w:szCs w:val="24"/>
        </w:rPr>
        <w:t>Derby and Co Ltd v Weldon (Nos 3 and 4) [1990] CA</w:t>
      </w:r>
    </w:p>
    <w:p w14:paraId="369B2E38" w14:textId="03281D1E" w:rsidR="00A35B79" w:rsidRPr="000F6B7C" w:rsidRDefault="00A35B79" w:rsidP="00863BA1">
      <w:pPr>
        <w:spacing w:line="480" w:lineRule="auto"/>
        <w:rPr>
          <w:rFonts w:cstheme="minorHAnsi"/>
          <w:bCs/>
          <w:sz w:val="24"/>
          <w:szCs w:val="24"/>
        </w:rPr>
      </w:pPr>
      <w:r w:rsidRPr="000F6B7C">
        <w:rPr>
          <w:rFonts w:cstheme="minorHAnsi"/>
          <w:bCs/>
          <w:sz w:val="24"/>
          <w:szCs w:val="24"/>
        </w:rPr>
        <w:t>Lock International plc v Beswick</w:t>
      </w:r>
      <w:r w:rsidRPr="000F6B7C">
        <w:rPr>
          <w:rFonts w:cstheme="minorHAnsi"/>
          <w:bCs/>
          <w:sz w:val="24"/>
          <w:szCs w:val="24"/>
        </w:rPr>
        <w:t xml:space="preserve"> [1989]</w:t>
      </w:r>
      <w:r w:rsidRPr="000F6B7C">
        <w:rPr>
          <w:rFonts w:cstheme="minorHAnsi"/>
          <w:bCs/>
          <w:sz w:val="24"/>
          <w:szCs w:val="24"/>
        </w:rPr>
        <w:t xml:space="preserve"> </w:t>
      </w:r>
      <w:r w:rsidR="00F37345" w:rsidRPr="000F6B7C">
        <w:rPr>
          <w:rFonts w:cstheme="minorHAnsi"/>
          <w:bCs/>
          <w:sz w:val="24"/>
          <w:szCs w:val="24"/>
        </w:rPr>
        <w:t>1 WRL 1268</w:t>
      </w:r>
    </w:p>
    <w:p w14:paraId="489C2746" w14:textId="19D7B5F5" w:rsidR="0009666B" w:rsidRPr="000F6B7C" w:rsidRDefault="0009666B" w:rsidP="00863BA1">
      <w:pPr>
        <w:spacing w:line="480" w:lineRule="auto"/>
        <w:rPr>
          <w:rFonts w:cstheme="minorHAnsi"/>
          <w:bCs/>
          <w:sz w:val="24"/>
          <w:szCs w:val="24"/>
        </w:rPr>
      </w:pPr>
      <w:r w:rsidRPr="000F6B7C">
        <w:rPr>
          <w:rFonts w:cstheme="minorHAnsi"/>
          <w:bCs/>
          <w:sz w:val="24"/>
          <w:szCs w:val="24"/>
        </w:rPr>
        <w:t>Columbia Pictures Industries Inc v Robinson</w:t>
      </w:r>
      <w:r w:rsidRPr="000F6B7C">
        <w:rPr>
          <w:rFonts w:cstheme="minorHAnsi"/>
          <w:bCs/>
          <w:sz w:val="24"/>
          <w:szCs w:val="24"/>
        </w:rPr>
        <w:t xml:space="preserve"> [1987] CH 38</w:t>
      </w:r>
    </w:p>
    <w:p w14:paraId="63D365AA" w14:textId="567E941A" w:rsidR="00537B9E" w:rsidRPr="000F6B7C" w:rsidRDefault="00537B9E" w:rsidP="00863BA1">
      <w:pPr>
        <w:spacing w:line="480" w:lineRule="auto"/>
        <w:rPr>
          <w:rFonts w:cstheme="minorHAnsi"/>
          <w:bCs/>
          <w:sz w:val="24"/>
          <w:szCs w:val="24"/>
        </w:rPr>
      </w:pPr>
      <w:r w:rsidRPr="000F6B7C">
        <w:rPr>
          <w:rFonts w:cstheme="minorHAnsi"/>
          <w:bCs/>
          <w:sz w:val="24"/>
          <w:szCs w:val="24"/>
        </w:rPr>
        <w:t>Mareva Compania Naviera SA v International Bulkcarriers SA The Mareva [1980] 1 All ER 213</w:t>
      </w:r>
    </w:p>
    <w:p w14:paraId="2EAFF26E" w14:textId="364FAC21" w:rsidR="00537B9E" w:rsidRPr="000F6B7C" w:rsidRDefault="00537B9E" w:rsidP="00863BA1">
      <w:pPr>
        <w:spacing w:line="480" w:lineRule="auto"/>
        <w:rPr>
          <w:rFonts w:cstheme="minorHAnsi"/>
          <w:bCs/>
          <w:sz w:val="24"/>
          <w:szCs w:val="24"/>
        </w:rPr>
      </w:pPr>
      <w:r w:rsidRPr="000F6B7C">
        <w:rPr>
          <w:rFonts w:cstheme="minorHAnsi"/>
          <w:bCs/>
          <w:sz w:val="24"/>
          <w:szCs w:val="24"/>
        </w:rPr>
        <w:t>Third Chandris Shipping Corporation v Unimarine SA [1979] 2 ALL ER 972</w:t>
      </w:r>
    </w:p>
    <w:p w14:paraId="62999F52" w14:textId="5A7F4FE7" w:rsidR="00537B9E" w:rsidRPr="000F6B7C" w:rsidRDefault="00537B9E" w:rsidP="00863BA1">
      <w:pPr>
        <w:spacing w:line="480" w:lineRule="auto"/>
        <w:rPr>
          <w:rFonts w:cstheme="minorHAnsi"/>
          <w:bCs/>
          <w:sz w:val="24"/>
          <w:szCs w:val="24"/>
        </w:rPr>
      </w:pPr>
      <w:r w:rsidRPr="000F6B7C">
        <w:rPr>
          <w:rFonts w:cstheme="minorHAnsi"/>
          <w:bCs/>
          <w:sz w:val="24"/>
          <w:szCs w:val="24"/>
        </w:rPr>
        <w:t>American Cyanamid Co (No 1) v Ethicon Ltd [1975] AC 369</w:t>
      </w:r>
    </w:p>
    <w:p w14:paraId="66E26BB5" w14:textId="1F81BC5C" w:rsidR="000A2273" w:rsidRPr="000F6B7C" w:rsidRDefault="000A2273" w:rsidP="00863BA1">
      <w:pPr>
        <w:spacing w:line="480" w:lineRule="auto"/>
      </w:pPr>
      <w:r w:rsidRPr="000F6B7C">
        <w:t>ANTON PILLER KG v. MANUFACTURING PROCESSES LTD</w:t>
      </w:r>
      <w:r w:rsidRPr="000F6B7C">
        <w:t xml:space="preserve"> </w:t>
      </w:r>
      <w:r w:rsidR="00F73FAE" w:rsidRPr="000F6B7C">
        <w:t>[</w:t>
      </w:r>
      <w:r w:rsidRPr="000F6B7C">
        <w:t>1975</w:t>
      </w:r>
      <w:r w:rsidR="00F73FAE" w:rsidRPr="000F6B7C">
        <w:t>] WLR 162</w:t>
      </w:r>
    </w:p>
    <w:p w14:paraId="18EAD491" w14:textId="77777777" w:rsidR="00537B9E" w:rsidRPr="000F6B7C" w:rsidRDefault="00537B9E" w:rsidP="00537B9E">
      <w:pPr>
        <w:rPr>
          <w:lang w:val="en-US"/>
        </w:rPr>
      </w:pPr>
    </w:p>
    <w:p w14:paraId="07290353" w14:textId="77777777" w:rsidR="00537B9E" w:rsidRPr="000F6B7C" w:rsidRDefault="00537B9E" w:rsidP="00537B9E">
      <w:pPr>
        <w:rPr>
          <w:lang w:val="en-US"/>
        </w:rPr>
      </w:pPr>
    </w:p>
    <w:p w14:paraId="7657051E" w14:textId="4F335A5F" w:rsidR="00655A62" w:rsidRPr="000F6B7C" w:rsidRDefault="001F4870">
      <w:pPr>
        <w:rPr>
          <w:rFonts w:cstheme="minorHAnsi"/>
          <w:bCs/>
          <w:sz w:val="24"/>
          <w:szCs w:val="24"/>
        </w:rPr>
      </w:pPr>
      <w:r w:rsidRPr="000F6B7C">
        <w:rPr>
          <w:rFonts w:cstheme="minorHAnsi"/>
          <w:bCs/>
          <w:sz w:val="24"/>
          <w:szCs w:val="24"/>
        </w:rPr>
        <w:t> </w:t>
      </w:r>
    </w:p>
    <w:p w14:paraId="13CCC49E" w14:textId="239FF76C" w:rsidR="00655A62" w:rsidRPr="000F6B7C" w:rsidRDefault="00655A62">
      <w:pPr>
        <w:rPr>
          <w:rFonts w:cstheme="minorHAnsi"/>
          <w:bCs/>
          <w:sz w:val="24"/>
          <w:szCs w:val="24"/>
        </w:rPr>
      </w:pPr>
      <w:r w:rsidRPr="000F6B7C">
        <w:rPr>
          <w:rFonts w:cstheme="minorHAnsi"/>
          <w:bCs/>
          <w:sz w:val="24"/>
          <w:szCs w:val="24"/>
        </w:rPr>
        <w:br w:type="page"/>
      </w:r>
    </w:p>
    <w:sdt>
      <w:sdtPr>
        <w:rPr>
          <w:color w:val="auto"/>
        </w:rPr>
        <w:id w:val="-1547520044"/>
        <w:docPartObj>
          <w:docPartGallery w:val="Bibliographies"/>
          <w:docPartUnique/>
        </w:docPartObj>
      </w:sdtPr>
      <w:sdtEndPr>
        <w:rPr>
          <w:rFonts w:asciiTheme="minorHAnsi" w:eastAsiaTheme="minorHAnsi" w:hAnsiTheme="minorHAnsi" w:cstheme="minorBidi"/>
          <w:sz w:val="22"/>
          <w:szCs w:val="22"/>
          <w:lang w:val="en-GB"/>
        </w:rPr>
      </w:sdtEndPr>
      <w:sdtContent>
        <w:p w14:paraId="319FAE80" w14:textId="64A2BAB6" w:rsidR="00655A62" w:rsidRPr="00863BA1" w:rsidRDefault="00655A62" w:rsidP="00863BA1">
          <w:pPr>
            <w:pStyle w:val="Heading1"/>
            <w:spacing w:line="480" w:lineRule="auto"/>
            <w:jc w:val="center"/>
            <w:rPr>
              <w:color w:val="auto"/>
              <w:sz w:val="24"/>
              <w:szCs w:val="24"/>
            </w:rPr>
          </w:pPr>
          <w:r w:rsidRPr="00863BA1">
            <w:rPr>
              <w:color w:val="auto"/>
              <w:sz w:val="24"/>
              <w:szCs w:val="24"/>
            </w:rPr>
            <w:t>Bibliography</w:t>
          </w:r>
        </w:p>
        <w:sdt>
          <w:sdtPr>
            <w:rPr>
              <w:sz w:val="24"/>
              <w:szCs w:val="24"/>
            </w:rPr>
            <w:id w:val="111145805"/>
            <w:bibliography/>
          </w:sdtPr>
          <w:sdtEndPr>
            <w:rPr>
              <w:sz w:val="22"/>
              <w:szCs w:val="22"/>
            </w:rPr>
          </w:sdtEndPr>
          <w:sdtContent>
            <w:p w14:paraId="4B5D1B7D" w14:textId="77777777" w:rsidR="000F6B7C" w:rsidRPr="00863BA1" w:rsidRDefault="00655A62" w:rsidP="00863BA1">
              <w:pPr>
                <w:pStyle w:val="Bibliography"/>
                <w:spacing w:line="480" w:lineRule="auto"/>
                <w:ind w:left="720" w:hanging="720"/>
                <w:rPr>
                  <w:noProof/>
                  <w:sz w:val="24"/>
                  <w:szCs w:val="24"/>
                  <w:lang w:val="en-US"/>
                </w:rPr>
              </w:pPr>
              <w:r w:rsidRPr="00863BA1">
                <w:rPr>
                  <w:sz w:val="24"/>
                  <w:szCs w:val="24"/>
                </w:rPr>
                <w:fldChar w:fldCharType="begin"/>
              </w:r>
              <w:r w:rsidRPr="00863BA1">
                <w:rPr>
                  <w:sz w:val="24"/>
                  <w:szCs w:val="24"/>
                </w:rPr>
                <w:instrText xml:space="preserve"> BIBLIOGRAPHY </w:instrText>
              </w:r>
              <w:r w:rsidRPr="00863BA1">
                <w:rPr>
                  <w:sz w:val="24"/>
                  <w:szCs w:val="24"/>
                </w:rPr>
                <w:fldChar w:fldCharType="separate"/>
              </w:r>
              <w:r w:rsidR="000F6B7C" w:rsidRPr="00863BA1">
                <w:rPr>
                  <w:noProof/>
                  <w:sz w:val="24"/>
                  <w:szCs w:val="24"/>
                  <w:lang w:val="en-US"/>
                </w:rPr>
                <w:t xml:space="preserve">Hickin, J. (2007, Febuary 12). </w:t>
              </w:r>
              <w:r w:rsidR="000F6B7C" w:rsidRPr="00863BA1">
                <w:rPr>
                  <w:i/>
                  <w:iCs/>
                  <w:noProof/>
                  <w:sz w:val="24"/>
                  <w:szCs w:val="24"/>
                  <w:lang w:val="en-US"/>
                </w:rPr>
                <w:t>Freezing Orders - Are Third Parties Out In The Cold?</w:t>
              </w:r>
              <w:r w:rsidR="000F6B7C" w:rsidRPr="00863BA1">
                <w:rPr>
                  <w:noProof/>
                  <w:sz w:val="24"/>
                  <w:szCs w:val="24"/>
                  <w:lang w:val="en-US"/>
                </w:rPr>
                <w:t xml:space="preserve"> Retrieved from Mayer brown: https://www.mayerbrown.com/en/perspectives-events/publications/2007/02/freezing-orders--are-third-parties-out-in-the-cold</w:t>
              </w:r>
            </w:p>
            <w:p w14:paraId="4DF458DC"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McInnes, M. (1988). The Right to Silence in the Presence of Anton Piller: A Question of Self Incrimination. </w:t>
              </w:r>
              <w:r w:rsidRPr="00863BA1">
                <w:rPr>
                  <w:i/>
                  <w:iCs/>
                  <w:noProof/>
                  <w:sz w:val="24"/>
                  <w:szCs w:val="24"/>
                  <w:lang w:val="en-US"/>
                </w:rPr>
                <w:t>Alberta Law Reviiiew</w:t>
              </w:r>
              <w:r w:rsidRPr="00863BA1">
                <w:rPr>
                  <w:noProof/>
                  <w:sz w:val="24"/>
                  <w:szCs w:val="24"/>
                  <w:lang w:val="en-US"/>
                </w:rPr>
                <w:t>, pp. 233-344.</w:t>
              </w:r>
            </w:p>
            <w:p w14:paraId="3201D095"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Moffat, G. (2005). </w:t>
              </w:r>
              <w:r w:rsidRPr="00863BA1">
                <w:rPr>
                  <w:i/>
                  <w:iCs/>
                  <w:noProof/>
                  <w:sz w:val="24"/>
                  <w:szCs w:val="24"/>
                  <w:lang w:val="en-US"/>
                </w:rPr>
                <w:t>Trusts Law</w:t>
              </w:r>
              <w:r w:rsidRPr="00863BA1">
                <w:rPr>
                  <w:noProof/>
                  <w:sz w:val="24"/>
                  <w:szCs w:val="24"/>
                  <w:lang w:val="en-US"/>
                </w:rPr>
                <w:t xml:space="preserve"> (4th ed.). Cambride: Cambride University press.</w:t>
              </w:r>
            </w:p>
            <w:p w14:paraId="0AABA3BF"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Pettit, P. (2021). </w:t>
              </w:r>
              <w:r w:rsidRPr="00863BA1">
                <w:rPr>
                  <w:i/>
                  <w:iCs/>
                  <w:noProof/>
                  <w:sz w:val="24"/>
                  <w:szCs w:val="24"/>
                  <w:lang w:val="en-US"/>
                </w:rPr>
                <w:t>Equity and the Law of Trusts.</w:t>
              </w:r>
              <w:r w:rsidRPr="00863BA1">
                <w:rPr>
                  <w:noProof/>
                  <w:sz w:val="24"/>
                  <w:szCs w:val="24"/>
                  <w:lang w:val="en-US"/>
                </w:rPr>
                <w:t xml:space="preserve"> Oxford: Oxford University Press.</w:t>
              </w:r>
            </w:p>
            <w:p w14:paraId="75B59207"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Watt, G. (2021). </w:t>
              </w:r>
              <w:r w:rsidRPr="00863BA1">
                <w:rPr>
                  <w:i/>
                  <w:iCs/>
                  <w:noProof/>
                  <w:sz w:val="24"/>
                  <w:szCs w:val="24"/>
                  <w:lang w:val="en-US"/>
                </w:rPr>
                <w:t>Equity &amp; Trust Law</w:t>
              </w:r>
              <w:r w:rsidRPr="00863BA1">
                <w:rPr>
                  <w:noProof/>
                  <w:sz w:val="24"/>
                  <w:szCs w:val="24"/>
                  <w:lang w:val="en-US"/>
                </w:rPr>
                <w:t xml:space="preserve"> (7th ed.). Glasgo: Bell &amp; Bian Ltd.</w:t>
              </w:r>
            </w:p>
            <w:p w14:paraId="51B006DC"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Wilson, S. (2005). </w:t>
              </w:r>
              <w:r w:rsidRPr="00863BA1">
                <w:rPr>
                  <w:i/>
                  <w:iCs/>
                  <w:noProof/>
                  <w:sz w:val="24"/>
                  <w:szCs w:val="24"/>
                  <w:lang w:val="en-US"/>
                </w:rPr>
                <w:t>Trusts</w:t>
              </w:r>
              <w:r w:rsidRPr="00863BA1">
                <w:rPr>
                  <w:noProof/>
                  <w:sz w:val="24"/>
                  <w:szCs w:val="24"/>
                  <w:lang w:val="en-US"/>
                </w:rPr>
                <w:t xml:space="preserve"> (7th ed.). Hampshire: Ashford Colour Press.</w:t>
              </w:r>
            </w:p>
            <w:p w14:paraId="69040A8C" w14:textId="77777777" w:rsidR="000F6B7C" w:rsidRPr="00863BA1" w:rsidRDefault="000F6B7C" w:rsidP="00863BA1">
              <w:pPr>
                <w:pStyle w:val="Bibliography"/>
                <w:spacing w:line="480" w:lineRule="auto"/>
                <w:ind w:left="720" w:hanging="720"/>
                <w:rPr>
                  <w:noProof/>
                  <w:sz w:val="24"/>
                  <w:szCs w:val="24"/>
                  <w:lang w:val="en-US"/>
                </w:rPr>
              </w:pPr>
              <w:r w:rsidRPr="00863BA1">
                <w:rPr>
                  <w:noProof/>
                  <w:sz w:val="24"/>
                  <w:szCs w:val="24"/>
                  <w:lang w:val="en-US"/>
                </w:rPr>
                <w:t xml:space="preserve">Zuckerman, A. (1993, May 1st). Interlocutory Remedies in Quest of Procedural Fairness. </w:t>
              </w:r>
              <w:r w:rsidRPr="00863BA1">
                <w:rPr>
                  <w:i/>
                  <w:iCs/>
                  <w:noProof/>
                  <w:sz w:val="24"/>
                  <w:szCs w:val="24"/>
                  <w:lang w:val="en-US"/>
                </w:rPr>
                <w:t>The Modern Law Review, 56</w:t>
              </w:r>
              <w:r w:rsidRPr="00863BA1">
                <w:rPr>
                  <w:noProof/>
                  <w:sz w:val="24"/>
                  <w:szCs w:val="24"/>
                  <w:lang w:val="en-US"/>
                </w:rPr>
                <w:t>(3), pp. 325-341.</w:t>
              </w:r>
            </w:p>
            <w:p w14:paraId="55F63AD1" w14:textId="718DB697" w:rsidR="00655A62" w:rsidRPr="000F6B7C" w:rsidRDefault="00655A62" w:rsidP="00863BA1">
              <w:pPr>
                <w:spacing w:line="480" w:lineRule="auto"/>
              </w:pPr>
              <w:r w:rsidRPr="00863BA1">
                <w:rPr>
                  <w:b/>
                  <w:bCs/>
                  <w:noProof/>
                  <w:sz w:val="24"/>
                  <w:szCs w:val="24"/>
                </w:rPr>
                <w:fldChar w:fldCharType="end"/>
              </w:r>
            </w:p>
          </w:sdtContent>
        </w:sdt>
      </w:sdtContent>
    </w:sdt>
    <w:p w14:paraId="0B2C36E1" w14:textId="77777777" w:rsidR="00D84676" w:rsidRPr="000F6B7C" w:rsidRDefault="00D84676">
      <w:pPr>
        <w:rPr>
          <w:rFonts w:cstheme="minorHAnsi"/>
          <w:bCs/>
          <w:sz w:val="24"/>
          <w:szCs w:val="24"/>
        </w:rPr>
      </w:pPr>
    </w:p>
    <w:sectPr w:rsidR="00D84676" w:rsidRPr="000F6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0F"/>
    <w:rsid w:val="0004519F"/>
    <w:rsid w:val="0005007A"/>
    <w:rsid w:val="0009666B"/>
    <w:rsid w:val="000A068D"/>
    <w:rsid w:val="000A2273"/>
    <w:rsid w:val="000B3ABF"/>
    <w:rsid w:val="000D7868"/>
    <w:rsid w:val="000F6B7C"/>
    <w:rsid w:val="0012636E"/>
    <w:rsid w:val="00147463"/>
    <w:rsid w:val="00175AC8"/>
    <w:rsid w:val="001C57E1"/>
    <w:rsid w:val="001F169C"/>
    <w:rsid w:val="001F4870"/>
    <w:rsid w:val="00237A0A"/>
    <w:rsid w:val="0025048F"/>
    <w:rsid w:val="00285C9A"/>
    <w:rsid w:val="002B5C08"/>
    <w:rsid w:val="002D1662"/>
    <w:rsid w:val="00307411"/>
    <w:rsid w:val="00317FBF"/>
    <w:rsid w:val="0036559D"/>
    <w:rsid w:val="003720B9"/>
    <w:rsid w:val="0037576A"/>
    <w:rsid w:val="0039755B"/>
    <w:rsid w:val="003B5E5B"/>
    <w:rsid w:val="00494CB4"/>
    <w:rsid w:val="004E11CF"/>
    <w:rsid w:val="0053595B"/>
    <w:rsid w:val="00537B9E"/>
    <w:rsid w:val="00540053"/>
    <w:rsid w:val="0058540A"/>
    <w:rsid w:val="00592BF4"/>
    <w:rsid w:val="005F53B6"/>
    <w:rsid w:val="006022EF"/>
    <w:rsid w:val="00655A62"/>
    <w:rsid w:val="00687345"/>
    <w:rsid w:val="006C6E0F"/>
    <w:rsid w:val="006F231A"/>
    <w:rsid w:val="00785486"/>
    <w:rsid w:val="0078665B"/>
    <w:rsid w:val="00786A75"/>
    <w:rsid w:val="007E605F"/>
    <w:rsid w:val="008326FA"/>
    <w:rsid w:val="00851006"/>
    <w:rsid w:val="00863BA1"/>
    <w:rsid w:val="00895D08"/>
    <w:rsid w:val="008B5E03"/>
    <w:rsid w:val="009425B7"/>
    <w:rsid w:val="009B7F3F"/>
    <w:rsid w:val="009C6169"/>
    <w:rsid w:val="009D707C"/>
    <w:rsid w:val="009E670C"/>
    <w:rsid w:val="00A10231"/>
    <w:rsid w:val="00A25709"/>
    <w:rsid w:val="00A31794"/>
    <w:rsid w:val="00A35B79"/>
    <w:rsid w:val="00A45C42"/>
    <w:rsid w:val="00A61C7A"/>
    <w:rsid w:val="00AC713D"/>
    <w:rsid w:val="00AD281D"/>
    <w:rsid w:val="00AD4719"/>
    <w:rsid w:val="00B3666D"/>
    <w:rsid w:val="00B53088"/>
    <w:rsid w:val="00BB1B43"/>
    <w:rsid w:val="00BB3A3A"/>
    <w:rsid w:val="00BC3B5E"/>
    <w:rsid w:val="00BF191F"/>
    <w:rsid w:val="00BF1B60"/>
    <w:rsid w:val="00BF4922"/>
    <w:rsid w:val="00C60E3C"/>
    <w:rsid w:val="00C64A30"/>
    <w:rsid w:val="00C72C0A"/>
    <w:rsid w:val="00C95191"/>
    <w:rsid w:val="00CA594C"/>
    <w:rsid w:val="00CB27B6"/>
    <w:rsid w:val="00CB4E71"/>
    <w:rsid w:val="00CC2710"/>
    <w:rsid w:val="00CD4AB1"/>
    <w:rsid w:val="00D134B4"/>
    <w:rsid w:val="00D3395F"/>
    <w:rsid w:val="00D4740B"/>
    <w:rsid w:val="00D84676"/>
    <w:rsid w:val="00D86BDB"/>
    <w:rsid w:val="00DA254F"/>
    <w:rsid w:val="00E00490"/>
    <w:rsid w:val="00E41194"/>
    <w:rsid w:val="00E640CA"/>
    <w:rsid w:val="00E81EAA"/>
    <w:rsid w:val="00EC2FDE"/>
    <w:rsid w:val="00F138E4"/>
    <w:rsid w:val="00F15F7C"/>
    <w:rsid w:val="00F3378A"/>
    <w:rsid w:val="00F37345"/>
    <w:rsid w:val="00F73FAE"/>
    <w:rsid w:val="00FA0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E67EF"/>
  <w15:chartTrackingRefBased/>
  <w15:docId w15:val="{D442575C-C66F-461C-AE74-AEA06FE46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7F3F"/>
  </w:style>
  <w:style w:type="paragraph" w:styleId="Heading1">
    <w:name w:val="heading 1"/>
    <w:basedOn w:val="Normal"/>
    <w:next w:val="Normal"/>
    <w:link w:val="Heading1Char"/>
    <w:uiPriority w:val="9"/>
    <w:qFormat/>
    <w:rsid w:val="00655A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004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55A6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55A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6831">
      <w:bodyDiv w:val="1"/>
      <w:marLeft w:val="0"/>
      <w:marRight w:val="0"/>
      <w:marTop w:val="0"/>
      <w:marBottom w:val="0"/>
      <w:divBdr>
        <w:top w:val="none" w:sz="0" w:space="0" w:color="auto"/>
        <w:left w:val="none" w:sz="0" w:space="0" w:color="auto"/>
        <w:bottom w:val="none" w:sz="0" w:space="0" w:color="auto"/>
        <w:right w:val="none" w:sz="0" w:space="0" w:color="auto"/>
      </w:divBdr>
    </w:div>
    <w:div w:id="48499028">
      <w:bodyDiv w:val="1"/>
      <w:marLeft w:val="0"/>
      <w:marRight w:val="0"/>
      <w:marTop w:val="0"/>
      <w:marBottom w:val="0"/>
      <w:divBdr>
        <w:top w:val="none" w:sz="0" w:space="0" w:color="auto"/>
        <w:left w:val="none" w:sz="0" w:space="0" w:color="auto"/>
        <w:bottom w:val="none" w:sz="0" w:space="0" w:color="auto"/>
        <w:right w:val="none" w:sz="0" w:space="0" w:color="auto"/>
      </w:divBdr>
    </w:div>
    <w:div w:id="53236939">
      <w:bodyDiv w:val="1"/>
      <w:marLeft w:val="0"/>
      <w:marRight w:val="0"/>
      <w:marTop w:val="0"/>
      <w:marBottom w:val="0"/>
      <w:divBdr>
        <w:top w:val="none" w:sz="0" w:space="0" w:color="auto"/>
        <w:left w:val="none" w:sz="0" w:space="0" w:color="auto"/>
        <w:bottom w:val="none" w:sz="0" w:space="0" w:color="auto"/>
        <w:right w:val="none" w:sz="0" w:space="0" w:color="auto"/>
      </w:divBdr>
    </w:div>
    <w:div w:id="53357169">
      <w:bodyDiv w:val="1"/>
      <w:marLeft w:val="0"/>
      <w:marRight w:val="0"/>
      <w:marTop w:val="0"/>
      <w:marBottom w:val="0"/>
      <w:divBdr>
        <w:top w:val="none" w:sz="0" w:space="0" w:color="auto"/>
        <w:left w:val="none" w:sz="0" w:space="0" w:color="auto"/>
        <w:bottom w:val="none" w:sz="0" w:space="0" w:color="auto"/>
        <w:right w:val="none" w:sz="0" w:space="0" w:color="auto"/>
      </w:divBdr>
    </w:div>
    <w:div w:id="65613836">
      <w:bodyDiv w:val="1"/>
      <w:marLeft w:val="0"/>
      <w:marRight w:val="0"/>
      <w:marTop w:val="0"/>
      <w:marBottom w:val="0"/>
      <w:divBdr>
        <w:top w:val="none" w:sz="0" w:space="0" w:color="auto"/>
        <w:left w:val="none" w:sz="0" w:space="0" w:color="auto"/>
        <w:bottom w:val="none" w:sz="0" w:space="0" w:color="auto"/>
        <w:right w:val="none" w:sz="0" w:space="0" w:color="auto"/>
      </w:divBdr>
    </w:div>
    <w:div w:id="68775520">
      <w:bodyDiv w:val="1"/>
      <w:marLeft w:val="0"/>
      <w:marRight w:val="0"/>
      <w:marTop w:val="0"/>
      <w:marBottom w:val="0"/>
      <w:divBdr>
        <w:top w:val="none" w:sz="0" w:space="0" w:color="auto"/>
        <w:left w:val="none" w:sz="0" w:space="0" w:color="auto"/>
        <w:bottom w:val="none" w:sz="0" w:space="0" w:color="auto"/>
        <w:right w:val="none" w:sz="0" w:space="0" w:color="auto"/>
      </w:divBdr>
    </w:div>
    <w:div w:id="79304210">
      <w:bodyDiv w:val="1"/>
      <w:marLeft w:val="0"/>
      <w:marRight w:val="0"/>
      <w:marTop w:val="0"/>
      <w:marBottom w:val="0"/>
      <w:divBdr>
        <w:top w:val="none" w:sz="0" w:space="0" w:color="auto"/>
        <w:left w:val="none" w:sz="0" w:space="0" w:color="auto"/>
        <w:bottom w:val="none" w:sz="0" w:space="0" w:color="auto"/>
        <w:right w:val="none" w:sz="0" w:space="0" w:color="auto"/>
      </w:divBdr>
    </w:div>
    <w:div w:id="143352317">
      <w:bodyDiv w:val="1"/>
      <w:marLeft w:val="0"/>
      <w:marRight w:val="0"/>
      <w:marTop w:val="0"/>
      <w:marBottom w:val="0"/>
      <w:divBdr>
        <w:top w:val="none" w:sz="0" w:space="0" w:color="auto"/>
        <w:left w:val="none" w:sz="0" w:space="0" w:color="auto"/>
        <w:bottom w:val="none" w:sz="0" w:space="0" w:color="auto"/>
        <w:right w:val="none" w:sz="0" w:space="0" w:color="auto"/>
      </w:divBdr>
    </w:div>
    <w:div w:id="149247830">
      <w:bodyDiv w:val="1"/>
      <w:marLeft w:val="0"/>
      <w:marRight w:val="0"/>
      <w:marTop w:val="0"/>
      <w:marBottom w:val="0"/>
      <w:divBdr>
        <w:top w:val="none" w:sz="0" w:space="0" w:color="auto"/>
        <w:left w:val="none" w:sz="0" w:space="0" w:color="auto"/>
        <w:bottom w:val="none" w:sz="0" w:space="0" w:color="auto"/>
        <w:right w:val="none" w:sz="0" w:space="0" w:color="auto"/>
      </w:divBdr>
    </w:div>
    <w:div w:id="149492265">
      <w:bodyDiv w:val="1"/>
      <w:marLeft w:val="0"/>
      <w:marRight w:val="0"/>
      <w:marTop w:val="0"/>
      <w:marBottom w:val="0"/>
      <w:divBdr>
        <w:top w:val="none" w:sz="0" w:space="0" w:color="auto"/>
        <w:left w:val="none" w:sz="0" w:space="0" w:color="auto"/>
        <w:bottom w:val="none" w:sz="0" w:space="0" w:color="auto"/>
        <w:right w:val="none" w:sz="0" w:space="0" w:color="auto"/>
      </w:divBdr>
    </w:div>
    <w:div w:id="187568605">
      <w:bodyDiv w:val="1"/>
      <w:marLeft w:val="0"/>
      <w:marRight w:val="0"/>
      <w:marTop w:val="0"/>
      <w:marBottom w:val="0"/>
      <w:divBdr>
        <w:top w:val="none" w:sz="0" w:space="0" w:color="auto"/>
        <w:left w:val="none" w:sz="0" w:space="0" w:color="auto"/>
        <w:bottom w:val="none" w:sz="0" w:space="0" w:color="auto"/>
        <w:right w:val="none" w:sz="0" w:space="0" w:color="auto"/>
      </w:divBdr>
    </w:div>
    <w:div w:id="190728066">
      <w:bodyDiv w:val="1"/>
      <w:marLeft w:val="0"/>
      <w:marRight w:val="0"/>
      <w:marTop w:val="0"/>
      <w:marBottom w:val="0"/>
      <w:divBdr>
        <w:top w:val="none" w:sz="0" w:space="0" w:color="auto"/>
        <w:left w:val="none" w:sz="0" w:space="0" w:color="auto"/>
        <w:bottom w:val="none" w:sz="0" w:space="0" w:color="auto"/>
        <w:right w:val="none" w:sz="0" w:space="0" w:color="auto"/>
      </w:divBdr>
    </w:div>
    <w:div w:id="201015617">
      <w:bodyDiv w:val="1"/>
      <w:marLeft w:val="0"/>
      <w:marRight w:val="0"/>
      <w:marTop w:val="0"/>
      <w:marBottom w:val="0"/>
      <w:divBdr>
        <w:top w:val="none" w:sz="0" w:space="0" w:color="auto"/>
        <w:left w:val="none" w:sz="0" w:space="0" w:color="auto"/>
        <w:bottom w:val="none" w:sz="0" w:space="0" w:color="auto"/>
        <w:right w:val="none" w:sz="0" w:space="0" w:color="auto"/>
      </w:divBdr>
    </w:div>
    <w:div w:id="201984430">
      <w:bodyDiv w:val="1"/>
      <w:marLeft w:val="0"/>
      <w:marRight w:val="0"/>
      <w:marTop w:val="0"/>
      <w:marBottom w:val="0"/>
      <w:divBdr>
        <w:top w:val="none" w:sz="0" w:space="0" w:color="auto"/>
        <w:left w:val="none" w:sz="0" w:space="0" w:color="auto"/>
        <w:bottom w:val="none" w:sz="0" w:space="0" w:color="auto"/>
        <w:right w:val="none" w:sz="0" w:space="0" w:color="auto"/>
      </w:divBdr>
    </w:div>
    <w:div w:id="203252331">
      <w:bodyDiv w:val="1"/>
      <w:marLeft w:val="0"/>
      <w:marRight w:val="0"/>
      <w:marTop w:val="0"/>
      <w:marBottom w:val="0"/>
      <w:divBdr>
        <w:top w:val="none" w:sz="0" w:space="0" w:color="auto"/>
        <w:left w:val="none" w:sz="0" w:space="0" w:color="auto"/>
        <w:bottom w:val="none" w:sz="0" w:space="0" w:color="auto"/>
        <w:right w:val="none" w:sz="0" w:space="0" w:color="auto"/>
      </w:divBdr>
    </w:div>
    <w:div w:id="241304371">
      <w:bodyDiv w:val="1"/>
      <w:marLeft w:val="0"/>
      <w:marRight w:val="0"/>
      <w:marTop w:val="0"/>
      <w:marBottom w:val="0"/>
      <w:divBdr>
        <w:top w:val="none" w:sz="0" w:space="0" w:color="auto"/>
        <w:left w:val="none" w:sz="0" w:space="0" w:color="auto"/>
        <w:bottom w:val="none" w:sz="0" w:space="0" w:color="auto"/>
        <w:right w:val="none" w:sz="0" w:space="0" w:color="auto"/>
      </w:divBdr>
    </w:div>
    <w:div w:id="252007210">
      <w:bodyDiv w:val="1"/>
      <w:marLeft w:val="0"/>
      <w:marRight w:val="0"/>
      <w:marTop w:val="0"/>
      <w:marBottom w:val="0"/>
      <w:divBdr>
        <w:top w:val="none" w:sz="0" w:space="0" w:color="auto"/>
        <w:left w:val="none" w:sz="0" w:space="0" w:color="auto"/>
        <w:bottom w:val="none" w:sz="0" w:space="0" w:color="auto"/>
        <w:right w:val="none" w:sz="0" w:space="0" w:color="auto"/>
      </w:divBdr>
    </w:div>
    <w:div w:id="259992350">
      <w:bodyDiv w:val="1"/>
      <w:marLeft w:val="0"/>
      <w:marRight w:val="0"/>
      <w:marTop w:val="0"/>
      <w:marBottom w:val="0"/>
      <w:divBdr>
        <w:top w:val="none" w:sz="0" w:space="0" w:color="auto"/>
        <w:left w:val="none" w:sz="0" w:space="0" w:color="auto"/>
        <w:bottom w:val="none" w:sz="0" w:space="0" w:color="auto"/>
        <w:right w:val="none" w:sz="0" w:space="0" w:color="auto"/>
      </w:divBdr>
    </w:div>
    <w:div w:id="274867649">
      <w:bodyDiv w:val="1"/>
      <w:marLeft w:val="0"/>
      <w:marRight w:val="0"/>
      <w:marTop w:val="0"/>
      <w:marBottom w:val="0"/>
      <w:divBdr>
        <w:top w:val="none" w:sz="0" w:space="0" w:color="auto"/>
        <w:left w:val="none" w:sz="0" w:space="0" w:color="auto"/>
        <w:bottom w:val="none" w:sz="0" w:space="0" w:color="auto"/>
        <w:right w:val="none" w:sz="0" w:space="0" w:color="auto"/>
      </w:divBdr>
    </w:div>
    <w:div w:id="305935740">
      <w:bodyDiv w:val="1"/>
      <w:marLeft w:val="0"/>
      <w:marRight w:val="0"/>
      <w:marTop w:val="0"/>
      <w:marBottom w:val="0"/>
      <w:divBdr>
        <w:top w:val="none" w:sz="0" w:space="0" w:color="auto"/>
        <w:left w:val="none" w:sz="0" w:space="0" w:color="auto"/>
        <w:bottom w:val="none" w:sz="0" w:space="0" w:color="auto"/>
        <w:right w:val="none" w:sz="0" w:space="0" w:color="auto"/>
      </w:divBdr>
    </w:div>
    <w:div w:id="308485484">
      <w:bodyDiv w:val="1"/>
      <w:marLeft w:val="0"/>
      <w:marRight w:val="0"/>
      <w:marTop w:val="0"/>
      <w:marBottom w:val="0"/>
      <w:divBdr>
        <w:top w:val="none" w:sz="0" w:space="0" w:color="auto"/>
        <w:left w:val="none" w:sz="0" w:space="0" w:color="auto"/>
        <w:bottom w:val="none" w:sz="0" w:space="0" w:color="auto"/>
        <w:right w:val="none" w:sz="0" w:space="0" w:color="auto"/>
      </w:divBdr>
    </w:div>
    <w:div w:id="317808815">
      <w:bodyDiv w:val="1"/>
      <w:marLeft w:val="0"/>
      <w:marRight w:val="0"/>
      <w:marTop w:val="0"/>
      <w:marBottom w:val="0"/>
      <w:divBdr>
        <w:top w:val="none" w:sz="0" w:space="0" w:color="auto"/>
        <w:left w:val="none" w:sz="0" w:space="0" w:color="auto"/>
        <w:bottom w:val="none" w:sz="0" w:space="0" w:color="auto"/>
        <w:right w:val="none" w:sz="0" w:space="0" w:color="auto"/>
      </w:divBdr>
    </w:div>
    <w:div w:id="334770565">
      <w:bodyDiv w:val="1"/>
      <w:marLeft w:val="0"/>
      <w:marRight w:val="0"/>
      <w:marTop w:val="0"/>
      <w:marBottom w:val="0"/>
      <w:divBdr>
        <w:top w:val="none" w:sz="0" w:space="0" w:color="auto"/>
        <w:left w:val="none" w:sz="0" w:space="0" w:color="auto"/>
        <w:bottom w:val="none" w:sz="0" w:space="0" w:color="auto"/>
        <w:right w:val="none" w:sz="0" w:space="0" w:color="auto"/>
      </w:divBdr>
    </w:div>
    <w:div w:id="347827315">
      <w:bodyDiv w:val="1"/>
      <w:marLeft w:val="0"/>
      <w:marRight w:val="0"/>
      <w:marTop w:val="0"/>
      <w:marBottom w:val="0"/>
      <w:divBdr>
        <w:top w:val="none" w:sz="0" w:space="0" w:color="auto"/>
        <w:left w:val="none" w:sz="0" w:space="0" w:color="auto"/>
        <w:bottom w:val="none" w:sz="0" w:space="0" w:color="auto"/>
        <w:right w:val="none" w:sz="0" w:space="0" w:color="auto"/>
      </w:divBdr>
    </w:div>
    <w:div w:id="351419810">
      <w:bodyDiv w:val="1"/>
      <w:marLeft w:val="0"/>
      <w:marRight w:val="0"/>
      <w:marTop w:val="0"/>
      <w:marBottom w:val="0"/>
      <w:divBdr>
        <w:top w:val="none" w:sz="0" w:space="0" w:color="auto"/>
        <w:left w:val="none" w:sz="0" w:space="0" w:color="auto"/>
        <w:bottom w:val="none" w:sz="0" w:space="0" w:color="auto"/>
        <w:right w:val="none" w:sz="0" w:space="0" w:color="auto"/>
      </w:divBdr>
    </w:div>
    <w:div w:id="362824703">
      <w:bodyDiv w:val="1"/>
      <w:marLeft w:val="0"/>
      <w:marRight w:val="0"/>
      <w:marTop w:val="0"/>
      <w:marBottom w:val="0"/>
      <w:divBdr>
        <w:top w:val="none" w:sz="0" w:space="0" w:color="auto"/>
        <w:left w:val="none" w:sz="0" w:space="0" w:color="auto"/>
        <w:bottom w:val="none" w:sz="0" w:space="0" w:color="auto"/>
        <w:right w:val="none" w:sz="0" w:space="0" w:color="auto"/>
      </w:divBdr>
    </w:div>
    <w:div w:id="406150608">
      <w:bodyDiv w:val="1"/>
      <w:marLeft w:val="0"/>
      <w:marRight w:val="0"/>
      <w:marTop w:val="0"/>
      <w:marBottom w:val="0"/>
      <w:divBdr>
        <w:top w:val="none" w:sz="0" w:space="0" w:color="auto"/>
        <w:left w:val="none" w:sz="0" w:space="0" w:color="auto"/>
        <w:bottom w:val="none" w:sz="0" w:space="0" w:color="auto"/>
        <w:right w:val="none" w:sz="0" w:space="0" w:color="auto"/>
      </w:divBdr>
    </w:div>
    <w:div w:id="422726270">
      <w:bodyDiv w:val="1"/>
      <w:marLeft w:val="0"/>
      <w:marRight w:val="0"/>
      <w:marTop w:val="0"/>
      <w:marBottom w:val="0"/>
      <w:divBdr>
        <w:top w:val="none" w:sz="0" w:space="0" w:color="auto"/>
        <w:left w:val="none" w:sz="0" w:space="0" w:color="auto"/>
        <w:bottom w:val="none" w:sz="0" w:space="0" w:color="auto"/>
        <w:right w:val="none" w:sz="0" w:space="0" w:color="auto"/>
      </w:divBdr>
    </w:div>
    <w:div w:id="424955763">
      <w:bodyDiv w:val="1"/>
      <w:marLeft w:val="0"/>
      <w:marRight w:val="0"/>
      <w:marTop w:val="0"/>
      <w:marBottom w:val="0"/>
      <w:divBdr>
        <w:top w:val="none" w:sz="0" w:space="0" w:color="auto"/>
        <w:left w:val="none" w:sz="0" w:space="0" w:color="auto"/>
        <w:bottom w:val="none" w:sz="0" w:space="0" w:color="auto"/>
        <w:right w:val="none" w:sz="0" w:space="0" w:color="auto"/>
      </w:divBdr>
    </w:div>
    <w:div w:id="427971225">
      <w:bodyDiv w:val="1"/>
      <w:marLeft w:val="0"/>
      <w:marRight w:val="0"/>
      <w:marTop w:val="0"/>
      <w:marBottom w:val="0"/>
      <w:divBdr>
        <w:top w:val="none" w:sz="0" w:space="0" w:color="auto"/>
        <w:left w:val="none" w:sz="0" w:space="0" w:color="auto"/>
        <w:bottom w:val="none" w:sz="0" w:space="0" w:color="auto"/>
        <w:right w:val="none" w:sz="0" w:space="0" w:color="auto"/>
      </w:divBdr>
    </w:div>
    <w:div w:id="431049967">
      <w:bodyDiv w:val="1"/>
      <w:marLeft w:val="0"/>
      <w:marRight w:val="0"/>
      <w:marTop w:val="0"/>
      <w:marBottom w:val="0"/>
      <w:divBdr>
        <w:top w:val="none" w:sz="0" w:space="0" w:color="auto"/>
        <w:left w:val="none" w:sz="0" w:space="0" w:color="auto"/>
        <w:bottom w:val="none" w:sz="0" w:space="0" w:color="auto"/>
        <w:right w:val="none" w:sz="0" w:space="0" w:color="auto"/>
      </w:divBdr>
    </w:div>
    <w:div w:id="435515773">
      <w:bodyDiv w:val="1"/>
      <w:marLeft w:val="0"/>
      <w:marRight w:val="0"/>
      <w:marTop w:val="0"/>
      <w:marBottom w:val="0"/>
      <w:divBdr>
        <w:top w:val="none" w:sz="0" w:space="0" w:color="auto"/>
        <w:left w:val="none" w:sz="0" w:space="0" w:color="auto"/>
        <w:bottom w:val="none" w:sz="0" w:space="0" w:color="auto"/>
        <w:right w:val="none" w:sz="0" w:space="0" w:color="auto"/>
      </w:divBdr>
    </w:div>
    <w:div w:id="455757070">
      <w:bodyDiv w:val="1"/>
      <w:marLeft w:val="0"/>
      <w:marRight w:val="0"/>
      <w:marTop w:val="0"/>
      <w:marBottom w:val="0"/>
      <w:divBdr>
        <w:top w:val="none" w:sz="0" w:space="0" w:color="auto"/>
        <w:left w:val="none" w:sz="0" w:space="0" w:color="auto"/>
        <w:bottom w:val="none" w:sz="0" w:space="0" w:color="auto"/>
        <w:right w:val="none" w:sz="0" w:space="0" w:color="auto"/>
      </w:divBdr>
    </w:div>
    <w:div w:id="459809685">
      <w:bodyDiv w:val="1"/>
      <w:marLeft w:val="0"/>
      <w:marRight w:val="0"/>
      <w:marTop w:val="0"/>
      <w:marBottom w:val="0"/>
      <w:divBdr>
        <w:top w:val="none" w:sz="0" w:space="0" w:color="auto"/>
        <w:left w:val="none" w:sz="0" w:space="0" w:color="auto"/>
        <w:bottom w:val="none" w:sz="0" w:space="0" w:color="auto"/>
        <w:right w:val="none" w:sz="0" w:space="0" w:color="auto"/>
      </w:divBdr>
    </w:div>
    <w:div w:id="465390470">
      <w:bodyDiv w:val="1"/>
      <w:marLeft w:val="0"/>
      <w:marRight w:val="0"/>
      <w:marTop w:val="0"/>
      <w:marBottom w:val="0"/>
      <w:divBdr>
        <w:top w:val="none" w:sz="0" w:space="0" w:color="auto"/>
        <w:left w:val="none" w:sz="0" w:space="0" w:color="auto"/>
        <w:bottom w:val="none" w:sz="0" w:space="0" w:color="auto"/>
        <w:right w:val="none" w:sz="0" w:space="0" w:color="auto"/>
      </w:divBdr>
    </w:div>
    <w:div w:id="483082447">
      <w:bodyDiv w:val="1"/>
      <w:marLeft w:val="0"/>
      <w:marRight w:val="0"/>
      <w:marTop w:val="0"/>
      <w:marBottom w:val="0"/>
      <w:divBdr>
        <w:top w:val="none" w:sz="0" w:space="0" w:color="auto"/>
        <w:left w:val="none" w:sz="0" w:space="0" w:color="auto"/>
        <w:bottom w:val="none" w:sz="0" w:space="0" w:color="auto"/>
        <w:right w:val="none" w:sz="0" w:space="0" w:color="auto"/>
      </w:divBdr>
    </w:div>
    <w:div w:id="485316815">
      <w:bodyDiv w:val="1"/>
      <w:marLeft w:val="0"/>
      <w:marRight w:val="0"/>
      <w:marTop w:val="0"/>
      <w:marBottom w:val="0"/>
      <w:divBdr>
        <w:top w:val="none" w:sz="0" w:space="0" w:color="auto"/>
        <w:left w:val="none" w:sz="0" w:space="0" w:color="auto"/>
        <w:bottom w:val="none" w:sz="0" w:space="0" w:color="auto"/>
        <w:right w:val="none" w:sz="0" w:space="0" w:color="auto"/>
      </w:divBdr>
    </w:div>
    <w:div w:id="499585913">
      <w:bodyDiv w:val="1"/>
      <w:marLeft w:val="0"/>
      <w:marRight w:val="0"/>
      <w:marTop w:val="0"/>
      <w:marBottom w:val="0"/>
      <w:divBdr>
        <w:top w:val="none" w:sz="0" w:space="0" w:color="auto"/>
        <w:left w:val="none" w:sz="0" w:space="0" w:color="auto"/>
        <w:bottom w:val="none" w:sz="0" w:space="0" w:color="auto"/>
        <w:right w:val="none" w:sz="0" w:space="0" w:color="auto"/>
      </w:divBdr>
    </w:div>
    <w:div w:id="536620145">
      <w:bodyDiv w:val="1"/>
      <w:marLeft w:val="0"/>
      <w:marRight w:val="0"/>
      <w:marTop w:val="0"/>
      <w:marBottom w:val="0"/>
      <w:divBdr>
        <w:top w:val="none" w:sz="0" w:space="0" w:color="auto"/>
        <w:left w:val="none" w:sz="0" w:space="0" w:color="auto"/>
        <w:bottom w:val="none" w:sz="0" w:space="0" w:color="auto"/>
        <w:right w:val="none" w:sz="0" w:space="0" w:color="auto"/>
      </w:divBdr>
    </w:div>
    <w:div w:id="536702333">
      <w:bodyDiv w:val="1"/>
      <w:marLeft w:val="0"/>
      <w:marRight w:val="0"/>
      <w:marTop w:val="0"/>
      <w:marBottom w:val="0"/>
      <w:divBdr>
        <w:top w:val="none" w:sz="0" w:space="0" w:color="auto"/>
        <w:left w:val="none" w:sz="0" w:space="0" w:color="auto"/>
        <w:bottom w:val="none" w:sz="0" w:space="0" w:color="auto"/>
        <w:right w:val="none" w:sz="0" w:space="0" w:color="auto"/>
      </w:divBdr>
    </w:div>
    <w:div w:id="552084856">
      <w:bodyDiv w:val="1"/>
      <w:marLeft w:val="0"/>
      <w:marRight w:val="0"/>
      <w:marTop w:val="0"/>
      <w:marBottom w:val="0"/>
      <w:divBdr>
        <w:top w:val="none" w:sz="0" w:space="0" w:color="auto"/>
        <w:left w:val="none" w:sz="0" w:space="0" w:color="auto"/>
        <w:bottom w:val="none" w:sz="0" w:space="0" w:color="auto"/>
        <w:right w:val="none" w:sz="0" w:space="0" w:color="auto"/>
      </w:divBdr>
    </w:div>
    <w:div w:id="554704456">
      <w:bodyDiv w:val="1"/>
      <w:marLeft w:val="0"/>
      <w:marRight w:val="0"/>
      <w:marTop w:val="0"/>
      <w:marBottom w:val="0"/>
      <w:divBdr>
        <w:top w:val="none" w:sz="0" w:space="0" w:color="auto"/>
        <w:left w:val="none" w:sz="0" w:space="0" w:color="auto"/>
        <w:bottom w:val="none" w:sz="0" w:space="0" w:color="auto"/>
        <w:right w:val="none" w:sz="0" w:space="0" w:color="auto"/>
      </w:divBdr>
    </w:div>
    <w:div w:id="576132698">
      <w:bodyDiv w:val="1"/>
      <w:marLeft w:val="0"/>
      <w:marRight w:val="0"/>
      <w:marTop w:val="0"/>
      <w:marBottom w:val="0"/>
      <w:divBdr>
        <w:top w:val="none" w:sz="0" w:space="0" w:color="auto"/>
        <w:left w:val="none" w:sz="0" w:space="0" w:color="auto"/>
        <w:bottom w:val="none" w:sz="0" w:space="0" w:color="auto"/>
        <w:right w:val="none" w:sz="0" w:space="0" w:color="auto"/>
      </w:divBdr>
    </w:div>
    <w:div w:id="611402109">
      <w:bodyDiv w:val="1"/>
      <w:marLeft w:val="0"/>
      <w:marRight w:val="0"/>
      <w:marTop w:val="0"/>
      <w:marBottom w:val="0"/>
      <w:divBdr>
        <w:top w:val="none" w:sz="0" w:space="0" w:color="auto"/>
        <w:left w:val="none" w:sz="0" w:space="0" w:color="auto"/>
        <w:bottom w:val="none" w:sz="0" w:space="0" w:color="auto"/>
        <w:right w:val="none" w:sz="0" w:space="0" w:color="auto"/>
      </w:divBdr>
    </w:div>
    <w:div w:id="611516808">
      <w:bodyDiv w:val="1"/>
      <w:marLeft w:val="0"/>
      <w:marRight w:val="0"/>
      <w:marTop w:val="0"/>
      <w:marBottom w:val="0"/>
      <w:divBdr>
        <w:top w:val="none" w:sz="0" w:space="0" w:color="auto"/>
        <w:left w:val="none" w:sz="0" w:space="0" w:color="auto"/>
        <w:bottom w:val="none" w:sz="0" w:space="0" w:color="auto"/>
        <w:right w:val="none" w:sz="0" w:space="0" w:color="auto"/>
      </w:divBdr>
    </w:div>
    <w:div w:id="613052931">
      <w:bodyDiv w:val="1"/>
      <w:marLeft w:val="0"/>
      <w:marRight w:val="0"/>
      <w:marTop w:val="0"/>
      <w:marBottom w:val="0"/>
      <w:divBdr>
        <w:top w:val="none" w:sz="0" w:space="0" w:color="auto"/>
        <w:left w:val="none" w:sz="0" w:space="0" w:color="auto"/>
        <w:bottom w:val="none" w:sz="0" w:space="0" w:color="auto"/>
        <w:right w:val="none" w:sz="0" w:space="0" w:color="auto"/>
      </w:divBdr>
    </w:div>
    <w:div w:id="617100150">
      <w:bodyDiv w:val="1"/>
      <w:marLeft w:val="0"/>
      <w:marRight w:val="0"/>
      <w:marTop w:val="0"/>
      <w:marBottom w:val="0"/>
      <w:divBdr>
        <w:top w:val="none" w:sz="0" w:space="0" w:color="auto"/>
        <w:left w:val="none" w:sz="0" w:space="0" w:color="auto"/>
        <w:bottom w:val="none" w:sz="0" w:space="0" w:color="auto"/>
        <w:right w:val="none" w:sz="0" w:space="0" w:color="auto"/>
      </w:divBdr>
    </w:div>
    <w:div w:id="621616207">
      <w:bodyDiv w:val="1"/>
      <w:marLeft w:val="0"/>
      <w:marRight w:val="0"/>
      <w:marTop w:val="0"/>
      <w:marBottom w:val="0"/>
      <w:divBdr>
        <w:top w:val="none" w:sz="0" w:space="0" w:color="auto"/>
        <w:left w:val="none" w:sz="0" w:space="0" w:color="auto"/>
        <w:bottom w:val="none" w:sz="0" w:space="0" w:color="auto"/>
        <w:right w:val="none" w:sz="0" w:space="0" w:color="auto"/>
      </w:divBdr>
    </w:div>
    <w:div w:id="623581211">
      <w:bodyDiv w:val="1"/>
      <w:marLeft w:val="0"/>
      <w:marRight w:val="0"/>
      <w:marTop w:val="0"/>
      <w:marBottom w:val="0"/>
      <w:divBdr>
        <w:top w:val="none" w:sz="0" w:space="0" w:color="auto"/>
        <w:left w:val="none" w:sz="0" w:space="0" w:color="auto"/>
        <w:bottom w:val="none" w:sz="0" w:space="0" w:color="auto"/>
        <w:right w:val="none" w:sz="0" w:space="0" w:color="auto"/>
      </w:divBdr>
    </w:div>
    <w:div w:id="657658091">
      <w:bodyDiv w:val="1"/>
      <w:marLeft w:val="0"/>
      <w:marRight w:val="0"/>
      <w:marTop w:val="0"/>
      <w:marBottom w:val="0"/>
      <w:divBdr>
        <w:top w:val="none" w:sz="0" w:space="0" w:color="auto"/>
        <w:left w:val="none" w:sz="0" w:space="0" w:color="auto"/>
        <w:bottom w:val="none" w:sz="0" w:space="0" w:color="auto"/>
        <w:right w:val="none" w:sz="0" w:space="0" w:color="auto"/>
      </w:divBdr>
    </w:div>
    <w:div w:id="667251638">
      <w:bodyDiv w:val="1"/>
      <w:marLeft w:val="0"/>
      <w:marRight w:val="0"/>
      <w:marTop w:val="0"/>
      <w:marBottom w:val="0"/>
      <w:divBdr>
        <w:top w:val="none" w:sz="0" w:space="0" w:color="auto"/>
        <w:left w:val="none" w:sz="0" w:space="0" w:color="auto"/>
        <w:bottom w:val="none" w:sz="0" w:space="0" w:color="auto"/>
        <w:right w:val="none" w:sz="0" w:space="0" w:color="auto"/>
      </w:divBdr>
    </w:div>
    <w:div w:id="671252174">
      <w:bodyDiv w:val="1"/>
      <w:marLeft w:val="0"/>
      <w:marRight w:val="0"/>
      <w:marTop w:val="0"/>
      <w:marBottom w:val="0"/>
      <w:divBdr>
        <w:top w:val="none" w:sz="0" w:space="0" w:color="auto"/>
        <w:left w:val="none" w:sz="0" w:space="0" w:color="auto"/>
        <w:bottom w:val="none" w:sz="0" w:space="0" w:color="auto"/>
        <w:right w:val="none" w:sz="0" w:space="0" w:color="auto"/>
      </w:divBdr>
    </w:div>
    <w:div w:id="737748026">
      <w:bodyDiv w:val="1"/>
      <w:marLeft w:val="0"/>
      <w:marRight w:val="0"/>
      <w:marTop w:val="0"/>
      <w:marBottom w:val="0"/>
      <w:divBdr>
        <w:top w:val="none" w:sz="0" w:space="0" w:color="auto"/>
        <w:left w:val="none" w:sz="0" w:space="0" w:color="auto"/>
        <w:bottom w:val="none" w:sz="0" w:space="0" w:color="auto"/>
        <w:right w:val="none" w:sz="0" w:space="0" w:color="auto"/>
      </w:divBdr>
    </w:div>
    <w:div w:id="742534738">
      <w:bodyDiv w:val="1"/>
      <w:marLeft w:val="0"/>
      <w:marRight w:val="0"/>
      <w:marTop w:val="0"/>
      <w:marBottom w:val="0"/>
      <w:divBdr>
        <w:top w:val="none" w:sz="0" w:space="0" w:color="auto"/>
        <w:left w:val="none" w:sz="0" w:space="0" w:color="auto"/>
        <w:bottom w:val="none" w:sz="0" w:space="0" w:color="auto"/>
        <w:right w:val="none" w:sz="0" w:space="0" w:color="auto"/>
      </w:divBdr>
    </w:div>
    <w:div w:id="742605460">
      <w:bodyDiv w:val="1"/>
      <w:marLeft w:val="0"/>
      <w:marRight w:val="0"/>
      <w:marTop w:val="0"/>
      <w:marBottom w:val="0"/>
      <w:divBdr>
        <w:top w:val="none" w:sz="0" w:space="0" w:color="auto"/>
        <w:left w:val="none" w:sz="0" w:space="0" w:color="auto"/>
        <w:bottom w:val="none" w:sz="0" w:space="0" w:color="auto"/>
        <w:right w:val="none" w:sz="0" w:space="0" w:color="auto"/>
      </w:divBdr>
    </w:div>
    <w:div w:id="749080316">
      <w:bodyDiv w:val="1"/>
      <w:marLeft w:val="0"/>
      <w:marRight w:val="0"/>
      <w:marTop w:val="0"/>
      <w:marBottom w:val="0"/>
      <w:divBdr>
        <w:top w:val="none" w:sz="0" w:space="0" w:color="auto"/>
        <w:left w:val="none" w:sz="0" w:space="0" w:color="auto"/>
        <w:bottom w:val="none" w:sz="0" w:space="0" w:color="auto"/>
        <w:right w:val="none" w:sz="0" w:space="0" w:color="auto"/>
      </w:divBdr>
    </w:div>
    <w:div w:id="751312625">
      <w:bodyDiv w:val="1"/>
      <w:marLeft w:val="0"/>
      <w:marRight w:val="0"/>
      <w:marTop w:val="0"/>
      <w:marBottom w:val="0"/>
      <w:divBdr>
        <w:top w:val="none" w:sz="0" w:space="0" w:color="auto"/>
        <w:left w:val="none" w:sz="0" w:space="0" w:color="auto"/>
        <w:bottom w:val="none" w:sz="0" w:space="0" w:color="auto"/>
        <w:right w:val="none" w:sz="0" w:space="0" w:color="auto"/>
      </w:divBdr>
    </w:div>
    <w:div w:id="760685382">
      <w:bodyDiv w:val="1"/>
      <w:marLeft w:val="0"/>
      <w:marRight w:val="0"/>
      <w:marTop w:val="0"/>
      <w:marBottom w:val="0"/>
      <w:divBdr>
        <w:top w:val="none" w:sz="0" w:space="0" w:color="auto"/>
        <w:left w:val="none" w:sz="0" w:space="0" w:color="auto"/>
        <w:bottom w:val="none" w:sz="0" w:space="0" w:color="auto"/>
        <w:right w:val="none" w:sz="0" w:space="0" w:color="auto"/>
      </w:divBdr>
    </w:div>
    <w:div w:id="761141942">
      <w:bodyDiv w:val="1"/>
      <w:marLeft w:val="0"/>
      <w:marRight w:val="0"/>
      <w:marTop w:val="0"/>
      <w:marBottom w:val="0"/>
      <w:divBdr>
        <w:top w:val="none" w:sz="0" w:space="0" w:color="auto"/>
        <w:left w:val="none" w:sz="0" w:space="0" w:color="auto"/>
        <w:bottom w:val="none" w:sz="0" w:space="0" w:color="auto"/>
        <w:right w:val="none" w:sz="0" w:space="0" w:color="auto"/>
      </w:divBdr>
    </w:div>
    <w:div w:id="767232748">
      <w:bodyDiv w:val="1"/>
      <w:marLeft w:val="0"/>
      <w:marRight w:val="0"/>
      <w:marTop w:val="0"/>
      <w:marBottom w:val="0"/>
      <w:divBdr>
        <w:top w:val="none" w:sz="0" w:space="0" w:color="auto"/>
        <w:left w:val="none" w:sz="0" w:space="0" w:color="auto"/>
        <w:bottom w:val="none" w:sz="0" w:space="0" w:color="auto"/>
        <w:right w:val="none" w:sz="0" w:space="0" w:color="auto"/>
      </w:divBdr>
    </w:div>
    <w:div w:id="774177367">
      <w:bodyDiv w:val="1"/>
      <w:marLeft w:val="0"/>
      <w:marRight w:val="0"/>
      <w:marTop w:val="0"/>
      <w:marBottom w:val="0"/>
      <w:divBdr>
        <w:top w:val="none" w:sz="0" w:space="0" w:color="auto"/>
        <w:left w:val="none" w:sz="0" w:space="0" w:color="auto"/>
        <w:bottom w:val="none" w:sz="0" w:space="0" w:color="auto"/>
        <w:right w:val="none" w:sz="0" w:space="0" w:color="auto"/>
      </w:divBdr>
    </w:div>
    <w:div w:id="781725711">
      <w:bodyDiv w:val="1"/>
      <w:marLeft w:val="0"/>
      <w:marRight w:val="0"/>
      <w:marTop w:val="0"/>
      <w:marBottom w:val="0"/>
      <w:divBdr>
        <w:top w:val="none" w:sz="0" w:space="0" w:color="auto"/>
        <w:left w:val="none" w:sz="0" w:space="0" w:color="auto"/>
        <w:bottom w:val="none" w:sz="0" w:space="0" w:color="auto"/>
        <w:right w:val="none" w:sz="0" w:space="0" w:color="auto"/>
      </w:divBdr>
    </w:div>
    <w:div w:id="786578851">
      <w:bodyDiv w:val="1"/>
      <w:marLeft w:val="0"/>
      <w:marRight w:val="0"/>
      <w:marTop w:val="0"/>
      <w:marBottom w:val="0"/>
      <w:divBdr>
        <w:top w:val="none" w:sz="0" w:space="0" w:color="auto"/>
        <w:left w:val="none" w:sz="0" w:space="0" w:color="auto"/>
        <w:bottom w:val="none" w:sz="0" w:space="0" w:color="auto"/>
        <w:right w:val="none" w:sz="0" w:space="0" w:color="auto"/>
      </w:divBdr>
    </w:div>
    <w:div w:id="793182391">
      <w:bodyDiv w:val="1"/>
      <w:marLeft w:val="0"/>
      <w:marRight w:val="0"/>
      <w:marTop w:val="0"/>
      <w:marBottom w:val="0"/>
      <w:divBdr>
        <w:top w:val="none" w:sz="0" w:space="0" w:color="auto"/>
        <w:left w:val="none" w:sz="0" w:space="0" w:color="auto"/>
        <w:bottom w:val="none" w:sz="0" w:space="0" w:color="auto"/>
        <w:right w:val="none" w:sz="0" w:space="0" w:color="auto"/>
      </w:divBdr>
    </w:div>
    <w:div w:id="824203827">
      <w:bodyDiv w:val="1"/>
      <w:marLeft w:val="0"/>
      <w:marRight w:val="0"/>
      <w:marTop w:val="0"/>
      <w:marBottom w:val="0"/>
      <w:divBdr>
        <w:top w:val="none" w:sz="0" w:space="0" w:color="auto"/>
        <w:left w:val="none" w:sz="0" w:space="0" w:color="auto"/>
        <w:bottom w:val="none" w:sz="0" w:space="0" w:color="auto"/>
        <w:right w:val="none" w:sz="0" w:space="0" w:color="auto"/>
      </w:divBdr>
    </w:div>
    <w:div w:id="853568515">
      <w:bodyDiv w:val="1"/>
      <w:marLeft w:val="0"/>
      <w:marRight w:val="0"/>
      <w:marTop w:val="0"/>
      <w:marBottom w:val="0"/>
      <w:divBdr>
        <w:top w:val="none" w:sz="0" w:space="0" w:color="auto"/>
        <w:left w:val="none" w:sz="0" w:space="0" w:color="auto"/>
        <w:bottom w:val="none" w:sz="0" w:space="0" w:color="auto"/>
        <w:right w:val="none" w:sz="0" w:space="0" w:color="auto"/>
      </w:divBdr>
    </w:div>
    <w:div w:id="891161274">
      <w:bodyDiv w:val="1"/>
      <w:marLeft w:val="0"/>
      <w:marRight w:val="0"/>
      <w:marTop w:val="0"/>
      <w:marBottom w:val="0"/>
      <w:divBdr>
        <w:top w:val="none" w:sz="0" w:space="0" w:color="auto"/>
        <w:left w:val="none" w:sz="0" w:space="0" w:color="auto"/>
        <w:bottom w:val="none" w:sz="0" w:space="0" w:color="auto"/>
        <w:right w:val="none" w:sz="0" w:space="0" w:color="auto"/>
      </w:divBdr>
    </w:div>
    <w:div w:id="900404042">
      <w:bodyDiv w:val="1"/>
      <w:marLeft w:val="0"/>
      <w:marRight w:val="0"/>
      <w:marTop w:val="0"/>
      <w:marBottom w:val="0"/>
      <w:divBdr>
        <w:top w:val="none" w:sz="0" w:space="0" w:color="auto"/>
        <w:left w:val="none" w:sz="0" w:space="0" w:color="auto"/>
        <w:bottom w:val="none" w:sz="0" w:space="0" w:color="auto"/>
        <w:right w:val="none" w:sz="0" w:space="0" w:color="auto"/>
      </w:divBdr>
    </w:div>
    <w:div w:id="913124131">
      <w:bodyDiv w:val="1"/>
      <w:marLeft w:val="0"/>
      <w:marRight w:val="0"/>
      <w:marTop w:val="0"/>
      <w:marBottom w:val="0"/>
      <w:divBdr>
        <w:top w:val="none" w:sz="0" w:space="0" w:color="auto"/>
        <w:left w:val="none" w:sz="0" w:space="0" w:color="auto"/>
        <w:bottom w:val="none" w:sz="0" w:space="0" w:color="auto"/>
        <w:right w:val="none" w:sz="0" w:space="0" w:color="auto"/>
      </w:divBdr>
    </w:div>
    <w:div w:id="918294750">
      <w:bodyDiv w:val="1"/>
      <w:marLeft w:val="0"/>
      <w:marRight w:val="0"/>
      <w:marTop w:val="0"/>
      <w:marBottom w:val="0"/>
      <w:divBdr>
        <w:top w:val="none" w:sz="0" w:space="0" w:color="auto"/>
        <w:left w:val="none" w:sz="0" w:space="0" w:color="auto"/>
        <w:bottom w:val="none" w:sz="0" w:space="0" w:color="auto"/>
        <w:right w:val="none" w:sz="0" w:space="0" w:color="auto"/>
      </w:divBdr>
    </w:div>
    <w:div w:id="921529169">
      <w:bodyDiv w:val="1"/>
      <w:marLeft w:val="0"/>
      <w:marRight w:val="0"/>
      <w:marTop w:val="0"/>
      <w:marBottom w:val="0"/>
      <w:divBdr>
        <w:top w:val="none" w:sz="0" w:space="0" w:color="auto"/>
        <w:left w:val="none" w:sz="0" w:space="0" w:color="auto"/>
        <w:bottom w:val="none" w:sz="0" w:space="0" w:color="auto"/>
        <w:right w:val="none" w:sz="0" w:space="0" w:color="auto"/>
      </w:divBdr>
    </w:div>
    <w:div w:id="939416879">
      <w:bodyDiv w:val="1"/>
      <w:marLeft w:val="0"/>
      <w:marRight w:val="0"/>
      <w:marTop w:val="0"/>
      <w:marBottom w:val="0"/>
      <w:divBdr>
        <w:top w:val="none" w:sz="0" w:space="0" w:color="auto"/>
        <w:left w:val="none" w:sz="0" w:space="0" w:color="auto"/>
        <w:bottom w:val="none" w:sz="0" w:space="0" w:color="auto"/>
        <w:right w:val="none" w:sz="0" w:space="0" w:color="auto"/>
      </w:divBdr>
    </w:div>
    <w:div w:id="943196220">
      <w:bodyDiv w:val="1"/>
      <w:marLeft w:val="0"/>
      <w:marRight w:val="0"/>
      <w:marTop w:val="0"/>
      <w:marBottom w:val="0"/>
      <w:divBdr>
        <w:top w:val="none" w:sz="0" w:space="0" w:color="auto"/>
        <w:left w:val="none" w:sz="0" w:space="0" w:color="auto"/>
        <w:bottom w:val="none" w:sz="0" w:space="0" w:color="auto"/>
        <w:right w:val="none" w:sz="0" w:space="0" w:color="auto"/>
      </w:divBdr>
    </w:div>
    <w:div w:id="946616640">
      <w:bodyDiv w:val="1"/>
      <w:marLeft w:val="0"/>
      <w:marRight w:val="0"/>
      <w:marTop w:val="0"/>
      <w:marBottom w:val="0"/>
      <w:divBdr>
        <w:top w:val="none" w:sz="0" w:space="0" w:color="auto"/>
        <w:left w:val="none" w:sz="0" w:space="0" w:color="auto"/>
        <w:bottom w:val="none" w:sz="0" w:space="0" w:color="auto"/>
        <w:right w:val="none" w:sz="0" w:space="0" w:color="auto"/>
      </w:divBdr>
    </w:div>
    <w:div w:id="965625880">
      <w:bodyDiv w:val="1"/>
      <w:marLeft w:val="0"/>
      <w:marRight w:val="0"/>
      <w:marTop w:val="0"/>
      <w:marBottom w:val="0"/>
      <w:divBdr>
        <w:top w:val="none" w:sz="0" w:space="0" w:color="auto"/>
        <w:left w:val="none" w:sz="0" w:space="0" w:color="auto"/>
        <w:bottom w:val="none" w:sz="0" w:space="0" w:color="auto"/>
        <w:right w:val="none" w:sz="0" w:space="0" w:color="auto"/>
      </w:divBdr>
    </w:div>
    <w:div w:id="1002664117">
      <w:bodyDiv w:val="1"/>
      <w:marLeft w:val="0"/>
      <w:marRight w:val="0"/>
      <w:marTop w:val="0"/>
      <w:marBottom w:val="0"/>
      <w:divBdr>
        <w:top w:val="none" w:sz="0" w:space="0" w:color="auto"/>
        <w:left w:val="none" w:sz="0" w:space="0" w:color="auto"/>
        <w:bottom w:val="none" w:sz="0" w:space="0" w:color="auto"/>
        <w:right w:val="none" w:sz="0" w:space="0" w:color="auto"/>
      </w:divBdr>
    </w:div>
    <w:div w:id="1031804102">
      <w:bodyDiv w:val="1"/>
      <w:marLeft w:val="0"/>
      <w:marRight w:val="0"/>
      <w:marTop w:val="0"/>
      <w:marBottom w:val="0"/>
      <w:divBdr>
        <w:top w:val="none" w:sz="0" w:space="0" w:color="auto"/>
        <w:left w:val="none" w:sz="0" w:space="0" w:color="auto"/>
        <w:bottom w:val="none" w:sz="0" w:space="0" w:color="auto"/>
        <w:right w:val="none" w:sz="0" w:space="0" w:color="auto"/>
      </w:divBdr>
    </w:div>
    <w:div w:id="1035157033">
      <w:bodyDiv w:val="1"/>
      <w:marLeft w:val="0"/>
      <w:marRight w:val="0"/>
      <w:marTop w:val="0"/>
      <w:marBottom w:val="0"/>
      <w:divBdr>
        <w:top w:val="none" w:sz="0" w:space="0" w:color="auto"/>
        <w:left w:val="none" w:sz="0" w:space="0" w:color="auto"/>
        <w:bottom w:val="none" w:sz="0" w:space="0" w:color="auto"/>
        <w:right w:val="none" w:sz="0" w:space="0" w:color="auto"/>
      </w:divBdr>
    </w:div>
    <w:div w:id="1071732995">
      <w:bodyDiv w:val="1"/>
      <w:marLeft w:val="0"/>
      <w:marRight w:val="0"/>
      <w:marTop w:val="0"/>
      <w:marBottom w:val="0"/>
      <w:divBdr>
        <w:top w:val="none" w:sz="0" w:space="0" w:color="auto"/>
        <w:left w:val="none" w:sz="0" w:space="0" w:color="auto"/>
        <w:bottom w:val="none" w:sz="0" w:space="0" w:color="auto"/>
        <w:right w:val="none" w:sz="0" w:space="0" w:color="auto"/>
      </w:divBdr>
    </w:div>
    <w:div w:id="1092624982">
      <w:bodyDiv w:val="1"/>
      <w:marLeft w:val="0"/>
      <w:marRight w:val="0"/>
      <w:marTop w:val="0"/>
      <w:marBottom w:val="0"/>
      <w:divBdr>
        <w:top w:val="none" w:sz="0" w:space="0" w:color="auto"/>
        <w:left w:val="none" w:sz="0" w:space="0" w:color="auto"/>
        <w:bottom w:val="none" w:sz="0" w:space="0" w:color="auto"/>
        <w:right w:val="none" w:sz="0" w:space="0" w:color="auto"/>
      </w:divBdr>
    </w:div>
    <w:div w:id="1103763954">
      <w:bodyDiv w:val="1"/>
      <w:marLeft w:val="0"/>
      <w:marRight w:val="0"/>
      <w:marTop w:val="0"/>
      <w:marBottom w:val="0"/>
      <w:divBdr>
        <w:top w:val="none" w:sz="0" w:space="0" w:color="auto"/>
        <w:left w:val="none" w:sz="0" w:space="0" w:color="auto"/>
        <w:bottom w:val="none" w:sz="0" w:space="0" w:color="auto"/>
        <w:right w:val="none" w:sz="0" w:space="0" w:color="auto"/>
      </w:divBdr>
    </w:div>
    <w:div w:id="1113138330">
      <w:bodyDiv w:val="1"/>
      <w:marLeft w:val="0"/>
      <w:marRight w:val="0"/>
      <w:marTop w:val="0"/>
      <w:marBottom w:val="0"/>
      <w:divBdr>
        <w:top w:val="none" w:sz="0" w:space="0" w:color="auto"/>
        <w:left w:val="none" w:sz="0" w:space="0" w:color="auto"/>
        <w:bottom w:val="none" w:sz="0" w:space="0" w:color="auto"/>
        <w:right w:val="none" w:sz="0" w:space="0" w:color="auto"/>
      </w:divBdr>
    </w:div>
    <w:div w:id="1119757880">
      <w:bodyDiv w:val="1"/>
      <w:marLeft w:val="0"/>
      <w:marRight w:val="0"/>
      <w:marTop w:val="0"/>
      <w:marBottom w:val="0"/>
      <w:divBdr>
        <w:top w:val="none" w:sz="0" w:space="0" w:color="auto"/>
        <w:left w:val="none" w:sz="0" w:space="0" w:color="auto"/>
        <w:bottom w:val="none" w:sz="0" w:space="0" w:color="auto"/>
        <w:right w:val="none" w:sz="0" w:space="0" w:color="auto"/>
      </w:divBdr>
    </w:div>
    <w:div w:id="1125587424">
      <w:bodyDiv w:val="1"/>
      <w:marLeft w:val="0"/>
      <w:marRight w:val="0"/>
      <w:marTop w:val="0"/>
      <w:marBottom w:val="0"/>
      <w:divBdr>
        <w:top w:val="none" w:sz="0" w:space="0" w:color="auto"/>
        <w:left w:val="none" w:sz="0" w:space="0" w:color="auto"/>
        <w:bottom w:val="none" w:sz="0" w:space="0" w:color="auto"/>
        <w:right w:val="none" w:sz="0" w:space="0" w:color="auto"/>
      </w:divBdr>
    </w:div>
    <w:div w:id="1146775746">
      <w:bodyDiv w:val="1"/>
      <w:marLeft w:val="0"/>
      <w:marRight w:val="0"/>
      <w:marTop w:val="0"/>
      <w:marBottom w:val="0"/>
      <w:divBdr>
        <w:top w:val="none" w:sz="0" w:space="0" w:color="auto"/>
        <w:left w:val="none" w:sz="0" w:space="0" w:color="auto"/>
        <w:bottom w:val="none" w:sz="0" w:space="0" w:color="auto"/>
        <w:right w:val="none" w:sz="0" w:space="0" w:color="auto"/>
      </w:divBdr>
    </w:div>
    <w:div w:id="1149633458">
      <w:bodyDiv w:val="1"/>
      <w:marLeft w:val="0"/>
      <w:marRight w:val="0"/>
      <w:marTop w:val="0"/>
      <w:marBottom w:val="0"/>
      <w:divBdr>
        <w:top w:val="none" w:sz="0" w:space="0" w:color="auto"/>
        <w:left w:val="none" w:sz="0" w:space="0" w:color="auto"/>
        <w:bottom w:val="none" w:sz="0" w:space="0" w:color="auto"/>
        <w:right w:val="none" w:sz="0" w:space="0" w:color="auto"/>
      </w:divBdr>
    </w:div>
    <w:div w:id="1155535943">
      <w:bodyDiv w:val="1"/>
      <w:marLeft w:val="0"/>
      <w:marRight w:val="0"/>
      <w:marTop w:val="0"/>
      <w:marBottom w:val="0"/>
      <w:divBdr>
        <w:top w:val="none" w:sz="0" w:space="0" w:color="auto"/>
        <w:left w:val="none" w:sz="0" w:space="0" w:color="auto"/>
        <w:bottom w:val="none" w:sz="0" w:space="0" w:color="auto"/>
        <w:right w:val="none" w:sz="0" w:space="0" w:color="auto"/>
      </w:divBdr>
    </w:div>
    <w:div w:id="1186555805">
      <w:bodyDiv w:val="1"/>
      <w:marLeft w:val="0"/>
      <w:marRight w:val="0"/>
      <w:marTop w:val="0"/>
      <w:marBottom w:val="0"/>
      <w:divBdr>
        <w:top w:val="none" w:sz="0" w:space="0" w:color="auto"/>
        <w:left w:val="none" w:sz="0" w:space="0" w:color="auto"/>
        <w:bottom w:val="none" w:sz="0" w:space="0" w:color="auto"/>
        <w:right w:val="none" w:sz="0" w:space="0" w:color="auto"/>
      </w:divBdr>
    </w:div>
    <w:div w:id="1230075612">
      <w:bodyDiv w:val="1"/>
      <w:marLeft w:val="0"/>
      <w:marRight w:val="0"/>
      <w:marTop w:val="0"/>
      <w:marBottom w:val="0"/>
      <w:divBdr>
        <w:top w:val="none" w:sz="0" w:space="0" w:color="auto"/>
        <w:left w:val="none" w:sz="0" w:space="0" w:color="auto"/>
        <w:bottom w:val="none" w:sz="0" w:space="0" w:color="auto"/>
        <w:right w:val="none" w:sz="0" w:space="0" w:color="auto"/>
      </w:divBdr>
    </w:div>
    <w:div w:id="1243838232">
      <w:bodyDiv w:val="1"/>
      <w:marLeft w:val="0"/>
      <w:marRight w:val="0"/>
      <w:marTop w:val="0"/>
      <w:marBottom w:val="0"/>
      <w:divBdr>
        <w:top w:val="none" w:sz="0" w:space="0" w:color="auto"/>
        <w:left w:val="none" w:sz="0" w:space="0" w:color="auto"/>
        <w:bottom w:val="none" w:sz="0" w:space="0" w:color="auto"/>
        <w:right w:val="none" w:sz="0" w:space="0" w:color="auto"/>
      </w:divBdr>
    </w:div>
    <w:div w:id="1246107530">
      <w:bodyDiv w:val="1"/>
      <w:marLeft w:val="0"/>
      <w:marRight w:val="0"/>
      <w:marTop w:val="0"/>
      <w:marBottom w:val="0"/>
      <w:divBdr>
        <w:top w:val="none" w:sz="0" w:space="0" w:color="auto"/>
        <w:left w:val="none" w:sz="0" w:space="0" w:color="auto"/>
        <w:bottom w:val="none" w:sz="0" w:space="0" w:color="auto"/>
        <w:right w:val="none" w:sz="0" w:space="0" w:color="auto"/>
      </w:divBdr>
    </w:div>
    <w:div w:id="1252280739">
      <w:bodyDiv w:val="1"/>
      <w:marLeft w:val="0"/>
      <w:marRight w:val="0"/>
      <w:marTop w:val="0"/>
      <w:marBottom w:val="0"/>
      <w:divBdr>
        <w:top w:val="none" w:sz="0" w:space="0" w:color="auto"/>
        <w:left w:val="none" w:sz="0" w:space="0" w:color="auto"/>
        <w:bottom w:val="none" w:sz="0" w:space="0" w:color="auto"/>
        <w:right w:val="none" w:sz="0" w:space="0" w:color="auto"/>
      </w:divBdr>
    </w:div>
    <w:div w:id="1264075787">
      <w:bodyDiv w:val="1"/>
      <w:marLeft w:val="0"/>
      <w:marRight w:val="0"/>
      <w:marTop w:val="0"/>
      <w:marBottom w:val="0"/>
      <w:divBdr>
        <w:top w:val="none" w:sz="0" w:space="0" w:color="auto"/>
        <w:left w:val="none" w:sz="0" w:space="0" w:color="auto"/>
        <w:bottom w:val="none" w:sz="0" w:space="0" w:color="auto"/>
        <w:right w:val="none" w:sz="0" w:space="0" w:color="auto"/>
      </w:divBdr>
    </w:div>
    <w:div w:id="1278633423">
      <w:bodyDiv w:val="1"/>
      <w:marLeft w:val="0"/>
      <w:marRight w:val="0"/>
      <w:marTop w:val="0"/>
      <w:marBottom w:val="0"/>
      <w:divBdr>
        <w:top w:val="none" w:sz="0" w:space="0" w:color="auto"/>
        <w:left w:val="none" w:sz="0" w:space="0" w:color="auto"/>
        <w:bottom w:val="none" w:sz="0" w:space="0" w:color="auto"/>
        <w:right w:val="none" w:sz="0" w:space="0" w:color="auto"/>
      </w:divBdr>
    </w:div>
    <w:div w:id="1290815272">
      <w:bodyDiv w:val="1"/>
      <w:marLeft w:val="0"/>
      <w:marRight w:val="0"/>
      <w:marTop w:val="0"/>
      <w:marBottom w:val="0"/>
      <w:divBdr>
        <w:top w:val="none" w:sz="0" w:space="0" w:color="auto"/>
        <w:left w:val="none" w:sz="0" w:space="0" w:color="auto"/>
        <w:bottom w:val="none" w:sz="0" w:space="0" w:color="auto"/>
        <w:right w:val="none" w:sz="0" w:space="0" w:color="auto"/>
      </w:divBdr>
    </w:div>
    <w:div w:id="1315179430">
      <w:bodyDiv w:val="1"/>
      <w:marLeft w:val="0"/>
      <w:marRight w:val="0"/>
      <w:marTop w:val="0"/>
      <w:marBottom w:val="0"/>
      <w:divBdr>
        <w:top w:val="none" w:sz="0" w:space="0" w:color="auto"/>
        <w:left w:val="none" w:sz="0" w:space="0" w:color="auto"/>
        <w:bottom w:val="none" w:sz="0" w:space="0" w:color="auto"/>
        <w:right w:val="none" w:sz="0" w:space="0" w:color="auto"/>
      </w:divBdr>
    </w:div>
    <w:div w:id="1321813071">
      <w:bodyDiv w:val="1"/>
      <w:marLeft w:val="0"/>
      <w:marRight w:val="0"/>
      <w:marTop w:val="0"/>
      <w:marBottom w:val="0"/>
      <w:divBdr>
        <w:top w:val="none" w:sz="0" w:space="0" w:color="auto"/>
        <w:left w:val="none" w:sz="0" w:space="0" w:color="auto"/>
        <w:bottom w:val="none" w:sz="0" w:space="0" w:color="auto"/>
        <w:right w:val="none" w:sz="0" w:space="0" w:color="auto"/>
      </w:divBdr>
    </w:div>
    <w:div w:id="1337927786">
      <w:bodyDiv w:val="1"/>
      <w:marLeft w:val="0"/>
      <w:marRight w:val="0"/>
      <w:marTop w:val="0"/>
      <w:marBottom w:val="0"/>
      <w:divBdr>
        <w:top w:val="none" w:sz="0" w:space="0" w:color="auto"/>
        <w:left w:val="none" w:sz="0" w:space="0" w:color="auto"/>
        <w:bottom w:val="none" w:sz="0" w:space="0" w:color="auto"/>
        <w:right w:val="none" w:sz="0" w:space="0" w:color="auto"/>
      </w:divBdr>
    </w:div>
    <w:div w:id="1338193462">
      <w:bodyDiv w:val="1"/>
      <w:marLeft w:val="0"/>
      <w:marRight w:val="0"/>
      <w:marTop w:val="0"/>
      <w:marBottom w:val="0"/>
      <w:divBdr>
        <w:top w:val="none" w:sz="0" w:space="0" w:color="auto"/>
        <w:left w:val="none" w:sz="0" w:space="0" w:color="auto"/>
        <w:bottom w:val="none" w:sz="0" w:space="0" w:color="auto"/>
        <w:right w:val="none" w:sz="0" w:space="0" w:color="auto"/>
      </w:divBdr>
    </w:div>
    <w:div w:id="1345208872">
      <w:bodyDiv w:val="1"/>
      <w:marLeft w:val="0"/>
      <w:marRight w:val="0"/>
      <w:marTop w:val="0"/>
      <w:marBottom w:val="0"/>
      <w:divBdr>
        <w:top w:val="none" w:sz="0" w:space="0" w:color="auto"/>
        <w:left w:val="none" w:sz="0" w:space="0" w:color="auto"/>
        <w:bottom w:val="none" w:sz="0" w:space="0" w:color="auto"/>
        <w:right w:val="none" w:sz="0" w:space="0" w:color="auto"/>
      </w:divBdr>
    </w:div>
    <w:div w:id="1365861309">
      <w:bodyDiv w:val="1"/>
      <w:marLeft w:val="0"/>
      <w:marRight w:val="0"/>
      <w:marTop w:val="0"/>
      <w:marBottom w:val="0"/>
      <w:divBdr>
        <w:top w:val="none" w:sz="0" w:space="0" w:color="auto"/>
        <w:left w:val="none" w:sz="0" w:space="0" w:color="auto"/>
        <w:bottom w:val="none" w:sz="0" w:space="0" w:color="auto"/>
        <w:right w:val="none" w:sz="0" w:space="0" w:color="auto"/>
      </w:divBdr>
    </w:div>
    <w:div w:id="1377975346">
      <w:bodyDiv w:val="1"/>
      <w:marLeft w:val="0"/>
      <w:marRight w:val="0"/>
      <w:marTop w:val="0"/>
      <w:marBottom w:val="0"/>
      <w:divBdr>
        <w:top w:val="none" w:sz="0" w:space="0" w:color="auto"/>
        <w:left w:val="none" w:sz="0" w:space="0" w:color="auto"/>
        <w:bottom w:val="none" w:sz="0" w:space="0" w:color="auto"/>
        <w:right w:val="none" w:sz="0" w:space="0" w:color="auto"/>
      </w:divBdr>
    </w:div>
    <w:div w:id="1386175455">
      <w:bodyDiv w:val="1"/>
      <w:marLeft w:val="0"/>
      <w:marRight w:val="0"/>
      <w:marTop w:val="0"/>
      <w:marBottom w:val="0"/>
      <w:divBdr>
        <w:top w:val="none" w:sz="0" w:space="0" w:color="auto"/>
        <w:left w:val="none" w:sz="0" w:space="0" w:color="auto"/>
        <w:bottom w:val="none" w:sz="0" w:space="0" w:color="auto"/>
        <w:right w:val="none" w:sz="0" w:space="0" w:color="auto"/>
      </w:divBdr>
    </w:div>
    <w:div w:id="1386296660">
      <w:bodyDiv w:val="1"/>
      <w:marLeft w:val="0"/>
      <w:marRight w:val="0"/>
      <w:marTop w:val="0"/>
      <w:marBottom w:val="0"/>
      <w:divBdr>
        <w:top w:val="none" w:sz="0" w:space="0" w:color="auto"/>
        <w:left w:val="none" w:sz="0" w:space="0" w:color="auto"/>
        <w:bottom w:val="none" w:sz="0" w:space="0" w:color="auto"/>
        <w:right w:val="none" w:sz="0" w:space="0" w:color="auto"/>
      </w:divBdr>
    </w:div>
    <w:div w:id="1392847570">
      <w:bodyDiv w:val="1"/>
      <w:marLeft w:val="0"/>
      <w:marRight w:val="0"/>
      <w:marTop w:val="0"/>
      <w:marBottom w:val="0"/>
      <w:divBdr>
        <w:top w:val="none" w:sz="0" w:space="0" w:color="auto"/>
        <w:left w:val="none" w:sz="0" w:space="0" w:color="auto"/>
        <w:bottom w:val="none" w:sz="0" w:space="0" w:color="auto"/>
        <w:right w:val="none" w:sz="0" w:space="0" w:color="auto"/>
      </w:divBdr>
    </w:div>
    <w:div w:id="1410300130">
      <w:bodyDiv w:val="1"/>
      <w:marLeft w:val="0"/>
      <w:marRight w:val="0"/>
      <w:marTop w:val="0"/>
      <w:marBottom w:val="0"/>
      <w:divBdr>
        <w:top w:val="none" w:sz="0" w:space="0" w:color="auto"/>
        <w:left w:val="none" w:sz="0" w:space="0" w:color="auto"/>
        <w:bottom w:val="none" w:sz="0" w:space="0" w:color="auto"/>
        <w:right w:val="none" w:sz="0" w:space="0" w:color="auto"/>
      </w:divBdr>
    </w:div>
    <w:div w:id="1425028466">
      <w:bodyDiv w:val="1"/>
      <w:marLeft w:val="0"/>
      <w:marRight w:val="0"/>
      <w:marTop w:val="0"/>
      <w:marBottom w:val="0"/>
      <w:divBdr>
        <w:top w:val="none" w:sz="0" w:space="0" w:color="auto"/>
        <w:left w:val="none" w:sz="0" w:space="0" w:color="auto"/>
        <w:bottom w:val="none" w:sz="0" w:space="0" w:color="auto"/>
        <w:right w:val="none" w:sz="0" w:space="0" w:color="auto"/>
      </w:divBdr>
    </w:div>
    <w:div w:id="1436362625">
      <w:bodyDiv w:val="1"/>
      <w:marLeft w:val="0"/>
      <w:marRight w:val="0"/>
      <w:marTop w:val="0"/>
      <w:marBottom w:val="0"/>
      <w:divBdr>
        <w:top w:val="none" w:sz="0" w:space="0" w:color="auto"/>
        <w:left w:val="none" w:sz="0" w:space="0" w:color="auto"/>
        <w:bottom w:val="none" w:sz="0" w:space="0" w:color="auto"/>
        <w:right w:val="none" w:sz="0" w:space="0" w:color="auto"/>
      </w:divBdr>
    </w:div>
    <w:div w:id="1438477441">
      <w:bodyDiv w:val="1"/>
      <w:marLeft w:val="0"/>
      <w:marRight w:val="0"/>
      <w:marTop w:val="0"/>
      <w:marBottom w:val="0"/>
      <w:divBdr>
        <w:top w:val="none" w:sz="0" w:space="0" w:color="auto"/>
        <w:left w:val="none" w:sz="0" w:space="0" w:color="auto"/>
        <w:bottom w:val="none" w:sz="0" w:space="0" w:color="auto"/>
        <w:right w:val="none" w:sz="0" w:space="0" w:color="auto"/>
      </w:divBdr>
    </w:div>
    <w:div w:id="1448620541">
      <w:bodyDiv w:val="1"/>
      <w:marLeft w:val="0"/>
      <w:marRight w:val="0"/>
      <w:marTop w:val="0"/>
      <w:marBottom w:val="0"/>
      <w:divBdr>
        <w:top w:val="none" w:sz="0" w:space="0" w:color="auto"/>
        <w:left w:val="none" w:sz="0" w:space="0" w:color="auto"/>
        <w:bottom w:val="none" w:sz="0" w:space="0" w:color="auto"/>
        <w:right w:val="none" w:sz="0" w:space="0" w:color="auto"/>
      </w:divBdr>
    </w:div>
    <w:div w:id="1459378033">
      <w:bodyDiv w:val="1"/>
      <w:marLeft w:val="0"/>
      <w:marRight w:val="0"/>
      <w:marTop w:val="0"/>
      <w:marBottom w:val="0"/>
      <w:divBdr>
        <w:top w:val="none" w:sz="0" w:space="0" w:color="auto"/>
        <w:left w:val="none" w:sz="0" w:space="0" w:color="auto"/>
        <w:bottom w:val="none" w:sz="0" w:space="0" w:color="auto"/>
        <w:right w:val="none" w:sz="0" w:space="0" w:color="auto"/>
      </w:divBdr>
    </w:div>
    <w:div w:id="1470974396">
      <w:bodyDiv w:val="1"/>
      <w:marLeft w:val="0"/>
      <w:marRight w:val="0"/>
      <w:marTop w:val="0"/>
      <w:marBottom w:val="0"/>
      <w:divBdr>
        <w:top w:val="none" w:sz="0" w:space="0" w:color="auto"/>
        <w:left w:val="none" w:sz="0" w:space="0" w:color="auto"/>
        <w:bottom w:val="none" w:sz="0" w:space="0" w:color="auto"/>
        <w:right w:val="none" w:sz="0" w:space="0" w:color="auto"/>
      </w:divBdr>
    </w:div>
    <w:div w:id="1472290712">
      <w:bodyDiv w:val="1"/>
      <w:marLeft w:val="0"/>
      <w:marRight w:val="0"/>
      <w:marTop w:val="0"/>
      <w:marBottom w:val="0"/>
      <w:divBdr>
        <w:top w:val="none" w:sz="0" w:space="0" w:color="auto"/>
        <w:left w:val="none" w:sz="0" w:space="0" w:color="auto"/>
        <w:bottom w:val="none" w:sz="0" w:space="0" w:color="auto"/>
        <w:right w:val="none" w:sz="0" w:space="0" w:color="auto"/>
      </w:divBdr>
    </w:div>
    <w:div w:id="1486320745">
      <w:bodyDiv w:val="1"/>
      <w:marLeft w:val="0"/>
      <w:marRight w:val="0"/>
      <w:marTop w:val="0"/>
      <w:marBottom w:val="0"/>
      <w:divBdr>
        <w:top w:val="none" w:sz="0" w:space="0" w:color="auto"/>
        <w:left w:val="none" w:sz="0" w:space="0" w:color="auto"/>
        <w:bottom w:val="none" w:sz="0" w:space="0" w:color="auto"/>
        <w:right w:val="none" w:sz="0" w:space="0" w:color="auto"/>
      </w:divBdr>
    </w:div>
    <w:div w:id="1514101489">
      <w:bodyDiv w:val="1"/>
      <w:marLeft w:val="0"/>
      <w:marRight w:val="0"/>
      <w:marTop w:val="0"/>
      <w:marBottom w:val="0"/>
      <w:divBdr>
        <w:top w:val="none" w:sz="0" w:space="0" w:color="auto"/>
        <w:left w:val="none" w:sz="0" w:space="0" w:color="auto"/>
        <w:bottom w:val="none" w:sz="0" w:space="0" w:color="auto"/>
        <w:right w:val="none" w:sz="0" w:space="0" w:color="auto"/>
      </w:divBdr>
    </w:div>
    <w:div w:id="1547914836">
      <w:bodyDiv w:val="1"/>
      <w:marLeft w:val="0"/>
      <w:marRight w:val="0"/>
      <w:marTop w:val="0"/>
      <w:marBottom w:val="0"/>
      <w:divBdr>
        <w:top w:val="none" w:sz="0" w:space="0" w:color="auto"/>
        <w:left w:val="none" w:sz="0" w:space="0" w:color="auto"/>
        <w:bottom w:val="none" w:sz="0" w:space="0" w:color="auto"/>
        <w:right w:val="none" w:sz="0" w:space="0" w:color="auto"/>
      </w:divBdr>
    </w:div>
    <w:div w:id="1549075429">
      <w:bodyDiv w:val="1"/>
      <w:marLeft w:val="0"/>
      <w:marRight w:val="0"/>
      <w:marTop w:val="0"/>
      <w:marBottom w:val="0"/>
      <w:divBdr>
        <w:top w:val="none" w:sz="0" w:space="0" w:color="auto"/>
        <w:left w:val="none" w:sz="0" w:space="0" w:color="auto"/>
        <w:bottom w:val="none" w:sz="0" w:space="0" w:color="auto"/>
        <w:right w:val="none" w:sz="0" w:space="0" w:color="auto"/>
      </w:divBdr>
    </w:div>
    <w:div w:id="1557661142">
      <w:bodyDiv w:val="1"/>
      <w:marLeft w:val="0"/>
      <w:marRight w:val="0"/>
      <w:marTop w:val="0"/>
      <w:marBottom w:val="0"/>
      <w:divBdr>
        <w:top w:val="none" w:sz="0" w:space="0" w:color="auto"/>
        <w:left w:val="none" w:sz="0" w:space="0" w:color="auto"/>
        <w:bottom w:val="none" w:sz="0" w:space="0" w:color="auto"/>
        <w:right w:val="none" w:sz="0" w:space="0" w:color="auto"/>
      </w:divBdr>
    </w:div>
    <w:div w:id="1566065511">
      <w:bodyDiv w:val="1"/>
      <w:marLeft w:val="0"/>
      <w:marRight w:val="0"/>
      <w:marTop w:val="0"/>
      <w:marBottom w:val="0"/>
      <w:divBdr>
        <w:top w:val="none" w:sz="0" w:space="0" w:color="auto"/>
        <w:left w:val="none" w:sz="0" w:space="0" w:color="auto"/>
        <w:bottom w:val="none" w:sz="0" w:space="0" w:color="auto"/>
        <w:right w:val="none" w:sz="0" w:space="0" w:color="auto"/>
      </w:divBdr>
    </w:div>
    <w:div w:id="1582324709">
      <w:bodyDiv w:val="1"/>
      <w:marLeft w:val="0"/>
      <w:marRight w:val="0"/>
      <w:marTop w:val="0"/>
      <w:marBottom w:val="0"/>
      <w:divBdr>
        <w:top w:val="none" w:sz="0" w:space="0" w:color="auto"/>
        <w:left w:val="none" w:sz="0" w:space="0" w:color="auto"/>
        <w:bottom w:val="none" w:sz="0" w:space="0" w:color="auto"/>
        <w:right w:val="none" w:sz="0" w:space="0" w:color="auto"/>
      </w:divBdr>
    </w:div>
    <w:div w:id="1592161768">
      <w:bodyDiv w:val="1"/>
      <w:marLeft w:val="0"/>
      <w:marRight w:val="0"/>
      <w:marTop w:val="0"/>
      <w:marBottom w:val="0"/>
      <w:divBdr>
        <w:top w:val="none" w:sz="0" w:space="0" w:color="auto"/>
        <w:left w:val="none" w:sz="0" w:space="0" w:color="auto"/>
        <w:bottom w:val="none" w:sz="0" w:space="0" w:color="auto"/>
        <w:right w:val="none" w:sz="0" w:space="0" w:color="auto"/>
      </w:divBdr>
    </w:div>
    <w:div w:id="1617370936">
      <w:bodyDiv w:val="1"/>
      <w:marLeft w:val="0"/>
      <w:marRight w:val="0"/>
      <w:marTop w:val="0"/>
      <w:marBottom w:val="0"/>
      <w:divBdr>
        <w:top w:val="none" w:sz="0" w:space="0" w:color="auto"/>
        <w:left w:val="none" w:sz="0" w:space="0" w:color="auto"/>
        <w:bottom w:val="none" w:sz="0" w:space="0" w:color="auto"/>
        <w:right w:val="none" w:sz="0" w:space="0" w:color="auto"/>
      </w:divBdr>
    </w:div>
    <w:div w:id="1635065724">
      <w:bodyDiv w:val="1"/>
      <w:marLeft w:val="0"/>
      <w:marRight w:val="0"/>
      <w:marTop w:val="0"/>
      <w:marBottom w:val="0"/>
      <w:divBdr>
        <w:top w:val="none" w:sz="0" w:space="0" w:color="auto"/>
        <w:left w:val="none" w:sz="0" w:space="0" w:color="auto"/>
        <w:bottom w:val="none" w:sz="0" w:space="0" w:color="auto"/>
        <w:right w:val="none" w:sz="0" w:space="0" w:color="auto"/>
      </w:divBdr>
    </w:div>
    <w:div w:id="1645696420">
      <w:bodyDiv w:val="1"/>
      <w:marLeft w:val="0"/>
      <w:marRight w:val="0"/>
      <w:marTop w:val="0"/>
      <w:marBottom w:val="0"/>
      <w:divBdr>
        <w:top w:val="none" w:sz="0" w:space="0" w:color="auto"/>
        <w:left w:val="none" w:sz="0" w:space="0" w:color="auto"/>
        <w:bottom w:val="none" w:sz="0" w:space="0" w:color="auto"/>
        <w:right w:val="none" w:sz="0" w:space="0" w:color="auto"/>
      </w:divBdr>
    </w:div>
    <w:div w:id="1647974190">
      <w:bodyDiv w:val="1"/>
      <w:marLeft w:val="0"/>
      <w:marRight w:val="0"/>
      <w:marTop w:val="0"/>
      <w:marBottom w:val="0"/>
      <w:divBdr>
        <w:top w:val="none" w:sz="0" w:space="0" w:color="auto"/>
        <w:left w:val="none" w:sz="0" w:space="0" w:color="auto"/>
        <w:bottom w:val="none" w:sz="0" w:space="0" w:color="auto"/>
        <w:right w:val="none" w:sz="0" w:space="0" w:color="auto"/>
      </w:divBdr>
    </w:div>
    <w:div w:id="1654679358">
      <w:bodyDiv w:val="1"/>
      <w:marLeft w:val="0"/>
      <w:marRight w:val="0"/>
      <w:marTop w:val="0"/>
      <w:marBottom w:val="0"/>
      <w:divBdr>
        <w:top w:val="none" w:sz="0" w:space="0" w:color="auto"/>
        <w:left w:val="none" w:sz="0" w:space="0" w:color="auto"/>
        <w:bottom w:val="none" w:sz="0" w:space="0" w:color="auto"/>
        <w:right w:val="none" w:sz="0" w:space="0" w:color="auto"/>
      </w:divBdr>
    </w:div>
    <w:div w:id="1671909160">
      <w:bodyDiv w:val="1"/>
      <w:marLeft w:val="0"/>
      <w:marRight w:val="0"/>
      <w:marTop w:val="0"/>
      <w:marBottom w:val="0"/>
      <w:divBdr>
        <w:top w:val="none" w:sz="0" w:space="0" w:color="auto"/>
        <w:left w:val="none" w:sz="0" w:space="0" w:color="auto"/>
        <w:bottom w:val="none" w:sz="0" w:space="0" w:color="auto"/>
        <w:right w:val="none" w:sz="0" w:space="0" w:color="auto"/>
      </w:divBdr>
    </w:div>
    <w:div w:id="1684551582">
      <w:bodyDiv w:val="1"/>
      <w:marLeft w:val="0"/>
      <w:marRight w:val="0"/>
      <w:marTop w:val="0"/>
      <w:marBottom w:val="0"/>
      <w:divBdr>
        <w:top w:val="none" w:sz="0" w:space="0" w:color="auto"/>
        <w:left w:val="none" w:sz="0" w:space="0" w:color="auto"/>
        <w:bottom w:val="none" w:sz="0" w:space="0" w:color="auto"/>
        <w:right w:val="none" w:sz="0" w:space="0" w:color="auto"/>
      </w:divBdr>
    </w:div>
    <w:div w:id="1691948670">
      <w:bodyDiv w:val="1"/>
      <w:marLeft w:val="0"/>
      <w:marRight w:val="0"/>
      <w:marTop w:val="0"/>
      <w:marBottom w:val="0"/>
      <w:divBdr>
        <w:top w:val="none" w:sz="0" w:space="0" w:color="auto"/>
        <w:left w:val="none" w:sz="0" w:space="0" w:color="auto"/>
        <w:bottom w:val="none" w:sz="0" w:space="0" w:color="auto"/>
        <w:right w:val="none" w:sz="0" w:space="0" w:color="auto"/>
      </w:divBdr>
    </w:div>
    <w:div w:id="1694499813">
      <w:bodyDiv w:val="1"/>
      <w:marLeft w:val="0"/>
      <w:marRight w:val="0"/>
      <w:marTop w:val="0"/>
      <w:marBottom w:val="0"/>
      <w:divBdr>
        <w:top w:val="none" w:sz="0" w:space="0" w:color="auto"/>
        <w:left w:val="none" w:sz="0" w:space="0" w:color="auto"/>
        <w:bottom w:val="none" w:sz="0" w:space="0" w:color="auto"/>
        <w:right w:val="none" w:sz="0" w:space="0" w:color="auto"/>
      </w:divBdr>
    </w:div>
    <w:div w:id="1698701994">
      <w:bodyDiv w:val="1"/>
      <w:marLeft w:val="0"/>
      <w:marRight w:val="0"/>
      <w:marTop w:val="0"/>
      <w:marBottom w:val="0"/>
      <w:divBdr>
        <w:top w:val="none" w:sz="0" w:space="0" w:color="auto"/>
        <w:left w:val="none" w:sz="0" w:space="0" w:color="auto"/>
        <w:bottom w:val="none" w:sz="0" w:space="0" w:color="auto"/>
        <w:right w:val="none" w:sz="0" w:space="0" w:color="auto"/>
      </w:divBdr>
    </w:div>
    <w:div w:id="1702969971">
      <w:bodyDiv w:val="1"/>
      <w:marLeft w:val="0"/>
      <w:marRight w:val="0"/>
      <w:marTop w:val="0"/>
      <w:marBottom w:val="0"/>
      <w:divBdr>
        <w:top w:val="none" w:sz="0" w:space="0" w:color="auto"/>
        <w:left w:val="none" w:sz="0" w:space="0" w:color="auto"/>
        <w:bottom w:val="none" w:sz="0" w:space="0" w:color="auto"/>
        <w:right w:val="none" w:sz="0" w:space="0" w:color="auto"/>
      </w:divBdr>
    </w:div>
    <w:div w:id="1704595640">
      <w:bodyDiv w:val="1"/>
      <w:marLeft w:val="0"/>
      <w:marRight w:val="0"/>
      <w:marTop w:val="0"/>
      <w:marBottom w:val="0"/>
      <w:divBdr>
        <w:top w:val="none" w:sz="0" w:space="0" w:color="auto"/>
        <w:left w:val="none" w:sz="0" w:space="0" w:color="auto"/>
        <w:bottom w:val="none" w:sz="0" w:space="0" w:color="auto"/>
        <w:right w:val="none" w:sz="0" w:space="0" w:color="auto"/>
      </w:divBdr>
    </w:div>
    <w:div w:id="1734232916">
      <w:bodyDiv w:val="1"/>
      <w:marLeft w:val="0"/>
      <w:marRight w:val="0"/>
      <w:marTop w:val="0"/>
      <w:marBottom w:val="0"/>
      <w:divBdr>
        <w:top w:val="none" w:sz="0" w:space="0" w:color="auto"/>
        <w:left w:val="none" w:sz="0" w:space="0" w:color="auto"/>
        <w:bottom w:val="none" w:sz="0" w:space="0" w:color="auto"/>
        <w:right w:val="none" w:sz="0" w:space="0" w:color="auto"/>
      </w:divBdr>
    </w:div>
    <w:div w:id="1755399927">
      <w:bodyDiv w:val="1"/>
      <w:marLeft w:val="0"/>
      <w:marRight w:val="0"/>
      <w:marTop w:val="0"/>
      <w:marBottom w:val="0"/>
      <w:divBdr>
        <w:top w:val="none" w:sz="0" w:space="0" w:color="auto"/>
        <w:left w:val="none" w:sz="0" w:space="0" w:color="auto"/>
        <w:bottom w:val="none" w:sz="0" w:space="0" w:color="auto"/>
        <w:right w:val="none" w:sz="0" w:space="0" w:color="auto"/>
      </w:divBdr>
    </w:div>
    <w:div w:id="1768186481">
      <w:bodyDiv w:val="1"/>
      <w:marLeft w:val="0"/>
      <w:marRight w:val="0"/>
      <w:marTop w:val="0"/>
      <w:marBottom w:val="0"/>
      <w:divBdr>
        <w:top w:val="none" w:sz="0" w:space="0" w:color="auto"/>
        <w:left w:val="none" w:sz="0" w:space="0" w:color="auto"/>
        <w:bottom w:val="none" w:sz="0" w:space="0" w:color="auto"/>
        <w:right w:val="none" w:sz="0" w:space="0" w:color="auto"/>
      </w:divBdr>
    </w:div>
    <w:div w:id="1778602335">
      <w:bodyDiv w:val="1"/>
      <w:marLeft w:val="0"/>
      <w:marRight w:val="0"/>
      <w:marTop w:val="0"/>
      <w:marBottom w:val="0"/>
      <w:divBdr>
        <w:top w:val="none" w:sz="0" w:space="0" w:color="auto"/>
        <w:left w:val="none" w:sz="0" w:space="0" w:color="auto"/>
        <w:bottom w:val="none" w:sz="0" w:space="0" w:color="auto"/>
        <w:right w:val="none" w:sz="0" w:space="0" w:color="auto"/>
      </w:divBdr>
    </w:div>
    <w:div w:id="1783185084">
      <w:bodyDiv w:val="1"/>
      <w:marLeft w:val="0"/>
      <w:marRight w:val="0"/>
      <w:marTop w:val="0"/>
      <w:marBottom w:val="0"/>
      <w:divBdr>
        <w:top w:val="none" w:sz="0" w:space="0" w:color="auto"/>
        <w:left w:val="none" w:sz="0" w:space="0" w:color="auto"/>
        <w:bottom w:val="none" w:sz="0" w:space="0" w:color="auto"/>
        <w:right w:val="none" w:sz="0" w:space="0" w:color="auto"/>
      </w:divBdr>
    </w:div>
    <w:div w:id="1786079638">
      <w:bodyDiv w:val="1"/>
      <w:marLeft w:val="0"/>
      <w:marRight w:val="0"/>
      <w:marTop w:val="0"/>
      <w:marBottom w:val="0"/>
      <w:divBdr>
        <w:top w:val="none" w:sz="0" w:space="0" w:color="auto"/>
        <w:left w:val="none" w:sz="0" w:space="0" w:color="auto"/>
        <w:bottom w:val="none" w:sz="0" w:space="0" w:color="auto"/>
        <w:right w:val="none" w:sz="0" w:space="0" w:color="auto"/>
      </w:divBdr>
    </w:div>
    <w:div w:id="1789733561">
      <w:bodyDiv w:val="1"/>
      <w:marLeft w:val="0"/>
      <w:marRight w:val="0"/>
      <w:marTop w:val="0"/>
      <w:marBottom w:val="0"/>
      <w:divBdr>
        <w:top w:val="none" w:sz="0" w:space="0" w:color="auto"/>
        <w:left w:val="none" w:sz="0" w:space="0" w:color="auto"/>
        <w:bottom w:val="none" w:sz="0" w:space="0" w:color="auto"/>
        <w:right w:val="none" w:sz="0" w:space="0" w:color="auto"/>
      </w:divBdr>
    </w:div>
    <w:div w:id="1796631938">
      <w:bodyDiv w:val="1"/>
      <w:marLeft w:val="0"/>
      <w:marRight w:val="0"/>
      <w:marTop w:val="0"/>
      <w:marBottom w:val="0"/>
      <w:divBdr>
        <w:top w:val="none" w:sz="0" w:space="0" w:color="auto"/>
        <w:left w:val="none" w:sz="0" w:space="0" w:color="auto"/>
        <w:bottom w:val="none" w:sz="0" w:space="0" w:color="auto"/>
        <w:right w:val="none" w:sz="0" w:space="0" w:color="auto"/>
      </w:divBdr>
    </w:div>
    <w:div w:id="1810899182">
      <w:bodyDiv w:val="1"/>
      <w:marLeft w:val="0"/>
      <w:marRight w:val="0"/>
      <w:marTop w:val="0"/>
      <w:marBottom w:val="0"/>
      <w:divBdr>
        <w:top w:val="none" w:sz="0" w:space="0" w:color="auto"/>
        <w:left w:val="none" w:sz="0" w:space="0" w:color="auto"/>
        <w:bottom w:val="none" w:sz="0" w:space="0" w:color="auto"/>
        <w:right w:val="none" w:sz="0" w:space="0" w:color="auto"/>
      </w:divBdr>
    </w:div>
    <w:div w:id="1833793731">
      <w:bodyDiv w:val="1"/>
      <w:marLeft w:val="0"/>
      <w:marRight w:val="0"/>
      <w:marTop w:val="0"/>
      <w:marBottom w:val="0"/>
      <w:divBdr>
        <w:top w:val="none" w:sz="0" w:space="0" w:color="auto"/>
        <w:left w:val="none" w:sz="0" w:space="0" w:color="auto"/>
        <w:bottom w:val="none" w:sz="0" w:space="0" w:color="auto"/>
        <w:right w:val="none" w:sz="0" w:space="0" w:color="auto"/>
      </w:divBdr>
    </w:div>
    <w:div w:id="1837111864">
      <w:bodyDiv w:val="1"/>
      <w:marLeft w:val="0"/>
      <w:marRight w:val="0"/>
      <w:marTop w:val="0"/>
      <w:marBottom w:val="0"/>
      <w:divBdr>
        <w:top w:val="none" w:sz="0" w:space="0" w:color="auto"/>
        <w:left w:val="none" w:sz="0" w:space="0" w:color="auto"/>
        <w:bottom w:val="none" w:sz="0" w:space="0" w:color="auto"/>
        <w:right w:val="none" w:sz="0" w:space="0" w:color="auto"/>
      </w:divBdr>
    </w:div>
    <w:div w:id="1845434232">
      <w:bodyDiv w:val="1"/>
      <w:marLeft w:val="0"/>
      <w:marRight w:val="0"/>
      <w:marTop w:val="0"/>
      <w:marBottom w:val="0"/>
      <w:divBdr>
        <w:top w:val="none" w:sz="0" w:space="0" w:color="auto"/>
        <w:left w:val="none" w:sz="0" w:space="0" w:color="auto"/>
        <w:bottom w:val="none" w:sz="0" w:space="0" w:color="auto"/>
        <w:right w:val="none" w:sz="0" w:space="0" w:color="auto"/>
      </w:divBdr>
    </w:div>
    <w:div w:id="1877309542">
      <w:bodyDiv w:val="1"/>
      <w:marLeft w:val="0"/>
      <w:marRight w:val="0"/>
      <w:marTop w:val="0"/>
      <w:marBottom w:val="0"/>
      <w:divBdr>
        <w:top w:val="none" w:sz="0" w:space="0" w:color="auto"/>
        <w:left w:val="none" w:sz="0" w:space="0" w:color="auto"/>
        <w:bottom w:val="none" w:sz="0" w:space="0" w:color="auto"/>
        <w:right w:val="none" w:sz="0" w:space="0" w:color="auto"/>
      </w:divBdr>
    </w:div>
    <w:div w:id="1889102997">
      <w:bodyDiv w:val="1"/>
      <w:marLeft w:val="0"/>
      <w:marRight w:val="0"/>
      <w:marTop w:val="0"/>
      <w:marBottom w:val="0"/>
      <w:divBdr>
        <w:top w:val="none" w:sz="0" w:space="0" w:color="auto"/>
        <w:left w:val="none" w:sz="0" w:space="0" w:color="auto"/>
        <w:bottom w:val="none" w:sz="0" w:space="0" w:color="auto"/>
        <w:right w:val="none" w:sz="0" w:space="0" w:color="auto"/>
      </w:divBdr>
    </w:div>
    <w:div w:id="1898085779">
      <w:bodyDiv w:val="1"/>
      <w:marLeft w:val="0"/>
      <w:marRight w:val="0"/>
      <w:marTop w:val="0"/>
      <w:marBottom w:val="0"/>
      <w:divBdr>
        <w:top w:val="none" w:sz="0" w:space="0" w:color="auto"/>
        <w:left w:val="none" w:sz="0" w:space="0" w:color="auto"/>
        <w:bottom w:val="none" w:sz="0" w:space="0" w:color="auto"/>
        <w:right w:val="none" w:sz="0" w:space="0" w:color="auto"/>
      </w:divBdr>
    </w:div>
    <w:div w:id="1898515818">
      <w:bodyDiv w:val="1"/>
      <w:marLeft w:val="0"/>
      <w:marRight w:val="0"/>
      <w:marTop w:val="0"/>
      <w:marBottom w:val="0"/>
      <w:divBdr>
        <w:top w:val="none" w:sz="0" w:space="0" w:color="auto"/>
        <w:left w:val="none" w:sz="0" w:space="0" w:color="auto"/>
        <w:bottom w:val="none" w:sz="0" w:space="0" w:color="auto"/>
        <w:right w:val="none" w:sz="0" w:space="0" w:color="auto"/>
      </w:divBdr>
    </w:div>
    <w:div w:id="1917090897">
      <w:bodyDiv w:val="1"/>
      <w:marLeft w:val="0"/>
      <w:marRight w:val="0"/>
      <w:marTop w:val="0"/>
      <w:marBottom w:val="0"/>
      <w:divBdr>
        <w:top w:val="none" w:sz="0" w:space="0" w:color="auto"/>
        <w:left w:val="none" w:sz="0" w:space="0" w:color="auto"/>
        <w:bottom w:val="none" w:sz="0" w:space="0" w:color="auto"/>
        <w:right w:val="none" w:sz="0" w:space="0" w:color="auto"/>
      </w:divBdr>
    </w:div>
    <w:div w:id="1962878245">
      <w:bodyDiv w:val="1"/>
      <w:marLeft w:val="0"/>
      <w:marRight w:val="0"/>
      <w:marTop w:val="0"/>
      <w:marBottom w:val="0"/>
      <w:divBdr>
        <w:top w:val="none" w:sz="0" w:space="0" w:color="auto"/>
        <w:left w:val="none" w:sz="0" w:space="0" w:color="auto"/>
        <w:bottom w:val="none" w:sz="0" w:space="0" w:color="auto"/>
        <w:right w:val="none" w:sz="0" w:space="0" w:color="auto"/>
      </w:divBdr>
    </w:div>
    <w:div w:id="1963536631">
      <w:bodyDiv w:val="1"/>
      <w:marLeft w:val="0"/>
      <w:marRight w:val="0"/>
      <w:marTop w:val="0"/>
      <w:marBottom w:val="0"/>
      <w:divBdr>
        <w:top w:val="none" w:sz="0" w:space="0" w:color="auto"/>
        <w:left w:val="none" w:sz="0" w:space="0" w:color="auto"/>
        <w:bottom w:val="none" w:sz="0" w:space="0" w:color="auto"/>
        <w:right w:val="none" w:sz="0" w:space="0" w:color="auto"/>
      </w:divBdr>
    </w:div>
    <w:div w:id="1969583286">
      <w:bodyDiv w:val="1"/>
      <w:marLeft w:val="0"/>
      <w:marRight w:val="0"/>
      <w:marTop w:val="0"/>
      <w:marBottom w:val="0"/>
      <w:divBdr>
        <w:top w:val="none" w:sz="0" w:space="0" w:color="auto"/>
        <w:left w:val="none" w:sz="0" w:space="0" w:color="auto"/>
        <w:bottom w:val="none" w:sz="0" w:space="0" w:color="auto"/>
        <w:right w:val="none" w:sz="0" w:space="0" w:color="auto"/>
      </w:divBdr>
    </w:div>
    <w:div w:id="1995985087">
      <w:bodyDiv w:val="1"/>
      <w:marLeft w:val="0"/>
      <w:marRight w:val="0"/>
      <w:marTop w:val="0"/>
      <w:marBottom w:val="0"/>
      <w:divBdr>
        <w:top w:val="none" w:sz="0" w:space="0" w:color="auto"/>
        <w:left w:val="none" w:sz="0" w:space="0" w:color="auto"/>
        <w:bottom w:val="none" w:sz="0" w:space="0" w:color="auto"/>
        <w:right w:val="none" w:sz="0" w:space="0" w:color="auto"/>
      </w:divBdr>
    </w:div>
    <w:div w:id="2004893322">
      <w:bodyDiv w:val="1"/>
      <w:marLeft w:val="0"/>
      <w:marRight w:val="0"/>
      <w:marTop w:val="0"/>
      <w:marBottom w:val="0"/>
      <w:divBdr>
        <w:top w:val="none" w:sz="0" w:space="0" w:color="auto"/>
        <w:left w:val="none" w:sz="0" w:space="0" w:color="auto"/>
        <w:bottom w:val="none" w:sz="0" w:space="0" w:color="auto"/>
        <w:right w:val="none" w:sz="0" w:space="0" w:color="auto"/>
      </w:divBdr>
    </w:div>
    <w:div w:id="2006930230">
      <w:bodyDiv w:val="1"/>
      <w:marLeft w:val="0"/>
      <w:marRight w:val="0"/>
      <w:marTop w:val="0"/>
      <w:marBottom w:val="0"/>
      <w:divBdr>
        <w:top w:val="none" w:sz="0" w:space="0" w:color="auto"/>
        <w:left w:val="none" w:sz="0" w:space="0" w:color="auto"/>
        <w:bottom w:val="none" w:sz="0" w:space="0" w:color="auto"/>
        <w:right w:val="none" w:sz="0" w:space="0" w:color="auto"/>
      </w:divBdr>
    </w:div>
    <w:div w:id="2007859024">
      <w:bodyDiv w:val="1"/>
      <w:marLeft w:val="0"/>
      <w:marRight w:val="0"/>
      <w:marTop w:val="0"/>
      <w:marBottom w:val="0"/>
      <w:divBdr>
        <w:top w:val="none" w:sz="0" w:space="0" w:color="auto"/>
        <w:left w:val="none" w:sz="0" w:space="0" w:color="auto"/>
        <w:bottom w:val="none" w:sz="0" w:space="0" w:color="auto"/>
        <w:right w:val="none" w:sz="0" w:space="0" w:color="auto"/>
      </w:divBdr>
    </w:div>
    <w:div w:id="2013558172">
      <w:bodyDiv w:val="1"/>
      <w:marLeft w:val="0"/>
      <w:marRight w:val="0"/>
      <w:marTop w:val="0"/>
      <w:marBottom w:val="0"/>
      <w:divBdr>
        <w:top w:val="none" w:sz="0" w:space="0" w:color="auto"/>
        <w:left w:val="none" w:sz="0" w:space="0" w:color="auto"/>
        <w:bottom w:val="none" w:sz="0" w:space="0" w:color="auto"/>
        <w:right w:val="none" w:sz="0" w:space="0" w:color="auto"/>
      </w:divBdr>
    </w:div>
    <w:div w:id="2017725188">
      <w:bodyDiv w:val="1"/>
      <w:marLeft w:val="0"/>
      <w:marRight w:val="0"/>
      <w:marTop w:val="0"/>
      <w:marBottom w:val="0"/>
      <w:divBdr>
        <w:top w:val="none" w:sz="0" w:space="0" w:color="auto"/>
        <w:left w:val="none" w:sz="0" w:space="0" w:color="auto"/>
        <w:bottom w:val="none" w:sz="0" w:space="0" w:color="auto"/>
        <w:right w:val="none" w:sz="0" w:space="0" w:color="auto"/>
      </w:divBdr>
    </w:div>
    <w:div w:id="2020623811">
      <w:bodyDiv w:val="1"/>
      <w:marLeft w:val="0"/>
      <w:marRight w:val="0"/>
      <w:marTop w:val="0"/>
      <w:marBottom w:val="0"/>
      <w:divBdr>
        <w:top w:val="none" w:sz="0" w:space="0" w:color="auto"/>
        <w:left w:val="none" w:sz="0" w:space="0" w:color="auto"/>
        <w:bottom w:val="none" w:sz="0" w:space="0" w:color="auto"/>
        <w:right w:val="none" w:sz="0" w:space="0" w:color="auto"/>
      </w:divBdr>
    </w:div>
    <w:div w:id="2031835232">
      <w:bodyDiv w:val="1"/>
      <w:marLeft w:val="0"/>
      <w:marRight w:val="0"/>
      <w:marTop w:val="0"/>
      <w:marBottom w:val="0"/>
      <w:divBdr>
        <w:top w:val="none" w:sz="0" w:space="0" w:color="auto"/>
        <w:left w:val="none" w:sz="0" w:space="0" w:color="auto"/>
        <w:bottom w:val="none" w:sz="0" w:space="0" w:color="auto"/>
        <w:right w:val="none" w:sz="0" w:space="0" w:color="auto"/>
      </w:divBdr>
    </w:div>
    <w:div w:id="2033990918">
      <w:bodyDiv w:val="1"/>
      <w:marLeft w:val="0"/>
      <w:marRight w:val="0"/>
      <w:marTop w:val="0"/>
      <w:marBottom w:val="0"/>
      <w:divBdr>
        <w:top w:val="none" w:sz="0" w:space="0" w:color="auto"/>
        <w:left w:val="none" w:sz="0" w:space="0" w:color="auto"/>
        <w:bottom w:val="none" w:sz="0" w:space="0" w:color="auto"/>
        <w:right w:val="none" w:sz="0" w:space="0" w:color="auto"/>
      </w:divBdr>
    </w:div>
    <w:div w:id="2039313915">
      <w:bodyDiv w:val="1"/>
      <w:marLeft w:val="0"/>
      <w:marRight w:val="0"/>
      <w:marTop w:val="0"/>
      <w:marBottom w:val="0"/>
      <w:divBdr>
        <w:top w:val="none" w:sz="0" w:space="0" w:color="auto"/>
        <w:left w:val="none" w:sz="0" w:space="0" w:color="auto"/>
        <w:bottom w:val="none" w:sz="0" w:space="0" w:color="auto"/>
        <w:right w:val="none" w:sz="0" w:space="0" w:color="auto"/>
      </w:divBdr>
    </w:div>
    <w:div w:id="2062973835">
      <w:bodyDiv w:val="1"/>
      <w:marLeft w:val="0"/>
      <w:marRight w:val="0"/>
      <w:marTop w:val="0"/>
      <w:marBottom w:val="0"/>
      <w:divBdr>
        <w:top w:val="none" w:sz="0" w:space="0" w:color="auto"/>
        <w:left w:val="none" w:sz="0" w:space="0" w:color="auto"/>
        <w:bottom w:val="none" w:sz="0" w:space="0" w:color="auto"/>
        <w:right w:val="none" w:sz="0" w:space="0" w:color="auto"/>
      </w:divBdr>
    </w:div>
    <w:div w:id="2067989962">
      <w:bodyDiv w:val="1"/>
      <w:marLeft w:val="0"/>
      <w:marRight w:val="0"/>
      <w:marTop w:val="0"/>
      <w:marBottom w:val="0"/>
      <w:divBdr>
        <w:top w:val="none" w:sz="0" w:space="0" w:color="auto"/>
        <w:left w:val="none" w:sz="0" w:space="0" w:color="auto"/>
        <w:bottom w:val="none" w:sz="0" w:space="0" w:color="auto"/>
        <w:right w:val="none" w:sz="0" w:space="0" w:color="auto"/>
      </w:divBdr>
    </w:div>
    <w:div w:id="2112623420">
      <w:bodyDiv w:val="1"/>
      <w:marLeft w:val="0"/>
      <w:marRight w:val="0"/>
      <w:marTop w:val="0"/>
      <w:marBottom w:val="0"/>
      <w:divBdr>
        <w:top w:val="none" w:sz="0" w:space="0" w:color="auto"/>
        <w:left w:val="none" w:sz="0" w:space="0" w:color="auto"/>
        <w:bottom w:val="none" w:sz="0" w:space="0" w:color="auto"/>
        <w:right w:val="none" w:sz="0" w:space="0" w:color="auto"/>
      </w:divBdr>
    </w:div>
    <w:div w:id="2121416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Wat21</b:Tag>
    <b:SourceType>Book</b:SourceType>
    <b:Guid>{A4BA37F7-1C87-49F5-84F6-F6DC66473ABA}</b:Guid>
    <b:Author>
      <b:Author>
        <b:NameList>
          <b:Person>
            <b:Last>Watt</b:Last>
            <b:First>Gary</b:First>
          </b:Person>
        </b:NameList>
      </b:Author>
    </b:Author>
    <b:Title>Equity &amp; Trust Law</b:Title>
    <b:Year>2021</b:Year>
    <b:City>Glasgo</b:City>
    <b:Publisher>Bell &amp; Bian Ltd</b:Publisher>
    <b:Edition>7th</b:Edition>
    <b:RefOrder>1</b:RefOrder>
  </b:Source>
  <b:Source>
    <b:Tag>Wil05</b:Tag>
    <b:SourceType>Book</b:SourceType>
    <b:Guid>{88C1564E-38D6-4513-8D1F-3AECACBF5BC7}</b:Guid>
    <b:Author>
      <b:Author>
        <b:NameList>
          <b:Person>
            <b:Last>Wilson</b:Last>
            <b:First>Sarah</b:First>
          </b:Person>
        </b:NameList>
      </b:Author>
    </b:Author>
    <b:Title>Trusts</b:Title>
    <b:Year>2005</b:Year>
    <b:City>Hampshire</b:City>
    <b:Publisher>Ashford Colour Press</b:Publisher>
    <b:Edition>7th</b:Edition>
    <b:RefOrder>2</b:RefOrder>
  </b:Source>
  <b:Source>
    <b:Tag>Mof05</b:Tag>
    <b:SourceType>Book</b:SourceType>
    <b:Guid>{F8ECA56C-E887-489A-BF0E-61375E71B8AF}</b:Guid>
    <b:Author>
      <b:Author>
        <b:NameList>
          <b:Person>
            <b:Last>Moffat</b:Last>
            <b:First>Graham</b:First>
          </b:Person>
        </b:NameList>
      </b:Author>
    </b:Author>
    <b:Title>Trusts Law</b:Title>
    <b:Year>2005</b:Year>
    <b:City>Cambride</b:City>
    <b:Publisher>Cambride University press</b:Publisher>
    <b:Edition>4th</b:Edition>
    <b:RefOrder>3</b:RefOrder>
  </b:Source>
  <b:Source>
    <b:Tag>Zuc93</b:Tag>
    <b:SourceType>ArticleInAPeriodical</b:SourceType>
    <b:Guid>{3F38A4C2-774C-4585-BF60-A615B0B5ADC8}</b:Guid>
    <b:Title>Interlocutory Remedies in Quest of Procedural Fairness</b:Title>
    <b:Year>1993</b:Year>
    <b:Author>
      <b:Author>
        <b:NameList>
          <b:Person>
            <b:Last>Zuckerman</b:Last>
            <b:First>Adrian</b:First>
          </b:Person>
        </b:NameList>
      </b:Author>
    </b:Author>
    <b:JournalName>The Modern Law Review</b:JournalName>
    <b:Pages>325-341</b:Pages>
    <b:Month>May</b:Month>
    <b:Day>1st</b:Day>
    <b:Volume>56</b:Volume>
    <b:Issue>3</b:Issue>
    <b:PeriodicalTitle>The Modern Law Review</b:PeriodicalTitle>
    <b:RefOrder>7</b:RefOrder>
  </b:Source>
  <b:Source>
    <b:Tag>Hic07</b:Tag>
    <b:SourceType>InternetSite</b:SourceType>
    <b:Guid>{C4E1645B-46EE-4276-8544-BDF9F074B5A0}</b:Guid>
    <b:Title>Freezing Orders - Are Third Parties Out In The Cold?</b:Title>
    <b:Year>2007</b:Year>
    <b:Month>Febuary</b:Month>
    <b:Day>12</b:Day>
    <b:InternetSiteTitle>Mayer brown</b:InternetSiteTitle>
    <b:URL>https://www.mayerbrown.com/en/perspectives-events/publications/2007/02/freezing-orders--are-third-parties-out-in-the-cold</b:URL>
    <b:Author>
      <b:Author>
        <b:NameList>
          <b:Person>
            <b:Last>Hickin</b:Last>
            <b:First>John</b:First>
          </b:Person>
        </b:NameList>
      </b:Author>
    </b:Author>
    <b:RefOrder>5</b:RefOrder>
  </b:Source>
  <b:Source>
    <b:Tag>McI88</b:Tag>
    <b:SourceType>ArticleInAPeriodical</b:SourceType>
    <b:Guid>{125B48F4-60D5-463E-AF13-611C8BF76697}</b:Guid>
    <b:Title>The Right to Silence in the Presence of Anton Piller: A Question of Self Incrimination</b:Title>
    <b:Year>1988</b:Year>
    <b:Pages>233-344</b:Pages>
    <b:Author>
      <b:Author>
        <b:NameList>
          <b:Person>
            <b:Last>McInnes</b:Last>
            <b:First>Mitchell</b:First>
          </b:Person>
        </b:NameList>
      </b:Author>
    </b:Author>
    <b:PeriodicalTitle>Alberta Law Reviiiew</b:PeriodicalTitle>
    <b:RefOrder>6</b:RefOrder>
  </b:Source>
  <b:Source>
    <b:Tag>Pet21</b:Tag>
    <b:SourceType>Book</b:SourceType>
    <b:Guid>{90958D4D-67F3-48B5-A523-93A9B2A7047A}</b:Guid>
    <b:Title>Equity and the Law of Trusts</b:Title>
    <b:Year>2021</b:Year>
    <b:Author>
      <b:Author>
        <b:NameList>
          <b:Person>
            <b:Last>Pettit</b:Last>
            <b:First>Philip</b:First>
          </b:Person>
        </b:NameList>
      </b:Author>
    </b:Author>
    <b:City>Oxford</b:City>
    <b:Publisher>Oxford University Press</b:Publisher>
    <b:RefOrder>4</b:RefOrder>
  </b:Source>
</b:Sources>
</file>

<file path=customXml/itemProps1.xml><?xml version="1.0" encoding="utf-8"?>
<ds:datastoreItem xmlns:ds="http://schemas.openxmlformats.org/officeDocument/2006/customXml" ds:itemID="{9F9D0F0B-9EB7-4DD0-8E8B-32A76F8E9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2849</TotalTime>
  <Pages>11</Pages>
  <Words>2542</Words>
  <Characters>14490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Emyr Harries (1801259)</dc:creator>
  <cp:keywords/>
  <dc:description/>
  <cp:lastModifiedBy>Emyr Harries (1801259)</cp:lastModifiedBy>
  <cp:revision>3</cp:revision>
  <dcterms:created xsi:type="dcterms:W3CDTF">2021-11-03T13:33:00Z</dcterms:created>
  <dcterms:modified xsi:type="dcterms:W3CDTF">2021-11-05T16:30:00Z</dcterms:modified>
</cp:coreProperties>
</file>