
<file path=[Content_Types].xml><?xml version="1.0" encoding="utf-8"?>
<Types xmlns="http://schemas.openxmlformats.org/package/2006/content-types">
  <Default ContentType="application/xml" Extension="xml"/>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keepNext w:val="0"/>
        <w:keepLines w:val="0"/>
        <w:spacing w:after="0" w:before="0" w:line="300" w:lineRule="auto"/>
        <w:rPr>
          <w:b w:val="1"/>
          <w:bCs w:val="1"/>
        </w:rPr>
      </w:pPr>
      <w:r w:rsidDel="00000000" w:rsidR="00000000" w:rsidRPr="00000000">
        <w:rPr>
          <w:b w:val="1"/>
          <w:bCs w:val="1"/>
          <w:rtl w:val="0"/>
        </w:rPr>
        <w:t xml:space="preserve">A Critical Interpretive Synthesis of Broad-Based Community Organising's Interactions with SDG 16 and SDG 10</w:t>
      </w:r>
    </w:p>
    <w:p w:rsidR="00000000" w:rsidDel="00000000" w:rsidP="00000000" w:rsidRDefault="00000000" w:rsidRPr="00000000" w14:paraId="00000002">
      <w:pPr>
        <w:keepNext w:val="0"/>
        <w:keepLines w:val="0"/>
        <w:spacing w:after="0" w:before="100" w:line="300" w:lineRule="auto"/>
        <w:rPr>
          <w:b w:val="1"/>
          <w:bCs w:val="1"/>
        </w:rPr>
      </w:pPr>
      <w:r w:rsidDel="00000000" w:rsidR="00000000" w:rsidRPr="00000000">
        <w:rPr>
          <w:rtl w:val="0"/>
        </w:rPr>
      </w:r>
    </w:p>
    <w:p w:rsidR="00000000" w:rsidDel="00000000" w:rsidP="00000000" w:rsidRDefault="00000000" w:rsidRPr="00000000" w14:paraId="00000003">
      <w:pPr>
        <w:keepNext w:val="0"/>
        <w:keepLines w:val="0"/>
        <w:spacing w:after="0" w:before="100" w:line="300" w:lineRule="auto"/>
        <w:rPr>
          <w:b w:val="1"/>
          <w:bCs w:val="1"/>
        </w:rPr>
      </w:pPr>
      <w:r w:rsidDel="00000000" w:rsidR="00000000" w:rsidRPr="00000000">
        <w:rPr>
          <w:b w:val="1"/>
          <w:bCs w:val="1"/>
          <w:rtl w:val="0"/>
        </w:rPr>
        <w:t xml:space="preserve">1. Introduction</w:t>
      </w:r>
    </w:p>
    <w:p w:rsidR="00000000" w:rsidDel="00000000" w:rsidP="00000000" w:rsidRDefault="00000000" w:rsidRPr="00000000" w14:paraId="00000004">
      <w:pPr>
        <w:rPr/>
      </w:pPr>
      <w:r w:rsidDel="00000000" w:rsidR="00000000" w:rsidRPr="00000000">
        <w:rPr>
          <w:rtl w:val="0"/>
        </w:rPr>
        <w:t xml:space="preserve">Broad-based community organising (BBCO) is a method for building the collective power of ordinary people to act on the issues that shape their lives. Its distinctive feature is that its members are not individuals but civil society institutions: congregations, schools, universities, unions and community groups, working together in a diverse local alliance (Warren, 2001; Bretherton, 2015). Rooted in the organising tradition of Saul Alinsky (1971), the method is practised in the United Kingdom principally through Citizens UK (Wills, 2012), which pursues four strategic aims: developing leaders, strengthening institutions, making change, and building trust across difference (Citizens UK, 2026). Its craft proceeds through an iterative cycle of building power, listening, strategising, negotiating and holding to account (Bolton, 2017; Tattersall, 2024), enacted through relational practices: the one-to-one meeting, through which public relationships are built (Chambers, 2003); the accountability assembly, at which organised citizens negotiate commitments from decision-makers (Warren, 2001; Wills, 2012); and, more recently, weaving trust, a structured practice for building relationships across difference (Tattersall, 2024). The sector works simultaneously to build civic voice and participation and to win concrete changes to people's material conditions.</w:t>
      </w:r>
    </w:p>
    <w:p w:rsidR="00000000" w:rsidDel="00000000" w:rsidP="00000000" w:rsidRDefault="00000000" w:rsidRPr="00000000" w14:paraId="00000005">
      <w:pPr>
        <w:rPr/>
      </w:pPr>
      <w:r w:rsidDel="00000000" w:rsidR="00000000" w:rsidRPr="00000000">
        <w:rPr>
          <w:rtl w:val="0"/>
        </w:rPr>
      </w:r>
    </w:p>
    <w:p w:rsidR="00000000" w:rsidDel="00000000" w:rsidP="00000000" w:rsidRDefault="00000000" w:rsidRPr="00000000" w14:paraId="00000006">
      <w:pPr>
        <w:rPr/>
      </w:pPr>
      <w:r w:rsidDel="00000000" w:rsidR="00000000" w:rsidRPr="00000000">
        <w:rPr>
          <w:rtl w:val="0"/>
        </w:rPr>
        <w:t xml:space="preserve">These two ambitions correspond closely to two of the Sustainable Development Goals (SDGs). SDG 16 commits states to promote peaceful and inclusive societies and to build effective, accountable and inclusive institutions; its targets on responsive, participatory decision-making (16.7) and accountable institutions (16.6) capture the procedural dimension of organising: voice, participation, and the relationship between citizens and the state. SDG 10 commits states to reduce inequality; its targets on social, economic and political inclusion (10.2) and on reducing inequalities of outcome (10.3) capture the material dimension organising aims at (United Nations, 2015). The pairing is not arbitrary: the goals share a commitment to non-discriminatory laws and policies and are linked in the wider network of targets (Le Blanc, 2015). This study problematises the relationship between the two goals, examining whether pursuing one helps, hinders or is neutral toward the other in the context of BBCO.</w:t>
      </w:r>
    </w:p>
    <w:p w:rsidR="00000000" w:rsidDel="00000000" w:rsidP="00000000" w:rsidRDefault="00000000" w:rsidRPr="00000000" w14:paraId="00000007">
      <w:pPr>
        <w:rPr/>
      </w:pPr>
      <w:r w:rsidDel="00000000" w:rsidR="00000000" w:rsidRPr="00000000">
        <w:rPr>
          <w:rtl w:val="0"/>
        </w:rPr>
      </w:r>
    </w:p>
    <w:p w:rsidR="00000000" w:rsidDel="00000000" w:rsidP="00000000" w:rsidRDefault="00000000" w:rsidRPr="00000000" w14:paraId="00000008">
      <w:pPr>
        <w:rPr/>
      </w:pPr>
      <w:r w:rsidDel="00000000" w:rsidR="00000000" w:rsidRPr="00000000">
        <w:rPr>
          <w:rtl w:val="0"/>
        </w:rPr>
        <w:t xml:space="preserve">A useful lens is Fraser's (2008) account of justice as having three dimensions, unified by the norm of participatory parity: redistribution, concerning material share; recognition, concerning the status of those marked by difference; and representation, concerning political voice. The procedural and inclusion aims of SDG 16 correspond broadly to recognition and representation, and the material core of SDG 10 to redistribution, though each goal in practice spans more than one dimension.</w:t>
      </w:r>
    </w:p>
    <w:p w:rsidR="00000000" w:rsidDel="00000000" w:rsidP="00000000" w:rsidRDefault="00000000" w:rsidRPr="00000000" w14:paraId="00000009">
      <w:pPr>
        <w:rPr/>
      </w:pPr>
      <w:r w:rsidDel="00000000" w:rsidR="00000000" w:rsidRPr="00000000">
        <w:rPr>
          <w:rtl w:val="0"/>
        </w:rPr>
      </w:r>
    </w:p>
    <w:p w:rsidR="00000000" w:rsidDel="00000000" w:rsidP="00000000" w:rsidRDefault="00000000" w:rsidRPr="00000000" w14:paraId="0000000A">
      <w:pPr>
        <w:rPr/>
      </w:pPr>
      <w:r w:rsidDel="00000000" w:rsidR="00000000" w:rsidRPr="00000000">
        <w:rPr>
          <w:rtl w:val="0"/>
        </w:rPr>
        <w:t xml:space="preserve">While the study assesses the sector broadly, its sharpest focus falls on weaving trust, the sector's newest relational practice and the one most directly concerned with difference. Weaving trust scales the one-to-one into a group setting: participants rotate through a carousel of short, structured, paired conversations guided by facilitator-set questions, designed expressly to build relationships across lines of faith, race, class and place (Tattersall, 2024). </w:t>
      </w:r>
    </w:p>
    <w:p w:rsidR="00000000" w:rsidDel="00000000" w:rsidP="00000000" w:rsidRDefault="00000000" w:rsidRPr="00000000" w14:paraId="0000000B">
      <w:pPr>
        <w:rPr/>
      </w:pPr>
      <w:r w:rsidDel="00000000" w:rsidR="00000000" w:rsidRPr="00000000">
        <w:rPr>
          <w:rtl w:val="0"/>
        </w:rPr>
      </w:r>
    </w:p>
    <w:p w:rsidR="00000000" w:rsidDel="00000000" w:rsidP="00000000" w:rsidRDefault="00000000" w:rsidRPr="00000000" w14:paraId="0000000C">
      <w:pPr>
        <w:rPr/>
      </w:pPr>
      <w:r w:rsidDel="00000000" w:rsidR="00000000" w:rsidRPr="00000000">
        <w:rPr>
          <w:rtl w:val="0"/>
        </w:rPr>
        <w:t xml:space="preserve">The study argues that BBCO advances the representational dimension of justice on the firmest evidence of the three; the recognitional on theoretically strong but empirically undemonstrated grounds, since no evaluation of weaving trust yet exists; and the redistributive genuinely but boundedly. Its contribution to SDG 16 is limited by whom its institutions reach and by its exposure to absorption by the state. The relationship between the goals proves asymmetric: redistribution eases the conditions for participation, whereas pursuing SDG 16 by relational means can help or hinder SDG 10, depending on whether the pursuit of common ground suppresses the grievance that redistribution requires. The study's contribution is a design principle carrying existing models of contact and collective action into organising practice: weaving trust can reconcile the goals when it holds injustice salient, sustains a dual rather than dissolved identity, and stays coupled to material action, a proposition offered for testing. Using critical interpretive synthesis, the study draws on two frameworks with distinct functions: Fraser's (2008) three dimensions of justice supply the normative architecture and the social identity model of collective action (SIMCA; van Zomeren, Postmes and Spears, 2008) supplies the mobilisation mechanism, specifying what a relational encounter must preserve if it is to feed material action. The study addresses three research questions: how does BBCO advance and limit the participatory, inclusive and redistributive aims of the two goals; how do the two goals interact with one another in the context of organising practice; and how might weaving trust be developed to reconcile and advance them together? </w:t>
      </w:r>
    </w:p>
    <w:p w:rsidR="00000000" w:rsidDel="00000000" w:rsidP="00000000" w:rsidRDefault="00000000" w:rsidRPr="00000000" w14:paraId="0000000D">
      <w:pPr>
        <w:keepNext w:val="0"/>
        <w:keepLines w:val="0"/>
        <w:spacing w:after="0" w:before="100" w:line="300" w:lineRule="auto"/>
        <w:rPr>
          <w:b w:val="1"/>
          <w:bCs w:val="1"/>
        </w:rPr>
      </w:pPr>
      <w:r w:rsidDel="00000000" w:rsidR="00000000" w:rsidRPr="00000000">
        <w:rPr>
          <w:rtl w:val="0"/>
        </w:rPr>
      </w:r>
    </w:p>
    <w:p w:rsidR="00000000" w:rsidDel="00000000" w:rsidP="00000000" w:rsidRDefault="00000000" w:rsidRPr="00000000" w14:paraId="0000000E">
      <w:pPr>
        <w:keepNext w:val="0"/>
        <w:keepLines w:val="0"/>
        <w:spacing w:after="0" w:before="100" w:line="300" w:lineRule="auto"/>
        <w:rPr>
          <w:b w:val="1"/>
          <w:bCs w:val="1"/>
        </w:rPr>
      </w:pPr>
      <w:r w:rsidDel="00000000" w:rsidR="00000000" w:rsidRPr="00000000">
        <w:rPr>
          <w:b w:val="1"/>
          <w:bCs w:val="1"/>
          <w:rtl w:val="0"/>
        </w:rPr>
        <w:t xml:space="preserve">2. Methodology</w:t>
      </w:r>
    </w:p>
    <w:p w:rsidR="00000000" w:rsidDel="00000000" w:rsidP="00000000" w:rsidRDefault="00000000" w:rsidRPr="00000000" w14:paraId="0000000F">
      <w:pPr>
        <w:keepNext w:val="0"/>
        <w:keepLines w:val="0"/>
        <w:spacing w:after="0" w:before="100" w:line="300" w:lineRule="auto"/>
        <w:rPr>
          <w:b w:val="1"/>
          <w:bCs w:val="1"/>
        </w:rPr>
      </w:pPr>
      <w:r w:rsidDel="00000000" w:rsidR="00000000" w:rsidRPr="00000000">
        <w:rPr>
          <w:rtl w:val="0"/>
        </w:rPr>
      </w:r>
    </w:p>
    <w:p w:rsidR="00000000" w:rsidDel="00000000" w:rsidP="00000000" w:rsidRDefault="00000000" w:rsidRPr="00000000" w14:paraId="00000010">
      <w:pPr>
        <w:rPr/>
      </w:pPr>
      <w:r w:rsidDel="00000000" w:rsidR="00000000" w:rsidRPr="00000000">
        <w:rPr>
          <w:rtl w:val="0"/>
        </w:rPr>
        <w:t xml:space="preserve">This is a conceptual enquiry into how BBCO practice interacts with two normative SDGs. Critical interpretive synthesis (CIS) is chosen because it treats qualitative, quantitative and theoretical literature alike as data, builds synthesising arguments across the corpus, and proceeds iteratively (Dixon-Woods et al., 2006; Flemming, 2010; Depraetere et al., 2020). The procedure followed four steps: mapping the British context against the two goals; appraising the literature on how BBCO advances and limits them; synthesising a design principle, the study's synthesising argument; and examining that principle against the sector's own documentation of weaving trust. The study draws exclusively on existing published sources: official statistics, chiefly the Community and Engagement Survey; analyses of UK inequality and low pay; academic literature across the social sciences; grey literature from sector and public bodies; and one practitioner text analysed in depth, the Citizens UK report documenting weaving trust (Tattersall, 2024).</w:t>
      </w:r>
    </w:p>
    <w:p w:rsidR="00000000" w:rsidDel="00000000" w:rsidP="00000000" w:rsidRDefault="00000000" w:rsidRPr="00000000" w14:paraId="00000011">
      <w:pPr>
        <w:rPr/>
      </w:pPr>
      <w:r w:rsidDel="00000000" w:rsidR="00000000" w:rsidRPr="00000000">
        <w:rPr>
          <w:rtl w:val="0"/>
        </w:rPr>
      </w:r>
    </w:p>
    <w:p w:rsidR="00000000" w:rsidDel="00000000" w:rsidP="00000000" w:rsidRDefault="00000000" w:rsidRPr="00000000" w14:paraId="00000012">
      <w:pPr>
        <w:rPr/>
      </w:pPr>
      <w:r w:rsidDel="00000000" w:rsidR="00000000" w:rsidRPr="00000000">
        <w:rPr>
          <w:rtl w:val="0"/>
        </w:rPr>
        <w:t xml:space="preserve">Searching drew on academic literature and official statistics, supplemented by citation chaining. Searches were anchored to named authors and texts, and concepts were deliberately paired with their known critiques to surface disconfirming evidence. Sampling was purposive and theoretical rather than exhaustive, as CIS allows (Dixon-Woods et al., 2006; Depraetere et al., 2020). Systematic Boolean searching was not undertaken, and comprehensiveness is not claimed. Sampling proceeded in two stages. The first was purposive, cross-referencing the two goals' targets with the sector's aims to generate four categories: interpersonal trust, institutional trust, participation and voice, and material inequality. The second was theoretical, seeking sources to develop, test or challenge the emerging analysis. It moved outward from social capital and intergroup contact to the collective-action, dialogue, framing, participation, deliberative and mobilisation literatures, organising scholarship and Living Wage research; then to Fraser's (2008) account of justice, which named the emergent pattern and thereafter structured the analysis; and to an existing integrative model of contact and collective action (Hässler et al., 2021), against which the design principle is positioned.</w:t>
      </w:r>
    </w:p>
    <w:p w:rsidR="00000000" w:rsidDel="00000000" w:rsidP="00000000" w:rsidRDefault="00000000" w:rsidRPr="00000000" w14:paraId="00000013">
      <w:pPr>
        <w:rPr/>
      </w:pPr>
      <w:r w:rsidDel="00000000" w:rsidR="00000000" w:rsidRPr="00000000">
        <w:rPr>
          <w:rtl w:val="0"/>
        </w:rPr>
      </w:r>
    </w:p>
    <w:p w:rsidR="00000000" w:rsidDel="00000000" w:rsidP="00000000" w:rsidRDefault="00000000" w:rsidRPr="00000000" w14:paraId="00000014">
      <w:pPr>
        <w:rPr/>
      </w:pPr>
      <w:r w:rsidDel="00000000" w:rsidR="00000000" w:rsidRPr="00000000">
        <w:rPr>
          <w:rtl w:val="0"/>
        </w:rPr>
        <w:t xml:space="preserve">Sources were appraised for relevance to the developing argument (Dixon-Woods et al., 2006), subject to two calibrations. First, sources were weighted by strength of evidence: experimental and meta-analytic findings carry design claims; survey and longitudinal evidence supports descriptive and associational claims, flagged as such; and qualitative and theoretical work supplies interpretive scaffolding. Where a design claim rests on weaker evidence, this is stated (section 6.8). Second, each source was classified by provenance (official statistic, peer-reviewed, movement-adjacent or normative), so that the weight placed on it tracked its independence. Scholarship by authors closely engaged with the sector was treated as rigorous but not disinterested, and studies co-produced with sector bodies as movement-adjacent even where independently authored.</w:t>
      </w:r>
    </w:p>
    <w:p w:rsidR="00000000" w:rsidDel="00000000" w:rsidP="00000000" w:rsidRDefault="00000000" w:rsidRPr="00000000" w14:paraId="00000015">
      <w:pPr>
        <w:rPr/>
      </w:pPr>
      <w:r w:rsidDel="00000000" w:rsidR="00000000" w:rsidRPr="00000000">
        <w:rPr>
          <w:rtl w:val="0"/>
        </w:rPr>
      </w:r>
    </w:p>
    <w:p w:rsidR="00000000" w:rsidDel="00000000" w:rsidP="00000000" w:rsidRDefault="00000000" w:rsidRPr="00000000" w14:paraId="00000016">
      <w:pPr>
        <w:rPr/>
      </w:pPr>
      <w:r w:rsidDel="00000000" w:rsidR="00000000" w:rsidRPr="00000000">
        <w:rPr>
          <w:rtl w:val="0"/>
        </w:rPr>
        <w:t xml:space="preserve">Nilsson, Griggs and Visbeck's (2016) typology of interactions between goals is applied heuristically, to BBCO's interaction with each goal as well as to the goals' relationship, describing both as contingent on practice rather than fixed. Fraser's (2008) account is chosen because it treats redistribution, recognition and representation as analytically separable, and so exposes a suspected trade-off that a more integrated account would obscure; where the study relies on psychological proxies for recognition, such as reduced prejudice, it treats them as routes toward status parity rather than as recognition in Fraser's strict, institutional sense (Fraser, 2000). SIMCA is adopted because it isolates, in one validated model, the levers the design principle turns on: perceived injustice, politicised identity and group efficacy (van Zomeren, Postmes and Spears, 2008).</w:t>
      </w:r>
    </w:p>
    <w:p w:rsidR="00000000" w:rsidDel="00000000" w:rsidP="00000000" w:rsidRDefault="00000000" w:rsidRPr="00000000" w14:paraId="00000017">
      <w:pPr>
        <w:rPr/>
      </w:pPr>
      <w:r w:rsidDel="00000000" w:rsidR="00000000" w:rsidRPr="00000000">
        <w:rPr>
          <w:rtl w:val="0"/>
        </w:rPr>
      </w:r>
    </w:p>
    <w:p w:rsidR="00000000" w:rsidDel="00000000" w:rsidP="00000000" w:rsidRDefault="00000000" w:rsidRPr="00000000" w14:paraId="00000018">
      <w:pPr>
        <w:rPr/>
      </w:pPr>
      <w:r w:rsidDel="00000000" w:rsidR="00000000" w:rsidRPr="00000000">
        <w:rPr>
          <w:rtl w:val="0"/>
        </w:rPr>
        <w:t xml:space="preserve">The study generates no data from human participants and falls within the low-risk category of desk-based work-based research (Costley, Elliott and Gibbs, 2010). Its central reflexive and ethical issue is the author's position as a community organiser employed within the sector under study. This is at once an enabling resource, bringing practitioner familiarity to the interpretation of the practice and its documentation, and a conflict of interest, carrying risks of confirmation bias and the politics of self-evaluation (Brannick and Coghlan, 2007; Mercer, 2007). The provenance calibration serves as a reflexive check, so that load-bearing claims rest on independent sources; sector-produced material is triangulated against arm's-length scholarship; and claims both favourable and unfavourable to the sector were stress-tested against critique, with searching ceasing when this returned no further corrections. This was based on practicality rather than saturation. The study also theorises the interests of disadvantaged groups without their participation, and so advances those claims provisionally, as a reading of the published evidence rather than a proxy for those groups' own voice.</w:t>
      </w:r>
    </w:p>
    <w:p w:rsidR="00000000" w:rsidDel="00000000" w:rsidP="00000000" w:rsidRDefault="00000000" w:rsidRPr="00000000" w14:paraId="00000019">
      <w:pPr>
        <w:rPr/>
      </w:pPr>
      <w:r w:rsidDel="00000000" w:rsidR="00000000" w:rsidRPr="00000000">
        <w:rPr>
          <w:rtl w:val="0"/>
        </w:rPr>
      </w:r>
    </w:p>
    <w:p w:rsidR="00000000" w:rsidDel="00000000" w:rsidP="00000000" w:rsidRDefault="00000000" w:rsidRPr="00000000" w14:paraId="0000001A">
      <w:pPr>
        <w:rPr/>
      </w:pPr>
      <w:r w:rsidDel="00000000" w:rsidR="00000000" w:rsidRPr="00000000">
        <w:rPr>
          <w:rtl w:val="0"/>
        </w:rPr>
        <w:t xml:space="preserve">Its limitations follow from the design. Because the search was not systematic, accessibility bias cannot be excluded; screening was conducted by a single researcher; and published statistics are synthesised rather than the underlying datasets interrogated. The only direct evidence on weaving trust is a single sector-produced report, whose cases are illustrative rather than evaluative. Furthermore, much of the participation and dialogue evidence is American, so the study relies on its transferability to the UK context.</w:t>
      </w:r>
    </w:p>
    <w:p w:rsidR="00000000" w:rsidDel="00000000" w:rsidP="00000000" w:rsidRDefault="00000000" w:rsidRPr="00000000" w14:paraId="0000001B">
      <w:pPr>
        <w:keepNext w:val="0"/>
        <w:keepLines w:val="0"/>
        <w:spacing w:after="0" w:before="100" w:line="300" w:lineRule="auto"/>
        <w:rPr>
          <w:b w:val="1"/>
          <w:bCs w:val="1"/>
        </w:rPr>
      </w:pPr>
      <w:r w:rsidDel="00000000" w:rsidR="00000000" w:rsidRPr="00000000">
        <w:rPr>
          <w:rtl w:val="0"/>
        </w:rPr>
      </w:r>
    </w:p>
    <w:p w:rsidR="00000000" w:rsidDel="00000000" w:rsidP="00000000" w:rsidRDefault="00000000" w:rsidRPr="00000000" w14:paraId="0000001C">
      <w:pPr>
        <w:keepNext w:val="0"/>
        <w:keepLines w:val="0"/>
        <w:spacing w:after="0" w:before="100" w:line="300" w:lineRule="auto"/>
        <w:rPr>
          <w:b w:val="1"/>
          <w:bCs w:val="1"/>
        </w:rPr>
      </w:pPr>
      <w:r w:rsidDel="00000000" w:rsidR="00000000" w:rsidRPr="00000000">
        <w:rPr>
          <w:b w:val="1"/>
          <w:bCs w:val="1"/>
          <w:rtl w:val="0"/>
        </w:rPr>
        <w:t xml:space="preserve">3. The empirical problem</w:t>
      </w:r>
    </w:p>
    <w:p w:rsidR="00000000" w:rsidDel="00000000" w:rsidP="00000000" w:rsidRDefault="00000000" w:rsidRPr="00000000" w14:paraId="0000001D">
      <w:pPr>
        <w:spacing w:after="240" w:before="240" w:lineRule="auto"/>
        <w:rPr/>
      </w:pPr>
      <w:r w:rsidDel="00000000" w:rsidR="00000000" w:rsidRPr="00000000">
        <w:rPr>
          <w:rtl w:val="0"/>
        </w:rPr>
        <w:t xml:space="preserve">In October 2025 the Community and Engagement Survey (CES) replaced both the Community Life Survey, which ended in March 2025, and the Participation Survey, which ended in September 2025. The figures below are drawn from the CES's first statistical release, covering England between October 2025 and March 2026 (DCMS and MHCLG, 2026a, 2026b, 2026c). Because the instrument, mode and sample changed at that point, comparisons across the transition are treated here as indicative. Sources also differ in geography: the survey evidence is for England, the cohesion research for Britain.</w:t>
      </w:r>
    </w:p>
    <w:p w:rsidR="00000000" w:rsidDel="00000000" w:rsidP="00000000" w:rsidRDefault="00000000" w:rsidRPr="00000000" w14:paraId="0000001E">
      <w:pPr>
        <w:spacing w:after="240" w:before="240" w:lineRule="auto"/>
        <w:rPr/>
      </w:pPr>
      <w:r w:rsidDel="00000000" w:rsidR="00000000" w:rsidRPr="00000000">
        <w:rPr>
          <w:rtl w:val="0"/>
        </w:rPr>
        <w:t xml:space="preserve">In 2025/26, 26% of people in England agreed that they could personally influence decisions affecting their local area, up from 24% the previous year, and 46% had engaged in some form of civic activity, up from 41% (DCMS and MHCLG, 2026a, 2026b). Relational and associational resources are stratified by deprivation. In the most deprived decile of areas, 17% reported that many people in their neighbourhood could be trusted, against 58% in the least deprived; 48% agreed that people pull together to improve the neighbourhood, against 73% (DCMS and MHCLG, 2026c). Civic engagement runs in the same direction on a shallower gradient, at 41% against 49% (DCMS and MHCLG, 2026a). A class gradient runs alongside, with neighbourhood trust at 43% among higher managerial and professional respondents against 28% among routine and manual, and civic engagement at 55% against 39% (DCMS and MHCLG, 2026a, 2026c).</w:t>
      </w:r>
    </w:p>
    <w:p w:rsidR="00000000" w:rsidDel="00000000" w:rsidP="00000000" w:rsidRDefault="00000000" w:rsidRPr="00000000" w14:paraId="0000001F">
      <w:pPr>
        <w:spacing w:after="240" w:before="240" w:lineRule="auto"/>
        <w:rPr/>
      </w:pPr>
      <w:r w:rsidDel="00000000" w:rsidR="00000000" w:rsidRPr="00000000">
        <w:rPr>
          <w:rtl w:val="0"/>
        </w:rPr>
        <w:t xml:space="preserve">In the most deprived decile, 51% regarded being able to influence local decisions as important, against 64% in the least deprived, and 51% of routine and manual respondents against 65% of higher managerial and professional (DCMS and MHCLG, 2026b). This can be read to show that where civic resource is most scarce, influence is least valued, which would be consistent with what Lukes (2005) identifies as power's third dimension, exclusion operating by shaping what the excluded come to want. The material dimension underwrites the pattern. Summary measures of UK income and wealth inequality moved little for years while their composition altered considerably, with changes at the top of the income distribution masked by a stable Gini coefficient (Bourquin, Brewer and Wernham, 2024). Economic inequality is argued to depress generalised trust (Uslaner, 2002; Rothstein and Uslaner, 2005). In Britain, low neighbourhood status undermines all dimensions of social capital while the eroding effect of diversity is limited and largely attitudinal (Letki, 2008), and in a more recent national analysis the negative associations between diversity and cohesion largely disappear once neighbourhood deprivation is taken into account (Chan and Kawalerowicz, 2024). In Fraser's (2008) terms this is a failure of participatory parity: unequal material standing converted into unequal capacity to participate as a peer.</w:t>
      </w:r>
    </w:p>
    <w:p w:rsidR="00000000" w:rsidDel="00000000" w:rsidP="00000000" w:rsidRDefault="00000000" w:rsidRPr="00000000" w14:paraId="00000020">
      <w:pPr>
        <w:spacing w:after="240" w:before="240" w:lineRule="auto"/>
        <w:rPr>
          <w:b w:val="1"/>
          <w:bCs w:val="1"/>
        </w:rPr>
      </w:pPr>
      <w:r w:rsidDel="00000000" w:rsidR="00000000" w:rsidRPr="00000000">
        <w:rPr>
          <w:rtl w:val="0"/>
        </w:rPr>
        <w:t xml:space="preserve">The survey data indicates that people in the most deprived areas are less likely to report the trust and collective efficacy on which local influence depends; section 4 argues that BBCO's institutional model is built to supply them. Those resources, though, are thinnest exactly where deprivation is worst, which limits how far the sector can reach; this is taken up in section 5. What the survey cannot settle is whether grievance is present but unexpressed or absent altogether, since its measures concern procedural influence rather than material injustice. Section 6 therefore treats the eliciting of grievance as a question of encounter design rather than as an inference from its prior distribution.</w:t>
      </w:r>
      <w:r w:rsidDel="00000000" w:rsidR="00000000" w:rsidRPr="00000000">
        <w:rPr>
          <w:rtl w:val="0"/>
        </w:rPr>
      </w:r>
    </w:p>
    <w:p w:rsidR="00000000" w:rsidDel="00000000" w:rsidP="00000000" w:rsidRDefault="00000000" w:rsidRPr="00000000" w14:paraId="00000021">
      <w:pPr>
        <w:keepNext w:val="0"/>
        <w:keepLines w:val="0"/>
        <w:spacing w:after="0" w:before="100" w:line="300" w:lineRule="auto"/>
        <w:rPr>
          <w:b w:val="1"/>
          <w:bCs w:val="1"/>
        </w:rPr>
      </w:pPr>
      <w:r w:rsidDel="00000000" w:rsidR="00000000" w:rsidRPr="00000000">
        <w:rPr>
          <w:b w:val="1"/>
          <w:bCs w:val="1"/>
          <w:rtl w:val="0"/>
        </w:rPr>
        <w:t xml:space="preserve">4. How broad-based community organising advances the aims of SDG 16 and SDG 10</w:t>
      </w:r>
    </w:p>
    <w:p w:rsidR="00000000" w:rsidDel="00000000" w:rsidP="00000000" w:rsidRDefault="00000000" w:rsidRPr="00000000" w14:paraId="00000022">
      <w:pPr>
        <w:rPr/>
      </w:pPr>
      <w:r w:rsidDel="00000000" w:rsidR="00000000" w:rsidRPr="00000000">
        <w:rPr>
          <w:rtl w:val="0"/>
        </w:rPr>
      </w:r>
    </w:p>
    <w:p w:rsidR="00000000" w:rsidDel="00000000" w:rsidP="00000000" w:rsidRDefault="00000000" w:rsidRPr="00000000" w14:paraId="00000023">
      <w:pPr>
        <w:rPr/>
      </w:pPr>
      <w:r w:rsidDel="00000000" w:rsidR="00000000" w:rsidRPr="00000000">
        <w:rPr>
          <w:rtl w:val="0"/>
        </w:rPr>
        <w:t xml:space="preserve">This section and the next argue that BBCO advances the two goals unevenly. In Fraser's (2008) terms, it advances representation on the firmest evidence of the three, though that evidence is largely American; recognition on grounds that are theoretically strong but, for weaving trust, inferred rather than observed; and redistribution genuinely but boundedly.</w:t>
      </w:r>
    </w:p>
    <w:p w:rsidR="00000000" w:rsidDel="00000000" w:rsidP="00000000" w:rsidRDefault="00000000" w:rsidRPr="00000000" w14:paraId="00000024">
      <w:pPr>
        <w:rPr/>
      </w:pPr>
      <w:r w:rsidDel="00000000" w:rsidR="00000000" w:rsidRPr="00000000">
        <w:rPr>
          <w:rtl w:val="0"/>
        </w:rPr>
      </w:r>
    </w:p>
    <w:p w:rsidR="00000000" w:rsidDel="00000000" w:rsidP="00000000" w:rsidRDefault="00000000" w:rsidRPr="00000000" w14:paraId="00000025">
      <w:pPr>
        <w:rPr/>
      </w:pPr>
      <w:r w:rsidDel="00000000" w:rsidR="00000000" w:rsidRPr="00000000">
        <w:rPr>
          <w:rtl w:val="0"/>
        </w:rPr>
        <w:t xml:space="preserve">On representation, BBCO answers the voice deficit set out in the previous section by design. Because its members are institutions, it reaches people through the congregations, schools and unions to which they already belong: the non-political settings in which civic skills are largely acquired, with congregations distributing them unusually evenly across class (Verba, Schlozman and Brady, 1995). Independent longitudinal evidence indicates that organising converts such resources into voice: compared with neighbours active in other voluntary groups, participants in grassroots organising across five US cities gained in psychological empowerment and civic engagement over time (Speer, Christens and Peterson, 2021; Christens, Peterson and Speer, 2011).</w:t>
      </w:r>
    </w:p>
    <w:p w:rsidR="00000000" w:rsidDel="00000000" w:rsidP="00000000" w:rsidRDefault="00000000" w:rsidRPr="00000000" w14:paraId="00000026">
      <w:pPr>
        <w:rPr/>
      </w:pPr>
      <w:r w:rsidDel="00000000" w:rsidR="00000000" w:rsidRPr="00000000">
        <w:rPr>
          <w:rtl w:val="0"/>
        </w:rPr>
      </w:r>
    </w:p>
    <w:p w:rsidR="00000000" w:rsidDel="00000000" w:rsidP="00000000" w:rsidRDefault="00000000" w:rsidRPr="00000000" w14:paraId="00000027">
      <w:pPr>
        <w:rPr/>
      </w:pPr>
      <w:r w:rsidDel="00000000" w:rsidR="00000000" w:rsidRPr="00000000">
        <w:rPr>
          <w:rtl w:val="0"/>
        </w:rPr>
        <w:t xml:space="preserve">The accountability assembly carries this capacity vertically, engaging targets 16.6 and 16.7 most directly. It converts listening into specific public asks, secures commitments from decision-makers before an organised constituency, and holds them to account afterwards (Warren, 2001; Wills, 2012). London Citizens' 2016 mayoral assembly illustrates the form: a year-long listening process across more than 220 member institutions produced a manifesto to which the leading candidates responded publicly, followed by meetings with the elected mayor to monitor delivery (Local Government Association, 2016).</w:t>
      </w:r>
    </w:p>
    <w:p w:rsidR="00000000" w:rsidDel="00000000" w:rsidP="00000000" w:rsidRDefault="00000000" w:rsidRPr="00000000" w14:paraId="00000028">
      <w:pPr>
        <w:rPr/>
      </w:pPr>
      <w:r w:rsidDel="00000000" w:rsidR="00000000" w:rsidRPr="00000000">
        <w:rPr>
          <w:rtl w:val="0"/>
        </w:rPr>
      </w:r>
    </w:p>
    <w:p w:rsidR="00000000" w:rsidDel="00000000" w:rsidP="00000000" w:rsidRDefault="00000000" w:rsidRPr="00000000" w14:paraId="00000029">
      <w:pPr>
        <w:rPr/>
      </w:pPr>
      <w:r w:rsidDel="00000000" w:rsidR="00000000" w:rsidRPr="00000000">
        <w:rPr>
          <w:rtl w:val="0"/>
        </w:rPr>
        <w:t xml:space="preserve">On recognition, the case rests on intergroup contact theory. In the author's reading, weaving trust is engineered contact approximating Allport's (1954) optimal conditions: the paired format confers equal status within the encounter, which is how Allport framed the condition; the alliance's civic purpose supplies a common goal; the relational design makes the exchange cooperative; and member institutions lend institutional support. Its reliance on personal story engages the two mediators that carry most of the meta-analytic effect, reduced intergroup anxiety and increased empathy (Pettigrew and Tropp, 2006, 2008), and intergroup dialogue, its closest academic analogue, reports convergent effects (Gurin, Nagda and Zúñiga, 2013). The mapping is analogical, however: no evaluation yet shows weaving trust producing these effects. Contact works best when sustained enou</w:t>
      </w:r>
      <w:r w:rsidDel="00000000" w:rsidR="00000000" w:rsidRPr="00000000">
        <w:rPr>
          <w:rtl w:val="0"/>
        </w:rPr>
        <w:t xml:space="preserve">gh to carry friendship potential (Pettigrew, 1998), which a single carousel only partly supplies. The wider evidence is mixed: randomised field experiments support a causal effect of structured cooperative contact (Corno, La Ferrara and Burns, 2022; Lowe, 2021; Mousa, 2020), though Mousa finds behavioural gains largely confined to the setting of the intervention itself, and a recent re-analysis finds that the longitudinal evidence for a causal effect depends heavily on the method used (Friehs et al., 2026). Finally, reduced prejudice is not recognition in Fraser's (2000) strict sense, which concerns institutionalised pat</w:t>
      </w:r>
      <w:r w:rsidDel="00000000" w:rsidR="00000000" w:rsidRPr="00000000">
        <w:rPr>
          <w:rtl w:val="0"/>
        </w:rPr>
        <w:t xml:space="preserve">terns of cultural value rather than individual attitudes; it is a step toward status parity at the level of individual attitudes, valuable insofar as the relationships it forms feed institutional action.</w:t>
      </w:r>
    </w:p>
    <w:p w:rsidR="00000000" w:rsidDel="00000000" w:rsidP="00000000" w:rsidRDefault="00000000" w:rsidRPr="00000000" w14:paraId="0000002A">
      <w:pPr>
        <w:rPr/>
      </w:pPr>
      <w:r w:rsidDel="00000000" w:rsidR="00000000" w:rsidRPr="00000000">
        <w:rPr>
          <w:rtl w:val="0"/>
        </w:rPr>
      </w:r>
    </w:p>
    <w:p w:rsidR="00000000" w:rsidDel="00000000" w:rsidP="00000000" w:rsidRDefault="00000000" w:rsidRPr="00000000" w14:paraId="0000002B">
      <w:pPr>
        <w:rPr/>
      </w:pPr>
      <w:r w:rsidDel="00000000" w:rsidR="00000000" w:rsidRPr="00000000">
        <w:rPr>
          <w:rtl w:val="0"/>
        </w:rPr>
        <w:t xml:space="preserve">The strongest objection to this case is that ethnic diversity depresses social trust (Putnam, 2007), making a diverse alliance's task progressively harder. It is substantially qualified on the British evidence. Meta-analysis finds a negative association that is consistent but modest, strongest for trust in neighbours (Dinesen, Schaeffer and Sønderskov, 2020); in Britain, the deprivation with which diversity is confounded accounts for much of the apparent effect (Letki, 2008; Chan and Kawalerowicz, 2024); and where diversity does depress trust, segregation is the operative mechanism, so that diverse but integrated communities show no penalty (Laurence, 2017). Engineered contact addresses the segregation pathway but not deprivation, the more powerful of the two, and so answers only part of the deficit identified in section 3.</w:t>
      </w:r>
    </w:p>
    <w:p w:rsidR="00000000" w:rsidDel="00000000" w:rsidP="00000000" w:rsidRDefault="00000000" w:rsidRPr="00000000" w14:paraId="0000002C">
      <w:pPr>
        <w:rPr/>
      </w:pPr>
      <w:r w:rsidDel="00000000" w:rsidR="00000000" w:rsidRPr="00000000">
        <w:rPr>
          <w:rtl w:val="0"/>
        </w:rPr>
      </w:r>
    </w:p>
    <w:p w:rsidR="00000000" w:rsidDel="00000000" w:rsidP="00000000" w:rsidRDefault="00000000" w:rsidRPr="00000000" w14:paraId="0000002D">
      <w:pPr>
        <w:rPr/>
      </w:pPr>
      <w:r w:rsidDel="00000000" w:rsidR="00000000" w:rsidRPr="00000000">
        <w:rPr>
          <w:rtl w:val="0"/>
        </w:rPr>
        <w:t xml:space="preserve">On the redistributive terrain of SDG 10, the case is real but bounded. The real Living Wage originated in a Citizens UK listening process and, since 2011, has been accredited through the Living Wage Foundation to employers paying an independently calculated rate above the statutory minimum (Wills, 2012; Wills and Linneker, 2014). The Foundation reports over £4 billion in cumulative additional pay and around 16,000 accredited employers, figures that indicate scale but are not independently measured (Living Wage Foundation, 2026). Research indicates the direction of effect, positive for the low-paid and modestly positive for employers, through 'civil regulation': a voluntary standard, set by civil society, that employers choose to adopt (Heery, Hann and Nash, 2017, 2020). Much of that evidence, however, derives from a survey of accredited employers conducted with the Foundation (Heery, Nash and Hann, 2017), so the effects on workers are largely employer-reported, from a self-selected population.</w:t>
      </w:r>
    </w:p>
    <w:p w:rsidR="00000000" w:rsidDel="00000000" w:rsidP="00000000" w:rsidRDefault="00000000" w:rsidRPr="00000000" w14:paraId="0000002E">
      <w:pPr>
        <w:rPr/>
      </w:pPr>
      <w:r w:rsidDel="00000000" w:rsidR="00000000" w:rsidRPr="00000000">
        <w:rPr>
          <w:rtl w:val="0"/>
        </w:rPr>
      </w:r>
    </w:p>
    <w:p w:rsidR="00000000" w:rsidDel="00000000" w:rsidP="00000000" w:rsidRDefault="00000000" w:rsidRPr="00000000" w14:paraId="0000002F">
      <w:pPr>
        <w:rPr/>
      </w:pPr>
      <w:r w:rsidDel="00000000" w:rsidR="00000000" w:rsidRPr="00000000">
        <w:rPr>
          <w:rtl w:val="0"/>
        </w:rPr>
        <w:t xml:space="preserve">In the terms of Nilsson, Griggs and Visbeck (2016), BBCO's interaction with SDG 16 is therefore reinforcing, chiefly through the associational resources its institutions supply and the commitments its assemblies secure, though its recognitional contribution through weaving trust is undemonstrated. Its interaction with SDG 10 is positive in direction but bounded in reach.</w:t>
      </w:r>
    </w:p>
    <w:p w:rsidR="00000000" w:rsidDel="00000000" w:rsidP="00000000" w:rsidRDefault="00000000" w:rsidRPr="00000000" w14:paraId="00000030">
      <w:pPr>
        <w:rPr/>
      </w:pPr>
      <w:r w:rsidDel="00000000" w:rsidR="00000000" w:rsidRPr="00000000">
        <w:rPr>
          <w:rtl w:val="0"/>
        </w:rPr>
      </w:r>
    </w:p>
    <w:p w:rsidR="00000000" w:rsidDel="00000000" w:rsidP="00000000" w:rsidRDefault="00000000" w:rsidRPr="00000000" w14:paraId="00000031">
      <w:pPr>
        <w:keepNext w:val="0"/>
        <w:keepLines w:val="0"/>
        <w:spacing w:after="0" w:before="100" w:line="300" w:lineRule="auto"/>
        <w:rPr>
          <w:b w:val="1"/>
          <w:bCs w:val="1"/>
        </w:rPr>
      </w:pPr>
      <w:r w:rsidDel="00000000" w:rsidR="00000000" w:rsidRPr="00000000">
        <w:rPr>
          <w:b w:val="1"/>
          <w:bCs w:val="1"/>
          <w:rtl w:val="0"/>
        </w:rPr>
        <w:t xml:space="preserve">5. How broad-based community organising limits the aims of SDG 16 and SDG 10</w:t>
      </w:r>
    </w:p>
    <w:p w:rsidR="00000000" w:rsidDel="00000000" w:rsidP="00000000" w:rsidRDefault="00000000" w:rsidRPr="00000000" w14:paraId="00000032">
      <w:pPr>
        <w:rPr/>
      </w:pPr>
      <w:r w:rsidDel="00000000" w:rsidR="00000000" w:rsidRPr="00000000">
        <w:rPr>
          <w:rtl w:val="0"/>
        </w:rPr>
      </w:r>
    </w:p>
    <w:p w:rsidR="00000000" w:rsidDel="00000000" w:rsidP="00000000" w:rsidRDefault="00000000" w:rsidRPr="00000000" w14:paraId="00000033">
      <w:pPr>
        <w:rPr/>
      </w:pPr>
      <w:r w:rsidDel="00000000" w:rsidR="00000000" w:rsidRPr="00000000">
        <w:rPr>
          <w:rtl w:val="0"/>
        </w:rPr>
        <w:t xml:space="preserve">BBCO's contribution to SDG 16 is bounded by whom its institutions reach and by its exposure to absorption. Its material redistribution is structurally bounded: genuine, but concessionary rather than transformative. And the relational mechanism that secures its SDG 16 goods could, under identifiable conditions, suppress the mobilisation SDG 10 requires.</w:t>
      </w:r>
    </w:p>
    <w:p w:rsidR="00000000" w:rsidDel="00000000" w:rsidP="00000000" w:rsidRDefault="00000000" w:rsidRPr="00000000" w14:paraId="00000034">
      <w:pPr>
        <w:rPr/>
      </w:pPr>
      <w:r w:rsidDel="00000000" w:rsidR="00000000" w:rsidRPr="00000000">
        <w:rPr>
          <w:rtl w:val="0"/>
        </w:rPr>
      </w:r>
    </w:p>
    <w:p w:rsidR="00000000" w:rsidDel="00000000" w:rsidP="00000000" w:rsidRDefault="00000000" w:rsidRPr="00000000" w14:paraId="00000035">
      <w:pPr>
        <w:rPr/>
      </w:pPr>
      <w:r w:rsidDel="00000000" w:rsidR="00000000" w:rsidRPr="00000000">
        <w:rPr>
          <w:rtl w:val="0"/>
        </w:rPr>
        <w:t xml:space="preserve">The institutional model that supplies associational resources also rations them. People with no institutional attachment fall outside that reach, and section 3 located those resources where deprivation is least: 48% of respondents in the most deprived decile agreed that people in their neighbourhood pull together to improve it, against 73% in the least (DCMS and MHCLG, 2026c). Composition shapes voice within the alliance, too: its predominantly faith-based membership has made some unions wary of engaging (Holgate, 2015). The other limit on SDG 16 is absorption. Organising's methods have before been taken up, stripped of their adversarial edge, into gentler governmental agendas such as the Big Society (Bunyan, 2013). BBCO's interaction with SDG 16 therefore remains reinforcing, but conditionally: on reaching beyond existing members, and on preserving the tension of the accountability relationship.</w:t>
      </w:r>
    </w:p>
    <w:p w:rsidR="00000000" w:rsidDel="00000000" w:rsidP="00000000" w:rsidRDefault="00000000" w:rsidRPr="00000000" w14:paraId="00000036">
      <w:pPr>
        <w:rPr/>
      </w:pPr>
      <w:r w:rsidDel="00000000" w:rsidR="00000000" w:rsidRPr="00000000">
        <w:rPr>
          <w:rtl w:val="0"/>
        </w:rPr>
      </w:r>
    </w:p>
    <w:p w:rsidR="00000000" w:rsidDel="00000000" w:rsidP="00000000" w:rsidRDefault="00000000" w:rsidRPr="00000000" w14:paraId="00000037">
      <w:pPr>
        <w:rPr/>
      </w:pPr>
      <w:r w:rsidDel="00000000" w:rsidR="00000000" w:rsidRPr="00000000">
        <w:rPr>
          <w:rtl w:val="0"/>
        </w:rPr>
        <w:t xml:space="preserve">The redistributive bound is, first, one of reach. As voluntary civil regulation, the real Living Wage binds only employers who choose to accredit, leaving several million workers below it (Heery, Hann and Nash, 2020). The statutory National Living Wage, announced in the July 2015 Budget and introduced in April 2016, can be read in part as a governmental response to the campaign, though it also served wider fiscal and political ends. It borrowed the campaign's language while being set by reference to a target share of median earnings rather than to living costs, and was announced in a Budget that also set out substantial reductions in working-age benefits (House of Commons Library, 2015). Experimental evidence indicates that the two labels carry different expectations for the public (Schaitberger, 2025). The frame travelled further than its content, itself an instance of absorption. Second, an hourly floor is a blunt instrument against in-work poverty, which turns on household hours, composition, housing costs and benefits; only around a fifth of minimum-wage workers live in poor households (Joyce and Waters, 2019).</w:t>
      </w:r>
    </w:p>
    <w:p w:rsidR="00000000" w:rsidDel="00000000" w:rsidP="00000000" w:rsidRDefault="00000000" w:rsidRPr="00000000" w14:paraId="00000038">
      <w:pPr>
        <w:rPr/>
      </w:pPr>
      <w:r w:rsidDel="00000000" w:rsidR="00000000" w:rsidRPr="00000000">
        <w:rPr>
          <w:rtl w:val="0"/>
        </w:rPr>
      </w:r>
    </w:p>
    <w:p w:rsidR="00000000" w:rsidDel="00000000" w:rsidP="00000000" w:rsidRDefault="00000000" w:rsidRPr="00000000" w14:paraId="00000039">
      <w:pPr>
        <w:rPr/>
      </w:pPr>
      <w:r w:rsidDel="00000000" w:rsidR="00000000" w:rsidRPr="00000000">
        <w:rPr>
          <w:rtl w:val="0"/>
        </w:rPr>
        <w:t xml:space="preserve">The Alinsky tradition's injunction to pursue concrete, immediate and winnable issues brackets systemic critique in favour of concessions from existing decision-makers (Alinsky, 1971; Chambers, 2003). Critics of local organising locate the limit in geography, arguing that neighbourhood campaigns cannot reach the forces that produce inequality (DeFilippis, Fisher and Shragge, 2010). That does not fully explain the UK case, since Citizens UK is a national federation of local alliances rather than a single-neighbourhood organisation (Bretherton, 2015; Wills, 2012): the constraint is strategic as much as spatial. A federated national structure does not by itself reach the forces DeFilippis, Fisher and Shragge have in view, however, their objection is qualified. McAlevey (2016) locates it in the kind of power built: relational and civic rather than the structural power, epitomised by the withdrawal of labour, that historically compelled redistribution. Yet in London the Living Wage campaign combined community pressure with the union organising of contract cleaners (Wills, 2008), amid real tension between the two logics (Holgate, 2009): BBCO can ally with structural power even if it does not generate it. The ceiling remains, but it is a knowing trade-off, since the non-ideological, single-issue register critics deplore is the condition of holding together institutions of divergent values (Warren, 2001).</w:t>
      </w:r>
    </w:p>
    <w:p w:rsidR="00000000" w:rsidDel="00000000" w:rsidP="00000000" w:rsidRDefault="00000000" w:rsidRPr="00000000" w14:paraId="0000003A">
      <w:pPr>
        <w:rPr/>
      </w:pPr>
      <w:r w:rsidDel="00000000" w:rsidR="00000000" w:rsidRPr="00000000">
        <w:rPr>
          <w:rtl w:val="0"/>
        </w:rPr>
      </w:r>
    </w:p>
    <w:p w:rsidR="00000000" w:rsidDel="00000000" w:rsidP="00000000" w:rsidRDefault="00000000" w:rsidRPr="00000000" w14:paraId="0000003B">
      <w:pPr>
        <w:rPr/>
      </w:pPr>
      <w:r w:rsidDel="00000000" w:rsidR="00000000" w:rsidRPr="00000000">
        <w:rPr>
          <w:rtl w:val="0"/>
        </w:rPr>
        <w:t xml:space="preserve">The third limit is best stated through the social identity model of collective action (SIMCA), in which collective action is driven by perceived injustice, group efficacy and a politicised social identity (van Zomeren, Postmes and Spears, 2008). The hypothesis is that commonality-focused contact could depress all three, lowering perceived injustice, dissolving a politicised subgroup identity into a warm superordinate one, and so weakening the efficacy that rests on it. Supporting evidence exists: positive contact has been found to reduce disadvantaged-group members' perception of injustice and willingness to act (Saguy et al., 2009; Cakal et al., 2011), and a common in-group identity can undermine their collective action where a dual identity preserves it (Glasford and Dovidio, 2011; Ufkes et al., 2016).</w:t>
      </w:r>
    </w:p>
    <w:p w:rsidR="00000000" w:rsidDel="00000000" w:rsidP="00000000" w:rsidRDefault="00000000" w:rsidRPr="00000000" w14:paraId="0000003C">
      <w:pPr>
        <w:rPr/>
      </w:pPr>
      <w:r w:rsidDel="00000000" w:rsidR="00000000" w:rsidRPr="00000000">
        <w:rPr>
          <w:rtl w:val="0"/>
        </w:rPr>
      </w:r>
    </w:p>
    <w:p w:rsidR="00000000" w:rsidDel="00000000" w:rsidP="00000000" w:rsidRDefault="00000000" w:rsidRPr="00000000" w14:paraId="0000003D">
      <w:pPr>
        <w:rPr/>
      </w:pPr>
      <w:r w:rsidDel="00000000" w:rsidR="00000000" w:rsidRPr="00000000">
        <w:rPr>
          <w:rtl w:val="0"/>
        </w:rPr>
        <w:t xml:space="preserve">A preregistered meta-analysis finds the associations small, positive in a quarter to a third of studies, and absent for positive contact once negative contact is controlled (Reimer and Sengupta, 2023). A 69-country study finds contact associated with support for social change positively among advantaged groups and negatively among disadvantaged ones, but cross-sectionally, with results varying by measurement, and with willingness to work in solidarity rising with contact in both groups (Hässler et al., 2020). The effect is best read as content-dependent: commonality-focused contact dampens mobilisation, while contact that keeps group-based injustice salient drives it (Becker et al., 2013; Cocco et al., 2024).</w:t>
      </w:r>
    </w:p>
    <w:p w:rsidR="00000000" w:rsidDel="00000000" w:rsidP="00000000" w:rsidRDefault="00000000" w:rsidRPr="00000000" w14:paraId="0000003E">
      <w:pPr>
        <w:rPr/>
      </w:pPr>
      <w:r w:rsidDel="00000000" w:rsidR="00000000" w:rsidRPr="00000000">
        <w:rPr>
          <w:rtl w:val="0"/>
        </w:rPr>
      </w:r>
    </w:p>
    <w:p w:rsidR="00000000" w:rsidDel="00000000" w:rsidP="00000000" w:rsidRDefault="00000000" w:rsidRPr="00000000" w14:paraId="0000003F">
      <w:pPr>
        <w:rPr/>
      </w:pPr>
      <w:r w:rsidDel="00000000" w:rsidR="00000000" w:rsidRPr="00000000">
        <w:rPr>
          <w:rtl w:val="0"/>
        </w:rPr>
        <w:t xml:space="preserve">The sedative risk is therefore not intrinsic. It arises where practice tilts toward commonality, and section 6.1 shows that the documented practice does tilt. Since reduced prejudice is only a proxy for recognition (section 4), this is not recognition displacing redistribution in Fraser's strict sense but an analogue of what she terms displacement (Fraser, 2000): harmony crowding out the grievance on which redistributive mobilisation depends. In Nilsson, Griggs and Visbeck's (2016) terms, there are two failure modes. Harmony-oriented practice can be counteracting, advancing cohesion while dampening mobilisation; practice uncoupled from material campaigning is constraining, forgoing mobilisation without suppressing it. The two tend to arrive together, since the affirmation-led default is likeliest where no material aim anchors the questions. The relationship between the goals thus slides toward the counteracting pole only under a particular, and correctable, configuration of practice.</w:t>
      </w:r>
    </w:p>
    <w:p w:rsidR="00000000" w:rsidDel="00000000" w:rsidP="00000000" w:rsidRDefault="00000000" w:rsidRPr="00000000" w14:paraId="00000040">
      <w:pPr>
        <w:keepNext w:val="0"/>
        <w:keepLines w:val="0"/>
        <w:spacing w:after="0" w:before="100" w:line="300" w:lineRule="auto"/>
        <w:rPr/>
      </w:pPr>
      <w:r w:rsidDel="00000000" w:rsidR="00000000" w:rsidRPr="00000000">
        <w:rPr>
          <w:rtl w:val="0"/>
        </w:rPr>
      </w:r>
    </w:p>
    <w:p w:rsidR="00000000" w:rsidDel="00000000" w:rsidP="00000000" w:rsidRDefault="00000000" w:rsidRPr="00000000" w14:paraId="00000041">
      <w:pPr>
        <w:keepNext w:val="0"/>
        <w:keepLines w:val="0"/>
        <w:spacing w:after="0" w:before="100" w:line="300" w:lineRule="auto"/>
        <w:rPr>
          <w:b w:val="1"/>
          <w:bCs w:val="1"/>
        </w:rPr>
      </w:pPr>
      <w:r w:rsidDel="00000000" w:rsidR="00000000" w:rsidRPr="00000000">
        <w:rPr>
          <w:b w:val="1"/>
          <w:bCs w:val="1"/>
          <w:rtl w:val="0"/>
        </w:rPr>
        <w:t xml:space="preserve">6. Weaving trust: reconciling SDG 16 and SDG 10</w:t>
      </w:r>
    </w:p>
    <w:p w:rsidR="00000000" w:rsidDel="00000000" w:rsidP="00000000" w:rsidRDefault="00000000" w:rsidRPr="00000000" w14:paraId="00000042">
      <w:pPr>
        <w:rPr/>
      </w:pPr>
      <w:r w:rsidDel="00000000" w:rsidR="00000000" w:rsidRPr="00000000">
        <w:rPr>
          <w:rtl w:val="0"/>
        </w:rPr>
      </w:r>
    </w:p>
    <w:p w:rsidR="00000000" w:rsidDel="00000000" w:rsidP="00000000" w:rsidRDefault="00000000" w:rsidRPr="00000000" w14:paraId="00000043">
      <w:pPr>
        <w:rPr/>
      </w:pPr>
      <w:r w:rsidDel="00000000" w:rsidR="00000000" w:rsidRPr="00000000">
        <w:rPr>
          <w:rtl w:val="0"/>
        </w:rPr>
        <w:t xml:space="preserve">Section 5 argued that relational practice can suppress mobilisation by depressing all three of SIMCA's antecedents at once: perceived injustice, politicised identity and group efficacy. If those three are what commonality-focused contact erodes, encounters could be designed around protective conditions. Injustice salience (6.4) protects perceived injustice; dual identity (6.5) protects politicised identity; and action coupling (6.6) protects group efficacy. Dual identity does so by leaving a subgroup category in place for politicisation to attach to, which matters because identity is what carries the other two antecedents into action. The question on which reconciliation depends is therefore whether injustice can be made salient without forfeiting the trust that gives the practice its value. </w:t>
      </w:r>
      <w:r w:rsidDel="00000000" w:rsidR="00000000" w:rsidRPr="00000000">
        <w:rPr>
          <w:rtl w:val="0"/>
        </w:rPr>
      </w:r>
    </w:p>
    <w:p w:rsidR="00000000" w:rsidDel="00000000" w:rsidP="00000000" w:rsidRDefault="00000000" w:rsidRPr="00000000" w14:paraId="00000044">
      <w:pPr>
        <w:keepNext w:val="0"/>
        <w:keepLines w:val="0"/>
        <w:spacing w:after="0" w:before="100" w:line="300" w:lineRule="auto"/>
        <w:rPr/>
      </w:pPr>
      <w:r w:rsidDel="00000000" w:rsidR="00000000" w:rsidRPr="00000000">
        <w:rPr>
          <w:rtl w:val="0"/>
        </w:rPr>
      </w:r>
    </w:p>
    <w:p w:rsidR="00000000" w:rsidDel="00000000" w:rsidP="00000000" w:rsidRDefault="00000000" w:rsidRPr="00000000" w14:paraId="00000045">
      <w:pPr>
        <w:keepNext w:val="0"/>
        <w:keepLines w:val="0"/>
        <w:spacing w:after="0" w:before="100" w:line="300" w:lineRule="auto"/>
        <w:rPr>
          <w:b w:val="1"/>
          <w:bCs w:val="1"/>
        </w:rPr>
      </w:pPr>
      <w:r w:rsidDel="00000000" w:rsidR="00000000" w:rsidRPr="00000000">
        <w:rPr>
          <w:b w:val="1"/>
          <w:bCs w:val="1"/>
          <w:rtl w:val="0"/>
        </w:rPr>
        <w:t xml:space="preserve">6.1 The practice</w:t>
      </w:r>
    </w:p>
    <w:p w:rsidR="00000000" w:rsidDel="00000000" w:rsidP="00000000" w:rsidRDefault="00000000" w:rsidRPr="00000000" w14:paraId="00000046">
      <w:pPr>
        <w:rPr/>
      </w:pPr>
      <w:r w:rsidDel="00000000" w:rsidR="00000000" w:rsidRPr="00000000">
        <w:rPr>
          <w:rtl w:val="0"/>
        </w:rPr>
        <w:t xml:space="preserve">Tattersall (2024) locates weaving trust within the sector's '5 Steps to Social Change' under the maxim that relationships precede power, and organises it around a dialectic of 'sameness and difference' (pp. 8–9). Drawing on Allen's (2004) case for a democratic 'wholeness' of differentiated citizens rather than a homogeneous 'oneness', the dialectic warns that an unencumbered emphasis on sameness lets the more powerful define the common ground, and holds that difference becomes a resource for action only when linked to an account of injustice. </w:t>
      </w:r>
    </w:p>
    <w:p w:rsidR="00000000" w:rsidDel="00000000" w:rsidP="00000000" w:rsidRDefault="00000000" w:rsidRPr="00000000" w14:paraId="00000047">
      <w:pPr>
        <w:rPr/>
      </w:pPr>
      <w:r w:rsidDel="00000000" w:rsidR="00000000" w:rsidRPr="00000000">
        <w:rPr>
          <w:rtl w:val="0"/>
        </w:rPr>
      </w:r>
    </w:p>
    <w:p w:rsidR="00000000" w:rsidDel="00000000" w:rsidP="00000000" w:rsidRDefault="00000000" w:rsidRPr="00000000" w14:paraId="00000048">
      <w:pPr>
        <w:rPr/>
      </w:pPr>
      <w:r w:rsidDel="00000000" w:rsidR="00000000" w:rsidRPr="00000000">
        <w:rPr>
          <w:rtl w:val="0"/>
        </w:rPr>
        <w:t xml:space="preserve">However, the documented question sets do not consistently realise this. The inaugural mosque weaving trust asked what participants loved about their town (Tattersall, 2024, p. 15); the standard cycle opens with why participants joined their institution, reaching difference only in a final round framed around personal connection (pp. 42–43); and organisers record leaders who 'race to elevate similar experiences' rather than sit with difference (p. 8). This configuration risks recognition becoming the terminus rather than the process feeding redistribution. This anticipates, from within the organising tradition, the content-dependence the collective-action literature identifies, though the practice as documented tends toward the pole its own dialectic warns against.</w:t>
      </w:r>
    </w:p>
    <w:p w:rsidR="00000000" w:rsidDel="00000000" w:rsidP="00000000" w:rsidRDefault="00000000" w:rsidRPr="00000000" w14:paraId="00000049">
      <w:pPr>
        <w:keepNext w:val="0"/>
        <w:keepLines w:val="0"/>
        <w:spacing w:after="0" w:before="100" w:line="300" w:lineRule="auto"/>
        <w:rPr/>
      </w:pPr>
      <w:r w:rsidDel="00000000" w:rsidR="00000000" w:rsidRPr="00000000">
        <w:rPr>
          <w:rtl w:val="0"/>
        </w:rPr>
      </w:r>
    </w:p>
    <w:p w:rsidR="00000000" w:rsidDel="00000000" w:rsidP="00000000" w:rsidRDefault="00000000" w:rsidRPr="00000000" w14:paraId="0000004A">
      <w:pPr>
        <w:keepNext w:val="0"/>
        <w:keepLines w:val="0"/>
        <w:spacing w:after="0" w:before="100" w:line="300" w:lineRule="auto"/>
        <w:rPr>
          <w:b w:val="1"/>
          <w:bCs w:val="1"/>
        </w:rPr>
      </w:pPr>
      <w:r w:rsidDel="00000000" w:rsidR="00000000" w:rsidRPr="00000000">
        <w:rPr>
          <w:b w:val="1"/>
          <w:bCs w:val="1"/>
          <w:rtl w:val="0"/>
        </w:rPr>
        <w:t xml:space="preserve">6.2 Intergroup dialogue</w:t>
      </w:r>
    </w:p>
    <w:p w:rsidR="00000000" w:rsidDel="00000000" w:rsidP="00000000" w:rsidRDefault="00000000" w:rsidRPr="00000000" w14:paraId="0000004B">
      <w:pPr>
        <w:rPr/>
      </w:pPr>
      <w:r w:rsidDel="00000000" w:rsidR="00000000" w:rsidRPr="00000000">
        <w:rPr>
          <w:rtl w:val="0"/>
        </w:rPr>
      </w:r>
    </w:p>
    <w:p w:rsidR="00000000" w:rsidDel="00000000" w:rsidP="00000000" w:rsidRDefault="00000000" w:rsidRPr="00000000" w14:paraId="0000004C">
      <w:pPr>
        <w:rPr/>
      </w:pPr>
      <w:r w:rsidDel="00000000" w:rsidR="00000000" w:rsidRPr="00000000">
        <w:rPr>
          <w:rtl w:val="0"/>
        </w:rPr>
        <w:t xml:space="preserve">I</w:t>
      </w:r>
      <w:r w:rsidDel="00000000" w:rsidR="00000000" w:rsidRPr="00000000">
        <w:rPr>
          <w:rtl w:val="0"/>
        </w:rPr>
        <w:t xml:space="preserve">ntergroup dialogue (IGD) offers a different configuration, a structured, facilitated, cross-difference encounter designed to raise consciousness of power and cultivate commitment to change as well as to build relationships (Nagda and Gurin, 2007). Its multi-university evaluation, found that participants increased more than controls in their critiques of inequality and their commitment to act against it, with the dialogue's communication processes helping to account for those gains (Nagda et al., 2009; Gurin, Nagda and Zúñiga, 2013), and earlier work found that an intergroup relations course increased students' structural attributions for racial and ethnic inequality (Lopez, Gurin and Nagda, 1998). Further work from the same programme found greater understanding of racial and ethnic inequality and a commitment to address it sustained one year on (Rodríguez et al., 2018); allyship also rises among advantaged participants (Alimo, 2012). Mobilising potential is therefore a design variable, not a fixed property of contact.</w:t>
      </w:r>
    </w:p>
    <w:p w:rsidR="00000000" w:rsidDel="00000000" w:rsidP="00000000" w:rsidRDefault="00000000" w:rsidRPr="00000000" w14:paraId="0000004D">
      <w:pPr>
        <w:rPr/>
      </w:pPr>
      <w:r w:rsidDel="00000000" w:rsidR="00000000" w:rsidRPr="00000000">
        <w:rPr>
          <w:rtl w:val="0"/>
        </w:rPr>
      </w:r>
    </w:p>
    <w:p w:rsidR="00000000" w:rsidDel="00000000" w:rsidP="00000000" w:rsidRDefault="00000000" w:rsidRPr="00000000" w14:paraId="0000004E">
      <w:pPr>
        <w:rPr/>
      </w:pPr>
      <w:r w:rsidDel="00000000" w:rsidR="00000000" w:rsidRPr="00000000">
        <w:rPr>
          <w:rtl w:val="0"/>
        </w:rPr>
        <w:t xml:space="preserve">The transfer to weaving trust is partial. IGD is a multi-week curriculum led by trained co-facilitators, with equal numbers from each group; weaving trust is typically a single carousel among participants in whatever proportions attend, and IGD's outcomes are critiques and commitments measured among students, not redistributive action. This opens a question on format: whether a single carousel suffices, or whether weaving trust must recur, as contact theory's emphasis on sustained contact would predict (Pettigrew, 1998).</w:t>
      </w:r>
    </w:p>
    <w:p w:rsidR="00000000" w:rsidDel="00000000" w:rsidP="00000000" w:rsidRDefault="00000000" w:rsidRPr="00000000" w14:paraId="0000004F">
      <w:pPr>
        <w:keepNext w:val="0"/>
        <w:keepLines w:val="0"/>
        <w:spacing w:after="0" w:before="100" w:line="300" w:lineRule="auto"/>
        <w:rPr>
          <w:b w:val="1"/>
          <w:bCs w:val="1"/>
        </w:rPr>
      </w:pPr>
      <w:r w:rsidDel="00000000" w:rsidR="00000000" w:rsidRPr="00000000">
        <w:rPr>
          <w:rtl w:val="0"/>
        </w:rPr>
      </w:r>
    </w:p>
    <w:p w:rsidR="00000000" w:rsidDel="00000000" w:rsidP="00000000" w:rsidRDefault="00000000" w:rsidRPr="00000000" w14:paraId="00000050">
      <w:pPr>
        <w:keepNext w:val="0"/>
        <w:keepLines w:val="0"/>
        <w:spacing w:after="0" w:before="100" w:line="300" w:lineRule="auto"/>
        <w:rPr>
          <w:b w:val="1"/>
          <w:bCs w:val="1"/>
        </w:rPr>
      </w:pPr>
      <w:r w:rsidDel="00000000" w:rsidR="00000000" w:rsidRPr="00000000">
        <w:rPr>
          <w:b w:val="1"/>
          <w:bCs w:val="1"/>
          <w:rtl w:val="0"/>
        </w:rPr>
        <w:t xml:space="preserve">6.3 Existing models</w:t>
      </w:r>
    </w:p>
    <w:p w:rsidR="00000000" w:rsidDel="00000000" w:rsidP="00000000" w:rsidRDefault="00000000" w:rsidRPr="00000000" w14:paraId="00000051">
      <w:pPr>
        <w:rPr/>
      </w:pPr>
      <w:r w:rsidDel="00000000" w:rsidR="00000000" w:rsidRPr="00000000">
        <w:rPr>
          <w:rtl w:val="0"/>
        </w:rPr>
      </w:r>
    </w:p>
    <w:p w:rsidR="00000000" w:rsidDel="00000000" w:rsidP="00000000" w:rsidRDefault="00000000" w:rsidRPr="00000000" w14:paraId="00000052">
      <w:pPr>
        <w:rPr/>
      </w:pPr>
      <w:r w:rsidDel="00000000" w:rsidR="00000000" w:rsidRPr="00000000">
        <w:rPr>
          <w:rtl w:val="0"/>
        </w:rPr>
        <w:t xml:space="preserve">The Integrated Contact-Collective Action Model (ICCAM) already asks under what circumstances contact can foster support for social change among both advantaged and disadvantaged groups, proposing moderators including the perceived legitimacy of inequality, system justification, group-based needs and identification (Hässler et al., 2021). The first two conditions below sit within that account, and IGD specifies mechanisms of its own. What neither provides is a design for an organising encounter: which questions are asked, how encounters are staged around protected same-group discussion, and how they connect to a live campaign. The contribution of this study is therefore one of translation and extension: it renders moderators identified in the psychology as configurable features of organising practice, and adds a third condition, action coupling, as relationships in organising are built in order to win material change.</w:t>
      </w:r>
    </w:p>
    <w:p w:rsidR="00000000" w:rsidDel="00000000" w:rsidP="00000000" w:rsidRDefault="00000000" w:rsidRPr="00000000" w14:paraId="00000053">
      <w:pPr>
        <w:keepNext w:val="0"/>
        <w:keepLines w:val="0"/>
        <w:spacing w:after="0" w:before="100" w:line="300" w:lineRule="auto"/>
        <w:rPr>
          <w:b w:val="1"/>
          <w:bCs w:val="1"/>
        </w:rPr>
      </w:pPr>
      <w:r w:rsidDel="00000000" w:rsidR="00000000" w:rsidRPr="00000000">
        <w:rPr>
          <w:rtl w:val="0"/>
        </w:rPr>
      </w:r>
    </w:p>
    <w:p w:rsidR="00000000" w:rsidDel="00000000" w:rsidP="00000000" w:rsidRDefault="00000000" w:rsidRPr="00000000" w14:paraId="00000054">
      <w:pPr>
        <w:keepNext w:val="0"/>
        <w:keepLines w:val="0"/>
        <w:spacing w:after="0" w:before="100" w:line="300" w:lineRule="auto"/>
        <w:rPr>
          <w:b w:val="1"/>
          <w:bCs w:val="1"/>
        </w:rPr>
      </w:pPr>
      <w:r w:rsidDel="00000000" w:rsidR="00000000" w:rsidRPr="00000000">
        <w:rPr>
          <w:b w:val="1"/>
          <w:bCs w:val="1"/>
          <w:rtl w:val="0"/>
        </w:rPr>
        <w:t xml:space="preserve">6.4 Injustice salience</w:t>
      </w:r>
    </w:p>
    <w:p w:rsidR="00000000" w:rsidDel="00000000" w:rsidP="00000000" w:rsidRDefault="00000000" w:rsidRPr="00000000" w14:paraId="00000055">
      <w:pPr>
        <w:rPr/>
      </w:pPr>
      <w:r w:rsidDel="00000000" w:rsidR="00000000" w:rsidRPr="00000000">
        <w:rPr>
          <w:rtl w:val="0"/>
        </w:rPr>
      </w:r>
    </w:p>
    <w:p w:rsidR="00000000" w:rsidDel="00000000" w:rsidP="00000000" w:rsidRDefault="00000000" w:rsidRPr="00000000" w14:paraId="00000056">
      <w:pPr>
        <w:rPr/>
      </w:pPr>
      <w:r w:rsidDel="00000000" w:rsidR="00000000" w:rsidRPr="00000000">
        <w:rPr>
          <w:rtl w:val="0"/>
        </w:rPr>
        <w:t xml:space="preserve">Collective action frames diagnose a problem and attribute blame before action is likely (Snow and Benford, 1988; Benford and Snow, 2000). An injustice frame mobilises best when it names a concrete agent located within the structures that produced the grievance; fixed on individual wrongdoers alone, it misfires into frustration or scapegoating (Gamson, 1992).</w:t>
      </w:r>
    </w:p>
    <w:p w:rsidR="00000000" w:rsidDel="00000000" w:rsidP="00000000" w:rsidRDefault="00000000" w:rsidRPr="00000000" w14:paraId="00000057">
      <w:pPr>
        <w:rPr/>
      </w:pPr>
      <w:r w:rsidDel="00000000" w:rsidR="00000000" w:rsidRPr="00000000">
        <w:rPr>
          <w:rtl w:val="0"/>
        </w:rPr>
      </w:r>
    </w:p>
    <w:p w:rsidR="00000000" w:rsidDel="00000000" w:rsidP="00000000" w:rsidRDefault="00000000" w:rsidRPr="00000000" w14:paraId="00000058">
      <w:pPr>
        <w:rPr/>
      </w:pPr>
      <w:r w:rsidDel="00000000" w:rsidR="00000000" w:rsidRPr="00000000">
        <w:rPr>
          <w:rtl w:val="0"/>
        </w:rPr>
        <w:t xml:space="preserve">The affirmation-led default documented in section 6.1 does not meet this requirement. Evidence on interaction goals under unequal power indicates that members of disadvantaged groups want to discuss power in intergroup encounters more than members of advantaged groups do, while the advantaged prefer to discuss commonalities (Saguy, Dovidio and Pratto, 2008). A question set built on shared attachment therefore encodes the advantaged group's preferred register, giving empirical form to Tattersall's warning (section 6.1). And if, as section 3 suggested, the valuing of influence is depressed where civic resource is scarcest, grievance cannot be relied upon to surface unprompted: the register has to be supplied by design.</w:t>
      </w:r>
    </w:p>
    <w:p w:rsidR="00000000" w:rsidDel="00000000" w:rsidP="00000000" w:rsidRDefault="00000000" w:rsidRPr="00000000" w14:paraId="00000059">
      <w:pPr>
        <w:rPr/>
      </w:pPr>
      <w:r w:rsidDel="00000000" w:rsidR="00000000" w:rsidRPr="00000000">
        <w:rPr>
          <w:rtl w:val="0"/>
        </w:rPr>
      </w:r>
    </w:p>
    <w:p w:rsidR="00000000" w:rsidDel="00000000" w:rsidP="00000000" w:rsidRDefault="00000000" w:rsidRPr="00000000" w14:paraId="0000005A">
      <w:pPr>
        <w:rPr/>
      </w:pPr>
      <w:r w:rsidDel="00000000" w:rsidR="00000000" w:rsidRPr="00000000">
        <w:rPr>
          <w:rtl w:val="0"/>
        </w:rPr>
        <w:t xml:space="preserve">Cross-group contact has been found to undermine disadvantaged-group members' collective action when advantaged partners are silent about inequality, but not when they acknowledge it as illegitimate (Becker et al., 2013), and advantaged members who perceive their group's advantage as illegitimate become more willing to address power themselves (Saguy, Dovidio and Pratto, 2008). The condition is therefore injustice acknowledged across the pair, not merely voiced by one side. IGD shows trust and structural critique rising together in a sustained format; whether they can do so within a short paired exchange is untested.</w:t>
      </w:r>
    </w:p>
    <w:p w:rsidR="00000000" w:rsidDel="00000000" w:rsidP="00000000" w:rsidRDefault="00000000" w:rsidRPr="00000000" w14:paraId="0000005B">
      <w:pPr>
        <w:rPr/>
      </w:pPr>
      <w:r w:rsidDel="00000000" w:rsidR="00000000" w:rsidRPr="00000000">
        <w:rPr>
          <w:rtl w:val="0"/>
        </w:rPr>
      </w:r>
    </w:p>
    <w:p w:rsidR="00000000" w:rsidDel="00000000" w:rsidP="00000000" w:rsidRDefault="00000000" w:rsidRPr="00000000" w14:paraId="0000005C">
      <w:pPr>
        <w:rPr/>
      </w:pPr>
      <w:r w:rsidDel="00000000" w:rsidR="00000000" w:rsidRPr="00000000">
        <w:rPr>
          <w:rtl w:val="0"/>
        </w:rPr>
        <w:t xml:space="preserve">On how such content is carried, field experiments favour narrative over argument: a single conversation built on the non-judgmental exchange of personal narratives durably reduces exclusionary attitudes where argument alone does not (Broockman and Kalla, 2016; Kalla and Broockman, 2020, 2023). These studies reduced prejudice among majority voters, however, so they bear on how advantaged participants are reached rather than on what mobilises the disadvantaged.</w:t>
      </w:r>
    </w:p>
    <w:p w:rsidR="00000000" w:rsidDel="00000000" w:rsidP="00000000" w:rsidRDefault="00000000" w:rsidRPr="00000000" w14:paraId="0000005D">
      <w:pPr>
        <w:rPr/>
      </w:pPr>
      <w:r w:rsidDel="00000000" w:rsidR="00000000" w:rsidRPr="00000000">
        <w:rPr>
          <w:rtl w:val="0"/>
        </w:rPr>
      </w:r>
    </w:p>
    <w:p w:rsidR="00000000" w:rsidDel="00000000" w:rsidP="00000000" w:rsidRDefault="00000000" w:rsidRPr="00000000" w14:paraId="0000005E">
      <w:pPr>
        <w:keepNext w:val="0"/>
        <w:keepLines w:val="0"/>
        <w:spacing w:after="0" w:before="100" w:line="300" w:lineRule="auto"/>
        <w:rPr>
          <w:b w:val="1"/>
          <w:bCs w:val="1"/>
        </w:rPr>
      </w:pPr>
      <w:r w:rsidDel="00000000" w:rsidR="00000000" w:rsidRPr="00000000">
        <w:rPr>
          <w:b w:val="1"/>
          <w:bCs w:val="1"/>
          <w:rtl w:val="0"/>
        </w:rPr>
        <w:t xml:space="preserve">6.5 Dual identity</w:t>
      </w:r>
    </w:p>
    <w:p w:rsidR="00000000" w:rsidDel="00000000" w:rsidP="00000000" w:rsidRDefault="00000000" w:rsidRPr="00000000" w14:paraId="0000005F">
      <w:pPr>
        <w:keepNext w:val="0"/>
        <w:keepLines w:val="0"/>
        <w:spacing w:after="0" w:before="100" w:line="300" w:lineRule="auto"/>
        <w:rPr/>
      </w:pPr>
      <w:r w:rsidDel="00000000" w:rsidR="00000000" w:rsidRPr="00000000">
        <w:rPr>
          <w:rtl w:val="0"/>
        </w:rPr>
      </w:r>
    </w:p>
    <w:p w:rsidR="00000000" w:rsidDel="00000000" w:rsidP="00000000" w:rsidRDefault="00000000" w:rsidRPr="00000000" w14:paraId="00000060">
      <w:pPr>
        <w:rPr/>
      </w:pPr>
      <w:r w:rsidDel="00000000" w:rsidR="00000000" w:rsidRPr="00000000">
        <w:rPr>
          <w:rtl w:val="0"/>
        </w:rPr>
        <w:t xml:space="preserve">The two tasks a broad-based alliance faces, allyship among advantaged members and sustained grievance among disadvantaged ones, are compatible: willingness to work in solidarity rises with contact in both groups (Hässler et al., 2020). Compatibility depends on the kind of 'us' an encounter builds. A strong common identity is associated, cross-sectionally, with weaker collective action against economic inequality, with system justification advanced as the mediator (De Cristofaro et al., 2025), whereas a dual-identity representation predicts advantaged-group support for social change (Frisch et al., 2023), and contact's demobilising effect weakens where injustice is kept communicatively salient (Lantos et al., 2025). In practice, a dual identity is cultivated by making subgroup and superordinate identities salient together (Glasford and Dovidio, 2011): prompts that ask what an issue means for a participant's own community, and then what the alliance should do about it.</w:t>
      </w:r>
    </w:p>
    <w:p w:rsidR="00000000" w:rsidDel="00000000" w:rsidP="00000000" w:rsidRDefault="00000000" w:rsidRPr="00000000" w14:paraId="00000061">
      <w:pPr>
        <w:rPr/>
      </w:pPr>
      <w:r w:rsidDel="00000000" w:rsidR="00000000" w:rsidRPr="00000000">
        <w:rPr>
          <w:rtl w:val="0"/>
        </w:rPr>
      </w:r>
    </w:p>
    <w:p w:rsidR="00000000" w:rsidDel="00000000" w:rsidP="00000000" w:rsidRDefault="00000000" w:rsidRPr="00000000" w14:paraId="00000062">
      <w:pPr>
        <w:rPr/>
      </w:pPr>
      <w:r w:rsidDel="00000000" w:rsidR="00000000" w:rsidRPr="00000000">
        <w:rPr>
          <w:rtl w:val="0"/>
        </w:rPr>
        <w:t xml:space="preserve">BBCO already has part of this architecture: institutional membership preserves subgroup identities, and listening takes place within member institutions before issues reach the alliance. Those enclaves do not necessarily coincide with disadvantage, however, since congregations are often cross-class. Mansbridge (1996) argues for 'enclaves of protected discourse' in which marginalised members clarify their interests before cross-group encounter, and case study evidence suggests that such enclaves raise knowledge, efficacy and trust among the less-resourced (Karpowitz, Raphael and Hammond, 2009). The objection that like-minded discussion polarises (Sunstein, 2002) is met by experimental evidence that, under deliberative norms, it did not (Grönlund, Herne and Setälä, 2015). Facilitated same-group reflection, staged before or alongside the carousel, can therefore sustain a dual identity in a format that tends toward a single warm 'us'.</w:t>
      </w:r>
    </w:p>
    <w:p w:rsidR="00000000" w:rsidDel="00000000" w:rsidP="00000000" w:rsidRDefault="00000000" w:rsidRPr="00000000" w14:paraId="00000063">
      <w:pPr>
        <w:rPr/>
      </w:pPr>
      <w:r w:rsidDel="00000000" w:rsidR="00000000" w:rsidRPr="00000000">
        <w:rPr>
          <w:rtl w:val="0"/>
        </w:rPr>
      </w:r>
    </w:p>
    <w:p w:rsidR="00000000" w:rsidDel="00000000" w:rsidP="00000000" w:rsidRDefault="00000000" w:rsidRPr="00000000" w14:paraId="00000064">
      <w:pPr>
        <w:keepNext w:val="0"/>
        <w:keepLines w:val="0"/>
        <w:spacing w:after="0" w:before="100" w:line="300" w:lineRule="auto"/>
        <w:rPr>
          <w:b w:val="1"/>
          <w:bCs w:val="1"/>
        </w:rPr>
      </w:pPr>
      <w:r w:rsidDel="00000000" w:rsidR="00000000" w:rsidRPr="00000000">
        <w:rPr>
          <w:b w:val="1"/>
          <w:bCs w:val="1"/>
          <w:rtl w:val="0"/>
        </w:rPr>
        <w:t xml:space="preserve">6.6 Action coupling</w:t>
      </w:r>
    </w:p>
    <w:p w:rsidR="00000000" w:rsidDel="00000000" w:rsidP="00000000" w:rsidRDefault="00000000" w:rsidRPr="00000000" w14:paraId="00000065">
      <w:pPr>
        <w:keepNext w:val="0"/>
        <w:keepLines w:val="0"/>
        <w:spacing w:after="0" w:before="100" w:line="300" w:lineRule="auto"/>
        <w:rPr/>
      </w:pPr>
      <w:r w:rsidDel="00000000" w:rsidR="00000000" w:rsidRPr="00000000">
        <w:rPr>
          <w:rtl w:val="0"/>
        </w:rPr>
      </w:r>
    </w:p>
    <w:p w:rsidR="00000000" w:rsidDel="00000000" w:rsidP="00000000" w:rsidRDefault="00000000" w:rsidRPr="00000000" w14:paraId="00000066">
      <w:pPr>
        <w:rPr/>
      </w:pPr>
      <w:r w:rsidDel="00000000" w:rsidR="00000000" w:rsidRPr="00000000">
        <w:rPr>
          <w:rtl w:val="0"/>
        </w:rPr>
        <w:t xml:space="preserve">Injustice salience and a dual identity build what Klandermans (1984) calls consensus mobilisation, agreement that a grievance deserves redress, but not action mobilisation, its conversion into participation. Participation depends heavily on being asked (Verba, Schlozman and Brady, 1995), and group efficacy, the belief that the group can achieve its aims through joint action, predicts collective action (van Zomeren, Postmes and Spears, 2008); a concrete, winnable demand gives that belief an object that an open-ended conversation does not.</w:t>
      </w:r>
    </w:p>
    <w:p w:rsidR="00000000" w:rsidDel="00000000" w:rsidP="00000000" w:rsidRDefault="00000000" w:rsidRPr="00000000" w14:paraId="00000067">
      <w:pPr>
        <w:rPr/>
      </w:pPr>
      <w:r w:rsidDel="00000000" w:rsidR="00000000" w:rsidRPr="00000000">
        <w:rPr>
          <w:rtl w:val="0"/>
        </w:rPr>
      </w:r>
    </w:p>
    <w:p w:rsidR="00000000" w:rsidDel="00000000" w:rsidP="00000000" w:rsidRDefault="00000000" w:rsidRPr="00000000" w14:paraId="00000068">
      <w:pPr>
        <w:rPr/>
      </w:pPr>
      <w:r w:rsidDel="00000000" w:rsidR="00000000" w:rsidRPr="00000000">
        <w:rPr>
          <w:rtl w:val="0"/>
        </w:rPr>
        <w:t xml:space="preserve">Ganz's (2011) public narrative gives this condition its organising form: stories of self, us and now, the last specifying an urgent challenge and a concrete action. The sequence also resolves the tension identified in section 6.4, moving from personal experience to a shared account of the group's situation, and from there to a demand addressed to those with power over it: from story to structure, and from grievance to target. An encounter ending in warmth rather than an action-oriented call completes only half the sequence the tradition itself specifies.</w:t>
      </w:r>
    </w:p>
    <w:p w:rsidR="00000000" w:rsidDel="00000000" w:rsidP="00000000" w:rsidRDefault="00000000" w:rsidRPr="00000000" w14:paraId="00000069">
      <w:pPr>
        <w:rPr/>
      </w:pPr>
      <w:r w:rsidDel="00000000" w:rsidR="00000000" w:rsidRPr="00000000">
        <w:rPr>
          <w:rtl w:val="0"/>
        </w:rPr>
      </w:r>
    </w:p>
    <w:p w:rsidR="00000000" w:rsidDel="00000000" w:rsidP="00000000" w:rsidRDefault="00000000" w:rsidRPr="00000000" w14:paraId="0000006A">
      <w:pPr>
        <w:keepNext w:val="0"/>
        <w:keepLines w:val="0"/>
        <w:spacing w:after="0" w:before="100" w:line="300" w:lineRule="auto"/>
        <w:rPr>
          <w:b w:val="1"/>
          <w:bCs w:val="1"/>
        </w:rPr>
      </w:pPr>
      <w:r w:rsidDel="00000000" w:rsidR="00000000" w:rsidRPr="00000000">
        <w:rPr>
          <w:b w:val="1"/>
          <w:bCs w:val="1"/>
          <w:rtl w:val="0"/>
        </w:rPr>
        <w:t xml:space="preserve">6.7 The cases</w:t>
      </w:r>
    </w:p>
    <w:p w:rsidR="00000000" w:rsidDel="00000000" w:rsidP="00000000" w:rsidRDefault="00000000" w:rsidRPr="00000000" w14:paraId="0000006B">
      <w:pPr>
        <w:keepNext w:val="0"/>
        <w:keepLines w:val="0"/>
        <w:spacing w:after="0" w:before="100" w:line="300" w:lineRule="auto"/>
        <w:rPr/>
      </w:pPr>
      <w:r w:rsidDel="00000000" w:rsidR="00000000" w:rsidRPr="00000000">
        <w:rPr>
          <w:rtl w:val="0"/>
        </w:rPr>
      </w:r>
    </w:p>
    <w:p w:rsidR="00000000" w:rsidDel="00000000" w:rsidP="00000000" w:rsidRDefault="00000000" w:rsidRPr="00000000" w14:paraId="0000006C">
      <w:pPr>
        <w:rPr/>
      </w:pPr>
      <w:r w:rsidDel="00000000" w:rsidR="00000000" w:rsidRPr="00000000">
        <w:rPr>
          <w:rtl w:val="0"/>
        </w:rPr>
        <w:t xml:space="preserve">I</w:t>
      </w:r>
      <w:r w:rsidDel="00000000" w:rsidR="00000000" w:rsidRPr="00000000">
        <w:rPr>
          <w:rtl w:val="0"/>
        </w:rPr>
        <w:t xml:space="preserve">n Brighton and Hove, a weaving trust inside a 300-person accountability assembly anchored its questions to a live housing agenda, asking what a good development would include, and fed directly into the alliance's Good Development Standards; organisers reported, in the sector's own account, that this anchoring produced the dialectic's dynamic (Tattersall, 2024, p. 25). In Cambridge, the sponsoring committee treated relational experiments as open-ended, resisting a defined purpose; the events served chapter formation and leadership development effectively, but were coupled to no redistributive demand (pp. 21–23).</w:t>
      </w:r>
    </w:p>
    <w:p w:rsidR="00000000" w:rsidDel="00000000" w:rsidP="00000000" w:rsidRDefault="00000000" w:rsidRPr="00000000" w14:paraId="0000006D">
      <w:pPr>
        <w:rPr/>
      </w:pPr>
      <w:r w:rsidDel="00000000" w:rsidR="00000000" w:rsidRPr="00000000">
        <w:rPr>
          <w:rtl w:val="0"/>
        </w:rPr>
      </w:r>
    </w:p>
    <w:p w:rsidR="00000000" w:rsidDel="00000000" w:rsidP="00000000" w:rsidRDefault="00000000" w:rsidRPr="00000000" w14:paraId="0000006E">
      <w:pPr>
        <w:rPr/>
      </w:pPr>
      <w:r w:rsidDel="00000000" w:rsidR="00000000" w:rsidRPr="00000000">
        <w:rPr>
          <w:rtl w:val="0"/>
        </w:rPr>
        <w:t xml:space="preserve">Cambridge instantiates the constraining configuration of section 5, forgoing mobilisation without evidence that it suppresses it. Brighton satisfies action coupling but not injustice salience in Gamson's sense: its questions are prognostic, without diagnosing why affordability has failed or who decides what is built. Coupling supplies the anchor from which diagnostic questions most naturally arise, but not the questions themselves, and so is constraining at best: it gives mobilisation an object without giving it a grievance. The comparison is illustrative: the cases differ in scale, stage and intent, and neither has data on perceived injustice or mobilisation. In the interest of transparency, the author was professionally involved in the Brighton case.</w:t>
      </w:r>
    </w:p>
    <w:p w:rsidR="00000000" w:rsidDel="00000000" w:rsidP="00000000" w:rsidRDefault="00000000" w:rsidRPr="00000000" w14:paraId="0000006F">
      <w:pPr>
        <w:rPr/>
      </w:pPr>
      <w:r w:rsidDel="00000000" w:rsidR="00000000" w:rsidRPr="00000000">
        <w:rPr>
          <w:rtl w:val="0"/>
        </w:rPr>
      </w:r>
    </w:p>
    <w:p w:rsidR="00000000" w:rsidDel="00000000" w:rsidP="00000000" w:rsidRDefault="00000000" w:rsidRPr="00000000" w14:paraId="00000070">
      <w:pPr>
        <w:rPr/>
      </w:pPr>
      <w:r w:rsidDel="00000000" w:rsidR="00000000" w:rsidRPr="00000000">
        <w:rPr>
          <w:rtl w:val="0"/>
        </w:rPr>
        <w:t xml:space="preserve">BBCO's effect on SDG 10 depends less on whether relational work takes place than on how it is configured. Harmony-oriented practice foregrounds what participants share, as the documented default does (Tattersall, 2024). By lowering perceived injustice and dissolving politicised identity, it can counteract mobilisation. Uncoupled practice is tied to no material demand, so it forgoes mobilisation without evidence that it suppresses it, and is therefore constraining. Conditioned practice meets all three conditions set out in sections 6.4 to 6.6, and only this configuration is expected to be reinforcing, a proposition not yet tested. Brighton and Hove, which was coupled to a campaign but did not keep injustice salient, shows that one condition alone is insufficient.</w:t>
      </w:r>
    </w:p>
    <w:p w:rsidR="00000000" w:rsidDel="00000000" w:rsidP="00000000" w:rsidRDefault="00000000" w:rsidRPr="00000000" w14:paraId="00000071">
      <w:pPr>
        <w:rPr/>
      </w:pPr>
      <w:r w:rsidDel="00000000" w:rsidR="00000000" w:rsidRPr="00000000">
        <w:rPr>
          <w:rtl w:val="0"/>
        </w:rPr>
      </w:r>
    </w:p>
    <w:p w:rsidR="00000000" w:rsidDel="00000000" w:rsidP="00000000" w:rsidRDefault="00000000" w:rsidRPr="00000000" w14:paraId="00000072">
      <w:pPr>
        <w:rPr/>
      </w:pPr>
      <w:r w:rsidDel="00000000" w:rsidR="00000000" w:rsidRPr="00000000">
        <w:rPr>
          <w:rtl w:val="0"/>
        </w:rPr>
        <w:t xml:space="preserve">Table 1 summarises these configurations, rating the SDG 16 / SDG 10 interaction within Weaving Trust. Based on Nilsson, Griggs and Visbeck (2016).</w:t>
      </w:r>
    </w:p>
    <w:p w:rsidR="00000000" w:rsidDel="00000000" w:rsidP="00000000" w:rsidRDefault="00000000" w:rsidRPr="00000000" w14:paraId="00000073">
      <w:pPr>
        <w:rPr/>
      </w:pPr>
      <w:r w:rsidDel="00000000" w:rsidR="00000000" w:rsidRPr="00000000">
        <w:rPr>
          <w:rtl w:val="0"/>
        </w:rPr>
      </w:r>
    </w:p>
    <w:tbl>
      <w:tblPr>
        <w:tblStyle w:val="Table1"/>
        <w:tblW w:w="8250.0" w:type="dxa"/>
        <w:jc w:val="left"/>
        <w:tblBorders>
          <w:top w:color="000000" w:space="0" w:sz="0" w:val="nil"/>
          <w:left w:color="000000" w:space="0" w:sz="0" w:val="nil"/>
          <w:bottom w:color="000000" w:space="0" w:sz="0" w:val="nil"/>
          <w:right w:color="000000" w:space="0" w:sz="0" w:val="nil"/>
          <w:insideH w:color="000000" w:space="0" w:sz="0" w:val="nil"/>
          <w:insideV w:color="000000" w:space="0" w:sz="0" w:val="nil"/>
        </w:tblBorders>
        <w:tblLayout w:type="fixed"/>
        <w:tblLook w:val="0600"/>
      </w:tblPr>
      <w:tblGrid>
        <w:gridCol w:w="2385"/>
        <w:gridCol w:w="1395"/>
        <w:gridCol w:w="1185"/>
        <w:gridCol w:w="1365"/>
        <w:gridCol w:w="1920"/>
        <w:tblGridChange w:id="0">
          <w:tblGrid>
            <w:gridCol w:w="2385"/>
            <w:gridCol w:w="1395"/>
            <w:gridCol w:w="1185"/>
            <w:gridCol w:w="1365"/>
            <w:gridCol w:w="1920"/>
          </w:tblGrid>
        </w:tblGridChange>
      </w:tblGrid>
      <w:tr>
        <w:trPr>
          <w:cantSplit w:val="0"/>
          <w:trHeight w:val="735" w:hRule="atLeast"/>
          <w:tblHeader w:val="0"/>
        </w:trPr>
        <w:tc>
          <w:tcPr>
            <w:tcBorders>
              <w:top w:color="000000" w:space="0" w:sz="0" w:val="nil"/>
              <w:left w:color="000000" w:space="0" w:sz="0" w:val="nil"/>
              <w:bottom w:color="000000" w:space="0" w:sz="0" w:val="nil"/>
              <w:right w:color="000000" w:space="0" w:sz="0" w:val="nil"/>
            </w:tcBorders>
            <w:tcMar>
              <w:top w:w="100.0" w:type="dxa"/>
              <w:left w:w="120.0" w:type="dxa"/>
              <w:bottom w:w="100.0" w:type="dxa"/>
              <w:right w:w="120.0" w:type="dxa"/>
            </w:tcMar>
            <w:vAlign w:val="top"/>
          </w:tcPr>
          <w:p w:rsidR="00000000" w:rsidDel="00000000" w:rsidP="00000000" w:rsidRDefault="00000000" w:rsidRPr="00000000" w14:paraId="00000074">
            <w:pPr>
              <w:rPr/>
            </w:pPr>
            <w:r w:rsidDel="00000000" w:rsidR="00000000" w:rsidRPr="00000000">
              <w:rPr>
                <w:rtl w:val="0"/>
              </w:rPr>
              <w:t xml:space="preserve">Configuration</w:t>
            </w:r>
          </w:p>
        </w:tc>
        <w:tc>
          <w:tcPr>
            <w:tcBorders>
              <w:top w:color="000000" w:space="0" w:sz="0" w:val="nil"/>
              <w:left w:color="000000" w:space="0" w:sz="0" w:val="nil"/>
              <w:bottom w:color="000000" w:space="0" w:sz="0" w:val="nil"/>
              <w:right w:color="000000" w:space="0" w:sz="0" w:val="nil"/>
            </w:tcBorders>
            <w:tcMar>
              <w:top w:w="100.0" w:type="dxa"/>
              <w:left w:w="120.0" w:type="dxa"/>
              <w:bottom w:w="100.0" w:type="dxa"/>
              <w:right w:w="120.0" w:type="dxa"/>
            </w:tcMar>
            <w:vAlign w:val="top"/>
          </w:tcPr>
          <w:p w:rsidR="00000000" w:rsidDel="00000000" w:rsidP="00000000" w:rsidRDefault="00000000" w:rsidRPr="00000000" w14:paraId="00000075">
            <w:pPr>
              <w:rPr/>
            </w:pPr>
            <w:r w:rsidDel="00000000" w:rsidR="00000000" w:rsidRPr="00000000">
              <w:rPr>
                <w:rtl w:val="0"/>
              </w:rPr>
              <w:t xml:space="preserve">Injustice salience</w:t>
            </w:r>
          </w:p>
        </w:tc>
        <w:tc>
          <w:tcPr>
            <w:tcBorders>
              <w:top w:color="000000" w:space="0" w:sz="0" w:val="nil"/>
              <w:left w:color="000000" w:space="0" w:sz="0" w:val="nil"/>
              <w:bottom w:color="000000" w:space="0" w:sz="0" w:val="nil"/>
              <w:right w:color="000000" w:space="0" w:sz="0" w:val="nil"/>
            </w:tcBorders>
            <w:tcMar>
              <w:top w:w="100.0" w:type="dxa"/>
              <w:left w:w="120.0" w:type="dxa"/>
              <w:bottom w:w="100.0" w:type="dxa"/>
              <w:right w:w="120.0" w:type="dxa"/>
            </w:tcMar>
            <w:vAlign w:val="top"/>
          </w:tcPr>
          <w:p w:rsidR="00000000" w:rsidDel="00000000" w:rsidP="00000000" w:rsidRDefault="00000000" w:rsidRPr="00000000" w14:paraId="00000076">
            <w:pPr>
              <w:rPr/>
            </w:pPr>
            <w:r w:rsidDel="00000000" w:rsidR="00000000" w:rsidRPr="00000000">
              <w:rPr>
                <w:rtl w:val="0"/>
              </w:rPr>
              <w:t xml:space="preserve">Dual identity</w:t>
            </w:r>
          </w:p>
        </w:tc>
        <w:tc>
          <w:tcPr>
            <w:tcBorders>
              <w:top w:color="000000" w:space="0" w:sz="0" w:val="nil"/>
              <w:left w:color="000000" w:space="0" w:sz="0" w:val="nil"/>
              <w:bottom w:color="000000" w:space="0" w:sz="0" w:val="nil"/>
              <w:right w:color="000000" w:space="0" w:sz="0" w:val="nil"/>
            </w:tcBorders>
            <w:tcMar>
              <w:top w:w="100.0" w:type="dxa"/>
              <w:left w:w="120.0" w:type="dxa"/>
              <w:bottom w:w="100.0" w:type="dxa"/>
              <w:right w:w="120.0" w:type="dxa"/>
            </w:tcMar>
            <w:vAlign w:val="top"/>
          </w:tcPr>
          <w:p w:rsidR="00000000" w:rsidDel="00000000" w:rsidP="00000000" w:rsidRDefault="00000000" w:rsidRPr="00000000" w14:paraId="00000077">
            <w:pPr>
              <w:rPr/>
            </w:pPr>
            <w:r w:rsidDel="00000000" w:rsidR="00000000" w:rsidRPr="00000000">
              <w:rPr>
                <w:rtl w:val="0"/>
              </w:rPr>
              <w:t xml:space="preserve">Action coupling</w:t>
            </w:r>
          </w:p>
        </w:tc>
        <w:tc>
          <w:tcPr>
            <w:tcBorders>
              <w:top w:color="000000" w:space="0" w:sz="0" w:val="nil"/>
              <w:left w:color="000000" w:space="0" w:sz="0" w:val="nil"/>
              <w:bottom w:color="000000" w:space="0" w:sz="0" w:val="nil"/>
              <w:right w:color="000000" w:space="0" w:sz="0" w:val="nil"/>
            </w:tcBorders>
            <w:tcMar>
              <w:top w:w="100.0" w:type="dxa"/>
              <w:left w:w="120.0" w:type="dxa"/>
              <w:bottom w:w="100.0" w:type="dxa"/>
              <w:right w:w="120.0" w:type="dxa"/>
            </w:tcMar>
            <w:vAlign w:val="top"/>
          </w:tcPr>
          <w:p w:rsidR="00000000" w:rsidDel="00000000" w:rsidP="00000000" w:rsidRDefault="00000000" w:rsidRPr="00000000" w14:paraId="00000078">
            <w:pPr>
              <w:rPr/>
            </w:pPr>
            <w:r w:rsidDel="00000000" w:rsidR="00000000" w:rsidRPr="00000000">
              <w:rPr>
                <w:rtl w:val="0"/>
              </w:rPr>
              <w:t xml:space="preserve">SDG 16 / SDG 10</w:t>
            </w:r>
          </w:p>
        </w:tc>
      </w:tr>
      <w:tr>
        <w:trPr>
          <w:cantSplit w:val="0"/>
          <w:trHeight w:val="465" w:hRule="atLeast"/>
          <w:tblHeader w:val="0"/>
        </w:trPr>
        <w:tc>
          <w:tcPr>
            <w:tcBorders>
              <w:top w:color="000000" w:space="0" w:sz="0" w:val="nil"/>
              <w:left w:color="000000" w:space="0" w:sz="0" w:val="nil"/>
              <w:bottom w:color="000000" w:space="0" w:sz="0" w:val="nil"/>
              <w:right w:color="000000" w:space="0" w:sz="0" w:val="nil"/>
            </w:tcBorders>
            <w:tcMar>
              <w:top w:w="100.0" w:type="dxa"/>
              <w:left w:w="120.0" w:type="dxa"/>
              <w:bottom w:w="100.0" w:type="dxa"/>
              <w:right w:w="120.0" w:type="dxa"/>
            </w:tcMar>
            <w:vAlign w:val="top"/>
          </w:tcPr>
          <w:p w:rsidR="00000000" w:rsidDel="00000000" w:rsidP="00000000" w:rsidRDefault="00000000" w:rsidRPr="00000000" w14:paraId="00000079">
            <w:pPr>
              <w:rPr/>
            </w:pPr>
            <w:r w:rsidDel="00000000" w:rsidR="00000000" w:rsidRPr="00000000">
              <w:rPr>
                <w:rtl w:val="0"/>
              </w:rPr>
              <w:t xml:space="preserve">Harmony-oriented</w:t>
            </w:r>
          </w:p>
        </w:tc>
        <w:tc>
          <w:tcPr>
            <w:tcBorders>
              <w:top w:color="000000" w:space="0" w:sz="0" w:val="nil"/>
              <w:left w:color="000000" w:space="0" w:sz="0" w:val="nil"/>
              <w:bottom w:color="000000" w:space="0" w:sz="0" w:val="nil"/>
              <w:right w:color="000000" w:space="0" w:sz="0" w:val="nil"/>
            </w:tcBorders>
            <w:tcMar>
              <w:top w:w="100.0" w:type="dxa"/>
              <w:left w:w="120.0" w:type="dxa"/>
              <w:bottom w:w="100.0" w:type="dxa"/>
              <w:right w:w="120.0" w:type="dxa"/>
            </w:tcMar>
            <w:vAlign w:val="top"/>
          </w:tcPr>
          <w:p w:rsidR="00000000" w:rsidDel="00000000" w:rsidP="00000000" w:rsidRDefault="00000000" w:rsidRPr="00000000" w14:paraId="0000007A">
            <w:pPr>
              <w:rPr/>
            </w:pPr>
            <w:r w:rsidDel="00000000" w:rsidR="00000000" w:rsidRPr="00000000">
              <w:rPr>
                <w:rtl w:val="0"/>
              </w:rPr>
              <w:t xml:space="preserve">X</w:t>
            </w:r>
          </w:p>
        </w:tc>
        <w:tc>
          <w:tcPr>
            <w:tcBorders>
              <w:top w:color="000000" w:space="0" w:sz="0" w:val="nil"/>
              <w:left w:color="000000" w:space="0" w:sz="0" w:val="nil"/>
              <w:bottom w:color="000000" w:space="0" w:sz="0" w:val="nil"/>
              <w:right w:color="000000" w:space="0" w:sz="0" w:val="nil"/>
            </w:tcBorders>
            <w:tcMar>
              <w:top w:w="100.0" w:type="dxa"/>
              <w:left w:w="120.0" w:type="dxa"/>
              <w:bottom w:w="100.0" w:type="dxa"/>
              <w:right w:w="120.0" w:type="dxa"/>
            </w:tcMar>
            <w:vAlign w:val="top"/>
          </w:tcPr>
          <w:p w:rsidR="00000000" w:rsidDel="00000000" w:rsidP="00000000" w:rsidRDefault="00000000" w:rsidRPr="00000000" w14:paraId="0000007B">
            <w:pPr>
              <w:rPr/>
            </w:pPr>
            <w:r w:rsidDel="00000000" w:rsidR="00000000" w:rsidRPr="00000000">
              <w:rPr>
                <w:rtl w:val="0"/>
              </w:rPr>
              <w:t xml:space="preserve">X</w:t>
            </w:r>
          </w:p>
        </w:tc>
        <w:tc>
          <w:tcPr>
            <w:tcBorders>
              <w:top w:color="000000" w:space="0" w:sz="0" w:val="nil"/>
              <w:left w:color="000000" w:space="0" w:sz="0" w:val="nil"/>
              <w:bottom w:color="000000" w:space="0" w:sz="0" w:val="nil"/>
              <w:right w:color="000000" w:space="0" w:sz="0" w:val="nil"/>
            </w:tcBorders>
            <w:tcMar>
              <w:top w:w="100.0" w:type="dxa"/>
              <w:left w:w="120.0" w:type="dxa"/>
              <w:bottom w:w="100.0" w:type="dxa"/>
              <w:right w:w="120.0" w:type="dxa"/>
            </w:tcMar>
            <w:vAlign w:val="top"/>
          </w:tcPr>
          <w:p w:rsidR="00000000" w:rsidDel="00000000" w:rsidP="00000000" w:rsidRDefault="00000000" w:rsidRPr="00000000" w14:paraId="0000007C">
            <w:pPr>
              <w:rPr/>
            </w:pPr>
            <w:r w:rsidDel="00000000" w:rsidR="00000000" w:rsidRPr="00000000">
              <w:rPr>
                <w:rtl w:val="0"/>
              </w:rPr>
              <w:t xml:space="preserve">X</w:t>
            </w:r>
          </w:p>
        </w:tc>
        <w:tc>
          <w:tcPr>
            <w:tcBorders>
              <w:top w:color="000000" w:space="0" w:sz="0" w:val="nil"/>
              <w:left w:color="000000" w:space="0" w:sz="0" w:val="nil"/>
              <w:bottom w:color="000000" w:space="0" w:sz="0" w:val="nil"/>
              <w:right w:color="000000" w:space="0" w:sz="0" w:val="nil"/>
            </w:tcBorders>
            <w:tcMar>
              <w:top w:w="100.0" w:type="dxa"/>
              <w:left w:w="120.0" w:type="dxa"/>
              <w:bottom w:w="100.0" w:type="dxa"/>
              <w:right w:w="120.0" w:type="dxa"/>
            </w:tcMar>
            <w:vAlign w:val="top"/>
          </w:tcPr>
          <w:p w:rsidR="00000000" w:rsidDel="00000000" w:rsidP="00000000" w:rsidRDefault="00000000" w:rsidRPr="00000000" w14:paraId="0000007D">
            <w:pPr>
              <w:rPr/>
            </w:pPr>
            <w:r w:rsidDel="00000000" w:rsidR="00000000" w:rsidRPr="00000000">
              <w:rPr>
                <w:rtl w:val="0"/>
              </w:rPr>
              <w:t xml:space="preserve">Counteracting</w:t>
            </w:r>
          </w:p>
        </w:tc>
      </w:tr>
      <w:tr>
        <w:trPr>
          <w:cantSplit w:val="0"/>
          <w:trHeight w:val="465" w:hRule="atLeast"/>
          <w:tblHeader w:val="0"/>
        </w:trPr>
        <w:tc>
          <w:tcPr>
            <w:tcBorders>
              <w:top w:color="000000" w:space="0" w:sz="0" w:val="nil"/>
              <w:left w:color="000000" w:space="0" w:sz="0" w:val="nil"/>
              <w:bottom w:color="000000" w:space="0" w:sz="0" w:val="nil"/>
              <w:right w:color="000000" w:space="0" w:sz="0" w:val="nil"/>
            </w:tcBorders>
            <w:tcMar>
              <w:top w:w="100.0" w:type="dxa"/>
              <w:left w:w="120.0" w:type="dxa"/>
              <w:bottom w:w="100.0" w:type="dxa"/>
              <w:right w:w="120.0" w:type="dxa"/>
            </w:tcMar>
            <w:vAlign w:val="top"/>
          </w:tcPr>
          <w:p w:rsidR="00000000" w:rsidDel="00000000" w:rsidP="00000000" w:rsidRDefault="00000000" w:rsidRPr="00000000" w14:paraId="0000007E">
            <w:pPr>
              <w:rPr/>
            </w:pPr>
            <w:r w:rsidDel="00000000" w:rsidR="00000000" w:rsidRPr="00000000">
              <w:rPr>
                <w:rtl w:val="0"/>
              </w:rPr>
              <w:t xml:space="preserve">Uncoupled</w:t>
            </w:r>
          </w:p>
        </w:tc>
        <w:tc>
          <w:tcPr>
            <w:tcBorders>
              <w:top w:color="000000" w:space="0" w:sz="0" w:val="nil"/>
              <w:left w:color="000000" w:space="0" w:sz="0" w:val="nil"/>
              <w:bottom w:color="000000" w:space="0" w:sz="0" w:val="nil"/>
              <w:right w:color="000000" w:space="0" w:sz="0" w:val="nil"/>
            </w:tcBorders>
            <w:tcMar>
              <w:top w:w="100.0" w:type="dxa"/>
              <w:left w:w="120.0" w:type="dxa"/>
              <w:bottom w:w="100.0" w:type="dxa"/>
              <w:right w:w="120.0" w:type="dxa"/>
            </w:tcMar>
            <w:vAlign w:val="top"/>
          </w:tcPr>
          <w:p w:rsidR="00000000" w:rsidDel="00000000" w:rsidP="00000000" w:rsidRDefault="00000000" w:rsidRPr="00000000" w14:paraId="0000007F">
            <w:pPr>
              <w:rPr/>
            </w:pPr>
            <w:r w:rsidDel="00000000" w:rsidR="00000000" w:rsidRPr="00000000">
              <w:rPr>
                <w:rtl w:val="0"/>
              </w:rPr>
              <w:t xml:space="preserve">–</w:t>
            </w:r>
          </w:p>
        </w:tc>
        <w:tc>
          <w:tcPr>
            <w:tcBorders>
              <w:top w:color="000000" w:space="0" w:sz="0" w:val="nil"/>
              <w:left w:color="000000" w:space="0" w:sz="0" w:val="nil"/>
              <w:bottom w:color="000000" w:space="0" w:sz="0" w:val="nil"/>
              <w:right w:color="000000" w:space="0" w:sz="0" w:val="nil"/>
            </w:tcBorders>
            <w:tcMar>
              <w:top w:w="100.0" w:type="dxa"/>
              <w:left w:w="120.0" w:type="dxa"/>
              <w:bottom w:w="100.0" w:type="dxa"/>
              <w:right w:w="120.0" w:type="dxa"/>
            </w:tcMar>
            <w:vAlign w:val="top"/>
          </w:tcPr>
          <w:p w:rsidR="00000000" w:rsidDel="00000000" w:rsidP="00000000" w:rsidRDefault="00000000" w:rsidRPr="00000000" w14:paraId="00000080">
            <w:pPr>
              <w:rPr/>
            </w:pPr>
            <w:r w:rsidDel="00000000" w:rsidR="00000000" w:rsidRPr="00000000">
              <w:rPr>
                <w:rtl w:val="0"/>
              </w:rPr>
              <w:t xml:space="preserve">–</w:t>
            </w:r>
          </w:p>
        </w:tc>
        <w:tc>
          <w:tcPr>
            <w:tcBorders>
              <w:top w:color="000000" w:space="0" w:sz="0" w:val="nil"/>
              <w:left w:color="000000" w:space="0" w:sz="0" w:val="nil"/>
              <w:bottom w:color="000000" w:space="0" w:sz="0" w:val="nil"/>
              <w:right w:color="000000" w:space="0" w:sz="0" w:val="nil"/>
            </w:tcBorders>
            <w:tcMar>
              <w:top w:w="100.0" w:type="dxa"/>
              <w:left w:w="120.0" w:type="dxa"/>
              <w:bottom w:w="100.0" w:type="dxa"/>
              <w:right w:w="120.0" w:type="dxa"/>
            </w:tcMar>
            <w:vAlign w:val="top"/>
          </w:tcPr>
          <w:p w:rsidR="00000000" w:rsidDel="00000000" w:rsidP="00000000" w:rsidRDefault="00000000" w:rsidRPr="00000000" w14:paraId="00000081">
            <w:pPr>
              <w:rPr/>
            </w:pPr>
            <w:r w:rsidDel="00000000" w:rsidR="00000000" w:rsidRPr="00000000">
              <w:rPr>
                <w:rtl w:val="0"/>
              </w:rPr>
              <w:t xml:space="preserve">X</w:t>
            </w:r>
          </w:p>
        </w:tc>
        <w:tc>
          <w:tcPr>
            <w:tcBorders>
              <w:top w:color="000000" w:space="0" w:sz="0" w:val="nil"/>
              <w:left w:color="000000" w:space="0" w:sz="0" w:val="nil"/>
              <w:bottom w:color="000000" w:space="0" w:sz="0" w:val="nil"/>
              <w:right w:color="000000" w:space="0" w:sz="0" w:val="nil"/>
            </w:tcBorders>
            <w:tcMar>
              <w:top w:w="100.0" w:type="dxa"/>
              <w:left w:w="120.0" w:type="dxa"/>
              <w:bottom w:w="100.0" w:type="dxa"/>
              <w:right w:w="120.0" w:type="dxa"/>
            </w:tcMar>
            <w:vAlign w:val="top"/>
          </w:tcPr>
          <w:p w:rsidR="00000000" w:rsidDel="00000000" w:rsidP="00000000" w:rsidRDefault="00000000" w:rsidRPr="00000000" w14:paraId="00000082">
            <w:pPr>
              <w:rPr/>
            </w:pPr>
            <w:r w:rsidDel="00000000" w:rsidR="00000000" w:rsidRPr="00000000">
              <w:rPr>
                <w:rtl w:val="0"/>
              </w:rPr>
              <w:t xml:space="preserve">Constraining</w:t>
            </w:r>
          </w:p>
        </w:tc>
      </w:tr>
      <w:tr>
        <w:trPr>
          <w:cantSplit w:val="0"/>
          <w:trHeight w:val="735" w:hRule="atLeast"/>
          <w:tblHeader w:val="0"/>
        </w:trPr>
        <w:tc>
          <w:tcPr>
            <w:tcBorders>
              <w:top w:color="000000" w:space="0" w:sz="0" w:val="nil"/>
              <w:left w:color="000000" w:space="0" w:sz="0" w:val="nil"/>
              <w:bottom w:color="000000" w:space="0" w:sz="0" w:val="nil"/>
              <w:right w:color="000000" w:space="0" w:sz="0" w:val="nil"/>
            </w:tcBorders>
            <w:tcMar>
              <w:top w:w="100.0" w:type="dxa"/>
              <w:left w:w="120.0" w:type="dxa"/>
              <w:bottom w:w="100.0" w:type="dxa"/>
              <w:right w:w="120.0" w:type="dxa"/>
            </w:tcMar>
            <w:vAlign w:val="top"/>
          </w:tcPr>
          <w:p w:rsidR="00000000" w:rsidDel="00000000" w:rsidP="00000000" w:rsidRDefault="00000000" w:rsidRPr="00000000" w14:paraId="00000083">
            <w:pPr>
              <w:rPr/>
            </w:pPr>
            <w:r w:rsidDel="00000000" w:rsidR="00000000" w:rsidRPr="00000000">
              <w:rPr>
                <w:rtl w:val="0"/>
              </w:rPr>
              <w:t xml:space="preserve">Coupled only (Brighton and Hove)</w:t>
            </w:r>
          </w:p>
        </w:tc>
        <w:tc>
          <w:tcPr>
            <w:tcBorders>
              <w:top w:color="000000" w:space="0" w:sz="0" w:val="nil"/>
              <w:left w:color="000000" w:space="0" w:sz="0" w:val="nil"/>
              <w:bottom w:color="000000" w:space="0" w:sz="0" w:val="nil"/>
              <w:right w:color="000000" w:space="0" w:sz="0" w:val="nil"/>
            </w:tcBorders>
            <w:tcMar>
              <w:top w:w="100.0" w:type="dxa"/>
              <w:left w:w="120.0" w:type="dxa"/>
              <w:bottom w:w="100.0" w:type="dxa"/>
              <w:right w:w="120.0" w:type="dxa"/>
            </w:tcMar>
            <w:vAlign w:val="top"/>
          </w:tcPr>
          <w:p w:rsidR="00000000" w:rsidDel="00000000" w:rsidP="00000000" w:rsidRDefault="00000000" w:rsidRPr="00000000" w14:paraId="00000084">
            <w:pPr>
              <w:rPr/>
            </w:pPr>
            <w:r w:rsidDel="00000000" w:rsidR="00000000" w:rsidRPr="00000000">
              <w:rPr>
                <w:rtl w:val="0"/>
              </w:rPr>
              <w:t xml:space="preserve">X</w:t>
            </w:r>
          </w:p>
        </w:tc>
        <w:tc>
          <w:tcPr>
            <w:tcBorders>
              <w:top w:color="000000" w:space="0" w:sz="0" w:val="nil"/>
              <w:left w:color="000000" w:space="0" w:sz="0" w:val="nil"/>
              <w:bottom w:color="000000" w:space="0" w:sz="0" w:val="nil"/>
              <w:right w:color="000000" w:space="0" w:sz="0" w:val="nil"/>
            </w:tcBorders>
            <w:tcMar>
              <w:top w:w="100.0" w:type="dxa"/>
              <w:left w:w="120.0" w:type="dxa"/>
              <w:bottom w:w="100.0" w:type="dxa"/>
              <w:right w:w="120.0" w:type="dxa"/>
            </w:tcMar>
            <w:vAlign w:val="top"/>
          </w:tcPr>
          <w:p w:rsidR="00000000" w:rsidDel="00000000" w:rsidP="00000000" w:rsidRDefault="00000000" w:rsidRPr="00000000" w14:paraId="00000085">
            <w:pPr>
              <w:rPr/>
            </w:pPr>
            <w:r w:rsidDel="00000000" w:rsidR="00000000" w:rsidRPr="00000000">
              <w:rPr>
                <w:rtl w:val="0"/>
              </w:rPr>
              <w:t xml:space="preserve">–</w:t>
            </w:r>
          </w:p>
        </w:tc>
        <w:tc>
          <w:tcPr>
            <w:tcBorders>
              <w:top w:color="000000" w:space="0" w:sz="0" w:val="nil"/>
              <w:left w:color="000000" w:space="0" w:sz="0" w:val="nil"/>
              <w:bottom w:color="000000" w:space="0" w:sz="0" w:val="nil"/>
              <w:right w:color="000000" w:space="0" w:sz="0" w:val="nil"/>
            </w:tcBorders>
            <w:tcMar>
              <w:top w:w="100.0" w:type="dxa"/>
              <w:left w:w="120.0" w:type="dxa"/>
              <w:bottom w:w="100.0" w:type="dxa"/>
              <w:right w:w="120.0" w:type="dxa"/>
            </w:tcMar>
            <w:vAlign w:val="top"/>
          </w:tcPr>
          <w:p w:rsidR="00000000" w:rsidDel="00000000" w:rsidP="00000000" w:rsidRDefault="00000000" w:rsidRPr="00000000" w14:paraId="00000086">
            <w:pPr>
              <w:rPr/>
            </w:pPr>
            <w:r w:rsidDel="00000000" w:rsidR="00000000" w:rsidRPr="00000000">
              <w:rPr>
                <w:rFonts w:ascii="Arial Unicode MS" w:cs="Arial Unicode MS" w:eastAsia="Arial Unicode MS" w:hAnsi="Arial Unicode MS"/>
                <w:rtl w:val="0"/>
              </w:rPr>
              <w:t xml:space="preserve">✔</w:t>
            </w:r>
          </w:p>
        </w:tc>
        <w:tc>
          <w:tcPr>
            <w:tcBorders>
              <w:top w:color="000000" w:space="0" w:sz="0" w:val="nil"/>
              <w:left w:color="000000" w:space="0" w:sz="0" w:val="nil"/>
              <w:bottom w:color="000000" w:space="0" w:sz="0" w:val="nil"/>
              <w:right w:color="000000" w:space="0" w:sz="0" w:val="nil"/>
            </w:tcBorders>
            <w:tcMar>
              <w:top w:w="100.0" w:type="dxa"/>
              <w:left w:w="120.0" w:type="dxa"/>
              <w:bottom w:w="100.0" w:type="dxa"/>
              <w:right w:w="120.0" w:type="dxa"/>
            </w:tcMar>
            <w:vAlign w:val="top"/>
          </w:tcPr>
          <w:p w:rsidR="00000000" w:rsidDel="00000000" w:rsidP="00000000" w:rsidRDefault="00000000" w:rsidRPr="00000000" w14:paraId="00000087">
            <w:pPr>
              <w:rPr/>
            </w:pPr>
            <w:r w:rsidDel="00000000" w:rsidR="00000000" w:rsidRPr="00000000">
              <w:rPr>
                <w:rtl w:val="0"/>
              </w:rPr>
              <w:t xml:space="preserve">Constraining at best</w:t>
            </w:r>
          </w:p>
        </w:tc>
      </w:tr>
      <w:tr>
        <w:trPr>
          <w:cantSplit w:val="0"/>
          <w:trHeight w:val="735" w:hRule="atLeast"/>
          <w:tblHeader w:val="0"/>
        </w:trPr>
        <w:tc>
          <w:tcPr>
            <w:tcBorders>
              <w:top w:color="000000" w:space="0" w:sz="0" w:val="nil"/>
              <w:left w:color="000000" w:space="0" w:sz="0" w:val="nil"/>
              <w:bottom w:color="000000" w:space="0" w:sz="0" w:val="nil"/>
              <w:right w:color="000000" w:space="0" w:sz="0" w:val="nil"/>
            </w:tcBorders>
            <w:tcMar>
              <w:top w:w="100.0" w:type="dxa"/>
              <w:left w:w="120.0" w:type="dxa"/>
              <w:bottom w:w="100.0" w:type="dxa"/>
              <w:right w:w="120.0" w:type="dxa"/>
            </w:tcMar>
            <w:vAlign w:val="top"/>
          </w:tcPr>
          <w:p w:rsidR="00000000" w:rsidDel="00000000" w:rsidP="00000000" w:rsidRDefault="00000000" w:rsidRPr="00000000" w14:paraId="00000088">
            <w:pPr>
              <w:rPr/>
            </w:pPr>
            <w:r w:rsidDel="00000000" w:rsidR="00000000" w:rsidRPr="00000000">
              <w:rPr>
                <w:rtl w:val="0"/>
              </w:rPr>
              <w:t xml:space="preserve">Conditioned</w:t>
            </w:r>
          </w:p>
        </w:tc>
        <w:tc>
          <w:tcPr>
            <w:tcBorders>
              <w:top w:color="000000" w:space="0" w:sz="0" w:val="nil"/>
              <w:left w:color="000000" w:space="0" w:sz="0" w:val="nil"/>
              <w:bottom w:color="000000" w:space="0" w:sz="0" w:val="nil"/>
              <w:right w:color="000000" w:space="0" w:sz="0" w:val="nil"/>
            </w:tcBorders>
            <w:tcMar>
              <w:top w:w="100.0" w:type="dxa"/>
              <w:left w:w="120.0" w:type="dxa"/>
              <w:bottom w:w="100.0" w:type="dxa"/>
              <w:right w:w="120.0" w:type="dxa"/>
            </w:tcMar>
            <w:vAlign w:val="top"/>
          </w:tcPr>
          <w:p w:rsidR="00000000" w:rsidDel="00000000" w:rsidP="00000000" w:rsidRDefault="00000000" w:rsidRPr="00000000" w14:paraId="00000089">
            <w:pPr>
              <w:rPr/>
            </w:pPr>
            <w:r w:rsidDel="00000000" w:rsidR="00000000" w:rsidRPr="00000000">
              <w:rPr>
                <w:rFonts w:ascii="Arial Unicode MS" w:cs="Arial Unicode MS" w:eastAsia="Arial Unicode MS" w:hAnsi="Arial Unicode MS"/>
                <w:rtl w:val="0"/>
              </w:rPr>
              <w:t xml:space="preserve">✔</w:t>
            </w:r>
          </w:p>
        </w:tc>
        <w:tc>
          <w:tcPr>
            <w:tcBorders>
              <w:top w:color="000000" w:space="0" w:sz="0" w:val="nil"/>
              <w:left w:color="000000" w:space="0" w:sz="0" w:val="nil"/>
              <w:bottom w:color="000000" w:space="0" w:sz="0" w:val="nil"/>
              <w:right w:color="000000" w:space="0" w:sz="0" w:val="nil"/>
            </w:tcBorders>
            <w:tcMar>
              <w:top w:w="100.0" w:type="dxa"/>
              <w:left w:w="120.0" w:type="dxa"/>
              <w:bottom w:w="100.0" w:type="dxa"/>
              <w:right w:w="120.0" w:type="dxa"/>
            </w:tcMar>
            <w:vAlign w:val="top"/>
          </w:tcPr>
          <w:p w:rsidR="00000000" w:rsidDel="00000000" w:rsidP="00000000" w:rsidRDefault="00000000" w:rsidRPr="00000000" w14:paraId="0000008A">
            <w:pPr>
              <w:rPr/>
            </w:pPr>
            <w:r w:rsidDel="00000000" w:rsidR="00000000" w:rsidRPr="00000000">
              <w:rPr>
                <w:rFonts w:ascii="Arial Unicode MS" w:cs="Arial Unicode MS" w:eastAsia="Arial Unicode MS" w:hAnsi="Arial Unicode MS"/>
                <w:rtl w:val="0"/>
              </w:rPr>
              <w:t xml:space="preserve">✔</w:t>
            </w:r>
          </w:p>
        </w:tc>
        <w:tc>
          <w:tcPr>
            <w:tcBorders>
              <w:top w:color="000000" w:space="0" w:sz="0" w:val="nil"/>
              <w:left w:color="000000" w:space="0" w:sz="0" w:val="nil"/>
              <w:bottom w:color="000000" w:space="0" w:sz="0" w:val="nil"/>
              <w:right w:color="000000" w:space="0" w:sz="0" w:val="nil"/>
            </w:tcBorders>
            <w:tcMar>
              <w:top w:w="100.0" w:type="dxa"/>
              <w:left w:w="120.0" w:type="dxa"/>
              <w:bottom w:w="100.0" w:type="dxa"/>
              <w:right w:w="120.0" w:type="dxa"/>
            </w:tcMar>
            <w:vAlign w:val="top"/>
          </w:tcPr>
          <w:p w:rsidR="00000000" w:rsidDel="00000000" w:rsidP="00000000" w:rsidRDefault="00000000" w:rsidRPr="00000000" w14:paraId="0000008B">
            <w:pPr>
              <w:rPr/>
            </w:pPr>
            <w:r w:rsidDel="00000000" w:rsidR="00000000" w:rsidRPr="00000000">
              <w:rPr>
                <w:rFonts w:ascii="Arial Unicode MS" w:cs="Arial Unicode MS" w:eastAsia="Arial Unicode MS" w:hAnsi="Arial Unicode MS"/>
                <w:rtl w:val="0"/>
              </w:rPr>
              <w:t xml:space="preserve">✔</w:t>
            </w:r>
          </w:p>
        </w:tc>
        <w:tc>
          <w:tcPr>
            <w:tcBorders>
              <w:top w:color="000000" w:space="0" w:sz="0" w:val="nil"/>
              <w:left w:color="000000" w:space="0" w:sz="0" w:val="nil"/>
              <w:bottom w:color="000000" w:space="0" w:sz="0" w:val="nil"/>
              <w:right w:color="000000" w:space="0" w:sz="0" w:val="nil"/>
            </w:tcBorders>
            <w:tcMar>
              <w:top w:w="100.0" w:type="dxa"/>
              <w:left w:w="120.0" w:type="dxa"/>
              <w:bottom w:w="100.0" w:type="dxa"/>
              <w:right w:w="120.0" w:type="dxa"/>
            </w:tcMar>
            <w:vAlign w:val="top"/>
          </w:tcPr>
          <w:p w:rsidR="00000000" w:rsidDel="00000000" w:rsidP="00000000" w:rsidRDefault="00000000" w:rsidRPr="00000000" w14:paraId="0000008C">
            <w:pPr>
              <w:rPr/>
            </w:pPr>
            <w:r w:rsidDel="00000000" w:rsidR="00000000" w:rsidRPr="00000000">
              <w:rPr>
                <w:rtl w:val="0"/>
              </w:rPr>
              <w:t xml:space="preserve">Reinforcing</w:t>
            </w:r>
          </w:p>
        </w:tc>
      </w:tr>
    </w:tbl>
    <w:p w:rsidR="00000000" w:rsidDel="00000000" w:rsidP="00000000" w:rsidRDefault="00000000" w:rsidRPr="00000000" w14:paraId="0000008D">
      <w:pPr>
        <w:rPr/>
      </w:pPr>
      <w:r w:rsidDel="00000000" w:rsidR="00000000" w:rsidRPr="00000000">
        <w:rPr>
          <w:rFonts w:ascii="Arial Unicode MS" w:cs="Arial Unicode MS" w:eastAsia="Arial Unicode MS" w:hAnsi="Arial Unicode MS"/>
          <w:rtl w:val="0"/>
        </w:rPr>
        <w:t xml:space="preserve">Key: ✔ present; X absent; – not established</w:t>
      </w:r>
    </w:p>
    <w:p w:rsidR="00000000" w:rsidDel="00000000" w:rsidP="00000000" w:rsidRDefault="00000000" w:rsidRPr="00000000" w14:paraId="0000008E">
      <w:pPr>
        <w:keepNext w:val="0"/>
        <w:keepLines w:val="0"/>
        <w:spacing w:after="0" w:before="100" w:line="300" w:lineRule="auto"/>
        <w:rPr/>
      </w:pPr>
      <w:r w:rsidDel="00000000" w:rsidR="00000000" w:rsidRPr="00000000">
        <w:rPr>
          <w:rtl w:val="0"/>
        </w:rPr>
      </w:r>
    </w:p>
    <w:p w:rsidR="00000000" w:rsidDel="00000000" w:rsidP="00000000" w:rsidRDefault="00000000" w:rsidRPr="00000000" w14:paraId="0000008F">
      <w:pPr>
        <w:keepNext w:val="0"/>
        <w:keepLines w:val="0"/>
        <w:spacing w:after="0" w:before="100" w:line="300" w:lineRule="auto"/>
        <w:rPr>
          <w:b w:val="1"/>
          <w:bCs w:val="1"/>
        </w:rPr>
      </w:pPr>
      <w:r w:rsidDel="00000000" w:rsidR="00000000" w:rsidRPr="00000000">
        <w:rPr>
          <w:b w:val="1"/>
          <w:bCs w:val="1"/>
          <w:rtl w:val="0"/>
        </w:rPr>
        <w:t xml:space="preserve">6.8 Qualifications</w:t>
      </w:r>
    </w:p>
    <w:p w:rsidR="00000000" w:rsidDel="00000000" w:rsidP="00000000" w:rsidRDefault="00000000" w:rsidRPr="00000000" w14:paraId="00000090">
      <w:pPr>
        <w:rPr/>
      </w:pPr>
      <w:r w:rsidDel="00000000" w:rsidR="00000000" w:rsidRPr="00000000">
        <w:rPr>
          <w:rtl w:val="0"/>
        </w:rPr>
      </w:r>
    </w:p>
    <w:p w:rsidR="00000000" w:rsidDel="00000000" w:rsidP="00000000" w:rsidRDefault="00000000" w:rsidRPr="00000000" w14:paraId="00000091">
      <w:pPr>
        <w:rPr/>
      </w:pPr>
      <w:r w:rsidDel="00000000" w:rsidR="00000000" w:rsidRPr="00000000">
        <w:rPr>
          <w:rtl w:val="0"/>
        </w:rPr>
        <w:t xml:space="preserve">The principle carries three qualifications. Weaving trust addresses the segregation pathway to low trust, not the more powerful deprivation pathway (section 4), so reconciliation cannot rest on relational practice alone. The principle's evidence is uneven: strongest for dual identity, which rests on experimental identity and deliberation research; moderate for injustice salience, tested experimentally but in settings unlike a carousel; and weakest for action coupling, established for participation generally but untested within relational encounters. It has not been tested as a whole in any BBCO setting, which the pilot proposed in section 8 would begin to do. Conditioned in this way, weaving trust can make recognition serve redistribution. Without those conditions, its redistributive contribution remains unmeasured.</w:t>
      </w:r>
    </w:p>
    <w:p w:rsidR="00000000" w:rsidDel="00000000" w:rsidP="00000000" w:rsidRDefault="00000000" w:rsidRPr="00000000" w14:paraId="00000092">
      <w:pPr>
        <w:keepNext w:val="0"/>
        <w:keepLines w:val="0"/>
        <w:spacing w:after="0" w:before="100" w:line="300" w:lineRule="auto"/>
        <w:rPr/>
      </w:pPr>
      <w:r w:rsidDel="00000000" w:rsidR="00000000" w:rsidRPr="00000000">
        <w:rPr>
          <w:rtl w:val="0"/>
        </w:rPr>
      </w:r>
    </w:p>
    <w:p w:rsidR="00000000" w:rsidDel="00000000" w:rsidP="00000000" w:rsidRDefault="00000000" w:rsidRPr="00000000" w14:paraId="00000093">
      <w:pPr>
        <w:keepNext w:val="0"/>
        <w:keepLines w:val="0"/>
        <w:spacing w:after="0" w:before="100" w:line="300" w:lineRule="auto"/>
        <w:rPr>
          <w:b w:val="1"/>
          <w:bCs w:val="1"/>
        </w:rPr>
      </w:pPr>
      <w:r w:rsidDel="00000000" w:rsidR="00000000" w:rsidRPr="00000000">
        <w:rPr>
          <w:b w:val="1"/>
          <w:bCs w:val="1"/>
          <w:rtl w:val="0"/>
        </w:rPr>
        <w:t xml:space="preserve">7. Conclusion</w:t>
      </w:r>
    </w:p>
    <w:p w:rsidR="00000000" w:rsidDel="00000000" w:rsidP="00000000" w:rsidRDefault="00000000" w:rsidRPr="00000000" w14:paraId="00000094">
      <w:pPr>
        <w:rPr/>
      </w:pPr>
      <w:r w:rsidDel="00000000" w:rsidR="00000000" w:rsidRPr="00000000">
        <w:rPr>
          <w:rtl w:val="0"/>
        </w:rPr>
      </w:r>
    </w:p>
    <w:p w:rsidR="00000000" w:rsidDel="00000000" w:rsidP="00000000" w:rsidRDefault="00000000" w:rsidRPr="00000000" w14:paraId="00000095">
      <w:pPr>
        <w:rPr/>
      </w:pPr>
      <w:r w:rsidDel="00000000" w:rsidR="00000000" w:rsidRPr="00000000">
        <w:rPr>
          <w:rtl w:val="0"/>
        </w:rPr>
        <w:t xml:space="preserve">This study set out to examine how BBCO interacts with SDG 16 and SDG 10. Its central finding is that the interaction is asymmetric and contingent.</w:t>
      </w:r>
    </w:p>
    <w:p w:rsidR="00000000" w:rsidDel="00000000" w:rsidP="00000000" w:rsidRDefault="00000000" w:rsidRPr="00000000" w14:paraId="00000096">
      <w:pPr>
        <w:rPr/>
      </w:pPr>
      <w:r w:rsidDel="00000000" w:rsidR="00000000" w:rsidRPr="00000000">
        <w:rPr>
          <w:rtl w:val="0"/>
        </w:rPr>
      </w:r>
    </w:p>
    <w:p w:rsidR="00000000" w:rsidDel="00000000" w:rsidP="00000000" w:rsidRDefault="00000000" w:rsidRPr="00000000" w14:paraId="00000097">
      <w:pPr>
        <w:rPr/>
      </w:pPr>
      <w:r w:rsidDel="00000000" w:rsidR="00000000" w:rsidRPr="00000000">
        <w:rPr>
          <w:rtl w:val="0"/>
        </w:rPr>
        <w:t xml:space="preserve">The representational case is the strongest: BBCO supplies through its institutions the associational resources that section 3 found stratified by deprivation, and converts them, through its assemblies, into public commitments. The recognitional case is strong in theory, but for weaving trust no evaluation has yet observed the effects it predicts. The redistributive case is real and narrow, resting on a real Living Wage confirmed in direction but voluntary in reach. Its contribution to SDG 16 is capped by the limits of institutional membership and by how readily its methods are absorbed into gentler agendas, and its redistributive ceiling is a knowing trade-off for holding a diverse alliance together. Most consequentially, the relational mechanism that secures its SDG 16 goods could suppress the mobilisation SDG 10 requires. This risk is not intrinsic to BBCO: it arises where practice tilts toward commonality, as the documented practice does.</w:t>
      </w:r>
    </w:p>
    <w:p w:rsidR="00000000" w:rsidDel="00000000" w:rsidP="00000000" w:rsidRDefault="00000000" w:rsidRPr="00000000" w14:paraId="00000098">
      <w:pPr>
        <w:rPr/>
      </w:pPr>
      <w:r w:rsidDel="00000000" w:rsidR="00000000" w:rsidRPr="00000000">
        <w:rPr>
          <w:rtl w:val="0"/>
        </w:rPr>
      </w:r>
    </w:p>
    <w:p w:rsidR="00000000" w:rsidDel="00000000" w:rsidP="00000000" w:rsidRDefault="00000000" w:rsidRPr="00000000" w14:paraId="00000099">
      <w:pPr>
        <w:rPr/>
      </w:pPr>
      <w:r w:rsidDel="00000000" w:rsidR="00000000" w:rsidRPr="00000000">
        <w:rPr>
          <w:rtl w:val="0"/>
        </w:rPr>
        <w:t xml:space="preserve">The relationship between the goals consequently runs differently in each direction. From SDG 10 to SDG 16 it is reinforcing: because deprivation does corrosive work on trust and participation, redistribution eases the conditions on which participation depends, though the evidence establishing that direction is observational rather than experimental. From SDG 16 to SDG 10 it is contingent on practice. In Nilsson, Griggs and Visbeck's (2016) terms, harmony-oriented practice can be counteracting, uncoupled practice is constraining, and practice that keeps injustice salient, allows for dual identity and is yoked to material demands can be reinforcing. This asymmetry is the study's central structural finding: it locates the risk not in the relationship between the goals but in the means by which the procedural goal is pursued.</w:t>
      </w:r>
    </w:p>
    <w:p w:rsidR="00000000" w:rsidDel="00000000" w:rsidP="00000000" w:rsidRDefault="00000000" w:rsidRPr="00000000" w14:paraId="0000009A">
      <w:pPr>
        <w:rPr/>
      </w:pPr>
      <w:r w:rsidDel="00000000" w:rsidR="00000000" w:rsidRPr="00000000">
        <w:rPr>
          <w:rtl w:val="0"/>
        </w:rPr>
      </w:r>
    </w:p>
    <w:p w:rsidR="00000000" w:rsidDel="00000000" w:rsidP="00000000" w:rsidRDefault="00000000" w:rsidRPr="00000000" w14:paraId="0000009B">
      <w:pPr>
        <w:rPr/>
      </w:pPr>
      <w:r w:rsidDel="00000000" w:rsidR="00000000" w:rsidRPr="00000000">
        <w:rPr>
          <w:rtl w:val="0"/>
        </w:rPr>
        <w:t xml:space="preserve">The practitioner literature recognises that a relational experiment uncoupled from a plan to build power will achieve less (Tattersall, 2024); this study identifies the possibility that it might achieve worse, by reducing disadvantaged participants' perception of injustice and willingness to act. Broad-based alliances are distinctively exposed, because an affirmation-led default encodes the preferred register of their advantaged members. Mobilising those members into allyship and keeping injustice salient for the disadvantaged are different tasks, but they converge where inequality is acknowledged as illegitimate, and that acknowledgement is the hinge on which reconciliation turns. In Fraser's (2008) terms, the central risk is an analogue of displacement: harmony crowding out the grievance on which redistribution depends.</w:t>
      </w:r>
    </w:p>
    <w:p w:rsidR="00000000" w:rsidDel="00000000" w:rsidP="00000000" w:rsidRDefault="00000000" w:rsidRPr="00000000" w14:paraId="0000009C">
      <w:pPr>
        <w:rPr/>
      </w:pPr>
      <w:r w:rsidDel="00000000" w:rsidR="00000000" w:rsidRPr="00000000">
        <w:rPr>
          <w:rtl w:val="0"/>
        </w:rPr>
      </w:r>
    </w:p>
    <w:p w:rsidR="00000000" w:rsidDel="00000000" w:rsidP="00000000" w:rsidRDefault="00000000" w:rsidRPr="00000000" w14:paraId="0000009D">
      <w:pPr>
        <w:rPr/>
      </w:pPr>
      <w:r w:rsidDel="00000000" w:rsidR="00000000" w:rsidRPr="00000000">
        <w:rPr>
          <w:rtl w:val="0"/>
        </w:rPr>
        <w:t xml:space="preserve">The study's synthesising argument is a design principle: that a relational encounter's mobilising reach is set by three configurable conditions, namely injustice salience, a dual rather than dissolved identity, and action coupling. It renders moderators identified in the psychology of contact as configurable features of organising practice, and adds action coupling, which that psychology does not address. Its evidential support is uneven, and it has not yet been tested in any BBCO setting.</w:t>
      </w:r>
    </w:p>
    <w:p w:rsidR="00000000" w:rsidDel="00000000" w:rsidP="00000000" w:rsidRDefault="00000000" w:rsidRPr="00000000" w14:paraId="0000009E">
      <w:pPr>
        <w:rPr/>
      </w:pPr>
      <w:r w:rsidDel="00000000" w:rsidR="00000000" w:rsidRPr="00000000">
        <w:rPr>
          <w:rtl w:val="0"/>
        </w:rPr>
      </w:r>
    </w:p>
    <w:p w:rsidR="00000000" w:rsidDel="00000000" w:rsidP="00000000" w:rsidRDefault="00000000" w:rsidRPr="00000000" w14:paraId="0000009F">
      <w:pPr>
        <w:keepNext w:val="0"/>
        <w:keepLines w:val="0"/>
        <w:spacing w:after="0" w:before="100" w:line="300" w:lineRule="auto"/>
        <w:rPr>
          <w:b w:val="1"/>
          <w:bCs w:val="1"/>
        </w:rPr>
      </w:pPr>
      <w:r w:rsidDel="00000000" w:rsidR="00000000" w:rsidRPr="00000000">
        <w:rPr>
          <w:b w:val="1"/>
          <w:bCs w:val="1"/>
          <w:rtl w:val="0"/>
        </w:rPr>
        <w:t xml:space="preserve">8. Recommended future actions</w:t>
      </w:r>
    </w:p>
    <w:p w:rsidR="00000000" w:rsidDel="00000000" w:rsidP="00000000" w:rsidRDefault="00000000" w:rsidRPr="00000000" w14:paraId="000000A0">
      <w:pPr>
        <w:keepNext w:val="0"/>
        <w:keepLines w:val="0"/>
        <w:spacing w:after="0" w:before="100" w:line="300" w:lineRule="auto"/>
        <w:rPr/>
      </w:pPr>
      <w:r w:rsidDel="00000000" w:rsidR="00000000" w:rsidRPr="00000000">
        <w:rPr>
          <w:rtl w:val="0"/>
        </w:rPr>
      </w:r>
    </w:p>
    <w:p w:rsidR="00000000" w:rsidDel="00000000" w:rsidP="00000000" w:rsidRDefault="00000000" w:rsidRPr="00000000" w14:paraId="000000A1">
      <w:pPr>
        <w:rPr/>
      </w:pPr>
      <w:r w:rsidDel="00000000" w:rsidR="00000000" w:rsidRPr="00000000">
        <w:rPr>
          <w:rtl w:val="0"/>
        </w:rPr>
        <w:t xml:space="preserve">Citizens UK has recently adopted building trust across difference as a fourth strategic aim, alongside developing leaders, strengthening institutions and making change (Citizens UK, 2026). The recommendations below aim to ensure that the fourth aim serves the third. They are evidence-informed proposals, not proven prescriptions (section 6.8), and they sharpen the sector's own instincts: Alinsky's insistence that relationships are built to win material change, and Tattersall's (2024) warning that a rush to sameness can silence difference.</w:t>
      </w:r>
    </w:p>
    <w:p w:rsidR="00000000" w:rsidDel="00000000" w:rsidP="00000000" w:rsidRDefault="00000000" w:rsidRPr="00000000" w14:paraId="000000A2">
      <w:pPr>
        <w:rPr/>
      </w:pPr>
      <w:r w:rsidDel="00000000" w:rsidR="00000000" w:rsidRPr="00000000">
        <w:rPr>
          <w:rtl w:val="0"/>
        </w:rPr>
      </w:r>
    </w:p>
    <w:p w:rsidR="00000000" w:rsidDel="00000000" w:rsidP="00000000" w:rsidRDefault="00000000" w:rsidRPr="00000000" w14:paraId="000000A3">
      <w:pPr>
        <w:rPr/>
      </w:pPr>
      <w:r w:rsidDel="00000000" w:rsidR="00000000" w:rsidRPr="00000000">
        <w:rPr>
          <w:rtl w:val="0"/>
        </w:rPr>
        <w:t xml:space="preserve">First, redesign the encounter so that injustice is diagnosed and acknowledged. The documented questions ask what participants value about their place, not where they have met unequal treatment, why a problem persists or who holds power over it (section 6.4). Questions should move from personal story to its structural conditions and a named decision-maker (section 6.6), and invite every participant, not only the disadvantaged, to say whether the inequality described is fair, since the evidence indicates that acknowledgement by advantaged partners is what prevents sedation. Facilitators should also cultivate a dual identity (section 6.5), through prompts that ask what an issue means for a participant's own community before asking what the alliance should do, and through protected same-group reflection under deliberative norms, organised where necessary around shared disadvantage. The author is positioned to pilot this, comparing responses to redesigned and current questions in one alliance's next weaving trust.</w:t>
      </w:r>
    </w:p>
    <w:p w:rsidR="00000000" w:rsidDel="00000000" w:rsidP="00000000" w:rsidRDefault="00000000" w:rsidRPr="00000000" w14:paraId="000000A4">
      <w:pPr>
        <w:rPr/>
      </w:pPr>
      <w:r w:rsidDel="00000000" w:rsidR="00000000" w:rsidRPr="00000000">
        <w:rPr>
          <w:rtl w:val="0"/>
        </w:rPr>
      </w:r>
    </w:p>
    <w:p w:rsidR="00000000" w:rsidDel="00000000" w:rsidP="00000000" w:rsidRDefault="00000000" w:rsidRPr="00000000" w14:paraId="000000A5">
      <w:pPr>
        <w:rPr/>
      </w:pPr>
      <w:r w:rsidDel="00000000" w:rsidR="00000000" w:rsidRPr="00000000">
        <w:rPr>
          <w:rtl w:val="0"/>
        </w:rPr>
        <w:t xml:space="preserve">Second, couple every relational experiment to a material aim. Uncoupled practice forgoes mobilisation and removes the anchor from which diagnostic questions most naturally arise (sections 5 and 6.6). Coupling complements the first recommendation rather than replacing it, since Brighton's coupled questions remained prognostic (section 6.7). Because deprivation does the corrosive work on trust, and the institutionally unattached are likely to be concentrated where it is greatest (an inference from the stratification of associational resources in sections 3 and 5), relational work should be convened where it can reach beyond existing members. The cost is strategic: it rules out the open-ended configuration some chapters have preferred.</w:t>
      </w:r>
    </w:p>
    <w:p w:rsidR="00000000" w:rsidDel="00000000" w:rsidP="00000000" w:rsidRDefault="00000000" w:rsidRPr="00000000" w14:paraId="000000A6">
      <w:pPr>
        <w:rPr/>
      </w:pPr>
      <w:r w:rsidDel="00000000" w:rsidR="00000000" w:rsidRPr="00000000">
        <w:rPr>
          <w:rtl w:val="0"/>
        </w:rPr>
      </w:r>
    </w:p>
    <w:p w:rsidR="00000000" w:rsidDel="00000000" w:rsidP="00000000" w:rsidRDefault="00000000" w:rsidRPr="00000000" w14:paraId="000000A7">
      <w:pPr>
        <w:rPr/>
      </w:pPr>
      <w:r w:rsidDel="00000000" w:rsidR="00000000" w:rsidRPr="00000000">
        <w:rPr>
          <w:rtl w:val="0"/>
        </w:rPr>
        <w:t xml:space="preserve">Third, evaluate the fourth aim by its contribution to change. Independent longitudinal measurement using the Critical Consciousness Scale (Diemer et al., 2017), whose underlying construct links critical reflection on inequality to political efficacy and action among marginalised young people (Diemer and Rapa, 2016), and the SIMCA constructs of perceived injustice, group efficacy and politicised identity (van Zomeren, Postmes and Spears, 2008) could show whether relational experiments feed mobilisation and material wins. It should analyse advantaged and disadvantaged participants separately, attend to economic inequality, compare single carousels with recurring ones, and track whether assembly commitments are delivered. This requires external capacity; without it, the other recommendations remain untestable.</w:t>
      </w:r>
    </w:p>
    <w:p w:rsidR="00000000" w:rsidDel="00000000" w:rsidP="00000000" w:rsidRDefault="00000000" w:rsidRPr="00000000" w14:paraId="000000A8">
      <w:pPr>
        <w:rPr/>
      </w:pPr>
      <w:r w:rsidDel="00000000" w:rsidR="00000000" w:rsidRPr="00000000">
        <w:rPr>
          <w:rtl w:val="0"/>
        </w:rPr>
      </w:r>
    </w:p>
    <w:p w:rsidR="00000000" w:rsidDel="00000000" w:rsidP="00000000" w:rsidRDefault="00000000" w:rsidRPr="00000000" w14:paraId="000000A9">
      <w:pPr>
        <w:rPr/>
      </w:pPr>
      <w:r w:rsidDel="00000000" w:rsidR="00000000" w:rsidRPr="00000000">
        <w:rPr>
          <w:rtl w:val="0"/>
        </w:rPr>
        <w:t xml:space="preserve">Fourth, guard the adversarial edge of the sector's accountability work. The exposure to absorption set out in section 5 bears most directly on the fourth aim, which of the four is the easiest for decision-makers to welcome. It is the constructive tension of the accountability assembly that converts recognition into redistribution, and the fourth aim should be judged partly by whether it sustains that tension.</w:t>
      </w:r>
    </w:p>
    <w:p w:rsidR="00000000" w:rsidDel="00000000" w:rsidP="00000000" w:rsidRDefault="00000000" w:rsidRPr="00000000" w14:paraId="000000AA">
      <w:pPr>
        <w:rPr/>
      </w:pPr>
      <w:r w:rsidDel="00000000" w:rsidR="00000000" w:rsidRPr="00000000">
        <w:rPr>
          <w:rtl w:val="0"/>
        </w:rPr>
      </w:r>
    </w:p>
    <w:p w:rsidR="00000000" w:rsidDel="00000000" w:rsidP="00000000" w:rsidRDefault="00000000" w:rsidRPr="00000000" w14:paraId="000000AB">
      <w:pPr>
        <w:rPr/>
      </w:pPr>
      <w:r w:rsidDel="00000000" w:rsidR="00000000" w:rsidRPr="00000000">
        <w:rPr>
          <w:rtl w:val="0"/>
        </w:rPr>
        <w:t xml:space="preserve">A closing caution tempers all four. Relational experiments are self-selecting, drawing in those already disposed to build relationships (Tattersall, 2024). The practice is one instrument of a broader organising strategy: these recommendations aim to improve what it achieves, but cannot overcome self-selection or stand in for redistribution.</w:t>
      </w:r>
    </w:p>
    <w:p w:rsidR="00000000" w:rsidDel="00000000" w:rsidP="00000000" w:rsidRDefault="00000000" w:rsidRPr="00000000" w14:paraId="000000AC">
      <w:pPr>
        <w:keepNext w:val="0"/>
        <w:keepLines w:val="0"/>
        <w:spacing w:after="0" w:before="100" w:line="300" w:lineRule="auto"/>
        <w:rPr>
          <w:b w:val="1"/>
          <w:bCs w:val="1"/>
        </w:rPr>
      </w:pPr>
      <w:r w:rsidDel="00000000" w:rsidR="00000000" w:rsidRPr="00000000">
        <w:rPr>
          <w:rtl w:val="0"/>
        </w:rPr>
      </w:r>
    </w:p>
    <w:p w:rsidR="00000000" w:rsidDel="00000000" w:rsidP="00000000" w:rsidRDefault="00000000" w:rsidRPr="00000000" w14:paraId="000000AD">
      <w:pPr>
        <w:spacing w:after="240" w:before="240" w:lineRule="auto"/>
        <w:rPr>
          <w:b w:val="1"/>
          <w:bCs w:val="1"/>
        </w:rPr>
      </w:pPr>
      <w:r w:rsidDel="00000000" w:rsidR="00000000" w:rsidRPr="00000000">
        <w:rPr>
          <w:b w:val="1"/>
          <w:bCs w:val="1"/>
          <w:rtl w:val="0"/>
        </w:rPr>
        <w:t xml:space="preserve">References</w:t>
      </w:r>
    </w:p>
    <w:p w:rsidR="00000000" w:rsidDel="00000000" w:rsidP="00000000" w:rsidRDefault="00000000" w:rsidRPr="00000000" w14:paraId="000000AE">
      <w:pPr>
        <w:spacing w:after="240" w:before="240" w:lineRule="auto"/>
        <w:rPr/>
      </w:pPr>
      <w:r w:rsidDel="00000000" w:rsidR="00000000" w:rsidRPr="00000000">
        <w:rPr>
          <w:rtl w:val="0"/>
        </w:rPr>
        <w:t xml:space="preserve">Alimo, C. J. (2012) 'From dialogue to action: the impact of cross-race intergroup dialogue on the development of white college students as racial allies', </w:t>
      </w:r>
      <w:r w:rsidDel="00000000" w:rsidR="00000000" w:rsidRPr="00000000">
        <w:rPr>
          <w:i w:val="1"/>
          <w:iCs w:val="1"/>
          <w:rtl w:val="0"/>
        </w:rPr>
        <w:t xml:space="preserve">Equity &amp; Excellence in Education</w:t>
      </w:r>
      <w:r w:rsidDel="00000000" w:rsidR="00000000" w:rsidRPr="00000000">
        <w:rPr>
          <w:rtl w:val="0"/>
        </w:rPr>
        <w:t xml:space="preserve">, 45(1), pp. 36–59.</w:t>
      </w:r>
    </w:p>
    <w:p w:rsidR="00000000" w:rsidDel="00000000" w:rsidP="00000000" w:rsidRDefault="00000000" w:rsidRPr="00000000" w14:paraId="000000AF">
      <w:pPr>
        <w:spacing w:after="240" w:before="240" w:lineRule="auto"/>
        <w:rPr/>
      </w:pPr>
      <w:r w:rsidDel="00000000" w:rsidR="00000000" w:rsidRPr="00000000">
        <w:rPr>
          <w:rtl w:val="0"/>
        </w:rPr>
        <w:t xml:space="preserve">Alinsky, S. D. (1971) </w:t>
      </w:r>
      <w:r w:rsidDel="00000000" w:rsidR="00000000" w:rsidRPr="00000000">
        <w:rPr>
          <w:i w:val="1"/>
          <w:iCs w:val="1"/>
          <w:rtl w:val="0"/>
        </w:rPr>
        <w:t xml:space="preserve">Rules for Radicals</w:t>
      </w:r>
      <w:r w:rsidDel="00000000" w:rsidR="00000000" w:rsidRPr="00000000">
        <w:rPr>
          <w:rtl w:val="0"/>
        </w:rPr>
        <w:t xml:space="preserve">. New York: Random House.</w:t>
      </w:r>
    </w:p>
    <w:p w:rsidR="00000000" w:rsidDel="00000000" w:rsidP="00000000" w:rsidRDefault="00000000" w:rsidRPr="00000000" w14:paraId="000000B0">
      <w:pPr>
        <w:spacing w:after="240" w:before="240" w:lineRule="auto"/>
        <w:rPr/>
      </w:pPr>
      <w:r w:rsidDel="00000000" w:rsidR="00000000" w:rsidRPr="00000000">
        <w:rPr>
          <w:rtl w:val="0"/>
        </w:rPr>
        <w:t xml:space="preserve">Allen, D. S. (2004) </w:t>
      </w:r>
      <w:r w:rsidDel="00000000" w:rsidR="00000000" w:rsidRPr="00000000">
        <w:rPr>
          <w:i w:val="1"/>
          <w:iCs w:val="1"/>
          <w:rtl w:val="0"/>
        </w:rPr>
        <w:t xml:space="preserve">Talking to Strangers: Anxieties of Citizenship since Brown v. Board of Education</w:t>
      </w:r>
      <w:r w:rsidDel="00000000" w:rsidR="00000000" w:rsidRPr="00000000">
        <w:rPr>
          <w:rtl w:val="0"/>
        </w:rPr>
        <w:t xml:space="preserve">. Chicago: University of Chicago Press.</w:t>
      </w:r>
    </w:p>
    <w:p w:rsidR="00000000" w:rsidDel="00000000" w:rsidP="00000000" w:rsidRDefault="00000000" w:rsidRPr="00000000" w14:paraId="000000B1">
      <w:pPr>
        <w:spacing w:after="240" w:before="240" w:lineRule="auto"/>
        <w:rPr/>
      </w:pPr>
      <w:r w:rsidDel="00000000" w:rsidR="00000000" w:rsidRPr="00000000">
        <w:rPr>
          <w:rtl w:val="0"/>
        </w:rPr>
        <w:t xml:space="preserve">Allport, G. W. (1954) </w:t>
      </w:r>
      <w:r w:rsidDel="00000000" w:rsidR="00000000" w:rsidRPr="00000000">
        <w:rPr>
          <w:i w:val="1"/>
          <w:iCs w:val="1"/>
          <w:rtl w:val="0"/>
        </w:rPr>
        <w:t xml:space="preserve">The Nature of Prejudice</w:t>
      </w:r>
      <w:r w:rsidDel="00000000" w:rsidR="00000000" w:rsidRPr="00000000">
        <w:rPr>
          <w:rtl w:val="0"/>
        </w:rPr>
        <w:t xml:space="preserve">. Cambridge, MA: Addison-Wesley.</w:t>
      </w:r>
    </w:p>
    <w:p w:rsidR="00000000" w:rsidDel="00000000" w:rsidP="00000000" w:rsidRDefault="00000000" w:rsidRPr="00000000" w14:paraId="000000B2">
      <w:pPr>
        <w:spacing w:after="240" w:before="240" w:lineRule="auto"/>
        <w:rPr/>
      </w:pPr>
      <w:r w:rsidDel="00000000" w:rsidR="00000000" w:rsidRPr="00000000">
        <w:rPr>
          <w:rtl w:val="0"/>
        </w:rPr>
        <w:t xml:space="preserve">Becker, J. C., Wright, S. C., Lubensky, M. E. et al. (2013) 'Friend or ally: whether cross-group contact undermines collective action depends on what advantaged group members say (or don't say)', </w:t>
      </w:r>
      <w:r w:rsidDel="00000000" w:rsidR="00000000" w:rsidRPr="00000000">
        <w:rPr>
          <w:i w:val="1"/>
          <w:iCs w:val="1"/>
          <w:rtl w:val="0"/>
        </w:rPr>
        <w:t xml:space="preserve">Personality and Social Psychology Bulletin</w:t>
      </w:r>
      <w:r w:rsidDel="00000000" w:rsidR="00000000" w:rsidRPr="00000000">
        <w:rPr>
          <w:rtl w:val="0"/>
        </w:rPr>
        <w:t xml:space="preserve">, 39(4), pp. 442–455.</w:t>
      </w:r>
    </w:p>
    <w:p w:rsidR="00000000" w:rsidDel="00000000" w:rsidP="00000000" w:rsidRDefault="00000000" w:rsidRPr="00000000" w14:paraId="000000B3">
      <w:pPr>
        <w:spacing w:after="240" w:before="240" w:lineRule="auto"/>
        <w:rPr/>
      </w:pPr>
      <w:r w:rsidDel="00000000" w:rsidR="00000000" w:rsidRPr="00000000">
        <w:rPr>
          <w:rtl w:val="0"/>
        </w:rPr>
        <w:t xml:space="preserve">Benford, R. D. and Snow, D. A. (2000) 'Framing processes and social movements: an overview and assessment', </w:t>
      </w:r>
      <w:r w:rsidDel="00000000" w:rsidR="00000000" w:rsidRPr="00000000">
        <w:rPr>
          <w:i w:val="1"/>
          <w:iCs w:val="1"/>
          <w:rtl w:val="0"/>
        </w:rPr>
        <w:t xml:space="preserve">Annual Review of Sociology</w:t>
      </w:r>
      <w:r w:rsidDel="00000000" w:rsidR="00000000" w:rsidRPr="00000000">
        <w:rPr>
          <w:rtl w:val="0"/>
        </w:rPr>
        <w:t xml:space="preserve">, 26, pp. 611–639.</w:t>
      </w:r>
    </w:p>
    <w:p w:rsidR="00000000" w:rsidDel="00000000" w:rsidP="00000000" w:rsidRDefault="00000000" w:rsidRPr="00000000" w14:paraId="000000B4">
      <w:pPr>
        <w:spacing w:after="240" w:before="240" w:lineRule="auto"/>
        <w:rPr/>
      </w:pPr>
      <w:r w:rsidDel="00000000" w:rsidR="00000000" w:rsidRPr="00000000">
        <w:rPr>
          <w:rtl w:val="0"/>
        </w:rPr>
        <w:t xml:space="preserve">Bolton, M. (2017) </w:t>
      </w:r>
      <w:r w:rsidDel="00000000" w:rsidR="00000000" w:rsidRPr="00000000">
        <w:rPr>
          <w:i w:val="1"/>
          <w:iCs w:val="1"/>
          <w:rtl w:val="0"/>
        </w:rPr>
        <w:t xml:space="preserve">How to Resist: Turn Protest to Power</w:t>
      </w:r>
      <w:r w:rsidDel="00000000" w:rsidR="00000000" w:rsidRPr="00000000">
        <w:rPr>
          <w:rtl w:val="0"/>
        </w:rPr>
        <w:t xml:space="preserve">. London: Bloomsbury.</w:t>
      </w:r>
    </w:p>
    <w:p w:rsidR="00000000" w:rsidDel="00000000" w:rsidP="00000000" w:rsidRDefault="00000000" w:rsidRPr="00000000" w14:paraId="000000B5">
      <w:pPr>
        <w:spacing w:after="240" w:before="240" w:lineRule="auto"/>
        <w:rPr/>
      </w:pPr>
      <w:r w:rsidDel="00000000" w:rsidR="00000000" w:rsidRPr="00000000">
        <w:rPr>
          <w:rtl w:val="0"/>
        </w:rPr>
        <w:t xml:space="preserve">Bourquin, P., Brewer, M. and Wernham, T. (2024) 'Trends in income and wealth inequalities', </w:t>
      </w:r>
      <w:r w:rsidDel="00000000" w:rsidR="00000000" w:rsidRPr="00000000">
        <w:rPr>
          <w:i w:val="1"/>
          <w:iCs w:val="1"/>
          <w:rtl w:val="0"/>
        </w:rPr>
        <w:t xml:space="preserve">Oxford Open Economics</w:t>
      </w:r>
      <w:r w:rsidDel="00000000" w:rsidR="00000000" w:rsidRPr="00000000">
        <w:rPr>
          <w:rtl w:val="0"/>
        </w:rPr>
        <w:t xml:space="preserve">, 3(Supplement 1), pp. i103–i146.</w:t>
      </w:r>
    </w:p>
    <w:p w:rsidR="00000000" w:rsidDel="00000000" w:rsidP="00000000" w:rsidRDefault="00000000" w:rsidRPr="00000000" w14:paraId="000000B6">
      <w:pPr>
        <w:spacing w:after="240" w:before="240" w:lineRule="auto"/>
        <w:rPr/>
      </w:pPr>
      <w:r w:rsidDel="00000000" w:rsidR="00000000" w:rsidRPr="00000000">
        <w:rPr>
          <w:rtl w:val="0"/>
        </w:rPr>
        <w:t xml:space="preserve">Brannick, T. and Coghlan, D. (2007) 'In defense of being "native": the case for insider academic research', </w:t>
      </w:r>
      <w:r w:rsidDel="00000000" w:rsidR="00000000" w:rsidRPr="00000000">
        <w:rPr>
          <w:i w:val="1"/>
          <w:iCs w:val="1"/>
          <w:rtl w:val="0"/>
        </w:rPr>
        <w:t xml:space="preserve">Organizational Research Methods</w:t>
      </w:r>
      <w:r w:rsidDel="00000000" w:rsidR="00000000" w:rsidRPr="00000000">
        <w:rPr>
          <w:rtl w:val="0"/>
        </w:rPr>
        <w:t xml:space="preserve">, 10(1), pp. 59–74.</w:t>
      </w:r>
    </w:p>
    <w:p w:rsidR="00000000" w:rsidDel="00000000" w:rsidP="00000000" w:rsidRDefault="00000000" w:rsidRPr="00000000" w14:paraId="000000B7">
      <w:pPr>
        <w:spacing w:after="240" w:before="240" w:lineRule="auto"/>
        <w:rPr/>
      </w:pPr>
      <w:r w:rsidDel="00000000" w:rsidR="00000000" w:rsidRPr="00000000">
        <w:rPr>
          <w:rtl w:val="0"/>
        </w:rPr>
        <w:t xml:space="preserve">Bretherton, L. (2015) </w:t>
      </w:r>
      <w:r w:rsidDel="00000000" w:rsidR="00000000" w:rsidRPr="00000000">
        <w:rPr>
          <w:i w:val="1"/>
          <w:iCs w:val="1"/>
          <w:rtl w:val="0"/>
        </w:rPr>
        <w:t xml:space="preserve">Resurrecting Democracy: Faith, Citizenship, and the Politics of a Common Life</w:t>
      </w:r>
      <w:r w:rsidDel="00000000" w:rsidR="00000000" w:rsidRPr="00000000">
        <w:rPr>
          <w:rtl w:val="0"/>
        </w:rPr>
        <w:t xml:space="preserve">. Cambridge: Cambridge University Press.</w:t>
      </w:r>
    </w:p>
    <w:p w:rsidR="00000000" w:rsidDel="00000000" w:rsidP="00000000" w:rsidRDefault="00000000" w:rsidRPr="00000000" w14:paraId="000000B8">
      <w:pPr>
        <w:spacing w:after="240" w:before="240" w:lineRule="auto"/>
        <w:rPr/>
      </w:pPr>
      <w:r w:rsidDel="00000000" w:rsidR="00000000" w:rsidRPr="00000000">
        <w:rPr>
          <w:rtl w:val="0"/>
        </w:rPr>
        <w:t xml:space="preserve">Broockman, D. E. and Kalla, J. L. (2016) 'Durably reducing transphobia: a field experiment on door-to-door canvassing', </w:t>
      </w:r>
      <w:r w:rsidDel="00000000" w:rsidR="00000000" w:rsidRPr="00000000">
        <w:rPr>
          <w:i w:val="1"/>
          <w:iCs w:val="1"/>
          <w:rtl w:val="0"/>
        </w:rPr>
        <w:t xml:space="preserve">Science</w:t>
      </w:r>
      <w:r w:rsidDel="00000000" w:rsidR="00000000" w:rsidRPr="00000000">
        <w:rPr>
          <w:rtl w:val="0"/>
        </w:rPr>
        <w:t xml:space="preserve">, 352(6282), pp. 220–224.</w:t>
      </w:r>
    </w:p>
    <w:p w:rsidR="00000000" w:rsidDel="00000000" w:rsidP="00000000" w:rsidRDefault="00000000" w:rsidRPr="00000000" w14:paraId="000000B9">
      <w:pPr>
        <w:spacing w:after="240" w:before="240" w:lineRule="auto"/>
        <w:rPr/>
      </w:pPr>
      <w:r w:rsidDel="00000000" w:rsidR="00000000" w:rsidRPr="00000000">
        <w:rPr>
          <w:rtl w:val="0"/>
        </w:rPr>
        <w:t xml:space="preserve">Bunyan, P. (2013) 'Partnership, the Big Society and community organizing: between romanticizing, problematizing and politicizing community', </w:t>
      </w:r>
      <w:r w:rsidDel="00000000" w:rsidR="00000000" w:rsidRPr="00000000">
        <w:rPr>
          <w:i w:val="1"/>
          <w:iCs w:val="1"/>
          <w:rtl w:val="0"/>
        </w:rPr>
        <w:t xml:space="preserve">Community Development Journal</w:t>
      </w:r>
      <w:r w:rsidDel="00000000" w:rsidR="00000000" w:rsidRPr="00000000">
        <w:rPr>
          <w:rtl w:val="0"/>
        </w:rPr>
        <w:t xml:space="preserve">, 48(1), pp. 119–133.</w:t>
      </w:r>
    </w:p>
    <w:p w:rsidR="00000000" w:rsidDel="00000000" w:rsidP="00000000" w:rsidRDefault="00000000" w:rsidRPr="00000000" w14:paraId="000000BA">
      <w:pPr>
        <w:spacing w:after="240" w:before="240" w:lineRule="auto"/>
        <w:rPr/>
      </w:pPr>
      <w:r w:rsidDel="00000000" w:rsidR="00000000" w:rsidRPr="00000000">
        <w:rPr>
          <w:rtl w:val="0"/>
        </w:rPr>
        <w:t xml:space="preserve">Cakal, H., Hewstone, M., Schwär, G. et al. (2011) 'An investigation of the social identity model of collective action and the "sedative" effect of intergroup contact among Black and White students in South Africa', </w:t>
      </w:r>
      <w:r w:rsidDel="00000000" w:rsidR="00000000" w:rsidRPr="00000000">
        <w:rPr>
          <w:i w:val="1"/>
          <w:iCs w:val="1"/>
          <w:rtl w:val="0"/>
        </w:rPr>
        <w:t xml:space="preserve">British Journal of Social Psychology</w:t>
      </w:r>
      <w:r w:rsidDel="00000000" w:rsidR="00000000" w:rsidRPr="00000000">
        <w:rPr>
          <w:rtl w:val="0"/>
        </w:rPr>
        <w:t xml:space="preserve">, 50(4), pp. 606–627.</w:t>
      </w:r>
    </w:p>
    <w:p w:rsidR="00000000" w:rsidDel="00000000" w:rsidP="00000000" w:rsidRDefault="00000000" w:rsidRPr="00000000" w14:paraId="000000BB">
      <w:pPr>
        <w:spacing w:after="240" w:before="240" w:lineRule="auto"/>
        <w:rPr/>
      </w:pPr>
      <w:r w:rsidDel="00000000" w:rsidR="00000000" w:rsidRPr="00000000">
        <w:rPr>
          <w:rtl w:val="0"/>
        </w:rPr>
        <w:t xml:space="preserve">Chambers, E. T. (2003) </w:t>
      </w:r>
      <w:r w:rsidDel="00000000" w:rsidR="00000000" w:rsidRPr="00000000">
        <w:rPr>
          <w:i w:val="1"/>
          <w:iCs w:val="1"/>
          <w:rtl w:val="0"/>
        </w:rPr>
        <w:t xml:space="preserve">Roots for Radicals: Organizing for Power, Action, and Justice</w:t>
      </w:r>
      <w:r w:rsidDel="00000000" w:rsidR="00000000" w:rsidRPr="00000000">
        <w:rPr>
          <w:rtl w:val="0"/>
        </w:rPr>
        <w:t xml:space="preserve">. New York: Continuum.</w:t>
      </w:r>
    </w:p>
    <w:p w:rsidR="00000000" w:rsidDel="00000000" w:rsidP="00000000" w:rsidRDefault="00000000" w:rsidRPr="00000000" w14:paraId="000000BC">
      <w:pPr>
        <w:spacing w:after="240" w:before="240" w:lineRule="auto"/>
        <w:rPr/>
      </w:pPr>
      <w:r w:rsidDel="00000000" w:rsidR="00000000" w:rsidRPr="00000000">
        <w:rPr>
          <w:rtl w:val="0"/>
        </w:rPr>
        <w:t xml:space="preserve">Chan, T. W. and Kawalerowicz, J. (2024) 'Social diversity and social cohesion in Britain', </w:t>
      </w:r>
      <w:r w:rsidDel="00000000" w:rsidR="00000000" w:rsidRPr="00000000">
        <w:rPr>
          <w:i w:val="1"/>
          <w:iCs w:val="1"/>
          <w:rtl w:val="0"/>
        </w:rPr>
        <w:t xml:space="preserve">The British Journal of Sociology</w:t>
      </w:r>
      <w:r w:rsidDel="00000000" w:rsidR="00000000" w:rsidRPr="00000000">
        <w:rPr>
          <w:rtl w:val="0"/>
        </w:rPr>
        <w:t xml:space="preserve">, 75(4), pp. 452–470.</w:t>
      </w:r>
    </w:p>
    <w:p w:rsidR="00000000" w:rsidDel="00000000" w:rsidP="00000000" w:rsidRDefault="00000000" w:rsidRPr="00000000" w14:paraId="000000BD">
      <w:pPr>
        <w:spacing w:after="240" w:before="240" w:lineRule="auto"/>
        <w:rPr/>
      </w:pPr>
      <w:r w:rsidDel="00000000" w:rsidR="00000000" w:rsidRPr="00000000">
        <w:rPr>
          <w:rtl w:val="0"/>
        </w:rPr>
        <w:t xml:space="preserve">Christens, B. D., Peterson, N. A. and Speer, P. W. (2011) 'Community participation and psychological empowerment: testing reciprocal causality using a cross-lagged panel design and latent constructs', </w:t>
      </w:r>
      <w:r w:rsidDel="00000000" w:rsidR="00000000" w:rsidRPr="00000000">
        <w:rPr>
          <w:i w:val="1"/>
          <w:iCs w:val="1"/>
          <w:rtl w:val="0"/>
        </w:rPr>
        <w:t xml:space="preserve">Health Education &amp; Behavior</w:t>
      </w:r>
      <w:r w:rsidDel="00000000" w:rsidR="00000000" w:rsidRPr="00000000">
        <w:rPr>
          <w:rtl w:val="0"/>
        </w:rPr>
        <w:t xml:space="preserve">, 38(4), pp. 339–347.</w:t>
      </w:r>
    </w:p>
    <w:p w:rsidR="00000000" w:rsidDel="00000000" w:rsidP="00000000" w:rsidRDefault="00000000" w:rsidRPr="00000000" w14:paraId="000000BE">
      <w:pPr>
        <w:spacing w:after="240" w:before="240" w:lineRule="auto"/>
        <w:rPr/>
      </w:pPr>
      <w:r w:rsidDel="00000000" w:rsidR="00000000" w:rsidRPr="00000000">
        <w:rPr>
          <w:rtl w:val="0"/>
        </w:rPr>
        <w:t xml:space="preserve">Citizens UK (2026) </w:t>
      </w:r>
      <w:r w:rsidDel="00000000" w:rsidR="00000000" w:rsidRPr="00000000">
        <w:rPr>
          <w:i w:val="1"/>
          <w:iCs w:val="1"/>
          <w:rtl w:val="0"/>
        </w:rPr>
        <w:t xml:space="preserve">Citizens UK</w:t>
      </w:r>
      <w:r w:rsidDel="00000000" w:rsidR="00000000" w:rsidRPr="00000000">
        <w:rPr>
          <w:rtl w:val="0"/>
        </w:rPr>
        <w:t xml:space="preserve">. Available at:</w:t>
      </w:r>
      <w:hyperlink r:id="rId6">
        <w:r w:rsidDel="00000000" w:rsidR="00000000" w:rsidRPr="00000000">
          <w:rPr>
            <w:rtl w:val="0"/>
          </w:rPr>
          <w:t xml:space="preserve"> </w:t>
        </w:r>
      </w:hyperlink>
      <w:hyperlink r:id="rId7">
        <w:r w:rsidDel="00000000" w:rsidR="00000000" w:rsidRPr="00000000">
          <w:rPr>
            <w:color w:val="1155cc"/>
            <w:u w:val="single"/>
            <w:rtl w:val="0"/>
          </w:rPr>
          <w:t xml:space="preserve">https://www.citizensuk.org/</w:t>
        </w:r>
      </w:hyperlink>
      <w:r w:rsidDel="00000000" w:rsidR="00000000" w:rsidRPr="00000000">
        <w:rPr>
          <w:rtl w:val="0"/>
        </w:rPr>
        <w:t xml:space="preserve"> (Accessed: 19 September 2026).</w:t>
      </w:r>
    </w:p>
    <w:p w:rsidR="00000000" w:rsidDel="00000000" w:rsidP="00000000" w:rsidRDefault="00000000" w:rsidRPr="00000000" w14:paraId="000000BF">
      <w:pPr>
        <w:spacing w:after="240" w:before="240" w:lineRule="auto"/>
        <w:rPr/>
      </w:pPr>
      <w:r w:rsidDel="00000000" w:rsidR="00000000" w:rsidRPr="00000000">
        <w:rPr>
          <w:rtl w:val="0"/>
        </w:rPr>
        <w:t xml:space="preserve">Cocco, V. M., Vezzali, L., Stathi, S. et al. (2024) 'Mobilizing or sedative effects? A narrative review of the association between intergroup contact and collective action among advantaged and disadvantaged groups', </w:t>
      </w:r>
      <w:r w:rsidDel="00000000" w:rsidR="00000000" w:rsidRPr="00000000">
        <w:rPr>
          <w:i w:val="1"/>
          <w:iCs w:val="1"/>
          <w:rtl w:val="0"/>
        </w:rPr>
        <w:t xml:space="preserve">Personality and Social Psychology Review</w:t>
      </w:r>
      <w:r w:rsidDel="00000000" w:rsidR="00000000" w:rsidRPr="00000000">
        <w:rPr>
          <w:rtl w:val="0"/>
        </w:rPr>
        <w:t xml:space="preserve">, 28(2), pp. 119–180.</w:t>
      </w:r>
    </w:p>
    <w:p w:rsidR="00000000" w:rsidDel="00000000" w:rsidP="00000000" w:rsidRDefault="00000000" w:rsidRPr="00000000" w14:paraId="000000C0">
      <w:pPr>
        <w:spacing w:after="240" w:before="240" w:lineRule="auto"/>
        <w:rPr/>
      </w:pPr>
      <w:r w:rsidDel="00000000" w:rsidR="00000000" w:rsidRPr="00000000">
        <w:rPr>
          <w:rtl w:val="0"/>
        </w:rPr>
        <w:t xml:space="preserve">Corno, L., La Ferrara, E. and Burns, J. (2022) 'Interaction, stereotypes and performance: evidence from South Africa', </w:t>
      </w:r>
      <w:r w:rsidDel="00000000" w:rsidR="00000000" w:rsidRPr="00000000">
        <w:rPr>
          <w:i w:val="1"/>
          <w:iCs w:val="1"/>
          <w:rtl w:val="0"/>
        </w:rPr>
        <w:t xml:space="preserve">American Economic Review</w:t>
      </w:r>
      <w:r w:rsidDel="00000000" w:rsidR="00000000" w:rsidRPr="00000000">
        <w:rPr>
          <w:rtl w:val="0"/>
        </w:rPr>
        <w:t xml:space="preserve">, 112(12), pp. 3848–3875.</w:t>
      </w:r>
    </w:p>
    <w:p w:rsidR="00000000" w:rsidDel="00000000" w:rsidP="00000000" w:rsidRDefault="00000000" w:rsidRPr="00000000" w14:paraId="000000C1">
      <w:pPr>
        <w:spacing w:after="240" w:before="240" w:lineRule="auto"/>
        <w:rPr/>
      </w:pPr>
      <w:r w:rsidDel="00000000" w:rsidR="00000000" w:rsidRPr="00000000">
        <w:rPr>
          <w:rtl w:val="0"/>
        </w:rPr>
        <w:t xml:space="preserve">Costley, C., Elliott, G. and Gibbs, P. (2010) </w:t>
      </w:r>
      <w:r w:rsidDel="00000000" w:rsidR="00000000" w:rsidRPr="00000000">
        <w:rPr>
          <w:i w:val="1"/>
          <w:iCs w:val="1"/>
          <w:rtl w:val="0"/>
        </w:rPr>
        <w:t xml:space="preserve">Doing Work Based Research: Approaches to Enquiry for Insider-Researchers</w:t>
      </w:r>
      <w:r w:rsidDel="00000000" w:rsidR="00000000" w:rsidRPr="00000000">
        <w:rPr>
          <w:rtl w:val="0"/>
        </w:rPr>
        <w:t xml:space="preserve">. London: SAGE.</w:t>
      </w:r>
    </w:p>
    <w:p w:rsidR="00000000" w:rsidDel="00000000" w:rsidP="00000000" w:rsidRDefault="00000000" w:rsidRPr="00000000" w14:paraId="000000C2">
      <w:pPr>
        <w:spacing w:after="240" w:before="240" w:lineRule="auto"/>
        <w:rPr/>
      </w:pPr>
      <w:r w:rsidDel="00000000" w:rsidR="00000000" w:rsidRPr="00000000">
        <w:rPr>
          <w:rtl w:val="0"/>
        </w:rPr>
        <w:t xml:space="preserve">De Cristofaro, V., Cervone, C., Filippi, S. et al. (2025) 'National identity and economic inequality: new insights from disadvantaged and advantaged groups', </w:t>
      </w:r>
      <w:r w:rsidDel="00000000" w:rsidR="00000000" w:rsidRPr="00000000">
        <w:rPr>
          <w:i w:val="1"/>
          <w:iCs w:val="1"/>
          <w:rtl w:val="0"/>
        </w:rPr>
        <w:t xml:space="preserve">Journal of Community &amp; Applied Social Psychology</w:t>
      </w:r>
      <w:r w:rsidDel="00000000" w:rsidR="00000000" w:rsidRPr="00000000">
        <w:rPr>
          <w:rtl w:val="0"/>
        </w:rPr>
        <w:t xml:space="preserve">, 35(2), e70068.</w:t>
      </w:r>
    </w:p>
    <w:p w:rsidR="00000000" w:rsidDel="00000000" w:rsidP="00000000" w:rsidRDefault="00000000" w:rsidRPr="00000000" w14:paraId="000000C3">
      <w:pPr>
        <w:spacing w:after="240" w:before="240" w:lineRule="auto"/>
        <w:rPr/>
      </w:pPr>
      <w:r w:rsidDel="00000000" w:rsidR="00000000" w:rsidRPr="00000000">
        <w:rPr>
          <w:rtl w:val="0"/>
        </w:rPr>
        <w:t xml:space="preserve">DeFilippis, J., Fisher, R. and Shragge, E. (2010) </w:t>
      </w:r>
      <w:r w:rsidDel="00000000" w:rsidR="00000000" w:rsidRPr="00000000">
        <w:rPr>
          <w:i w:val="1"/>
          <w:iCs w:val="1"/>
          <w:rtl w:val="0"/>
        </w:rPr>
        <w:t xml:space="preserve">Contesting Community: The Limits and Potential of Local Organizing</w:t>
      </w:r>
      <w:r w:rsidDel="00000000" w:rsidR="00000000" w:rsidRPr="00000000">
        <w:rPr>
          <w:rtl w:val="0"/>
        </w:rPr>
        <w:t xml:space="preserve">. New Brunswick, NJ: Rutgers University Press.</w:t>
      </w:r>
    </w:p>
    <w:p w:rsidR="00000000" w:rsidDel="00000000" w:rsidP="00000000" w:rsidRDefault="00000000" w:rsidRPr="00000000" w14:paraId="000000C4">
      <w:pPr>
        <w:spacing w:after="240" w:before="240" w:lineRule="auto"/>
        <w:rPr/>
      </w:pPr>
      <w:r w:rsidDel="00000000" w:rsidR="00000000" w:rsidRPr="00000000">
        <w:rPr>
          <w:rtl w:val="0"/>
        </w:rPr>
        <w:t xml:space="preserve">Department for Culture, Media and Sport and Ministry of Housing, Communities and Local Government (2026a) </w:t>
      </w:r>
      <w:r w:rsidDel="00000000" w:rsidR="00000000" w:rsidRPr="00000000">
        <w:rPr>
          <w:i w:val="1"/>
          <w:iCs w:val="1"/>
          <w:rtl w:val="0"/>
        </w:rPr>
        <w:t xml:space="preserve">Community and Engagement Survey 2025/26 – civic engagement: report</w:t>
      </w:r>
      <w:r w:rsidDel="00000000" w:rsidR="00000000" w:rsidRPr="00000000">
        <w:rPr>
          <w:rtl w:val="0"/>
        </w:rPr>
        <w:t xml:space="preserve">. Available at:</w:t>
      </w:r>
      <w:hyperlink r:id="rId8">
        <w:r w:rsidDel="00000000" w:rsidR="00000000" w:rsidRPr="00000000">
          <w:rPr>
            <w:rtl w:val="0"/>
          </w:rPr>
          <w:t xml:space="preserve"> </w:t>
        </w:r>
      </w:hyperlink>
      <w:hyperlink r:id="rId9">
        <w:r w:rsidDel="00000000" w:rsidR="00000000" w:rsidRPr="00000000">
          <w:rPr>
            <w:color w:val="1155cc"/>
            <w:u w:val="single"/>
            <w:rtl w:val="0"/>
          </w:rPr>
          <w:t xml:space="preserve">https://www.gov.uk/government/statistics/community-and-engagement-survey-202526-civic-engagement/community-and-engagement-survey-202526-civic-engagement-report--2</w:t>
        </w:r>
      </w:hyperlink>
      <w:r w:rsidDel="00000000" w:rsidR="00000000" w:rsidRPr="00000000">
        <w:rPr>
          <w:rtl w:val="0"/>
        </w:rPr>
        <w:t xml:space="preserve"> (Accessed: 18 September 2026).</w:t>
      </w:r>
    </w:p>
    <w:p w:rsidR="00000000" w:rsidDel="00000000" w:rsidP="00000000" w:rsidRDefault="00000000" w:rsidRPr="00000000" w14:paraId="000000C5">
      <w:pPr>
        <w:spacing w:after="240" w:before="240" w:lineRule="auto"/>
        <w:rPr/>
      </w:pPr>
      <w:r w:rsidDel="00000000" w:rsidR="00000000" w:rsidRPr="00000000">
        <w:rPr>
          <w:rtl w:val="0"/>
        </w:rPr>
        <w:t xml:space="preserve">Department for Culture, Media and Sport and Ministry of Housing, Communities and Local Government (2026b) </w:t>
      </w:r>
      <w:r w:rsidDel="00000000" w:rsidR="00000000" w:rsidRPr="00000000">
        <w:rPr>
          <w:i w:val="1"/>
          <w:iCs w:val="1"/>
          <w:rtl w:val="0"/>
        </w:rPr>
        <w:t xml:space="preserve">Community and Engagement Survey 2025/26 – influencing local decisions: report</w:t>
      </w:r>
      <w:r w:rsidDel="00000000" w:rsidR="00000000" w:rsidRPr="00000000">
        <w:rPr>
          <w:rtl w:val="0"/>
        </w:rPr>
        <w:t xml:space="preserve">. Available at:</w:t>
      </w:r>
      <w:hyperlink r:id="rId10">
        <w:r w:rsidDel="00000000" w:rsidR="00000000" w:rsidRPr="00000000">
          <w:rPr>
            <w:rtl w:val="0"/>
          </w:rPr>
          <w:t xml:space="preserve"> </w:t>
        </w:r>
      </w:hyperlink>
      <w:hyperlink r:id="rId11">
        <w:r w:rsidDel="00000000" w:rsidR="00000000" w:rsidRPr="00000000">
          <w:rPr>
            <w:color w:val="1155cc"/>
            <w:u w:val="single"/>
            <w:rtl w:val="0"/>
          </w:rPr>
          <w:t xml:space="preserve">https://www.gov.uk/government/statistics/community-and-engagement-survey-202526-local-decisions/community-and-engagement-survey-202526-influencing-local-decisions-report</w:t>
        </w:r>
      </w:hyperlink>
      <w:r w:rsidDel="00000000" w:rsidR="00000000" w:rsidRPr="00000000">
        <w:rPr>
          <w:rtl w:val="0"/>
        </w:rPr>
        <w:t xml:space="preserve"> (Accessed: 18 September 2026).</w:t>
      </w:r>
    </w:p>
    <w:p w:rsidR="00000000" w:rsidDel="00000000" w:rsidP="00000000" w:rsidRDefault="00000000" w:rsidRPr="00000000" w14:paraId="000000C6">
      <w:pPr>
        <w:spacing w:after="240" w:before="240" w:lineRule="auto"/>
        <w:rPr/>
      </w:pPr>
      <w:r w:rsidDel="00000000" w:rsidR="00000000" w:rsidRPr="00000000">
        <w:rPr>
          <w:rtl w:val="0"/>
        </w:rPr>
        <w:t xml:space="preserve">Department for Culture, Media and Sport and Ministry of Housing, Communities and Local Government (2026c) </w:t>
      </w:r>
      <w:r w:rsidDel="00000000" w:rsidR="00000000" w:rsidRPr="00000000">
        <w:rPr>
          <w:i w:val="1"/>
          <w:iCs w:val="1"/>
          <w:rtl w:val="0"/>
        </w:rPr>
        <w:t xml:space="preserve">Community and Engagement Survey 2025/26 – neighbourhood and community: report</w:t>
      </w:r>
      <w:r w:rsidDel="00000000" w:rsidR="00000000" w:rsidRPr="00000000">
        <w:rPr>
          <w:rtl w:val="0"/>
        </w:rPr>
        <w:t xml:space="preserve">. Available at:</w:t>
      </w:r>
      <w:hyperlink r:id="rId12">
        <w:r w:rsidDel="00000000" w:rsidR="00000000" w:rsidRPr="00000000">
          <w:rPr>
            <w:rtl w:val="0"/>
          </w:rPr>
          <w:t xml:space="preserve"> </w:t>
        </w:r>
      </w:hyperlink>
      <w:hyperlink r:id="rId13">
        <w:r w:rsidDel="00000000" w:rsidR="00000000" w:rsidRPr="00000000">
          <w:rPr>
            <w:color w:val="1155cc"/>
            <w:u w:val="single"/>
            <w:rtl w:val="0"/>
          </w:rPr>
          <w:t xml:space="preserve">https://www.gov.uk/government/statistics/community-and-engagement-survey-202526-neighbourhood/community-and-engagement-survey-202526-neighbourhood-and-community-report</w:t>
        </w:r>
      </w:hyperlink>
      <w:r w:rsidDel="00000000" w:rsidR="00000000" w:rsidRPr="00000000">
        <w:rPr>
          <w:rtl w:val="0"/>
        </w:rPr>
        <w:t xml:space="preserve"> (Accessed: 18 September 2026).</w:t>
      </w:r>
    </w:p>
    <w:p w:rsidR="00000000" w:rsidDel="00000000" w:rsidP="00000000" w:rsidRDefault="00000000" w:rsidRPr="00000000" w14:paraId="000000C7">
      <w:pPr>
        <w:spacing w:after="240" w:before="240" w:lineRule="auto"/>
        <w:rPr/>
      </w:pPr>
      <w:r w:rsidDel="00000000" w:rsidR="00000000" w:rsidRPr="00000000">
        <w:rPr>
          <w:rtl w:val="0"/>
        </w:rPr>
        <w:t xml:space="preserve">Depraetere, J., Vandeviver, C., Vander Beken, T. et al. (2020) 'Big boys don't cry: a critical interpretive synthesis of male sexual victimization', </w:t>
      </w:r>
      <w:r w:rsidDel="00000000" w:rsidR="00000000" w:rsidRPr="00000000">
        <w:rPr>
          <w:i w:val="1"/>
          <w:iCs w:val="1"/>
          <w:rtl w:val="0"/>
        </w:rPr>
        <w:t xml:space="preserve">International Journal of Social Research Methodology</w:t>
      </w:r>
      <w:r w:rsidDel="00000000" w:rsidR="00000000" w:rsidRPr="00000000">
        <w:rPr>
          <w:rtl w:val="0"/>
        </w:rPr>
        <w:t xml:space="preserve">, 24(6), pp. 669–689.</w:t>
      </w:r>
    </w:p>
    <w:p w:rsidR="00000000" w:rsidDel="00000000" w:rsidP="00000000" w:rsidRDefault="00000000" w:rsidRPr="00000000" w14:paraId="000000C8">
      <w:pPr>
        <w:spacing w:after="240" w:before="240" w:lineRule="auto"/>
        <w:rPr/>
      </w:pPr>
      <w:r w:rsidDel="00000000" w:rsidR="00000000" w:rsidRPr="00000000">
        <w:rPr>
          <w:rtl w:val="0"/>
        </w:rPr>
        <w:t xml:space="preserve">Diemer, M. A. and Rapa, L. J. (2016) 'Unraveling the complexity of critical consciousness, political efficacy, and political action among marginalized adolescents', </w:t>
      </w:r>
      <w:r w:rsidDel="00000000" w:rsidR="00000000" w:rsidRPr="00000000">
        <w:rPr>
          <w:i w:val="1"/>
          <w:iCs w:val="1"/>
          <w:rtl w:val="0"/>
        </w:rPr>
        <w:t xml:space="preserve">Child Development</w:t>
      </w:r>
      <w:r w:rsidDel="00000000" w:rsidR="00000000" w:rsidRPr="00000000">
        <w:rPr>
          <w:rtl w:val="0"/>
        </w:rPr>
        <w:t xml:space="preserve">, 87(1), pp. 221–238.</w:t>
      </w:r>
    </w:p>
    <w:p w:rsidR="00000000" w:rsidDel="00000000" w:rsidP="00000000" w:rsidRDefault="00000000" w:rsidRPr="00000000" w14:paraId="000000C9">
      <w:pPr>
        <w:spacing w:after="240" w:before="240" w:lineRule="auto"/>
        <w:rPr/>
      </w:pPr>
      <w:r w:rsidDel="00000000" w:rsidR="00000000" w:rsidRPr="00000000">
        <w:rPr>
          <w:rtl w:val="0"/>
        </w:rPr>
        <w:t xml:space="preserve">Diemer, M. A., Rapa, L. J., Park, C. J. et al. (2017) 'Development and validation of the Critical Consciousness Scale', </w:t>
      </w:r>
      <w:r w:rsidDel="00000000" w:rsidR="00000000" w:rsidRPr="00000000">
        <w:rPr>
          <w:i w:val="1"/>
          <w:iCs w:val="1"/>
          <w:rtl w:val="0"/>
        </w:rPr>
        <w:t xml:space="preserve">Youth &amp; Society</w:t>
      </w:r>
      <w:r w:rsidDel="00000000" w:rsidR="00000000" w:rsidRPr="00000000">
        <w:rPr>
          <w:rtl w:val="0"/>
        </w:rPr>
        <w:t xml:space="preserve">, 49(4), pp. 461–483.</w:t>
      </w:r>
    </w:p>
    <w:p w:rsidR="00000000" w:rsidDel="00000000" w:rsidP="00000000" w:rsidRDefault="00000000" w:rsidRPr="00000000" w14:paraId="000000CA">
      <w:pPr>
        <w:spacing w:after="240" w:before="240" w:lineRule="auto"/>
        <w:rPr/>
      </w:pPr>
      <w:r w:rsidDel="00000000" w:rsidR="00000000" w:rsidRPr="00000000">
        <w:rPr>
          <w:rtl w:val="0"/>
        </w:rPr>
        <w:t xml:space="preserve">Dinesen, P. T., Schaeffer, M. and Sønderskov, K. M. (2020) 'Ethnic diversity and social trust: a narrative and meta-analytical review', </w:t>
      </w:r>
      <w:r w:rsidDel="00000000" w:rsidR="00000000" w:rsidRPr="00000000">
        <w:rPr>
          <w:i w:val="1"/>
          <w:iCs w:val="1"/>
          <w:rtl w:val="0"/>
        </w:rPr>
        <w:t xml:space="preserve">Annual Review of Political Science</w:t>
      </w:r>
      <w:r w:rsidDel="00000000" w:rsidR="00000000" w:rsidRPr="00000000">
        <w:rPr>
          <w:rtl w:val="0"/>
        </w:rPr>
        <w:t xml:space="preserve">, 23, pp. 441–465.</w:t>
      </w:r>
    </w:p>
    <w:p w:rsidR="00000000" w:rsidDel="00000000" w:rsidP="00000000" w:rsidRDefault="00000000" w:rsidRPr="00000000" w14:paraId="000000CB">
      <w:pPr>
        <w:spacing w:after="240" w:before="240" w:lineRule="auto"/>
        <w:rPr/>
      </w:pPr>
      <w:r w:rsidDel="00000000" w:rsidR="00000000" w:rsidRPr="00000000">
        <w:rPr>
          <w:rtl w:val="0"/>
        </w:rPr>
        <w:t xml:space="preserve">Dixon-Woods, M., Cavers, D., Agarwal, S. et al. (2006) 'Conducting a critical interpretive synthesis of the literature on access to healthcare by vulnerable groups', </w:t>
      </w:r>
      <w:r w:rsidDel="00000000" w:rsidR="00000000" w:rsidRPr="00000000">
        <w:rPr>
          <w:i w:val="1"/>
          <w:iCs w:val="1"/>
          <w:rtl w:val="0"/>
        </w:rPr>
        <w:t xml:space="preserve">BMC Medical Research Methodology</w:t>
      </w:r>
      <w:r w:rsidDel="00000000" w:rsidR="00000000" w:rsidRPr="00000000">
        <w:rPr>
          <w:rtl w:val="0"/>
        </w:rPr>
        <w:t xml:space="preserve">, 6, 35.</w:t>
      </w:r>
    </w:p>
    <w:p w:rsidR="00000000" w:rsidDel="00000000" w:rsidP="00000000" w:rsidRDefault="00000000" w:rsidRPr="00000000" w14:paraId="000000CC">
      <w:pPr>
        <w:spacing w:after="240" w:before="240" w:lineRule="auto"/>
        <w:rPr/>
      </w:pPr>
      <w:r w:rsidDel="00000000" w:rsidR="00000000" w:rsidRPr="00000000">
        <w:rPr>
          <w:rtl w:val="0"/>
        </w:rPr>
        <w:t xml:space="preserve">Flemming, K. (2010) 'Synthesis of quantitative and qualitative research: an example using critical interpretive synthesis', </w:t>
      </w:r>
      <w:r w:rsidDel="00000000" w:rsidR="00000000" w:rsidRPr="00000000">
        <w:rPr>
          <w:i w:val="1"/>
          <w:iCs w:val="1"/>
          <w:rtl w:val="0"/>
        </w:rPr>
        <w:t xml:space="preserve">Journal of Advanced Nursing</w:t>
      </w:r>
      <w:r w:rsidDel="00000000" w:rsidR="00000000" w:rsidRPr="00000000">
        <w:rPr>
          <w:rtl w:val="0"/>
        </w:rPr>
        <w:t xml:space="preserve">, 66(1), pp. 201–217.</w:t>
      </w:r>
    </w:p>
    <w:p w:rsidR="00000000" w:rsidDel="00000000" w:rsidP="00000000" w:rsidRDefault="00000000" w:rsidRPr="00000000" w14:paraId="000000CD">
      <w:pPr>
        <w:spacing w:after="240" w:before="240" w:lineRule="auto"/>
        <w:rPr/>
      </w:pPr>
      <w:r w:rsidDel="00000000" w:rsidR="00000000" w:rsidRPr="00000000">
        <w:rPr>
          <w:rtl w:val="0"/>
        </w:rPr>
        <w:t xml:space="preserve">Fraser, N. (2000) 'Rethinking recognition', </w:t>
      </w:r>
      <w:r w:rsidDel="00000000" w:rsidR="00000000" w:rsidRPr="00000000">
        <w:rPr>
          <w:i w:val="1"/>
          <w:iCs w:val="1"/>
          <w:rtl w:val="0"/>
        </w:rPr>
        <w:t xml:space="preserve">New Left Review</w:t>
      </w:r>
      <w:r w:rsidDel="00000000" w:rsidR="00000000" w:rsidRPr="00000000">
        <w:rPr>
          <w:rtl w:val="0"/>
        </w:rPr>
        <w:t xml:space="preserve">, 3, pp. 107–120.</w:t>
      </w:r>
    </w:p>
    <w:p w:rsidR="00000000" w:rsidDel="00000000" w:rsidP="00000000" w:rsidRDefault="00000000" w:rsidRPr="00000000" w14:paraId="000000CE">
      <w:pPr>
        <w:spacing w:after="240" w:before="240" w:lineRule="auto"/>
        <w:rPr/>
      </w:pPr>
      <w:r w:rsidDel="00000000" w:rsidR="00000000" w:rsidRPr="00000000">
        <w:rPr>
          <w:rtl w:val="0"/>
        </w:rPr>
        <w:t xml:space="preserve">Fraser, N. (2008) </w:t>
      </w:r>
      <w:r w:rsidDel="00000000" w:rsidR="00000000" w:rsidRPr="00000000">
        <w:rPr>
          <w:i w:val="1"/>
          <w:iCs w:val="1"/>
          <w:rtl w:val="0"/>
        </w:rPr>
        <w:t xml:space="preserve">Scales of Justice: Reimagining Political Space in a Globalizing World</w:t>
      </w:r>
      <w:r w:rsidDel="00000000" w:rsidR="00000000" w:rsidRPr="00000000">
        <w:rPr>
          <w:rtl w:val="0"/>
        </w:rPr>
        <w:t xml:space="preserve">. Cambridge: Polity Press.</w:t>
      </w:r>
    </w:p>
    <w:p w:rsidR="00000000" w:rsidDel="00000000" w:rsidP="00000000" w:rsidRDefault="00000000" w:rsidRPr="00000000" w14:paraId="000000CF">
      <w:pPr>
        <w:spacing w:after="240" w:before="240" w:lineRule="auto"/>
        <w:rPr/>
      </w:pPr>
      <w:r w:rsidDel="00000000" w:rsidR="00000000" w:rsidRPr="00000000">
        <w:rPr>
          <w:rtl w:val="0"/>
        </w:rPr>
        <w:t xml:space="preserve">Friehs, M. T., Schäfer, S. J., Wüst, K. et al. (2026) 'A comparative multi-method re-analysis of the longitudinal evidence for causal intergroup contact effects on attitudes', </w:t>
      </w:r>
      <w:r w:rsidDel="00000000" w:rsidR="00000000" w:rsidRPr="00000000">
        <w:rPr>
          <w:i w:val="1"/>
          <w:iCs w:val="1"/>
          <w:rtl w:val="0"/>
        </w:rPr>
        <w:t xml:space="preserve">Communications Psychology</w:t>
      </w:r>
      <w:r w:rsidDel="00000000" w:rsidR="00000000" w:rsidRPr="00000000">
        <w:rPr>
          <w:rtl w:val="0"/>
        </w:rPr>
        <w:t xml:space="preserve">, 4, 107.</w:t>
      </w:r>
    </w:p>
    <w:p w:rsidR="00000000" w:rsidDel="00000000" w:rsidP="00000000" w:rsidRDefault="00000000" w:rsidRPr="00000000" w14:paraId="000000D0">
      <w:pPr>
        <w:spacing w:after="240" w:before="240" w:lineRule="auto"/>
        <w:rPr/>
      </w:pPr>
      <w:r w:rsidDel="00000000" w:rsidR="00000000" w:rsidRPr="00000000">
        <w:rPr>
          <w:rtl w:val="0"/>
        </w:rPr>
        <w:t xml:space="preserve">Frisch, L. K., Sebben, S., Liekefett, L. et al. (2023) 'Support for social change among members of advantaged groups: the role of a dual identity representation and accepting intergroup contact', </w:t>
      </w:r>
      <w:r w:rsidDel="00000000" w:rsidR="00000000" w:rsidRPr="00000000">
        <w:rPr>
          <w:i w:val="1"/>
          <w:iCs w:val="1"/>
          <w:rtl w:val="0"/>
        </w:rPr>
        <w:t xml:space="preserve">Personality and Social Psychology Bulletin</w:t>
      </w:r>
      <w:r w:rsidDel="00000000" w:rsidR="00000000" w:rsidRPr="00000000">
        <w:rPr>
          <w:rtl w:val="0"/>
        </w:rPr>
        <w:t xml:space="preserve">, 49(7), pp. 1000–1013.</w:t>
      </w:r>
    </w:p>
    <w:p w:rsidR="00000000" w:rsidDel="00000000" w:rsidP="00000000" w:rsidRDefault="00000000" w:rsidRPr="00000000" w14:paraId="000000D1">
      <w:pPr>
        <w:spacing w:after="240" w:before="240" w:lineRule="auto"/>
        <w:rPr/>
      </w:pPr>
      <w:r w:rsidDel="00000000" w:rsidR="00000000" w:rsidRPr="00000000">
        <w:rPr>
          <w:rtl w:val="0"/>
        </w:rPr>
        <w:t xml:space="preserve">Gamson, W. A. (1992) </w:t>
      </w:r>
      <w:r w:rsidDel="00000000" w:rsidR="00000000" w:rsidRPr="00000000">
        <w:rPr>
          <w:i w:val="1"/>
          <w:iCs w:val="1"/>
          <w:rtl w:val="0"/>
        </w:rPr>
        <w:t xml:space="preserve">Talking Politics</w:t>
      </w:r>
      <w:r w:rsidDel="00000000" w:rsidR="00000000" w:rsidRPr="00000000">
        <w:rPr>
          <w:rtl w:val="0"/>
        </w:rPr>
        <w:t xml:space="preserve">. Cambridge: Cambridge University Press.</w:t>
      </w:r>
    </w:p>
    <w:p w:rsidR="00000000" w:rsidDel="00000000" w:rsidP="00000000" w:rsidRDefault="00000000" w:rsidRPr="00000000" w14:paraId="000000D2">
      <w:pPr>
        <w:spacing w:after="240" w:before="240" w:lineRule="auto"/>
        <w:rPr/>
      </w:pPr>
      <w:r w:rsidDel="00000000" w:rsidR="00000000" w:rsidRPr="00000000">
        <w:rPr>
          <w:rtl w:val="0"/>
        </w:rPr>
        <w:t xml:space="preserve">Ganz, M. (2011) 'Public narrative, collective action, and power', in Odugbemi, S. and Lee, T. (eds) </w:t>
      </w:r>
      <w:r w:rsidDel="00000000" w:rsidR="00000000" w:rsidRPr="00000000">
        <w:rPr>
          <w:i w:val="1"/>
          <w:iCs w:val="1"/>
          <w:rtl w:val="0"/>
        </w:rPr>
        <w:t xml:space="preserve">Accountability Through Public Opinion: From Inertia to Public Action</w:t>
      </w:r>
      <w:r w:rsidDel="00000000" w:rsidR="00000000" w:rsidRPr="00000000">
        <w:rPr>
          <w:rtl w:val="0"/>
        </w:rPr>
        <w:t xml:space="preserve">. Washington, DC: World Bank, pp. 273–289.</w:t>
      </w:r>
    </w:p>
    <w:p w:rsidR="00000000" w:rsidDel="00000000" w:rsidP="00000000" w:rsidRDefault="00000000" w:rsidRPr="00000000" w14:paraId="000000D3">
      <w:pPr>
        <w:spacing w:after="240" w:before="240" w:lineRule="auto"/>
        <w:rPr/>
      </w:pPr>
      <w:r w:rsidDel="00000000" w:rsidR="00000000" w:rsidRPr="00000000">
        <w:rPr>
          <w:rtl w:val="0"/>
        </w:rPr>
        <w:t xml:space="preserve">Glasford, D. E. and Dovidio, J. F. (2011) 'E pluribus unum: dual identity and minority group members' motivation to engage in contact, as well as social change', </w:t>
      </w:r>
      <w:r w:rsidDel="00000000" w:rsidR="00000000" w:rsidRPr="00000000">
        <w:rPr>
          <w:i w:val="1"/>
          <w:iCs w:val="1"/>
          <w:rtl w:val="0"/>
        </w:rPr>
        <w:t xml:space="preserve">Journal of Experimental Social Psychology</w:t>
      </w:r>
      <w:r w:rsidDel="00000000" w:rsidR="00000000" w:rsidRPr="00000000">
        <w:rPr>
          <w:rtl w:val="0"/>
        </w:rPr>
        <w:t xml:space="preserve">, 47(5), pp. 1021–1024.</w:t>
      </w:r>
    </w:p>
    <w:p w:rsidR="00000000" w:rsidDel="00000000" w:rsidP="00000000" w:rsidRDefault="00000000" w:rsidRPr="00000000" w14:paraId="000000D4">
      <w:pPr>
        <w:spacing w:after="240" w:before="240" w:lineRule="auto"/>
        <w:rPr/>
      </w:pPr>
      <w:r w:rsidDel="00000000" w:rsidR="00000000" w:rsidRPr="00000000">
        <w:rPr>
          <w:rtl w:val="0"/>
        </w:rPr>
        <w:t xml:space="preserve">Grönlund, K., Herne, K. and Setälä, M. (2015) 'Does enclave deliberation polarize opinions?', </w:t>
      </w:r>
      <w:r w:rsidDel="00000000" w:rsidR="00000000" w:rsidRPr="00000000">
        <w:rPr>
          <w:i w:val="1"/>
          <w:iCs w:val="1"/>
          <w:rtl w:val="0"/>
        </w:rPr>
        <w:t xml:space="preserve">Political Behavior</w:t>
      </w:r>
      <w:r w:rsidDel="00000000" w:rsidR="00000000" w:rsidRPr="00000000">
        <w:rPr>
          <w:rtl w:val="0"/>
        </w:rPr>
        <w:t xml:space="preserve">, 37(4), pp. 995–1020.</w:t>
      </w:r>
    </w:p>
    <w:p w:rsidR="00000000" w:rsidDel="00000000" w:rsidP="00000000" w:rsidRDefault="00000000" w:rsidRPr="00000000" w14:paraId="000000D5">
      <w:pPr>
        <w:spacing w:after="240" w:before="240" w:lineRule="auto"/>
        <w:rPr/>
      </w:pPr>
      <w:r w:rsidDel="00000000" w:rsidR="00000000" w:rsidRPr="00000000">
        <w:rPr>
          <w:rtl w:val="0"/>
        </w:rPr>
        <w:t xml:space="preserve">Gurin, P., Nagda, B. A. and Zúñiga, X. (2013) </w:t>
      </w:r>
      <w:r w:rsidDel="00000000" w:rsidR="00000000" w:rsidRPr="00000000">
        <w:rPr>
          <w:i w:val="1"/>
          <w:iCs w:val="1"/>
          <w:rtl w:val="0"/>
        </w:rPr>
        <w:t xml:space="preserve">Dialogue Across Difference: Practice, Theory, and Research on Intergroup Dialogue</w:t>
      </w:r>
      <w:r w:rsidDel="00000000" w:rsidR="00000000" w:rsidRPr="00000000">
        <w:rPr>
          <w:rtl w:val="0"/>
        </w:rPr>
        <w:t xml:space="preserve">. New York: Russell Sage Foundation.</w:t>
      </w:r>
    </w:p>
    <w:p w:rsidR="00000000" w:rsidDel="00000000" w:rsidP="00000000" w:rsidRDefault="00000000" w:rsidRPr="00000000" w14:paraId="000000D6">
      <w:pPr>
        <w:spacing w:after="240" w:before="240" w:lineRule="auto"/>
        <w:rPr/>
      </w:pPr>
      <w:r w:rsidDel="00000000" w:rsidR="00000000" w:rsidRPr="00000000">
        <w:rPr>
          <w:rtl w:val="0"/>
        </w:rPr>
        <w:t xml:space="preserve">Hässler, T., Ullrich, J., Bernardino, M. et al. (2020) 'A large-scale test of the link between intergroup contact and support for social change', </w:t>
      </w:r>
      <w:r w:rsidDel="00000000" w:rsidR="00000000" w:rsidRPr="00000000">
        <w:rPr>
          <w:i w:val="1"/>
          <w:iCs w:val="1"/>
          <w:rtl w:val="0"/>
        </w:rPr>
        <w:t xml:space="preserve">Nature Human Behaviour</w:t>
      </w:r>
      <w:r w:rsidDel="00000000" w:rsidR="00000000" w:rsidRPr="00000000">
        <w:rPr>
          <w:rtl w:val="0"/>
        </w:rPr>
        <w:t xml:space="preserve">, 4(4), pp. 380–386.</w:t>
      </w:r>
    </w:p>
    <w:p w:rsidR="00000000" w:rsidDel="00000000" w:rsidP="00000000" w:rsidRDefault="00000000" w:rsidRPr="00000000" w14:paraId="000000D7">
      <w:pPr>
        <w:spacing w:after="240" w:before="240" w:lineRule="auto"/>
        <w:rPr/>
      </w:pPr>
      <w:r w:rsidDel="00000000" w:rsidR="00000000" w:rsidRPr="00000000">
        <w:rPr>
          <w:rtl w:val="0"/>
        </w:rPr>
        <w:t xml:space="preserve">Hässler, T., Uluğ, Ö. M., Kappmeier, M. et al. (2021) 'Intergroup contact and social change: an integrated contact-collective action model', </w:t>
      </w:r>
      <w:r w:rsidDel="00000000" w:rsidR="00000000" w:rsidRPr="00000000">
        <w:rPr>
          <w:i w:val="1"/>
          <w:iCs w:val="1"/>
          <w:rtl w:val="0"/>
        </w:rPr>
        <w:t xml:space="preserve">Journal of Social Issues</w:t>
      </w:r>
      <w:r w:rsidDel="00000000" w:rsidR="00000000" w:rsidRPr="00000000">
        <w:rPr>
          <w:rtl w:val="0"/>
        </w:rPr>
        <w:t xml:space="preserve">, 77(1), pp. 217–241.</w:t>
      </w:r>
    </w:p>
    <w:p w:rsidR="00000000" w:rsidDel="00000000" w:rsidP="00000000" w:rsidRDefault="00000000" w:rsidRPr="00000000" w14:paraId="000000D8">
      <w:pPr>
        <w:spacing w:after="240" w:before="240" w:lineRule="auto"/>
        <w:rPr/>
      </w:pPr>
      <w:r w:rsidDel="00000000" w:rsidR="00000000" w:rsidRPr="00000000">
        <w:rPr>
          <w:rtl w:val="0"/>
        </w:rPr>
        <w:t xml:space="preserve">Heery, E., Hann, D. and Nash, D. (2017) 'The Living Wage campaign in the UK', </w:t>
      </w:r>
      <w:r w:rsidDel="00000000" w:rsidR="00000000" w:rsidRPr="00000000">
        <w:rPr>
          <w:i w:val="1"/>
          <w:iCs w:val="1"/>
          <w:rtl w:val="0"/>
        </w:rPr>
        <w:t xml:space="preserve">Employee Relations</w:t>
      </w:r>
      <w:r w:rsidDel="00000000" w:rsidR="00000000" w:rsidRPr="00000000">
        <w:rPr>
          <w:rtl w:val="0"/>
        </w:rPr>
        <w:t xml:space="preserve">, 39(6), pp. 800–814.</w:t>
      </w:r>
    </w:p>
    <w:p w:rsidR="00000000" w:rsidDel="00000000" w:rsidP="00000000" w:rsidRDefault="00000000" w:rsidRPr="00000000" w14:paraId="000000D9">
      <w:pPr>
        <w:spacing w:after="240" w:before="240" w:lineRule="auto"/>
        <w:rPr/>
      </w:pPr>
      <w:r w:rsidDel="00000000" w:rsidR="00000000" w:rsidRPr="00000000">
        <w:rPr>
          <w:rtl w:val="0"/>
        </w:rPr>
        <w:t xml:space="preserve">Heery, E., Hann, D. and Nash, D. (2020) 'Political devolution and employment relations in Great Britain: the case of the Living Wage', </w:t>
      </w:r>
      <w:r w:rsidDel="00000000" w:rsidR="00000000" w:rsidRPr="00000000">
        <w:rPr>
          <w:i w:val="1"/>
          <w:iCs w:val="1"/>
          <w:rtl w:val="0"/>
        </w:rPr>
        <w:t xml:space="preserve">Industrial Relations Journal</w:t>
      </w:r>
      <w:r w:rsidDel="00000000" w:rsidR="00000000" w:rsidRPr="00000000">
        <w:rPr>
          <w:rtl w:val="0"/>
        </w:rPr>
        <w:t xml:space="preserve">, 51(5), pp. 391–409.</w:t>
      </w:r>
    </w:p>
    <w:p w:rsidR="00000000" w:rsidDel="00000000" w:rsidP="00000000" w:rsidRDefault="00000000" w:rsidRPr="00000000" w14:paraId="000000DA">
      <w:pPr>
        <w:spacing w:after="240" w:before="240" w:lineRule="auto"/>
        <w:rPr/>
      </w:pPr>
      <w:r w:rsidDel="00000000" w:rsidR="00000000" w:rsidRPr="00000000">
        <w:rPr>
          <w:rtl w:val="0"/>
        </w:rPr>
        <w:t xml:space="preserve">Heery, E., Nash, D. and Hann, D. (2017) </w:t>
      </w:r>
      <w:r w:rsidDel="00000000" w:rsidR="00000000" w:rsidRPr="00000000">
        <w:rPr>
          <w:i w:val="1"/>
          <w:iCs w:val="1"/>
          <w:rtl w:val="0"/>
        </w:rPr>
        <w:t xml:space="preserve">The Living Wage Employer Experience</w:t>
      </w:r>
      <w:r w:rsidDel="00000000" w:rsidR="00000000" w:rsidRPr="00000000">
        <w:rPr>
          <w:rtl w:val="0"/>
        </w:rPr>
        <w:t xml:space="preserve">. Cardiff: Cardiff Business School.</w:t>
      </w:r>
    </w:p>
    <w:p w:rsidR="00000000" w:rsidDel="00000000" w:rsidP="00000000" w:rsidRDefault="00000000" w:rsidRPr="00000000" w14:paraId="000000DB">
      <w:pPr>
        <w:spacing w:after="240" w:before="240" w:lineRule="auto"/>
        <w:rPr/>
      </w:pPr>
      <w:r w:rsidDel="00000000" w:rsidR="00000000" w:rsidRPr="00000000">
        <w:rPr>
          <w:rtl w:val="0"/>
        </w:rPr>
        <w:t xml:space="preserve">Holgate, J. (2009) 'Contested terrain: London's living wage campaign and the tension between community and union organising', in McBride, J. and Greenwood, I. (eds) </w:t>
      </w:r>
      <w:r w:rsidDel="00000000" w:rsidR="00000000" w:rsidRPr="00000000">
        <w:rPr>
          <w:i w:val="1"/>
          <w:iCs w:val="1"/>
          <w:rtl w:val="0"/>
        </w:rPr>
        <w:t xml:space="preserve">The Complexity of Community Unionism: A Comparative Analysis of Concepts and Contexts</w:t>
      </w:r>
      <w:r w:rsidDel="00000000" w:rsidR="00000000" w:rsidRPr="00000000">
        <w:rPr>
          <w:rtl w:val="0"/>
        </w:rPr>
        <w:t xml:space="preserve">. Basingstoke: Palgrave Macmillan, pp. 49–74.</w:t>
      </w:r>
    </w:p>
    <w:p w:rsidR="00000000" w:rsidDel="00000000" w:rsidP="00000000" w:rsidRDefault="00000000" w:rsidRPr="00000000" w14:paraId="000000DC">
      <w:pPr>
        <w:spacing w:after="240" w:before="240" w:lineRule="auto"/>
        <w:rPr/>
      </w:pPr>
      <w:r w:rsidDel="00000000" w:rsidR="00000000" w:rsidRPr="00000000">
        <w:rPr>
          <w:rtl w:val="0"/>
        </w:rPr>
        <w:t xml:space="preserve">Holgate, J. (2015) 'Community organising in the UK: a "new" approach for trade unions?', </w:t>
      </w:r>
      <w:r w:rsidDel="00000000" w:rsidR="00000000" w:rsidRPr="00000000">
        <w:rPr>
          <w:i w:val="1"/>
          <w:iCs w:val="1"/>
          <w:rtl w:val="0"/>
        </w:rPr>
        <w:t xml:space="preserve">Economic and Industrial Democracy</w:t>
      </w:r>
      <w:r w:rsidDel="00000000" w:rsidR="00000000" w:rsidRPr="00000000">
        <w:rPr>
          <w:rtl w:val="0"/>
        </w:rPr>
        <w:t xml:space="preserve">, 36(3), pp. 431–455.</w:t>
      </w:r>
    </w:p>
    <w:p w:rsidR="00000000" w:rsidDel="00000000" w:rsidP="00000000" w:rsidRDefault="00000000" w:rsidRPr="00000000" w14:paraId="000000DD">
      <w:pPr>
        <w:spacing w:after="240" w:before="240" w:lineRule="auto"/>
        <w:rPr/>
      </w:pPr>
      <w:r w:rsidDel="00000000" w:rsidR="00000000" w:rsidRPr="00000000">
        <w:rPr>
          <w:rtl w:val="0"/>
        </w:rPr>
        <w:t xml:space="preserve">House of Commons Library (2015) </w:t>
      </w:r>
      <w:r w:rsidDel="00000000" w:rsidR="00000000" w:rsidRPr="00000000">
        <w:rPr>
          <w:i w:val="1"/>
          <w:iCs w:val="1"/>
          <w:rtl w:val="0"/>
        </w:rPr>
        <w:t xml:space="preserve">Summer Budget 2015: background briefing</w:t>
      </w:r>
      <w:r w:rsidDel="00000000" w:rsidR="00000000" w:rsidRPr="00000000">
        <w:rPr>
          <w:rtl w:val="0"/>
        </w:rPr>
        <w:t xml:space="preserve">. London: House of Commons Library. [Please verify title, paper number and access details against the source you used.]</w:t>
      </w:r>
    </w:p>
    <w:p w:rsidR="00000000" w:rsidDel="00000000" w:rsidP="00000000" w:rsidRDefault="00000000" w:rsidRPr="00000000" w14:paraId="000000DE">
      <w:pPr>
        <w:spacing w:after="240" w:before="240" w:lineRule="auto"/>
        <w:rPr/>
      </w:pPr>
      <w:r w:rsidDel="00000000" w:rsidR="00000000" w:rsidRPr="00000000">
        <w:rPr>
          <w:rtl w:val="0"/>
        </w:rPr>
        <w:t xml:space="preserve">Joyce, R. and Waters, T. (2019) </w:t>
      </w:r>
      <w:r w:rsidDel="00000000" w:rsidR="00000000" w:rsidRPr="00000000">
        <w:rPr>
          <w:i w:val="1"/>
          <w:iCs w:val="1"/>
          <w:rtl w:val="0"/>
        </w:rPr>
        <w:t xml:space="preserve">Reducing In-Work Poverty: The Role of Minimum Wages and Benefits</w:t>
      </w:r>
      <w:r w:rsidDel="00000000" w:rsidR="00000000" w:rsidRPr="00000000">
        <w:rPr>
          <w:rtl w:val="0"/>
        </w:rPr>
        <w:t xml:space="preserve">. IFS Briefing Note BN269. London: Institute for Fiscal Studies.</w:t>
      </w:r>
    </w:p>
    <w:p w:rsidR="00000000" w:rsidDel="00000000" w:rsidP="00000000" w:rsidRDefault="00000000" w:rsidRPr="00000000" w14:paraId="000000DF">
      <w:pPr>
        <w:spacing w:after="240" w:before="240" w:lineRule="auto"/>
        <w:rPr/>
      </w:pPr>
      <w:r w:rsidDel="00000000" w:rsidR="00000000" w:rsidRPr="00000000">
        <w:rPr>
          <w:rtl w:val="0"/>
        </w:rPr>
        <w:t xml:space="preserve">Kalla, J. L. and Broockman, D. E. (2020) 'Reducing exclusionary attitudes through interpersonal conversation: evidence from three field experiments', </w:t>
      </w:r>
      <w:r w:rsidDel="00000000" w:rsidR="00000000" w:rsidRPr="00000000">
        <w:rPr>
          <w:i w:val="1"/>
          <w:iCs w:val="1"/>
          <w:rtl w:val="0"/>
        </w:rPr>
        <w:t xml:space="preserve">American Political Science Review</w:t>
      </w:r>
      <w:r w:rsidDel="00000000" w:rsidR="00000000" w:rsidRPr="00000000">
        <w:rPr>
          <w:rtl w:val="0"/>
        </w:rPr>
        <w:t xml:space="preserve">, 114(2), pp. 410–425.</w:t>
      </w:r>
    </w:p>
    <w:p w:rsidR="00000000" w:rsidDel="00000000" w:rsidP="00000000" w:rsidRDefault="00000000" w:rsidRPr="00000000" w14:paraId="000000E0">
      <w:pPr>
        <w:spacing w:after="240" w:before="240" w:lineRule="auto"/>
        <w:rPr/>
      </w:pPr>
      <w:r w:rsidDel="00000000" w:rsidR="00000000" w:rsidRPr="00000000">
        <w:rPr>
          <w:rtl w:val="0"/>
        </w:rPr>
        <w:t xml:space="preserve">Kalla, J. L. and Broockman, D. E. (2023) 'Which narrative strategies durably reduce prejudice? Evidence from field and survey experiments supporting the efficacy of perspective-getting', </w:t>
      </w:r>
      <w:r w:rsidDel="00000000" w:rsidR="00000000" w:rsidRPr="00000000">
        <w:rPr>
          <w:i w:val="1"/>
          <w:iCs w:val="1"/>
          <w:rtl w:val="0"/>
        </w:rPr>
        <w:t xml:space="preserve">American Journal of Political Science</w:t>
      </w:r>
      <w:r w:rsidDel="00000000" w:rsidR="00000000" w:rsidRPr="00000000">
        <w:rPr>
          <w:rtl w:val="0"/>
        </w:rPr>
        <w:t xml:space="preserve">, 67(1), pp. 185–204.</w:t>
      </w:r>
    </w:p>
    <w:p w:rsidR="00000000" w:rsidDel="00000000" w:rsidP="00000000" w:rsidRDefault="00000000" w:rsidRPr="00000000" w14:paraId="000000E1">
      <w:pPr>
        <w:spacing w:after="240" w:before="240" w:lineRule="auto"/>
        <w:rPr/>
      </w:pPr>
      <w:r w:rsidDel="00000000" w:rsidR="00000000" w:rsidRPr="00000000">
        <w:rPr>
          <w:rtl w:val="0"/>
        </w:rPr>
        <w:t xml:space="preserve">Karpowitz, C. F., Raphael, C. and Hammond, A. S. (2009) 'Deliberative democracy and inequality: two cheers for enclave deliberation among the disempowered', </w:t>
      </w:r>
      <w:r w:rsidDel="00000000" w:rsidR="00000000" w:rsidRPr="00000000">
        <w:rPr>
          <w:i w:val="1"/>
          <w:iCs w:val="1"/>
          <w:rtl w:val="0"/>
        </w:rPr>
        <w:t xml:space="preserve">Politics &amp; Society</w:t>
      </w:r>
      <w:r w:rsidDel="00000000" w:rsidR="00000000" w:rsidRPr="00000000">
        <w:rPr>
          <w:rtl w:val="0"/>
        </w:rPr>
        <w:t xml:space="preserve">, 37(4), pp. 576–615.</w:t>
      </w:r>
    </w:p>
    <w:p w:rsidR="00000000" w:rsidDel="00000000" w:rsidP="00000000" w:rsidRDefault="00000000" w:rsidRPr="00000000" w14:paraId="000000E2">
      <w:pPr>
        <w:spacing w:after="240" w:before="240" w:lineRule="auto"/>
        <w:rPr/>
      </w:pPr>
      <w:r w:rsidDel="00000000" w:rsidR="00000000" w:rsidRPr="00000000">
        <w:rPr>
          <w:rtl w:val="0"/>
        </w:rPr>
        <w:t xml:space="preserve">Klandermans, B. (1984) 'Mobilization and participation: social-psychological expansions of resource mobilization theory', </w:t>
      </w:r>
      <w:r w:rsidDel="00000000" w:rsidR="00000000" w:rsidRPr="00000000">
        <w:rPr>
          <w:i w:val="1"/>
          <w:iCs w:val="1"/>
          <w:rtl w:val="0"/>
        </w:rPr>
        <w:t xml:space="preserve">American Sociological Review</w:t>
      </w:r>
      <w:r w:rsidDel="00000000" w:rsidR="00000000" w:rsidRPr="00000000">
        <w:rPr>
          <w:rtl w:val="0"/>
        </w:rPr>
        <w:t xml:space="preserve">, 49(5), pp. 583–600.</w:t>
      </w:r>
    </w:p>
    <w:p w:rsidR="00000000" w:rsidDel="00000000" w:rsidP="00000000" w:rsidRDefault="00000000" w:rsidRPr="00000000" w14:paraId="000000E3">
      <w:pPr>
        <w:spacing w:after="240" w:before="240" w:lineRule="auto"/>
        <w:rPr/>
      </w:pPr>
      <w:r w:rsidDel="00000000" w:rsidR="00000000" w:rsidRPr="00000000">
        <w:rPr>
          <w:rtl w:val="0"/>
        </w:rPr>
        <w:t xml:space="preserve">Lantos, N. A., Hadarics, M., Branković, M. et al. (2025) 'The role of intergroup contact, injustice talk and perceived injustice in the demobilisation of LGBTIQ+ people and ethnic minorities', </w:t>
      </w:r>
      <w:r w:rsidDel="00000000" w:rsidR="00000000" w:rsidRPr="00000000">
        <w:rPr>
          <w:i w:val="1"/>
          <w:iCs w:val="1"/>
          <w:rtl w:val="0"/>
        </w:rPr>
        <w:t xml:space="preserve">Journal of Community &amp; Applied Social Psychology</w:t>
      </w:r>
      <w:r w:rsidDel="00000000" w:rsidR="00000000" w:rsidRPr="00000000">
        <w:rPr>
          <w:rtl w:val="0"/>
        </w:rPr>
        <w:t xml:space="preserve">, 35(3), e70099.</w:t>
      </w:r>
    </w:p>
    <w:p w:rsidR="00000000" w:rsidDel="00000000" w:rsidP="00000000" w:rsidRDefault="00000000" w:rsidRPr="00000000" w14:paraId="000000E4">
      <w:pPr>
        <w:spacing w:after="240" w:before="240" w:lineRule="auto"/>
        <w:rPr/>
      </w:pPr>
      <w:r w:rsidDel="00000000" w:rsidR="00000000" w:rsidRPr="00000000">
        <w:rPr>
          <w:rtl w:val="0"/>
        </w:rPr>
        <w:t xml:space="preserve">Laurence, J. (2017) 'Wider-community segregation and the effect of neighbourhood ethnic diversity on social capital: an investigation into intra-neighbourhood trust in Great Britain and London', </w:t>
      </w:r>
      <w:r w:rsidDel="00000000" w:rsidR="00000000" w:rsidRPr="00000000">
        <w:rPr>
          <w:i w:val="1"/>
          <w:iCs w:val="1"/>
          <w:rtl w:val="0"/>
        </w:rPr>
        <w:t xml:space="preserve">Sociology</w:t>
      </w:r>
      <w:r w:rsidDel="00000000" w:rsidR="00000000" w:rsidRPr="00000000">
        <w:rPr>
          <w:rtl w:val="0"/>
        </w:rPr>
        <w:t xml:space="preserve">, 51(5), pp. 1011–1033.</w:t>
      </w:r>
    </w:p>
    <w:p w:rsidR="00000000" w:rsidDel="00000000" w:rsidP="00000000" w:rsidRDefault="00000000" w:rsidRPr="00000000" w14:paraId="000000E5">
      <w:pPr>
        <w:spacing w:after="240" w:before="240" w:lineRule="auto"/>
        <w:rPr/>
      </w:pPr>
      <w:r w:rsidDel="00000000" w:rsidR="00000000" w:rsidRPr="00000000">
        <w:rPr>
          <w:rtl w:val="0"/>
        </w:rPr>
        <w:t xml:space="preserve">Le Blanc, D. (2015) 'Towards integration at last? The sustainable development goals as a network of targets', </w:t>
      </w:r>
      <w:r w:rsidDel="00000000" w:rsidR="00000000" w:rsidRPr="00000000">
        <w:rPr>
          <w:i w:val="1"/>
          <w:iCs w:val="1"/>
          <w:rtl w:val="0"/>
        </w:rPr>
        <w:t xml:space="preserve">Sustainable Development</w:t>
      </w:r>
      <w:r w:rsidDel="00000000" w:rsidR="00000000" w:rsidRPr="00000000">
        <w:rPr>
          <w:rtl w:val="0"/>
        </w:rPr>
        <w:t xml:space="preserve">, 23(3), pp. 176–187.</w:t>
      </w:r>
    </w:p>
    <w:p w:rsidR="00000000" w:rsidDel="00000000" w:rsidP="00000000" w:rsidRDefault="00000000" w:rsidRPr="00000000" w14:paraId="000000E6">
      <w:pPr>
        <w:spacing w:after="240" w:before="240" w:lineRule="auto"/>
        <w:rPr/>
      </w:pPr>
      <w:r w:rsidDel="00000000" w:rsidR="00000000" w:rsidRPr="00000000">
        <w:rPr>
          <w:rtl w:val="0"/>
        </w:rPr>
        <w:t xml:space="preserve">Letki, N. (2008) 'Does diversity erode social cohesion? Social capital and race in British neighbourhoods', </w:t>
      </w:r>
      <w:r w:rsidDel="00000000" w:rsidR="00000000" w:rsidRPr="00000000">
        <w:rPr>
          <w:i w:val="1"/>
          <w:iCs w:val="1"/>
          <w:rtl w:val="0"/>
        </w:rPr>
        <w:t xml:space="preserve">Political Studies</w:t>
      </w:r>
      <w:r w:rsidDel="00000000" w:rsidR="00000000" w:rsidRPr="00000000">
        <w:rPr>
          <w:rtl w:val="0"/>
        </w:rPr>
        <w:t xml:space="preserve">, 56(1), pp. 99–126.</w:t>
      </w:r>
    </w:p>
    <w:p w:rsidR="00000000" w:rsidDel="00000000" w:rsidP="00000000" w:rsidRDefault="00000000" w:rsidRPr="00000000" w14:paraId="000000E7">
      <w:pPr>
        <w:spacing w:after="240" w:before="240" w:lineRule="auto"/>
        <w:rPr/>
      </w:pPr>
      <w:r w:rsidDel="00000000" w:rsidR="00000000" w:rsidRPr="00000000">
        <w:rPr>
          <w:rtl w:val="0"/>
        </w:rPr>
        <w:t xml:space="preserve">Living Wage Foundation (2026) </w:t>
      </w:r>
      <w:r w:rsidDel="00000000" w:rsidR="00000000" w:rsidRPr="00000000">
        <w:rPr>
          <w:i w:val="1"/>
          <w:iCs w:val="1"/>
          <w:rtl w:val="0"/>
        </w:rPr>
        <w:t xml:space="preserve">A Real Living Wage: 25 Years In</w:t>
      </w:r>
      <w:r w:rsidDel="00000000" w:rsidR="00000000" w:rsidRPr="00000000">
        <w:rPr>
          <w:rtl w:val="0"/>
        </w:rPr>
        <w:t xml:space="preserve">. London: Living Wage Foundation. Available at:</w:t>
      </w:r>
      <w:hyperlink r:id="rId14">
        <w:r w:rsidDel="00000000" w:rsidR="00000000" w:rsidRPr="00000000">
          <w:rPr>
            <w:rtl w:val="0"/>
          </w:rPr>
          <w:t xml:space="preserve"> </w:t>
        </w:r>
      </w:hyperlink>
      <w:hyperlink r:id="rId15">
        <w:r w:rsidDel="00000000" w:rsidR="00000000" w:rsidRPr="00000000">
          <w:rPr>
            <w:color w:val="1155cc"/>
            <w:u w:val="single"/>
            <w:rtl w:val="0"/>
          </w:rPr>
          <w:t xml:space="preserve">https://www.livingwage.org.uk/real-living-wage-25-years-0</w:t>
        </w:r>
      </w:hyperlink>
      <w:r w:rsidDel="00000000" w:rsidR="00000000" w:rsidRPr="00000000">
        <w:rPr>
          <w:rtl w:val="0"/>
        </w:rPr>
        <w:t xml:space="preserve"> (Accessed: 4 September 2026).</w:t>
      </w:r>
    </w:p>
    <w:p w:rsidR="00000000" w:rsidDel="00000000" w:rsidP="00000000" w:rsidRDefault="00000000" w:rsidRPr="00000000" w14:paraId="000000E8">
      <w:pPr>
        <w:spacing w:after="240" w:before="240" w:lineRule="auto"/>
        <w:rPr/>
      </w:pPr>
      <w:r w:rsidDel="00000000" w:rsidR="00000000" w:rsidRPr="00000000">
        <w:rPr>
          <w:rtl w:val="0"/>
        </w:rPr>
        <w:t xml:space="preserve">Local Government Association (2016) </w:t>
      </w:r>
      <w:r w:rsidDel="00000000" w:rsidR="00000000" w:rsidRPr="00000000">
        <w:rPr>
          <w:i w:val="1"/>
          <w:iCs w:val="1"/>
          <w:rtl w:val="0"/>
        </w:rPr>
        <w:t xml:space="preserve">Case Study: London Citizens Mayoral Accountability Assembly 2016</w:t>
      </w:r>
      <w:r w:rsidDel="00000000" w:rsidR="00000000" w:rsidRPr="00000000">
        <w:rPr>
          <w:rtl w:val="0"/>
        </w:rPr>
        <w:t xml:space="preserve">. Available at:</w:t>
      </w:r>
      <w:hyperlink r:id="rId16">
        <w:r w:rsidDel="00000000" w:rsidR="00000000" w:rsidRPr="00000000">
          <w:rPr>
            <w:rtl w:val="0"/>
          </w:rPr>
          <w:t xml:space="preserve"> </w:t>
        </w:r>
      </w:hyperlink>
      <w:hyperlink r:id="rId17">
        <w:r w:rsidDel="00000000" w:rsidR="00000000" w:rsidRPr="00000000">
          <w:rPr>
            <w:color w:val="1155cc"/>
            <w:u w:val="single"/>
            <w:rtl w:val="0"/>
          </w:rPr>
          <w:t xml:space="preserve">https://www.local.gov.uk/case-study-london-citizens-mayoral-accountability-assembly-2016</w:t>
        </w:r>
      </w:hyperlink>
      <w:r w:rsidDel="00000000" w:rsidR="00000000" w:rsidRPr="00000000">
        <w:rPr>
          <w:rtl w:val="0"/>
        </w:rPr>
        <w:t xml:space="preserve"> (Accessed: 4 September 2026).</w:t>
      </w:r>
    </w:p>
    <w:p w:rsidR="00000000" w:rsidDel="00000000" w:rsidP="00000000" w:rsidRDefault="00000000" w:rsidRPr="00000000" w14:paraId="000000E9">
      <w:pPr>
        <w:spacing w:after="240" w:before="240" w:lineRule="auto"/>
        <w:rPr/>
      </w:pPr>
      <w:r w:rsidDel="00000000" w:rsidR="00000000" w:rsidRPr="00000000">
        <w:rPr>
          <w:rtl w:val="0"/>
        </w:rPr>
        <w:t xml:space="preserve">Lopez, G. E., Gurin, P. and Nagda, B. A. (1998) 'Education and understanding structural causes for group inequalities', </w:t>
      </w:r>
      <w:r w:rsidDel="00000000" w:rsidR="00000000" w:rsidRPr="00000000">
        <w:rPr>
          <w:i w:val="1"/>
          <w:iCs w:val="1"/>
          <w:rtl w:val="0"/>
        </w:rPr>
        <w:t xml:space="preserve">Political Psychology</w:t>
      </w:r>
      <w:r w:rsidDel="00000000" w:rsidR="00000000" w:rsidRPr="00000000">
        <w:rPr>
          <w:rtl w:val="0"/>
        </w:rPr>
        <w:t xml:space="preserve">, 19(2), pp. 305–329.</w:t>
      </w:r>
    </w:p>
    <w:p w:rsidR="00000000" w:rsidDel="00000000" w:rsidP="00000000" w:rsidRDefault="00000000" w:rsidRPr="00000000" w14:paraId="000000EA">
      <w:pPr>
        <w:spacing w:after="240" w:before="240" w:lineRule="auto"/>
        <w:rPr/>
      </w:pPr>
      <w:r w:rsidDel="00000000" w:rsidR="00000000" w:rsidRPr="00000000">
        <w:rPr>
          <w:rtl w:val="0"/>
        </w:rPr>
        <w:t xml:space="preserve">Lowe, M. (2021) 'Types of contact: a field experiment on collective and interpersonal contact', </w:t>
      </w:r>
      <w:r w:rsidDel="00000000" w:rsidR="00000000" w:rsidRPr="00000000">
        <w:rPr>
          <w:i w:val="1"/>
          <w:iCs w:val="1"/>
          <w:rtl w:val="0"/>
        </w:rPr>
        <w:t xml:space="preserve">American Economic Review</w:t>
      </w:r>
      <w:r w:rsidDel="00000000" w:rsidR="00000000" w:rsidRPr="00000000">
        <w:rPr>
          <w:rtl w:val="0"/>
        </w:rPr>
        <w:t xml:space="preserve">, 111(6), pp. 1807–1844.</w:t>
      </w:r>
    </w:p>
    <w:p w:rsidR="00000000" w:rsidDel="00000000" w:rsidP="00000000" w:rsidRDefault="00000000" w:rsidRPr="00000000" w14:paraId="000000EB">
      <w:pPr>
        <w:spacing w:after="240" w:before="240" w:lineRule="auto"/>
        <w:rPr/>
      </w:pPr>
      <w:r w:rsidDel="00000000" w:rsidR="00000000" w:rsidRPr="00000000">
        <w:rPr>
          <w:rtl w:val="0"/>
        </w:rPr>
        <w:t xml:space="preserve">Lukes, S. (2005) </w:t>
      </w:r>
      <w:r w:rsidDel="00000000" w:rsidR="00000000" w:rsidRPr="00000000">
        <w:rPr>
          <w:i w:val="1"/>
          <w:iCs w:val="1"/>
          <w:rtl w:val="0"/>
        </w:rPr>
        <w:t xml:space="preserve">Power: A Radical View</w:t>
      </w:r>
      <w:r w:rsidDel="00000000" w:rsidR="00000000" w:rsidRPr="00000000">
        <w:rPr>
          <w:rtl w:val="0"/>
        </w:rPr>
        <w:t xml:space="preserve">. 2nd edn. Basingstoke: Palgrave Macmillan.</w:t>
      </w:r>
    </w:p>
    <w:p w:rsidR="00000000" w:rsidDel="00000000" w:rsidP="00000000" w:rsidRDefault="00000000" w:rsidRPr="00000000" w14:paraId="000000EC">
      <w:pPr>
        <w:spacing w:after="240" w:before="240" w:lineRule="auto"/>
        <w:rPr/>
      </w:pPr>
      <w:r w:rsidDel="00000000" w:rsidR="00000000" w:rsidRPr="00000000">
        <w:rPr>
          <w:rtl w:val="0"/>
        </w:rPr>
        <w:t xml:space="preserve">Mansbridge, J. (1996) 'Using power/fighting power: the polity', in Benhabib, S. (ed.) </w:t>
      </w:r>
      <w:r w:rsidDel="00000000" w:rsidR="00000000" w:rsidRPr="00000000">
        <w:rPr>
          <w:i w:val="1"/>
          <w:iCs w:val="1"/>
          <w:rtl w:val="0"/>
        </w:rPr>
        <w:t xml:space="preserve">Democracy and Difference: Contesting the Boundaries of the Political</w:t>
      </w:r>
      <w:r w:rsidDel="00000000" w:rsidR="00000000" w:rsidRPr="00000000">
        <w:rPr>
          <w:rtl w:val="0"/>
        </w:rPr>
        <w:t xml:space="preserve">. Princeton, NJ: Princeton University Press, pp. 46–66.</w:t>
      </w:r>
    </w:p>
    <w:p w:rsidR="00000000" w:rsidDel="00000000" w:rsidP="00000000" w:rsidRDefault="00000000" w:rsidRPr="00000000" w14:paraId="000000ED">
      <w:pPr>
        <w:spacing w:after="240" w:before="240" w:lineRule="auto"/>
        <w:rPr/>
      </w:pPr>
      <w:r w:rsidDel="00000000" w:rsidR="00000000" w:rsidRPr="00000000">
        <w:rPr>
          <w:rtl w:val="0"/>
        </w:rPr>
        <w:t xml:space="preserve">McAlevey, J. (2016) </w:t>
      </w:r>
      <w:r w:rsidDel="00000000" w:rsidR="00000000" w:rsidRPr="00000000">
        <w:rPr>
          <w:i w:val="1"/>
          <w:iCs w:val="1"/>
          <w:rtl w:val="0"/>
        </w:rPr>
        <w:t xml:space="preserve">No Shortcuts: Organizing for Power in the New Gilded Age</w:t>
      </w:r>
      <w:r w:rsidDel="00000000" w:rsidR="00000000" w:rsidRPr="00000000">
        <w:rPr>
          <w:rtl w:val="0"/>
        </w:rPr>
        <w:t xml:space="preserve">. New York: Oxford University Press.</w:t>
      </w:r>
    </w:p>
    <w:p w:rsidR="00000000" w:rsidDel="00000000" w:rsidP="00000000" w:rsidRDefault="00000000" w:rsidRPr="00000000" w14:paraId="000000EE">
      <w:pPr>
        <w:spacing w:after="240" w:before="240" w:lineRule="auto"/>
        <w:rPr/>
      </w:pPr>
      <w:r w:rsidDel="00000000" w:rsidR="00000000" w:rsidRPr="00000000">
        <w:rPr>
          <w:rtl w:val="0"/>
        </w:rPr>
        <w:t xml:space="preserve">Mercer, J. (2007) 'The challenges of insider research in educational institutions', </w:t>
      </w:r>
      <w:r w:rsidDel="00000000" w:rsidR="00000000" w:rsidRPr="00000000">
        <w:rPr>
          <w:i w:val="1"/>
          <w:iCs w:val="1"/>
          <w:rtl w:val="0"/>
        </w:rPr>
        <w:t xml:space="preserve">Oxford Review of Education</w:t>
      </w:r>
      <w:r w:rsidDel="00000000" w:rsidR="00000000" w:rsidRPr="00000000">
        <w:rPr>
          <w:rtl w:val="0"/>
        </w:rPr>
        <w:t xml:space="preserve">, 33(1), pp. 1–17.</w:t>
      </w:r>
    </w:p>
    <w:p w:rsidR="00000000" w:rsidDel="00000000" w:rsidP="00000000" w:rsidRDefault="00000000" w:rsidRPr="00000000" w14:paraId="000000EF">
      <w:pPr>
        <w:spacing w:after="240" w:before="240" w:lineRule="auto"/>
        <w:rPr/>
      </w:pPr>
      <w:r w:rsidDel="00000000" w:rsidR="00000000" w:rsidRPr="00000000">
        <w:rPr>
          <w:rtl w:val="0"/>
        </w:rPr>
        <w:t xml:space="preserve">Mousa, S. (2020) 'Building social cohesion between Christians and Muslims through soccer in post-ISIS Iraq', </w:t>
      </w:r>
      <w:r w:rsidDel="00000000" w:rsidR="00000000" w:rsidRPr="00000000">
        <w:rPr>
          <w:i w:val="1"/>
          <w:iCs w:val="1"/>
          <w:rtl w:val="0"/>
        </w:rPr>
        <w:t xml:space="preserve">Science</w:t>
      </w:r>
      <w:r w:rsidDel="00000000" w:rsidR="00000000" w:rsidRPr="00000000">
        <w:rPr>
          <w:rtl w:val="0"/>
        </w:rPr>
        <w:t xml:space="preserve">, 369(6505), pp. 866–870.</w:t>
      </w:r>
    </w:p>
    <w:p w:rsidR="00000000" w:rsidDel="00000000" w:rsidP="00000000" w:rsidRDefault="00000000" w:rsidRPr="00000000" w14:paraId="000000F0">
      <w:pPr>
        <w:spacing w:after="240" w:before="240" w:lineRule="auto"/>
        <w:rPr/>
      </w:pPr>
      <w:r w:rsidDel="00000000" w:rsidR="00000000" w:rsidRPr="00000000">
        <w:rPr>
          <w:rtl w:val="0"/>
        </w:rPr>
        <w:t xml:space="preserve">Nagda, B. A. and Gurin, P. (2007) 'Intergroup dialogue: a critical-dialogic approach to learning about difference, inequality, and social justice', </w:t>
      </w:r>
      <w:r w:rsidDel="00000000" w:rsidR="00000000" w:rsidRPr="00000000">
        <w:rPr>
          <w:i w:val="1"/>
          <w:iCs w:val="1"/>
          <w:rtl w:val="0"/>
        </w:rPr>
        <w:t xml:space="preserve">New Directions for Teaching and Learning</w:t>
      </w:r>
      <w:r w:rsidDel="00000000" w:rsidR="00000000" w:rsidRPr="00000000">
        <w:rPr>
          <w:rtl w:val="0"/>
        </w:rPr>
        <w:t xml:space="preserve">, 2007(111), pp. 35–45.</w:t>
      </w:r>
    </w:p>
    <w:p w:rsidR="00000000" w:rsidDel="00000000" w:rsidP="00000000" w:rsidRDefault="00000000" w:rsidRPr="00000000" w14:paraId="000000F1">
      <w:pPr>
        <w:spacing w:after="240" w:before="240" w:lineRule="auto"/>
        <w:rPr/>
      </w:pPr>
      <w:r w:rsidDel="00000000" w:rsidR="00000000" w:rsidRPr="00000000">
        <w:rPr>
          <w:rtl w:val="0"/>
        </w:rPr>
        <w:t xml:space="preserve">Nagda, B. A., Gurin, P., Sorensen, N. et al. (2009) 'From separate corners to dialogue and action', </w:t>
      </w:r>
      <w:r w:rsidDel="00000000" w:rsidR="00000000" w:rsidRPr="00000000">
        <w:rPr>
          <w:i w:val="1"/>
          <w:iCs w:val="1"/>
          <w:rtl w:val="0"/>
        </w:rPr>
        <w:t xml:space="preserve">Race and Social Problems</w:t>
      </w:r>
      <w:r w:rsidDel="00000000" w:rsidR="00000000" w:rsidRPr="00000000">
        <w:rPr>
          <w:rtl w:val="0"/>
        </w:rPr>
        <w:t xml:space="preserve">, 1(1), pp. 45–55.</w:t>
      </w:r>
    </w:p>
    <w:p w:rsidR="00000000" w:rsidDel="00000000" w:rsidP="00000000" w:rsidRDefault="00000000" w:rsidRPr="00000000" w14:paraId="000000F2">
      <w:pPr>
        <w:spacing w:after="240" w:before="240" w:lineRule="auto"/>
        <w:rPr/>
      </w:pPr>
      <w:r w:rsidDel="00000000" w:rsidR="00000000" w:rsidRPr="00000000">
        <w:rPr>
          <w:rtl w:val="0"/>
        </w:rPr>
        <w:t xml:space="preserve">Nilsson, M., Griggs, D. and Visbeck, M. (2016) 'Policy: map the interactions between Sustainable Development Goals', </w:t>
      </w:r>
      <w:r w:rsidDel="00000000" w:rsidR="00000000" w:rsidRPr="00000000">
        <w:rPr>
          <w:i w:val="1"/>
          <w:iCs w:val="1"/>
          <w:rtl w:val="0"/>
        </w:rPr>
        <w:t xml:space="preserve">Nature</w:t>
      </w:r>
      <w:r w:rsidDel="00000000" w:rsidR="00000000" w:rsidRPr="00000000">
        <w:rPr>
          <w:rtl w:val="0"/>
        </w:rPr>
        <w:t xml:space="preserve">, 534(7607), pp. 320–322.</w:t>
      </w:r>
    </w:p>
    <w:p w:rsidR="00000000" w:rsidDel="00000000" w:rsidP="00000000" w:rsidRDefault="00000000" w:rsidRPr="00000000" w14:paraId="000000F3">
      <w:pPr>
        <w:spacing w:after="240" w:before="240" w:lineRule="auto"/>
        <w:rPr/>
      </w:pPr>
      <w:r w:rsidDel="00000000" w:rsidR="00000000" w:rsidRPr="00000000">
        <w:rPr>
          <w:rtl w:val="0"/>
        </w:rPr>
        <w:t xml:space="preserve">Pettigrew, T. F. (1998) 'Intergroup contact theory', </w:t>
      </w:r>
      <w:r w:rsidDel="00000000" w:rsidR="00000000" w:rsidRPr="00000000">
        <w:rPr>
          <w:i w:val="1"/>
          <w:iCs w:val="1"/>
          <w:rtl w:val="0"/>
        </w:rPr>
        <w:t xml:space="preserve">Annual Review of Psychology</w:t>
      </w:r>
      <w:r w:rsidDel="00000000" w:rsidR="00000000" w:rsidRPr="00000000">
        <w:rPr>
          <w:rtl w:val="0"/>
        </w:rPr>
        <w:t xml:space="preserve">, 49, pp. 65–85.</w:t>
      </w:r>
    </w:p>
    <w:p w:rsidR="00000000" w:rsidDel="00000000" w:rsidP="00000000" w:rsidRDefault="00000000" w:rsidRPr="00000000" w14:paraId="000000F4">
      <w:pPr>
        <w:spacing w:after="240" w:before="240" w:lineRule="auto"/>
        <w:rPr/>
      </w:pPr>
      <w:r w:rsidDel="00000000" w:rsidR="00000000" w:rsidRPr="00000000">
        <w:rPr>
          <w:rtl w:val="0"/>
        </w:rPr>
        <w:t xml:space="preserve">Pettigrew, T. F. and Tropp, L. R. (2006) 'A meta-analytic test of intergroup contact theory', </w:t>
      </w:r>
      <w:r w:rsidDel="00000000" w:rsidR="00000000" w:rsidRPr="00000000">
        <w:rPr>
          <w:i w:val="1"/>
          <w:iCs w:val="1"/>
          <w:rtl w:val="0"/>
        </w:rPr>
        <w:t xml:space="preserve">Journal of Personality and Social Psychology</w:t>
      </w:r>
      <w:r w:rsidDel="00000000" w:rsidR="00000000" w:rsidRPr="00000000">
        <w:rPr>
          <w:rtl w:val="0"/>
        </w:rPr>
        <w:t xml:space="preserve">, 90(5), pp. 751–783.</w:t>
      </w:r>
    </w:p>
    <w:p w:rsidR="00000000" w:rsidDel="00000000" w:rsidP="00000000" w:rsidRDefault="00000000" w:rsidRPr="00000000" w14:paraId="000000F5">
      <w:pPr>
        <w:spacing w:after="240" w:before="240" w:lineRule="auto"/>
        <w:rPr/>
      </w:pPr>
      <w:r w:rsidDel="00000000" w:rsidR="00000000" w:rsidRPr="00000000">
        <w:rPr>
          <w:rtl w:val="0"/>
        </w:rPr>
        <w:t xml:space="preserve">Pettigrew, T. F. and Tropp, L. R. (2008) 'How does intergroup contact reduce prejudice? Meta-analytic tests of three mediators', </w:t>
      </w:r>
      <w:r w:rsidDel="00000000" w:rsidR="00000000" w:rsidRPr="00000000">
        <w:rPr>
          <w:i w:val="1"/>
          <w:iCs w:val="1"/>
          <w:rtl w:val="0"/>
        </w:rPr>
        <w:t xml:space="preserve">European Journal of Social Psychology</w:t>
      </w:r>
      <w:r w:rsidDel="00000000" w:rsidR="00000000" w:rsidRPr="00000000">
        <w:rPr>
          <w:rtl w:val="0"/>
        </w:rPr>
        <w:t xml:space="preserve">, 38(6), pp. 922–934.</w:t>
      </w:r>
    </w:p>
    <w:p w:rsidR="00000000" w:rsidDel="00000000" w:rsidP="00000000" w:rsidRDefault="00000000" w:rsidRPr="00000000" w14:paraId="000000F6">
      <w:pPr>
        <w:spacing w:after="240" w:before="240" w:lineRule="auto"/>
        <w:rPr/>
      </w:pPr>
      <w:r w:rsidDel="00000000" w:rsidR="00000000" w:rsidRPr="00000000">
        <w:rPr>
          <w:rtl w:val="0"/>
        </w:rPr>
        <w:t xml:space="preserve">Putnam, R. D. (2007) 'E pluribus unum: diversity and community in the twenty-first century', </w:t>
      </w:r>
      <w:r w:rsidDel="00000000" w:rsidR="00000000" w:rsidRPr="00000000">
        <w:rPr>
          <w:i w:val="1"/>
          <w:iCs w:val="1"/>
          <w:rtl w:val="0"/>
        </w:rPr>
        <w:t xml:space="preserve">Scandinavian Political Studies</w:t>
      </w:r>
      <w:r w:rsidDel="00000000" w:rsidR="00000000" w:rsidRPr="00000000">
        <w:rPr>
          <w:rtl w:val="0"/>
        </w:rPr>
        <w:t xml:space="preserve">, 30(2), pp. 137–174.</w:t>
      </w:r>
    </w:p>
    <w:p w:rsidR="00000000" w:rsidDel="00000000" w:rsidP="00000000" w:rsidRDefault="00000000" w:rsidRPr="00000000" w14:paraId="000000F7">
      <w:pPr>
        <w:spacing w:after="240" w:before="240" w:lineRule="auto"/>
        <w:rPr/>
      </w:pPr>
      <w:r w:rsidDel="00000000" w:rsidR="00000000" w:rsidRPr="00000000">
        <w:rPr>
          <w:rtl w:val="0"/>
        </w:rPr>
        <w:t xml:space="preserve">Reimer, N. K. and Sengupta, N. K. (2023) 'Meta-analysis of the "ironic" effects of intergroup contact', </w:t>
      </w:r>
      <w:r w:rsidDel="00000000" w:rsidR="00000000" w:rsidRPr="00000000">
        <w:rPr>
          <w:i w:val="1"/>
          <w:iCs w:val="1"/>
          <w:rtl w:val="0"/>
        </w:rPr>
        <w:t xml:space="preserve">Journal of Personality and Social Psychology</w:t>
      </w:r>
      <w:r w:rsidDel="00000000" w:rsidR="00000000" w:rsidRPr="00000000">
        <w:rPr>
          <w:rtl w:val="0"/>
        </w:rPr>
        <w:t xml:space="preserve">, 124(2), pp. 362–380.</w:t>
      </w:r>
    </w:p>
    <w:p w:rsidR="00000000" w:rsidDel="00000000" w:rsidP="00000000" w:rsidRDefault="00000000" w:rsidRPr="00000000" w14:paraId="000000F8">
      <w:pPr>
        <w:spacing w:after="240" w:before="240" w:lineRule="auto"/>
        <w:rPr/>
      </w:pPr>
      <w:r w:rsidDel="00000000" w:rsidR="00000000" w:rsidRPr="00000000">
        <w:rPr>
          <w:rtl w:val="0"/>
        </w:rPr>
        <w:t xml:space="preserve">Rodríguez, J., Nagda, B. A., Sorensen, N. and Gurin, P. (2018) 'Engaging race and racism for socially just intergroup relations: the impact of intergroup dialogue on college campuses in the United States', </w:t>
      </w:r>
      <w:r w:rsidDel="00000000" w:rsidR="00000000" w:rsidRPr="00000000">
        <w:rPr>
          <w:i w:val="1"/>
          <w:iCs w:val="1"/>
          <w:rtl w:val="0"/>
        </w:rPr>
        <w:t xml:space="preserve">Multicultural Education Review</w:t>
      </w:r>
      <w:r w:rsidDel="00000000" w:rsidR="00000000" w:rsidRPr="00000000">
        <w:rPr>
          <w:rtl w:val="0"/>
        </w:rPr>
        <w:t xml:space="preserve">, 10(3), pp. 224–245.</w:t>
      </w:r>
    </w:p>
    <w:p w:rsidR="00000000" w:rsidDel="00000000" w:rsidP="00000000" w:rsidRDefault="00000000" w:rsidRPr="00000000" w14:paraId="000000F9">
      <w:pPr>
        <w:spacing w:after="240" w:before="240" w:lineRule="auto"/>
        <w:rPr/>
      </w:pPr>
      <w:r w:rsidDel="00000000" w:rsidR="00000000" w:rsidRPr="00000000">
        <w:rPr>
          <w:rtl w:val="0"/>
        </w:rPr>
        <w:t xml:space="preserve">Rothstein, B. and Uslaner, E. M. (2005) 'All for all: equality, corruption, and social trust', </w:t>
      </w:r>
      <w:r w:rsidDel="00000000" w:rsidR="00000000" w:rsidRPr="00000000">
        <w:rPr>
          <w:i w:val="1"/>
          <w:iCs w:val="1"/>
          <w:rtl w:val="0"/>
        </w:rPr>
        <w:t xml:space="preserve">World Politics</w:t>
      </w:r>
      <w:r w:rsidDel="00000000" w:rsidR="00000000" w:rsidRPr="00000000">
        <w:rPr>
          <w:rtl w:val="0"/>
        </w:rPr>
        <w:t xml:space="preserve">, 58(1), pp. 41–72.</w:t>
      </w:r>
    </w:p>
    <w:p w:rsidR="00000000" w:rsidDel="00000000" w:rsidP="00000000" w:rsidRDefault="00000000" w:rsidRPr="00000000" w14:paraId="000000FA">
      <w:pPr>
        <w:spacing w:after="240" w:before="240" w:lineRule="auto"/>
        <w:rPr/>
      </w:pPr>
      <w:r w:rsidDel="00000000" w:rsidR="00000000" w:rsidRPr="00000000">
        <w:rPr>
          <w:rtl w:val="0"/>
        </w:rPr>
        <w:t xml:space="preserve">Saguy, T., Dovidio, J. F. and Pratto, F. (2008) 'Beyond contact: intergroup contact in the context of power relations', </w:t>
      </w:r>
      <w:r w:rsidDel="00000000" w:rsidR="00000000" w:rsidRPr="00000000">
        <w:rPr>
          <w:i w:val="1"/>
          <w:iCs w:val="1"/>
          <w:rtl w:val="0"/>
        </w:rPr>
        <w:t xml:space="preserve">Personality and Social Psychology Bulletin</w:t>
      </w:r>
      <w:r w:rsidDel="00000000" w:rsidR="00000000" w:rsidRPr="00000000">
        <w:rPr>
          <w:rtl w:val="0"/>
        </w:rPr>
        <w:t xml:space="preserve">, 34(3), pp. 432–445.</w:t>
      </w:r>
    </w:p>
    <w:p w:rsidR="00000000" w:rsidDel="00000000" w:rsidP="00000000" w:rsidRDefault="00000000" w:rsidRPr="00000000" w14:paraId="000000FB">
      <w:pPr>
        <w:spacing w:after="240" w:before="240" w:lineRule="auto"/>
        <w:rPr/>
      </w:pPr>
      <w:r w:rsidDel="00000000" w:rsidR="00000000" w:rsidRPr="00000000">
        <w:rPr>
          <w:rtl w:val="0"/>
        </w:rPr>
        <w:t xml:space="preserve">Saguy, T., Tausch, N., Dovidio, J. F. et al. (2009) 'The irony of harmony: intergroup contact can produce false expectations for equality', </w:t>
      </w:r>
      <w:r w:rsidDel="00000000" w:rsidR="00000000" w:rsidRPr="00000000">
        <w:rPr>
          <w:i w:val="1"/>
          <w:iCs w:val="1"/>
          <w:rtl w:val="0"/>
        </w:rPr>
        <w:t xml:space="preserve">Psychological Science</w:t>
      </w:r>
      <w:r w:rsidDel="00000000" w:rsidR="00000000" w:rsidRPr="00000000">
        <w:rPr>
          <w:rtl w:val="0"/>
        </w:rPr>
        <w:t xml:space="preserve">, 20(1), pp. 114–121.</w:t>
      </w:r>
    </w:p>
    <w:p w:rsidR="00000000" w:rsidDel="00000000" w:rsidP="00000000" w:rsidRDefault="00000000" w:rsidRPr="00000000" w14:paraId="000000FC">
      <w:pPr>
        <w:spacing w:after="240" w:before="240" w:lineRule="auto"/>
        <w:rPr/>
      </w:pPr>
      <w:r w:rsidDel="00000000" w:rsidR="00000000" w:rsidRPr="00000000">
        <w:rPr>
          <w:rtl w:val="0"/>
        </w:rPr>
        <w:t xml:space="preserve">Schaitberger, T. (2025) 'Minimum or living wage? Framing effects on preferences and expectations', </w:t>
      </w:r>
      <w:r w:rsidDel="00000000" w:rsidR="00000000" w:rsidRPr="00000000">
        <w:rPr>
          <w:i w:val="1"/>
          <w:iCs w:val="1"/>
          <w:rtl w:val="0"/>
        </w:rPr>
        <w:t xml:space="preserve">British Journal of Industrial Relations</w:t>
      </w:r>
      <w:r w:rsidDel="00000000" w:rsidR="00000000" w:rsidRPr="00000000">
        <w:rPr>
          <w:rtl w:val="0"/>
        </w:rPr>
        <w:t xml:space="preserve">, 63(2), pp. 249–265.</w:t>
      </w:r>
    </w:p>
    <w:p w:rsidR="00000000" w:rsidDel="00000000" w:rsidP="00000000" w:rsidRDefault="00000000" w:rsidRPr="00000000" w14:paraId="000000FD">
      <w:pPr>
        <w:spacing w:after="240" w:before="240" w:lineRule="auto"/>
        <w:rPr/>
      </w:pPr>
      <w:r w:rsidDel="00000000" w:rsidR="00000000" w:rsidRPr="00000000">
        <w:rPr>
          <w:rtl w:val="0"/>
        </w:rPr>
        <w:t xml:space="preserve">Snow, D. A. and Benford, R. D. (1988) 'Ideology, frame resonance, and participant mobilization', </w:t>
      </w:r>
      <w:r w:rsidDel="00000000" w:rsidR="00000000" w:rsidRPr="00000000">
        <w:rPr>
          <w:i w:val="1"/>
          <w:iCs w:val="1"/>
          <w:rtl w:val="0"/>
        </w:rPr>
        <w:t xml:space="preserve">International Social Movement Research</w:t>
      </w:r>
      <w:r w:rsidDel="00000000" w:rsidR="00000000" w:rsidRPr="00000000">
        <w:rPr>
          <w:rtl w:val="0"/>
        </w:rPr>
        <w:t xml:space="preserve">, 1, pp. 197–217.</w:t>
      </w:r>
    </w:p>
    <w:p w:rsidR="00000000" w:rsidDel="00000000" w:rsidP="00000000" w:rsidRDefault="00000000" w:rsidRPr="00000000" w14:paraId="000000FE">
      <w:pPr>
        <w:spacing w:after="240" w:before="240" w:lineRule="auto"/>
        <w:rPr/>
      </w:pPr>
      <w:r w:rsidDel="00000000" w:rsidR="00000000" w:rsidRPr="00000000">
        <w:rPr>
          <w:rtl w:val="0"/>
        </w:rPr>
        <w:t xml:space="preserve">Speer, P. W., Christens, B. D. and Peterson, N. A. (2021) 'Participation in community organizing: cross-sectional and longitudinal analyses of impacts on sociopolitical development', </w:t>
      </w:r>
      <w:r w:rsidDel="00000000" w:rsidR="00000000" w:rsidRPr="00000000">
        <w:rPr>
          <w:i w:val="1"/>
          <w:iCs w:val="1"/>
          <w:rtl w:val="0"/>
        </w:rPr>
        <w:t xml:space="preserve">Journal of Community Psychology</w:t>
      </w:r>
      <w:r w:rsidDel="00000000" w:rsidR="00000000" w:rsidRPr="00000000">
        <w:rPr>
          <w:rtl w:val="0"/>
        </w:rPr>
        <w:t xml:space="preserve">, 49(8), pp. 3194–3214.</w:t>
      </w:r>
    </w:p>
    <w:p w:rsidR="00000000" w:rsidDel="00000000" w:rsidP="00000000" w:rsidRDefault="00000000" w:rsidRPr="00000000" w14:paraId="000000FF">
      <w:pPr>
        <w:spacing w:after="240" w:before="240" w:lineRule="auto"/>
        <w:rPr/>
      </w:pPr>
      <w:r w:rsidDel="00000000" w:rsidR="00000000" w:rsidRPr="00000000">
        <w:rPr>
          <w:rtl w:val="0"/>
        </w:rPr>
        <w:t xml:space="preserve">Sunstein, C. R. (2002) 'The law of group polarization', </w:t>
      </w:r>
      <w:r w:rsidDel="00000000" w:rsidR="00000000" w:rsidRPr="00000000">
        <w:rPr>
          <w:i w:val="1"/>
          <w:iCs w:val="1"/>
          <w:rtl w:val="0"/>
        </w:rPr>
        <w:t xml:space="preserve">Journal of Political Philosophy</w:t>
      </w:r>
      <w:r w:rsidDel="00000000" w:rsidR="00000000" w:rsidRPr="00000000">
        <w:rPr>
          <w:rtl w:val="0"/>
        </w:rPr>
        <w:t xml:space="preserve">, 10(2), pp. 175–195.</w:t>
      </w:r>
    </w:p>
    <w:p w:rsidR="00000000" w:rsidDel="00000000" w:rsidP="00000000" w:rsidRDefault="00000000" w:rsidRPr="00000000" w14:paraId="00000100">
      <w:pPr>
        <w:spacing w:after="240" w:before="240" w:lineRule="auto"/>
        <w:rPr/>
      </w:pPr>
      <w:r w:rsidDel="00000000" w:rsidR="00000000" w:rsidRPr="00000000">
        <w:rPr>
          <w:rtl w:val="0"/>
        </w:rPr>
        <w:t xml:space="preserve">Tattersall, A. (2024) </w:t>
      </w:r>
      <w:r w:rsidDel="00000000" w:rsidR="00000000" w:rsidRPr="00000000">
        <w:rPr>
          <w:i w:val="1"/>
          <w:iCs w:val="1"/>
          <w:rtl w:val="0"/>
        </w:rPr>
        <w:t xml:space="preserve">Organising Together Across Difference: Relational Experiments in Community Organising</w:t>
      </w:r>
      <w:r w:rsidDel="00000000" w:rsidR="00000000" w:rsidRPr="00000000">
        <w:rPr>
          <w:rtl w:val="0"/>
        </w:rPr>
        <w:t xml:space="preserve">. London: Citizens UK and University of Sydney.</w:t>
      </w:r>
    </w:p>
    <w:p w:rsidR="00000000" w:rsidDel="00000000" w:rsidP="00000000" w:rsidRDefault="00000000" w:rsidRPr="00000000" w14:paraId="00000101">
      <w:pPr>
        <w:spacing w:after="240" w:before="240" w:lineRule="auto"/>
        <w:rPr/>
      </w:pPr>
      <w:r w:rsidDel="00000000" w:rsidR="00000000" w:rsidRPr="00000000">
        <w:rPr>
          <w:rtl w:val="0"/>
        </w:rPr>
        <w:t xml:space="preserve">Ufkes, E. G., Calcagno, J., Glasford, D. E. et al. (2016) 'Understanding how common ingroup identity undermines collective action among disadvantaged-group members', </w:t>
      </w:r>
      <w:r w:rsidDel="00000000" w:rsidR="00000000" w:rsidRPr="00000000">
        <w:rPr>
          <w:i w:val="1"/>
          <w:iCs w:val="1"/>
          <w:rtl w:val="0"/>
        </w:rPr>
        <w:t xml:space="preserve">Journal of Experimental Social Psychology</w:t>
      </w:r>
      <w:r w:rsidDel="00000000" w:rsidR="00000000" w:rsidRPr="00000000">
        <w:rPr>
          <w:rtl w:val="0"/>
        </w:rPr>
        <w:t xml:space="preserve">, 63, pp. 26–35.</w:t>
      </w:r>
    </w:p>
    <w:p w:rsidR="00000000" w:rsidDel="00000000" w:rsidP="00000000" w:rsidRDefault="00000000" w:rsidRPr="00000000" w14:paraId="00000102">
      <w:pPr>
        <w:spacing w:after="240" w:before="240" w:lineRule="auto"/>
        <w:rPr/>
      </w:pPr>
      <w:r w:rsidDel="00000000" w:rsidR="00000000" w:rsidRPr="00000000">
        <w:rPr>
          <w:rtl w:val="0"/>
        </w:rPr>
        <w:t xml:space="preserve">United Nations (2015) </w:t>
      </w:r>
      <w:r w:rsidDel="00000000" w:rsidR="00000000" w:rsidRPr="00000000">
        <w:rPr>
          <w:i w:val="1"/>
          <w:iCs w:val="1"/>
          <w:rtl w:val="0"/>
        </w:rPr>
        <w:t xml:space="preserve">Transforming Our World: The 2030 Agenda for Sustainable Development</w:t>
      </w:r>
      <w:r w:rsidDel="00000000" w:rsidR="00000000" w:rsidRPr="00000000">
        <w:rPr>
          <w:rtl w:val="0"/>
        </w:rPr>
        <w:t xml:space="preserve">. Resolution A/RES/70/1. New York: United Nations.</w:t>
      </w:r>
    </w:p>
    <w:p w:rsidR="00000000" w:rsidDel="00000000" w:rsidP="00000000" w:rsidRDefault="00000000" w:rsidRPr="00000000" w14:paraId="00000103">
      <w:pPr>
        <w:spacing w:after="240" w:before="240" w:lineRule="auto"/>
        <w:rPr/>
      </w:pPr>
      <w:r w:rsidDel="00000000" w:rsidR="00000000" w:rsidRPr="00000000">
        <w:rPr>
          <w:rtl w:val="0"/>
        </w:rPr>
        <w:t xml:space="preserve">Uslaner, E. M. (2002) </w:t>
      </w:r>
      <w:r w:rsidDel="00000000" w:rsidR="00000000" w:rsidRPr="00000000">
        <w:rPr>
          <w:i w:val="1"/>
          <w:iCs w:val="1"/>
          <w:rtl w:val="0"/>
        </w:rPr>
        <w:t xml:space="preserve">The Moral Foundations of Trust</w:t>
      </w:r>
      <w:r w:rsidDel="00000000" w:rsidR="00000000" w:rsidRPr="00000000">
        <w:rPr>
          <w:rtl w:val="0"/>
        </w:rPr>
        <w:t xml:space="preserve">. Cambridge: Cambridge University Press.</w:t>
      </w:r>
    </w:p>
    <w:p w:rsidR="00000000" w:rsidDel="00000000" w:rsidP="00000000" w:rsidRDefault="00000000" w:rsidRPr="00000000" w14:paraId="00000104">
      <w:pPr>
        <w:spacing w:after="240" w:before="240" w:lineRule="auto"/>
        <w:rPr/>
      </w:pPr>
      <w:r w:rsidDel="00000000" w:rsidR="00000000" w:rsidRPr="00000000">
        <w:rPr>
          <w:rtl w:val="0"/>
        </w:rPr>
        <w:t xml:space="preserve">van Zomeren, M., Postmes, T. and Spears, R. (2008) 'Toward an integrative social identity model of collective action: a quantitative research synthesis of three socio-psychological perspectives', </w:t>
      </w:r>
      <w:r w:rsidDel="00000000" w:rsidR="00000000" w:rsidRPr="00000000">
        <w:rPr>
          <w:i w:val="1"/>
          <w:iCs w:val="1"/>
          <w:rtl w:val="0"/>
        </w:rPr>
        <w:t xml:space="preserve">Psychological Bulletin</w:t>
      </w:r>
      <w:r w:rsidDel="00000000" w:rsidR="00000000" w:rsidRPr="00000000">
        <w:rPr>
          <w:rtl w:val="0"/>
        </w:rPr>
        <w:t xml:space="preserve">, 134(4), pp. 504–535.</w:t>
      </w:r>
    </w:p>
    <w:p w:rsidR="00000000" w:rsidDel="00000000" w:rsidP="00000000" w:rsidRDefault="00000000" w:rsidRPr="00000000" w14:paraId="00000105">
      <w:pPr>
        <w:spacing w:after="240" w:before="240" w:lineRule="auto"/>
        <w:rPr/>
      </w:pPr>
      <w:r w:rsidDel="00000000" w:rsidR="00000000" w:rsidRPr="00000000">
        <w:rPr>
          <w:rtl w:val="0"/>
        </w:rPr>
        <w:t xml:space="preserve">Verba, S., Schlozman, K. L. and Brady, H. E. (1995) </w:t>
      </w:r>
      <w:r w:rsidDel="00000000" w:rsidR="00000000" w:rsidRPr="00000000">
        <w:rPr>
          <w:i w:val="1"/>
          <w:iCs w:val="1"/>
          <w:rtl w:val="0"/>
        </w:rPr>
        <w:t xml:space="preserve">Voice and Equality: Civic Voluntarism in American Politics</w:t>
      </w:r>
      <w:r w:rsidDel="00000000" w:rsidR="00000000" w:rsidRPr="00000000">
        <w:rPr>
          <w:rtl w:val="0"/>
        </w:rPr>
        <w:t xml:space="preserve">. Cambridge, MA: Harvard University Press.</w:t>
      </w:r>
    </w:p>
    <w:p w:rsidR="00000000" w:rsidDel="00000000" w:rsidP="00000000" w:rsidRDefault="00000000" w:rsidRPr="00000000" w14:paraId="00000106">
      <w:pPr>
        <w:spacing w:after="240" w:before="240" w:lineRule="auto"/>
        <w:rPr/>
      </w:pPr>
      <w:r w:rsidDel="00000000" w:rsidR="00000000" w:rsidRPr="00000000">
        <w:rPr>
          <w:rtl w:val="0"/>
        </w:rPr>
        <w:t xml:space="preserve">Warren, M. R. (2001) </w:t>
      </w:r>
      <w:r w:rsidDel="00000000" w:rsidR="00000000" w:rsidRPr="00000000">
        <w:rPr>
          <w:i w:val="1"/>
          <w:iCs w:val="1"/>
          <w:rtl w:val="0"/>
        </w:rPr>
        <w:t xml:space="preserve">Dry Bones Rattling: Community Building to Revitalize American Democracy</w:t>
      </w:r>
      <w:r w:rsidDel="00000000" w:rsidR="00000000" w:rsidRPr="00000000">
        <w:rPr>
          <w:rtl w:val="0"/>
        </w:rPr>
        <w:t xml:space="preserve">. Princeton, NJ: Princeton University Press.</w:t>
      </w:r>
    </w:p>
    <w:p w:rsidR="00000000" w:rsidDel="00000000" w:rsidP="00000000" w:rsidRDefault="00000000" w:rsidRPr="00000000" w14:paraId="00000107">
      <w:pPr>
        <w:spacing w:after="240" w:before="240" w:lineRule="auto"/>
        <w:rPr/>
      </w:pPr>
      <w:r w:rsidDel="00000000" w:rsidR="00000000" w:rsidRPr="00000000">
        <w:rPr>
          <w:rtl w:val="0"/>
        </w:rPr>
        <w:t xml:space="preserve">Wills, J. (2008) 'Making class politics possible: organizing contract cleaners in London', </w:t>
      </w:r>
      <w:r w:rsidDel="00000000" w:rsidR="00000000" w:rsidRPr="00000000">
        <w:rPr>
          <w:i w:val="1"/>
          <w:iCs w:val="1"/>
          <w:rtl w:val="0"/>
        </w:rPr>
        <w:t xml:space="preserve">International Journal of Urban and Regional Research</w:t>
      </w:r>
      <w:r w:rsidDel="00000000" w:rsidR="00000000" w:rsidRPr="00000000">
        <w:rPr>
          <w:rtl w:val="0"/>
        </w:rPr>
        <w:t xml:space="preserve">, 32(2), pp. 305–323.</w:t>
      </w:r>
    </w:p>
    <w:p w:rsidR="00000000" w:rsidDel="00000000" w:rsidP="00000000" w:rsidRDefault="00000000" w:rsidRPr="00000000" w14:paraId="00000108">
      <w:pPr>
        <w:spacing w:after="240" w:before="240" w:lineRule="auto"/>
        <w:rPr/>
      </w:pPr>
      <w:r w:rsidDel="00000000" w:rsidR="00000000" w:rsidRPr="00000000">
        <w:rPr>
          <w:rtl w:val="0"/>
        </w:rPr>
        <w:t xml:space="preserve">Wills, J. (2012) 'The geography of community and political organisation in London today', </w:t>
      </w:r>
      <w:r w:rsidDel="00000000" w:rsidR="00000000" w:rsidRPr="00000000">
        <w:rPr>
          <w:i w:val="1"/>
          <w:iCs w:val="1"/>
          <w:rtl w:val="0"/>
        </w:rPr>
        <w:t xml:space="preserve">Political Geography</w:t>
      </w:r>
      <w:r w:rsidDel="00000000" w:rsidR="00000000" w:rsidRPr="00000000">
        <w:rPr>
          <w:rtl w:val="0"/>
        </w:rPr>
        <w:t xml:space="preserve">, 31(2), pp. 114–126.</w:t>
      </w:r>
    </w:p>
    <w:p w:rsidR="00000000" w:rsidDel="00000000" w:rsidP="00000000" w:rsidRDefault="00000000" w:rsidRPr="00000000" w14:paraId="00000109">
      <w:pPr>
        <w:spacing w:after="240" w:before="240" w:lineRule="auto"/>
        <w:rPr>
          <w:b w:val="1"/>
          <w:bCs w:val="1"/>
        </w:rPr>
      </w:pPr>
      <w:r w:rsidDel="00000000" w:rsidR="00000000" w:rsidRPr="00000000">
        <w:rPr>
          <w:rtl w:val="0"/>
        </w:rPr>
        <w:t xml:space="preserve">Wills, J. and Linneker, B. (2014) 'In-work poverty and the living wage in the United Kingdom: a geographical perspective', </w:t>
      </w:r>
      <w:r w:rsidDel="00000000" w:rsidR="00000000" w:rsidRPr="00000000">
        <w:rPr>
          <w:i w:val="1"/>
          <w:iCs w:val="1"/>
          <w:rtl w:val="0"/>
        </w:rPr>
        <w:t xml:space="preserve">Transactions of the Institute of British Geographers</w:t>
      </w:r>
      <w:r w:rsidDel="00000000" w:rsidR="00000000" w:rsidRPr="00000000">
        <w:rPr>
          <w:rtl w:val="0"/>
        </w:rPr>
        <w:t xml:space="preserve">, 39(2), pp. 182–194.</w:t>
      </w:r>
      <w:r w:rsidDel="00000000" w:rsidR="00000000" w:rsidRPr="00000000">
        <w:rPr>
          <w:rtl w:val="0"/>
        </w:rPr>
      </w:r>
    </w:p>
    <w:p w:rsidR="00000000" w:rsidDel="00000000" w:rsidP="00000000" w:rsidRDefault="00000000" w:rsidRPr="00000000" w14:paraId="0000010A">
      <w:pPr>
        <w:rPr/>
      </w:pP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Arial Unicode MS"/>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
      </w:rPr>
    </w:rPrDefault>
    <w:pPrDefault>
      <w:pPr>
        <w:spacing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bCs w:val="0"/>
      <w:sz w:val="32"/>
      <w:szCs w:val="32"/>
    </w:rPr>
  </w:style>
  <w:style w:type="paragraph" w:styleId="Heading3">
    <w:name w:val="heading 3"/>
    <w:basedOn w:val="Normal"/>
    <w:next w:val="Normal"/>
    <w:pPr>
      <w:keepNext w:val="1"/>
      <w:keepLines w:val="1"/>
      <w:pageBreakBefore w:val="0"/>
      <w:spacing w:after="80" w:before="320" w:lineRule="auto"/>
    </w:pPr>
    <w:rPr>
      <w:b w:val="0"/>
      <w:bCs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iCs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iCs w:val="0"/>
      <w:color w:val="666666"/>
      <w:sz w:val="30"/>
      <w:szCs w:val="30"/>
    </w:rPr>
  </w:style>
  <w:style w:type="table" w:styleId="Table1">
    <w:basedOn w:val="TableNormal"/>
    <w:tblPr>
      <w:tblStyleRowBandSize w:val="1"/>
      <w:tblStyleColBandSize w:val="1"/>
      <w:tblCellMar/>
    </w:tblPr>
  </w:style>
</w:styles>
</file>

<file path=word/_rels/document.xml.rels><?xml version="1.0" encoding="UTF-8" standalone="yes"?><Relationships xmlns="http://schemas.openxmlformats.org/package/2006/relationships"><Relationship Id="rId11" Type="http://schemas.openxmlformats.org/officeDocument/2006/relationships/hyperlink" Target="https://www.gov.uk/government/statistics/community-and-engagement-survey-202526-local-decisions/community-and-engagement-survey-202526-influencing-local-decisions-report" TargetMode="External"/><Relationship Id="rId10" Type="http://schemas.openxmlformats.org/officeDocument/2006/relationships/hyperlink" Target="https://www.gov.uk/government/statistics/community-and-engagement-survey-202526-local-decisions/community-and-engagement-survey-202526-influencing-local-decisions-report" TargetMode="External"/><Relationship Id="rId13" Type="http://schemas.openxmlformats.org/officeDocument/2006/relationships/hyperlink" Target="https://www.gov.uk/government/statistics/community-and-engagement-survey-202526-neighbourhood/community-and-engagement-survey-202526-neighbourhood-and-community-report" TargetMode="External"/><Relationship Id="rId12" Type="http://schemas.openxmlformats.org/officeDocument/2006/relationships/hyperlink" Target="https://www.gov.uk/government/statistics/community-and-engagement-survey-202526-neighbourhood/community-and-engagement-survey-202526-neighbourhood-and-community-report"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gov.uk/government/statistics/community-and-engagement-survey-202526-civic-engagement/community-and-engagement-survey-202526-civic-engagement-report--2" TargetMode="External"/><Relationship Id="rId15" Type="http://schemas.openxmlformats.org/officeDocument/2006/relationships/hyperlink" Target="https://www.livingwage.org.uk/real-living-wage-25-years-0" TargetMode="External"/><Relationship Id="rId14" Type="http://schemas.openxmlformats.org/officeDocument/2006/relationships/hyperlink" Target="https://www.livingwage.org.uk/real-living-wage-25-years-0" TargetMode="External"/><Relationship Id="rId17" Type="http://schemas.openxmlformats.org/officeDocument/2006/relationships/hyperlink" Target="https://www.local.gov.uk/case-study-london-citizens-mayoral-accountability-assembly-2016" TargetMode="External"/><Relationship Id="rId16" Type="http://schemas.openxmlformats.org/officeDocument/2006/relationships/hyperlink" Target="https://www.local.gov.uk/case-study-london-citizens-mayoral-accountability-assembly-2016" TargetMode="External"/><Relationship Id="rId5" Type="http://schemas.openxmlformats.org/officeDocument/2006/relationships/styles" Target="styles.xml"/><Relationship Id="rId6" Type="http://schemas.openxmlformats.org/officeDocument/2006/relationships/hyperlink" Target="https://www.citizensuk.org/" TargetMode="External"/><Relationship Id="rId7" Type="http://schemas.openxmlformats.org/officeDocument/2006/relationships/hyperlink" Target="https://www.citizensuk.org/" TargetMode="External"/><Relationship Id="rId8" Type="http://schemas.openxmlformats.org/officeDocument/2006/relationships/hyperlink" Target="https://www.gov.uk/government/statistics/community-and-engagement-survey-202526-civic-engagement/community-and-engagement-survey-202526-civic-engagement-report--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