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p w14:paraId="7A612E6A" w14:textId="77777777" w:rsidR="00290559" w:rsidRDefault="00290559" w:rsidP="00290559">
      <w:pPr>
        <w:ind w:right="-957"/>
        <w:rPr>
          <w:rFonts w:ascii="Times New Roman" w:hAnsi="Times New Roman" w:cs="Times New Roman"/>
          <w:b/>
          <w:sz w:val="48"/>
          <w:szCs w:val="48"/>
        </w:rPr>
      </w:pPr>
      <w:r>
        <w:rPr>
          <w:rFonts w:ascii="Times New Roman" w:hAnsi="Times New Roman" w:cs="Times New Roman"/>
          <w:b/>
          <w:sz w:val="48"/>
          <w:szCs w:val="48"/>
        </w:rPr>
        <w:t xml:space="preserve">Learner’s name: </w:t>
      </w:r>
      <w:r w:rsidRPr="00303B6E">
        <w:rPr>
          <w:rFonts w:ascii="Times New Roman" w:hAnsi="Times New Roman" w:cs="Times New Roman"/>
          <w:sz w:val="48"/>
          <w:szCs w:val="48"/>
        </w:rPr>
        <w:t>Holly Roberts</w:t>
      </w:r>
    </w:p>
    <w:p w14:paraId="7D3E90D7" w14:textId="77777777" w:rsidR="00290559" w:rsidRDefault="00290559" w:rsidP="00290559">
      <w:pPr>
        <w:ind w:right="-957"/>
        <w:rPr>
          <w:rFonts w:ascii="Times New Roman" w:hAnsi="Times New Roman" w:cs="Times New Roman"/>
          <w:b/>
          <w:sz w:val="48"/>
          <w:szCs w:val="48"/>
        </w:rPr>
      </w:pPr>
    </w:p>
    <w:p w14:paraId="64477D84" w14:textId="77777777" w:rsidR="00290559" w:rsidRDefault="00290559" w:rsidP="00290559">
      <w:pPr>
        <w:ind w:right="-957"/>
        <w:rPr>
          <w:rFonts w:ascii="Times New Roman" w:hAnsi="Times New Roman" w:cs="Times New Roman"/>
          <w:b/>
          <w:sz w:val="48"/>
          <w:szCs w:val="48"/>
        </w:rPr>
      </w:pPr>
      <w:r>
        <w:rPr>
          <w:rFonts w:ascii="Times New Roman" w:hAnsi="Times New Roman" w:cs="Times New Roman"/>
          <w:b/>
          <w:sz w:val="48"/>
          <w:szCs w:val="48"/>
        </w:rPr>
        <w:t xml:space="preserve">Email address: </w:t>
      </w:r>
      <w:r w:rsidRPr="00303B6E">
        <w:rPr>
          <w:rFonts w:ascii="Times New Roman" w:hAnsi="Times New Roman" w:cs="Times New Roman"/>
          <w:sz w:val="48"/>
          <w:szCs w:val="48"/>
        </w:rPr>
        <w:t>2319561@student.uwtsd.ac.uk</w:t>
      </w:r>
    </w:p>
    <w:p w14:paraId="25A72312" w14:textId="77777777" w:rsidR="00290559" w:rsidRDefault="00290559" w:rsidP="00290559">
      <w:pPr>
        <w:ind w:right="-957"/>
        <w:rPr>
          <w:rFonts w:ascii="Times New Roman" w:hAnsi="Times New Roman" w:cs="Times New Roman"/>
          <w:b/>
          <w:sz w:val="48"/>
          <w:szCs w:val="48"/>
        </w:rPr>
      </w:pPr>
    </w:p>
    <w:p w14:paraId="17F93585" w14:textId="77777777" w:rsidR="00290559" w:rsidRDefault="00290559" w:rsidP="00290559">
      <w:pPr>
        <w:ind w:right="-957"/>
        <w:rPr>
          <w:rFonts w:ascii="Times New Roman" w:hAnsi="Times New Roman" w:cs="Times New Roman"/>
          <w:b/>
          <w:sz w:val="48"/>
          <w:szCs w:val="48"/>
        </w:rPr>
      </w:pPr>
      <w:r>
        <w:rPr>
          <w:rFonts w:ascii="Times New Roman" w:hAnsi="Times New Roman" w:cs="Times New Roman"/>
          <w:b/>
          <w:sz w:val="48"/>
          <w:szCs w:val="48"/>
        </w:rPr>
        <w:t xml:space="preserve">Learner’s University Registration Number: </w:t>
      </w:r>
      <w:r w:rsidRPr="00303B6E">
        <w:rPr>
          <w:rFonts w:ascii="Times New Roman" w:hAnsi="Times New Roman" w:cs="Times New Roman"/>
          <w:sz w:val="48"/>
          <w:szCs w:val="48"/>
        </w:rPr>
        <w:t>2319561</w:t>
      </w:r>
    </w:p>
    <w:p w14:paraId="4E86E9D6" w14:textId="77777777" w:rsidR="00290559" w:rsidRDefault="00290559" w:rsidP="00290559">
      <w:pPr>
        <w:ind w:right="-957"/>
        <w:rPr>
          <w:rFonts w:ascii="Times New Roman" w:hAnsi="Times New Roman" w:cs="Times New Roman"/>
          <w:b/>
          <w:sz w:val="48"/>
          <w:szCs w:val="48"/>
        </w:rPr>
      </w:pPr>
    </w:p>
    <w:p w14:paraId="40F3C009" w14:textId="3D7C5EFC" w:rsidR="00F927A1" w:rsidRPr="00F927A1" w:rsidRDefault="00290559" w:rsidP="0029055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szCs w:val="48"/>
        </w:rPr>
        <w:t xml:space="preserve">Cohort: </w:t>
      </w:r>
      <w:r w:rsidRPr="00303B6E">
        <w:rPr>
          <w:rFonts w:ascii="Times New Roman" w:hAnsi="Times New Roman" w:cs="Times New Roman"/>
          <w:sz w:val="48"/>
          <w:szCs w:val="48"/>
        </w:rPr>
        <w:t>21 onwards</w:t>
      </w:r>
      <w:r w:rsidR="008420E1">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0AE79D50" w:rsidR="002A1A44" w:rsidRDefault="00B570FE" w:rsidP="002A1A44">
      <w:pPr>
        <w:keepNext/>
        <w:spacing w:before="240" w:after="60"/>
        <w:jc w:val="both"/>
        <w:rPr>
          <w:sz w:val="24"/>
          <w:szCs w:val="24"/>
        </w:rPr>
      </w:pPr>
      <w:r>
        <w:rPr>
          <w:sz w:val="24"/>
          <w:szCs w:val="24"/>
        </w:rPr>
        <w:t xml:space="preserve">Njn </w:t>
      </w:r>
      <w:r w:rsidR="002A1A44" w:rsidRPr="008B28E7">
        <w:rPr>
          <w:sz w:val="24"/>
          <w:szCs w:val="24"/>
        </w:rPr>
        <w:t>Information about referencing in written assignments and how to avoid plagiarism can be found on Moodle</w:t>
      </w:r>
      <w:r w:rsidR="002A1A44">
        <w:rPr>
          <w:sz w:val="24"/>
          <w:szCs w:val="24"/>
        </w:rPr>
        <w:t xml:space="preserve">. It is important that you are aware of the importance of ensuring that the work submitted is your original work. </w:t>
      </w:r>
      <w:r w:rsidR="002A1A44" w:rsidRPr="008B28E7">
        <w:rPr>
          <w:sz w:val="24"/>
          <w:szCs w:val="24"/>
        </w:rPr>
        <w:t xml:space="preserve">     </w:t>
      </w:r>
    </w:p>
    <w:p w14:paraId="05964700" w14:textId="77777777" w:rsidR="00331782" w:rsidRDefault="00331782" w:rsidP="00331782">
      <w:pPr>
        <w:jc w:val="both"/>
        <w:rPr>
          <w:highlight w:val="white"/>
        </w:rPr>
      </w:pPr>
      <w:r>
        <w:rPr>
          <w:highlight w:val="white"/>
        </w:rPr>
        <w:t xml:space="preserve">Ainsworth, M.D.S. (1991). Attachments and other affectional bonds across the life cycle. In C . M. Parkes, J. Stevenson-Hinde, &amp; P. Marris (Eds.), </w:t>
      </w:r>
      <w:r>
        <w:rPr>
          <w:i/>
          <w:highlight w:val="white"/>
        </w:rPr>
        <w:t>Attachment across the life cycle</w:t>
      </w:r>
      <w:r>
        <w:rPr>
          <w:highlight w:val="white"/>
        </w:rPr>
        <w:t xml:space="preserve"> (pp. 33-51). London: Routledge.</w:t>
      </w:r>
    </w:p>
    <w:p w14:paraId="712E7C60" w14:textId="77777777" w:rsidR="00331782" w:rsidRDefault="00331782" w:rsidP="00331782">
      <w:pPr>
        <w:jc w:val="both"/>
        <w:rPr>
          <w:color w:val="222222"/>
          <w:highlight w:val="white"/>
        </w:rPr>
      </w:pPr>
    </w:p>
    <w:p w14:paraId="1F66639E" w14:textId="77777777" w:rsidR="00331782" w:rsidRDefault="00331782" w:rsidP="00331782">
      <w:pPr>
        <w:jc w:val="both"/>
        <w:rPr>
          <w:color w:val="222222"/>
          <w:highlight w:val="white"/>
        </w:rPr>
      </w:pPr>
      <w:r>
        <w:t xml:space="preserve">Allan, J. and Briskman, L. (2020), </w:t>
      </w:r>
      <w:r>
        <w:rPr>
          <w:i/>
          <w:color w:val="222222"/>
          <w:highlight w:val="white"/>
        </w:rPr>
        <w:t>Critical social work: Theories and practices for a socially just world</w:t>
      </w:r>
      <w:r>
        <w:rPr>
          <w:color w:val="222222"/>
          <w:highlight w:val="white"/>
        </w:rPr>
        <w:t>. London: Routledge.</w:t>
      </w:r>
    </w:p>
    <w:p w14:paraId="360857E0" w14:textId="77777777" w:rsidR="00331782" w:rsidRDefault="00331782" w:rsidP="00331782">
      <w:pPr>
        <w:jc w:val="both"/>
        <w:rPr>
          <w:color w:val="222222"/>
          <w:highlight w:val="white"/>
        </w:rPr>
      </w:pPr>
    </w:p>
    <w:p w14:paraId="791FFE0B" w14:textId="77777777" w:rsidR="00331782" w:rsidRDefault="00331782" w:rsidP="00331782">
      <w:pPr>
        <w:jc w:val="both"/>
        <w:rPr>
          <w:color w:val="222222"/>
          <w:highlight w:val="white"/>
        </w:rPr>
      </w:pPr>
      <w:r>
        <w:rPr>
          <w:color w:val="222222"/>
          <w:highlight w:val="white"/>
        </w:rPr>
        <w:t xml:space="preserve">Alston, M., (2020). </w:t>
      </w:r>
      <w:r>
        <w:rPr>
          <w:i/>
          <w:color w:val="222222"/>
          <w:highlight w:val="white"/>
        </w:rPr>
        <w:t>Research for social workers: An introduction to methods</w:t>
      </w:r>
      <w:r>
        <w:rPr>
          <w:color w:val="222222"/>
          <w:highlight w:val="white"/>
        </w:rPr>
        <w:t>. London: Routledge.</w:t>
      </w:r>
    </w:p>
    <w:p w14:paraId="5B61EBBF" w14:textId="77777777" w:rsidR="00331782" w:rsidRDefault="00331782" w:rsidP="00331782">
      <w:pPr>
        <w:jc w:val="both"/>
        <w:rPr>
          <w:color w:val="222222"/>
          <w:highlight w:val="white"/>
        </w:rPr>
      </w:pPr>
    </w:p>
    <w:p w14:paraId="569DF30D" w14:textId="77777777" w:rsidR="00331782" w:rsidRDefault="00331782" w:rsidP="00331782">
      <w:pPr>
        <w:jc w:val="both"/>
        <w:rPr>
          <w:highlight w:val="white"/>
        </w:rPr>
      </w:pPr>
      <w:r>
        <w:rPr>
          <w:highlight w:val="white"/>
        </w:rPr>
        <w:t>Banks, S. (2012). </w:t>
      </w:r>
      <w:r>
        <w:rPr>
          <w:i/>
          <w:highlight w:val="white"/>
        </w:rPr>
        <w:t>Ethics and values in social work</w:t>
      </w:r>
      <w:r>
        <w:rPr>
          <w:highlight w:val="white"/>
        </w:rPr>
        <w:t xml:space="preserve">. 3rd edition. Houndmills, Basingstoke, Hampshire: Palgrave Macmillan. </w:t>
      </w:r>
    </w:p>
    <w:p w14:paraId="04820C73" w14:textId="77777777" w:rsidR="00331782" w:rsidRDefault="00331782" w:rsidP="00331782">
      <w:pPr>
        <w:jc w:val="both"/>
        <w:rPr>
          <w:highlight w:val="white"/>
        </w:rPr>
      </w:pPr>
    </w:p>
    <w:p w14:paraId="0C243946" w14:textId="77777777" w:rsidR="00331782" w:rsidRDefault="00331782" w:rsidP="00331782">
      <w:pPr>
        <w:jc w:val="both"/>
        <w:rPr>
          <w:color w:val="222222"/>
          <w:highlight w:val="white"/>
        </w:rPr>
      </w:pPr>
      <w:r>
        <w:rPr>
          <w:color w:val="222222"/>
          <w:highlight w:val="white"/>
        </w:rPr>
        <w:t xml:space="preserve">Banks, S., (2020). </w:t>
      </w:r>
      <w:r>
        <w:rPr>
          <w:i/>
          <w:color w:val="222222"/>
          <w:highlight w:val="white"/>
        </w:rPr>
        <w:t>Ethics and values in social work</w:t>
      </w:r>
      <w:r>
        <w:rPr>
          <w:color w:val="222222"/>
          <w:highlight w:val="white"/>
        </w:rPr>
        <w:t>. Bloomsbury Publishing.</w:t>
      </w:r>
    </w:p>
    <w:p w14:paraId="64B5ED52" w14:textId="77777777" w:rsidR="00331782" w:rsidRDefault="00331782" w:rsidP="00331782">
      <w:pPr>
        <w:jc w:val="both"/>
        <w:rPr>
          <w:color w:val="222222"/>
          <w:highlight w:val="white"/>
        </w:rPr>
      </w:pPr>
    </w:p>
    <w:p w14:paraId="325E5A27" w14:textId="77777777" w:rsidR="00331782" w:rsidRDefault="00331782" w:rsidP="00331782">
      <w:pPr>
        <w:jc w:val="both"/>
        <w:rPr>
          <w:color w:val="222222"/>
          <w:highlight w:val="white"/>
        </w:rPr>
      </w:pPr>
      <w:r>
        <w:rPr>
          <w:color w:val="222222"/>
          <w:highlight w:val="white"/>
        </w:rPr>
        <w:t xml:space="preserve">Becvar, Raphael J., Dorothy Stroh Becvar, and Lynne V. Reif. (2023), </w:t>
      </w:r>
      <w:r>
        <w:rPr>
          <w:i/>
          <w:color w:val="222222"/>
          <w:highlight w:val="white"/>
        </w:rPr>
        <w:t>Systems theory and family therapy: A primer</w:t>
      </w:r>
      <w:r>
        <w:rPr>
          <w:color w:val="222222"/>
          <w:highlight w:val="white"/>
        </w:rPr>
        <w:t xml:space="preserve">. Rowman &amp; Littlefield. </w:t>
      </w:r>
    </w:p>
    <w:p w14:paraId="68B54B34" w14:textId="77777777" w:rsidR="00331782" w:rsidRDefault="00331782" w:rsidP="00331782">
      <w:pPr>
        <w:jc w:val="both"/>
        <w:rPr>
          <w:color w:val="222222"/>
          <w:highlight w:val="white"/>
        </w:rPr>
      </w:pPr>
    </w:p>
    <w:p w14:paraId="0E12FD35" w14:textId="77777777" w:rsidR="00331782" w:rsidRDefault="00331782" w:rsidP="00331782">
      <w:pPr>
        <w:jc w:val="both"/>
        <w:rPr>
          <w:highlight w:val="white"/>
        </w:rPr>
      </w:pPr>
      <w:r>
        <w:rPr>
          <w:highlight w:val="white"/>
        </w:rPr>
        <w:t xml:space="preserve">Bowlby, J. (1978). Attachment theory and its therapeutic implications. Adolescent Psychiatry, 6, 5–33. </w:t>
      </w:r>
    </w:p>
    <w:p w14:paraId="0988A2A3" w14:textId="77777777" w:rsidR="00331782" w:rsidRDefault="00331782" w:rsidP="00331782">
      <w:pPr>
        <w:jc w:val="both"/>
        <w:rPr>
          <w:highlight w:val="white"/>
        </w:rPr>
      </w:pPr>
    </w:p>
    <w:p w14:paraId="59D40C86" w14:textId="77777777" w:rsidR="00331782" w:rsidRPr="00EB3980" w:rsidRDefault="00331782" w:rsidP="00331782">
      <w:pPr>
        <w:jc w:val="both"/>
        <w:rPr>
          <w:color w:val="auto"/>
          <w:highlight w:val="white"/>
        </w:rPr>
      </w:pPr>
      <w:r w:rsidRPr="00EB3980">
        <w:rPr>
          <w:color w:val="auto"/>
          <w:highlight w:val="white"/>
        </w:rPr>
        <w:t>Brandon M., Belderson P., Warren C., Howe D., Gardner R., Dodsworth J., Black J.(2008) ‘Analysing child deaths and serious injury through abuse and neglect: What can we learn? A biennial analysis of Serious Case Reviews 2003–2005,’ Nottingham, Department of Children, Schools and Families.</w:t>
      </w:r>
    </w:p>
    <w:p w14:paraId="36F14B32" w14:textId="77777777" w:rsidR="00331782" w:rsidRDefault="00331782" w:rsidP="00331782">
      <w:pPr>
        <w:jc w:val="both"/>
        <w:rPr>
          <w:color w:val="333333"/>
          <w:highlight w:val="white"/>
        </w:rPr>
      </w:pPr>
    </w:p>
    <w:p w14:paraId="61DE80D3" w14:textId="77777777" w:rsidR="00331782" w:rsidRPr="00EB3980" w:rsidRDefault="00331782" w:rsidP="00331782">
      <w:pPr>
        <w:jc w:val="both"/>
        <w:rPr>
          <w:color w:val="auto"/>
          <w:highlight w:val="white"/>
        </w:rPr>
      </w:pPr>
      <w:r w:rsidRPr="00EB3980">
        <w:rPr>
          <w:color w:val="auto"/>
          <w:highlight w:val="white"/>
        </w:rPr>
        <w:t xml:space="preserve">Burton, J.E., (2020). Reframing social work practice education: practice educators’ perceptions of the Professional Capabilities Framework (PCF) and the support provided during implementation. </w:t>
      </w:r>
      <w:r w:rsidRPr="00EB3980">
        <w:rPr>
          <w:i/>
          <w:color w:val="auto"/>
          <w:highlight w:val="white"/>
        </w:rPr>
        <w:t>Journal of Social Work Practice</w:t>
      </w:r>
      <w:r w:rsidRPr="00EB3980">
        <w:rPr>
          <w:color w:val="auto"/>
          <w:highlight w:val="white"/>
        </w:rPr>
        <w:t xml:space="preserve">, </w:t>
      </w:r>
      <w:r w:rsidRPr="00EB3980">
        <w:rPr>
          <w:i/>
          <w:color w:val="auto"/>
          <w:highlight w:val="white"/>
        </w:rPr>
        <w:t>34</w:t>
      </w:r>
      <w:r w:rsidRPr="00EB3980">
        <w:rPr>
          <w:color w:val="auto"/>
          <w:highlight w:val="white"/>
        </w:rPr>
        <w:t>(1), pp.39-52.</w:t>
      </w:r>
    </w:p>
    <w:p w14:paraId="3000F951" w14:textId="77777777" w:rsidR="00331782" w:rsidRDefault="00331782" w:rsidP="00331782">
      <w:pPr>
        <w:jc w:val="both"/>
        <w:rPr>
          <w:color w:val="222222"/>
          <w:highlight w:val="white"/>
        </w:rPr>
      </w:pPr>
    </w:p>
    <w:p w14:paraId="30696A06" w14:textId="77777777" w:rsidR="00331782" w:rsidRDefault="00331782" w:rsidP="00331782">
      <w:pPr>
        <w:jc w:val="both"/>
        <w:rPr>
          <w:highlight w:val="white"/>
        </w:rPr>
      </w:pPr>
      <w:r>
        <w:rPr>
          <w:highlight w:val="white"/>
        </w:rPr>
        <w:t xml:space="preserve">Care Quality Commission (2019). </w:t>
      </w:r>
      <w:hyperlink r:id="rId11">
        <w:r>
          <w:rPr>
            <w:i/>
            <w:highlight w:val="white"/>
          </w:rPr>
          <w:t>Brief guide: capacity and competence to consent in under 18s</w:t>
        </w:r>
      </w:hyperlink>
      <w:r>
        <w:rPr>
          <w:highlight w:val="white"/>
        </w:rPr>
        <w:t>. Care Quality Commission.</w:t>
      </w:r>
    </w:p>
    <w:p w14:paraId="57153A9A" w14:textId="77777777" w:rsidR="00331782" w:rsidRDefault="00331782" w:rsidP="00331782">
      <w:pPr>
        <w:jc w:val="both"/>
        <w:rPr>
          <w:highlight w:val="white"/>
        </w:rPr>
      </w:pPr>
    </w:p>
    <w:p w14:paraId="6475F84A" w14:textId="77777777" w:rsidR="00331782" w:rsidRDefault="00331782" w:rsidP="00331782">
      <w:pPr>
        <w:jc w:val="both"/>
        <w:rPr>
          <w:color w:val="222222"/>
          <w:highlight w:val="white"/>
        </w:rPr>
      </w:pPr>
      <w:r>
        <w:rPr>
          <w:color w:val="222222"/>
          <w:highlight w:val="white"/>
        </w:rPr>
        <w:t xml:space="preserve">Children’s Commissioner. (2019). Estimating the prevalence of the ‘toxic trio’. </w:t>
      </w:r>
      <w:r w:rsidRPr="00EB3980">
        <w:rPr>
          <w:color w:val="222222"/>
          <w:highlight w:val="white"/>
        </w:rPr>
        <w:t>https://www.childrenscommissioner.gov.uk/wp-content/uploads/2018/07/Vulnerability-TechnicalReport-2-Estimating-the-prevalence-of-the-toxic-trio.pdf</w:t>
      </w:r>
    </w:p>
    <w:p w14:paraId="1CC320A0" w14:textId="77777777" w:rsidR="00331782" w:rsidRDefault="00331782" w:rsidP="00331782">
      <w:pPr>
        <w:jc w:val="both"/>
        <w:rPr>
          <w:color w:val="222222"/>
          <w:highlight w:val="white"/>
        </w:rPr>
      </w:pPr>
    </w:p>
    <w:p w14:paraId="04C769A1" w14:textId="77777777" w:rsidR="00331782" w:rsidRDefault="00331782" w:rsidP="00331782">
      <w:pPr>
        <w:jc w:val="both"/>
      </w:pPr>
      <w:r>
        <w:t xml:space="preserve">Corporate Safeguarding Policy (2022). XXX Local Authority. </w:t>
      </w:r>
    </w:p>
    <w:p w14:paraId="712BEE3F" w14:textId="77777777" w:rsidR="00331782" w:rsidRDefault="00331782" w:rsidP="00331782">
      <w:pPr>
        <w:jc w:val="both"/>
      </w:pPr>
    </w:p>
    <w:p w14:paraId="3D5FDFE5" w14:textId="77777777" w:rsidR="00331782" w:rsidRDefault="00331782" w:rsidP="00331782">
      <w:pPr>
        <w:jc w:val="both"/>
        <w:rPr>
          <w:color w:val="222222"/>
          <w:highlight w:val="white"/>
        </w:rPr>
      </w:pPr>
      <w:r>
        <w:rPr>
          <w:color w:val="222222"/>
          <w:highlight w:val="white"/>
        </w:rPr>
        <w:t xml:space="preserve">Cossar, J., Brandon, M. and Jordan, P., (2016). ‘You've got to trust her and she's got to trust you’: Children's views on participation in the child protection system. </w:t>
      </w:r>
      <w:r>
        <w:rPr>
          <w:i/>
          <w:color w:val="222222"/>
          <w:highlight w:val="white"/>
        </w:rPr>
        <w:t>Child &amp; Family Social Work</w:t>
      </w:r>
      <w:r>
        <w:rPr>
          <w:color w:val="222222"/>
          <w:highlight w:val="white"/>
        </w:rPr>
        <w:t xml:space="preserve">, </w:t>
      </w:r>
      <w:r>
        <w:rPr>
          <w:i/>
          <w:color w:val="222222"/>
          <w:highlight w:val="white"/>
        </w:rPr>
        <w:t>21</w:t>
      </w:r>
      <w:r>
        <w:rPr>
          <w:color w:val="222222"/>
          <w:highlight w:val="white"/>
        </w:rPr>
        <w:t>(1), pp.103-112.</w:t>
      </w:r>
    </w:p>
    <w:p w14:paraId="221D3B85" w14:textId="77777777" w:rsidR="00331782" w:rsidRDefault="00331782" w:rsidP="00331782">
      <w:pPr>
        <w:jc w:val="both"/>
        <w:rPr>
          <w:color w:val="222222"/>
          <w:highlight w:val="white"/>
        </w:rPr>
      </w:pPr>
    </w:p>
    <w:p w14:paraId="5681234C" w14:textId="77777777" w:rsidR="00331782" w:rsidRDefault="00331782" w:rsidP="00331782">
      <w:pPr>
        <w:jc w:val="both"/>
        <w:rPr>
          <w:color w:val="2A2A2A"/>
          <w:highlight w:val="white"/>
        </w:rPr>
      </w:pPr>
      <w:r>
        <w:rPr>
          <w:color w:val="2A2A2A"/>
          <w:highlight w:val="white"/>
        </w:rPr>
        <w:t xml:space="preserve">Crittenden, P &amp; Farnfield, S (2007). Fostering families: An integrative approach involving the biological and foster family systems. In RE Lee &amp; JB Whiting (eds), </w:t>
      </w:r>
      <w:r>
        <w:rPr>
          <w:i/>
          <w:color w:val="2A2A2A"/>
          <w:highlight w:val="white"/>
        </w:rPr>
        <w:t>Handbook of Relational Therapy for Foster Children and their Families</w:t>
      </w:r>
      <w:r>
        <w:rPr>
          <w:color w:val="2A2A2A"/>
          <w:highlight w:val="white"/>
        </w:rPr>
        <w:t xml:space="preserve"> (pp. 227-250). Child Welfare League of America.</w:t>
      </w:r>
    </w:p>
    <w:p w14:paraId="33340D7A" w14:textId="77777777" w:rsidR="00331782" w:rsidRDefault="00331782" w:rsidP="00331782">
      <w:pPr>
        <w:jc w:val="both"/>
        <w:rPr>
          <w:color w:val="2A2A2A"/>
          <w:highlight w:val="white"/>
        </w:rPr>
      </w:pPr>
    </w:p>
    <w:p w14:paraId="6EF5C640" w14:textId="77777777" w:rsidR="00331782" w:rsidRDefault="00331782" w:rsidP="00331782">
      <w:pPr>
        <w:jc w:val="both"/>
        <w:rPr>
          <w:color w:val="2A2A2A"/>
          <w:highlight w:val="white"/>
        </w:rPr>
      </w:pPr>
      <w:r>
        <w:rPr>
          <w:color w:val="2A2A2A"/>
          <w:highlight w:val="white"/>
        </w:rPr>
        <w:t xml:space="preserve">Okpokiri (2021) Parenting in fear: Child welfare micro strategies of Nigerian parents in Britain, </w:t>
      </w:r>
      <w:r>
        <w:rPr>
          <w:i/>
          <w:color w:val="2A2A2A"/>
          <w:highlight w:val="white"/>
        </w:rPr>
        <w:t>The British Journal of Social Work</w:t>
      </w:r>
      <w:r>
        <w:rPr>
          <w:color w:val="2A2A2A"/>
          <w:highlight w:val="white"/>
        </w:rPr>
        <w:t xml:space="preserve">, Volume 51, Issue 2, pp 427–444. </w:t>
      </w:r>
    </w:p>
    <w:p w14:paraId="65C389A5" w14:textId="77777777" w:rsidR="00331782" w:rsidRDefault="00331782" w:rsidP="00331782">
      <w:pPr>
        <w:jc w:val="both"/>
        <w:rPr>
          <w:color w:val="222222"/>
          <w:highlight w:val="white"/>
        </w:rPr>
      </w:pPr>
      <w:r>
        <w:rPr>
          <w:color w:val="222222"/>
          <w:highlight w:val="white"/>
        </w:rPr>
        <w:t xml:space="preserve">Dawson, P., Carless, D. and Lee, P.P.W., (2021). Authentic feedback: supporting learners to engage in disciplinary feedback practices. </w:t>
      </w:r>
      <w:r>
        <w:rPr>
          <w:i/>
          <w:color w:val="222222"/>
          <w:highlight w:val="white"/>
        </w:rPr>
        <w:t>Assessment &amp; Evaluation in Higher Education</w:t>
      </w:r>
      <w:r>
        <w:rPr>
          <w:color w:val="222222"/>
          <w:highlight w:val="white"/>
        </w:rPr>
        <w:t xml:space="preserve">, </w:t>
      </w:r>
      <w:r>
        <w:rPr>
          <w:i/>
          <w:color w:val="222222"/>
          <w:highlight w:val="white"/>
        </w:rPr>
        <w:t>46</w:t>
      </w:r>
      <w:r>
        <w:rPr>
          <w:color w:val="222222"/>
          <w:highlight w:val="white"/>
        </w:rPr>
        <w:t>(2), pp.286-296.</w:t>
      </w:r>
    </w:p>
    <w:p w14:paraId="19847DA6" w14:textId="77777777" w:rsidR="00331782" w:rsidRDefault="00331782" w:rsidP="00331782">
      <w:pPr>
        <w:jc w:val="both"/>
      </w:pPr>
      <w:r>
        <w:t xml:space="preserve">Department for Education (2011), </w:t>
      </w:r>
      <w:r>
        <w:rPr>
          <w:i/>
        </w:rPr>
        <w:t xml:space="preserve">A Child Centred System, The Governments Response to the Munro Review of Child Protection. </w:t>
      </w:r>
      <w:r>
        <w:t>London: TSO</w:t>
      </w:r>
    </w:p>
    <w:p w14:paraId="0AD502B4" w14:textId="77777777" w:rsidR="00331782" w:rsidRDefault="00331782" w:rsidP="00331782">
      <w:pPr>
        <w:jc w:val="both"/>
      </w:pPr>
    </w:p>
    <w:p w14:paraId="28D56C1D" w14:textId="77777777" w:rsidR="00331782" w:rsidRDefault="00331782" w:rsidP="00331782">
      <w:pPr>
        <w:jc w:val="both"/>
      </w:pPr>
      <w:r>
        <w:lastRenderedPageBreak/>
        <w:t xml:space="preserve">Department for Education (2013), </w:t>
      </w:r>
      <w:r>
        <w:rPr>
          <w:i/>
        </w:rPr>
        <w:t>Working Together to Safeguard Children</w:t>
      </w:r>
      <w:r>
        <w:t xml:space="preserve">. London: TSO. </w:t>
      </w:r>
    </w:p>
    <w:p w14:paraId="1EA15B45" w14:textId="77777777" w:rsidR="00331782" w:rsidRDefault="00331782" w:rsidP="00331782">
      <w:pPr>
        <w:jc w:val="both"/>
      </w:pPr>
    </w:p>
    <w:p w14:paraId="2F372B87" w14:textId="77777777" w:rsidR="00331782" w:rsidRDefault="00331782" w:rsidP="00331782">
      <w:pPr>
        <w:jc w:val="both"/>
        <w:rPr>
          <w:color w:val="222222"/>
          <w:highlight w:val="white"/>
        </w:rPr>
      </w:pPr>
      <w:r>
        <w:rPr>
          <w:color w:val="222222"/>
          <w:highlight w:val="white"/>
        </w:rPr>
        <w:t xml:space="preserve">Enroos, R., Korpinen, J. and Pösö, T., (2021). ‘Informed consent in consensual child welfare: some reflections on its controversial nature. </w:t>
      </w:r>
      <w:r>
        <w:rPr>
          <w:i/>
          <w:color w:val="222222"/>
          <w:highlight w:val="white"/>
        </w:rPr>
        <w:t>European Journal of Social Work</w:t>
      </w:r>
      <w:r>
        <w:rPr>
          <w:color w:val="222222"/>
          <w:highlight w:val="white"/>
        </w:rPr>
        <w:t xml:space="preserve">, </w:t>
      </w:r>
      <w:r>
        <w:rPr>
          <w:i/>
          <w:color w:val="222222"/>
          <w:highlight w:val="white"/>
        </w:rPr>
        <w:t>24</w:t>
      </w:r>
      <w:r>
        <w:rPr>
          <w:color w:val="222222"/>
          <w:highlight w:val="white"/>
        </w:rPr>
        <w:t>(5), pp.852-863.</w:t>
      </w:r>
    </w:p>
    <w:p w14:paraId="728D9C21" w14:textId="77777777" w:rsidR="00331782" w:rsidRDefault="00331782" w:rsidP="00331782">
      <w:pPr>
        <w:jc w:val="both"/>
        <w:rPr>
          <w:color w:val="222222"/>
          <w:highlight w:val="white"/>
        </w:rPr>
      </w:pPr>
    </w:p>
    <w:p w14:paraId="3DAB7FC5" w14:textId="77777777" w:rsidR="00331782" w:rsidRDefault="00331782" w:rsidP="00331782">
      <w:pPr>
        <w:jc w:val="both"/>
        <w:rPr>
          <w:color w:val="222222"/>
          <w:highlight w:val="white"/>
        </w:rPr>
      </w:pPr>
      <w:r>
        <w:rPr>
          <w:color w:val="222222"/>
          <w:highlight w:val="white"/>
        </w:rPr>
        <w:t>Ferguson, H., (2016). What social workers do in performing child protection work: Evidence from research into face</w:t>
      </w:r>
      <w:r>
        <w:rPr>
          <w:rFonts w:ascii="Cambria Math" w:hAnsi="Cambria Math" w:cs="Cambria Math"/>
          <w:color w:val="222222"/>
          <w:highlight w:val="white"/>
        </w:rPr>
        <w:t>‐</w:t>
      </w:r>
      <w:r>
        <w:rPr>
          <w:color w:val="222222"/>
          <w:highlight w:val="white"/>
        </w:rPr>
        <w:t>to</w:t>
      </w:r>
      <w:r>
        <w:rPr>
          <w:rFonts w:ascii="Cambria Math" w:hAnsi="Cambria Math" w:cs="Cambria Math"/>
          <w:color w:val="222222"/>
          <w:highlight w:val="white"/>
        </w:rPr>
        <w:t>‐</w:t>
      </w:r>
      <w:r>
        <w:rPr>
          <w:color w:val="222222"/>
          <w:highlight w:val="white"/>
        </w:rPr>
        <w:t xml:space="preserve">face practice. </w:t>
      </w:r>
      <w:r>
        <w:rPr>
          <w:i/>
          <w:color w:val="222222"/>
          <w:highlight w:val="white"/>
        </w:rPr>
        <w:t>Child &amp; Family Social Work</w:t>
      </w:r>
      <w:r>
        <w:rPr>
          <w:color w:val="222222"/>
          <w:highlight w:val="white"/>
        </w:rPr>
        <w:t xml:space="preserve">, </w:t>
      </w:r>
      <w:r>
        <w:rPr>
          <w:i/>
          <w:color w:val="222222"/>
          <w:highlight w:val="white"/>
        </w:rPr>
        <w:t>21</w:t>
      </w:r>
      <w:r>
        <w:rPr>
          <w:color w:val="222222"/>
          <w:highlight w:val="white"/>
        </w:rPr>
        <w:t>(3), pp.283-294.</w:t>
      </w:r>
    </w:p>
    <w:p w14:paraId="7751840D" w14:textId="77777777" w:rsidR="00331782" w:rsidRDefault="00331782" w:rsidP="00331782">
      <w:pPr>
        <w:jc w:val="both"/>
        <w:rPr>
          <w:color w:val="222222"/>
          <w:highlight w:val="white"/>
        </w:rPr>
      </w:pPr>
    </w:p>
    <w:p w14:paraId="0D43DE9D" w14:textId="77777777" w:rsidR="00331782" w:rsidRDefault="00331782" w:rsidP="00331782">
      <w:pPr>
        <w:jc w:val="both"/>
        <w:rPr>
          <w:color w:val="222222"/>
          <w:highlight w:val="white"/>
        </w:rPr>
      </w:pPr>
      <w:r>
        <w:rPr>
          <w:color w:val="222222"/>
          <w:highlight w:val="white"/>
        </w:rPr>
        <w:t>French, J.R.P. and Raven, B. (1959). 'The Bases of Social Power.' In 'Studies in Social Power, Cartwright, D.,' pp.150-167. Ann Arbor, MI: Institute for Social Research</w:t>
      </w:r>
    </w:p>
    <w:p w14:paraId="7FBFD21F" w14:textId="77777777" w:rsidR="00331782" w:rsidRDefault="00331782" w:rsidP="00331782">
      <w:pPr>
        <w:jc w:val="both"/>
        <w:rPr>
          <w:color w:val="222222"/>
          <w:highlight w:val="white"/>
        </w:rPr>
      </w:pPr>
    </w:p>
    <w:p w14:paraId="7CECEC17" w14:textId="77777777" w:rsidR="00331782" w:rsidRDefault="00331782" w:rsidP="00331782">
      <w:pPr>
        <w:jc w:val="both"/>
        <w:rPr>
          <w:highlight w:val="white"/>
        </w:rPr>
      </w:pPr>
      <w:r>
        <w:rPr>
          <w:highlight w:val="white"/>
        </w:rPr>
        <w:t xml:space="preserve">Gillick v West Norfolk &amp; Wisbech Area Health Authority, UKHL 7 (17 October 1985) Available via (BAILII) in </w:t>
      </w:r>
      <w:hyperlink r:id="rId12">
        <w:r>
          <w:rPr>
            <w:highlight w:val="white"/>
          </w:rPr>
          <w:t>The law reports (appeal cases) [1986] AC 112</w:t>
        </w:r>
      </w:hyperlink>
      <w:r>
        <w:rPr>
          <w:highlight w:val="white"/>
        </w:rPr>
        <w:t>.</w:t>
      </w:r>
    </w:p>
    <w:p w14:paraId="282A1FE0" w14:textId="77777777" w:rsidR="00331782" w:rsidRDefault="00331782" w:rsidP="00331782">
      <w:pPr>
        <w:jc w:val="both"/>
        <w:rPr>
          <w:highlight w:val="white"/>
        </w:rPr>
      </w:pPr>
    </w:p>
    <w:p w14:paraId="73158F0B" w14:textId="77777777" w:rsidR="00331782" w:rsidRDefault="00331782" w:rsidP="00331782">
      <w:pPr>
        <w:jc w:val="both"/>
        <w:rPr>
          <w:color w:val="222222"/>
          <w:highlight w:val="white"/>
        </w:rPr>
      </w:pPr>
      <w:r>
        <w:rPr>
          <w:color w:val="222222"/>
          <w:highlight w:val="white"/>
        </w:rPr>
        <w:t xml:space="preserve">Hall, C., 2019. </w:t>
      </w:r>
      <w:r>
        <w:rPr>
          <w:i/>
          <w:color w:val="222222"/>
          <w:highlight w:val="white"/>
        </w:rPr>
        <w:t>Social work as narrative: Storytelling and persuasion in professional texts</w:t>
      </w:r>
      <w:r>
        <w:rPr>
          <w:color w:val="222222"/>
          <w:highlight w:val="white"/>
        </w:rPr>
        <w:t>. Routledge.</w:t>
      </w:r>
    </w:p>
    <w:p w14:paraId="1D1D7B74" w14:textId="77777777" w:rsidR="00331782" w:rsidRDefault="00331782" w:rsidP="00331782">
      <w:pPr>
        <w:spacing w:before="280" w:after="280"/>
        <w:jc w:val="both"/>
        <w:rPr>
          <w:color w:val="222222"/>
          <w:highlight w:val="white"/>
        </w:rPr>
      </w:pPr>
      <w:r>
        <w:rPr>
          <w:color w:val="222222"/>
          <w:highlight w:val="white"/>
        </w:rPr>
        <w:t xml:space="preserve">Hall, C., Slembrouck, S. and Sarangi, S., (2020). </w:t>
      </w:r>
      <w:r>
        <w:rPr>
          <w:i/>
          <w:color w:val="222222"/>
          <w:highlight w:val="white"/>
        </w:rPr>
        <w:t>Language practices in social work: Categorisation and accountability in child welfare</w:t>
      </w:r>
      <w:r>
        <w:rPr>
          <w:color w:val="222222"/>
          <w:highlight w:val="white"/>
        </w:rPr>
        <w:t>. Routledge.</w:t>
      </w:r>
    </w:p>
    <w:p w14:paraId="0F15DEB2" w14:textId="77777777" w:rsidR="00331782" w:rsidRDefault="00331782" w:rsidP="00331782">
      <w:pPr>
        <w:jc w:val="both"/>
        <w:rPr>
          <w:color w:val="222222"/>
          <w:highlight w:val="white"/>
        </w:rPr>
      </w:pPr>
      <w:r>
        <w:rPr>
          <w:color w:val="222222"/>
          <w:highlight w:val="white"/>
        </w:rPr>
        <w:t xml:space="preserve">Hall, J. and Valdiviezo, S., (2020). The social worker as language worker in a multilingual world: Educating for language competence. </w:t>
      </w:r>
      <w:r>
        <w:rPr>
          <w:i/>
          <w:color w:val="222222"/>
          <w:highlight w:val="white"/>
        </w:rPr>
        <w:t>Journal of Social Work Education</w:t>
      </w:r>
      <w:r>
        <w:rPr>
          <w:color w:val="222222"/>
          <w:highlight w:val="white"/>
        </w:rPr>
        <w:t xml:space="preserve">, </w:t>
      </w:r>
      <w:r>
        <w:rPr>
          <w:i/>
          <w:color w:val="222222"/>
          <w:highlight w:val="white"/>
        </w:rPr>
        <w:t>56</w:t>
      </w:r>
      <w:r>
        <w:rPr>
          <w:color w:val="222222"/>
          <w:highlight w:val="white"/>
        </w:rPr>
        <w:t>(1), pp.17-29.</w:t>
      </w:r>
    </w:p>
    <w:p w14:paraId="550D0610" w14:textId="77777777" w:rsidR="00331782" w:rsidRDefault="00331782" w:rsidP="00331782">
      <w:pPr>
        <w:jc w:val="both"/>
        <w:rPr>
          <w:color w:val="222222"/>
          <w:highlight w:val="white"/>
        </w:rPr>
      </w:pPr>
    </w:p>
    <w:p w14:paraId="6FAE84E0" w14:textId="77777777" w:rsidR="00331782" w:rsidRDefault="00331782" w:rsidP="00331782">
      <w:pPr>
        <w:jc w:val="both"/>
        <w:rPr>
          <w:color w:val="222222"/>
          <w:highlight w:val="white"/>
        </w:rPr>
      </w:pPr>
      <w:r>
        <w:rPr>
          <w:color w:val="222222"/>
          <w:highlight w:val="white"/>
        </w:rPr>
        <w:t xml:space="preserve">Hood, R., Goldacre, A., Webb, C., Bywaters, P., Gorin, S. and Clements, K., (2021). Beyond the toxic trio: Exploring demand typologies in children’s social care. </w:t>
      </w:r>
      <w:r>
        <w:rPr>
          <w:i/>
          <w:color w:val="222222"/>
          <w:highlight w:val="white"/>
        </w:rPr>
        <w:t>British Journal of Social Work</w:t>
      </w:r>
      <w:r>
        <w:rPr>
          <w:color w:val="222222"/>
          <w:highlight w:val="white"/>
        </w:rPr>
        <w:t xml:space="preserve">, </w:t>
      </w:r>
      <w:r>
        <w:rPr>
          <w:i/>
          <w:color w:val="222222"/>
          <w:highlight w:val="white"/>
        </w:rPr>
        <w:t>51</w:t>
      </w:r>
      <w:r>
        <w:rPr>
          <w:color w:val="222222"/>
          <w:highlight w:val="white"/>
        </w:rPr>
        <w:t>(6), pp.1942-1962.</w:t>
      </w:r>
    </w:p>
    <w:p w14:paraId="152C8940" w14:textId="77777777" w:rsidR="00331782" w:rsidRDefault="00331782" w:rsidP="00331782">
      <w:pPr>
        <w:jc w:val="both"/>
        <w:rPr>
          <w:color w:val="222222"/>
          <w:highlight w:val="white"/>
        </w:rPr>
      </w:pPr>
    </w:p>
    <w:p w14:paraId="689A2A19" w14:textId="77777777" w:rsidR="00331782" w:rsidRDefault="00331782" w:rsidP="00331782">
      <w:pPr>
        <w:jc w:val="both"/>
        <w:rPr>
          <w:highlight w:val="white"/>
        </w:rPr>
      </w:pPr>
      <w:r>
        <w:rPr>
          <w:highlight w:val="white"/>
        </w:rPr>
        <w:t>Howe, D., (2009). </w:t>
      </w:r>
      <w:r>
        <w:rPr>
          <w:i/>
          <w:highlight w:val="white"/>
        </w:rPr>
        <w:t>A brief introduction to social work theory</w:t>
      </w:r>
      <w:r>
        <w:rPr>
          <w:highlight w:val="white"/>
        </w:rPr>
        <w:t>. Houndmills, Basingstoke, Hampshire England: Palgrave Macmillan.</w:t>
      </w:r>
    </w:p>
    <w:p w14:paraId="7D4DF6B7" w14:textId="77777777" w:rsidR="00331782" w:rsidRDefault="00331782" w:rsidP="00331782">
      <w:pPr>
        <w:jc w:val="both"/>
        <w:rPr>
          <w:highlight w:val="white"/>
        </w:rPr>
      </w:pPr>
    </w:p>
    <w:p w14:paraId="32FED16D" w14:textId="77777777" w:rsidR="00331782" w:rsidRDefault="00331782" w:rsidP="00331782">
      <w:pPr>
        <w:jc w:val="both"/>
        <w:rPr>
          <w:color w:val="222222"/>
          <w:highlight w:val="white"/>
        </w:rPr>
      </w:pPr>
      <w:r>
        <w:rPr>
          <w:color w:val="222222"/>
          <w:highlight w:val="white"/>
        </w:rPr>
        <w:t xml:space="preserve">Irvine, A., Drew, P., Bower, P., Brooks, H., Gellatly, J., Armitage, C.J., Barkham, M., McMillan, D. and Bee, P., (2020). Are there interactional differences between telephone and face-to-face psychological therapy? A systematic review of comparative studies. </w:t>
      </w:r>
      <w:r>
        <w:rPr>
          <w:i/>
          <w:color w:val="222222"/>
          <w:highlight w:val="white"/>
        </w:rPr>
        <w:t>Journal of affective disorders</w:t>
      </w:r>
      <w:r>
        <w:rPr>
          <w:color w:val="222222"/>
          <w:highlight w:val="white"/>
        </w:rPr>
        <w:t xml:space="preserve">, </w:t>
      </w:r>
      <w:r>
        <w:rPr>
          <w:i/>
          <w:color w:val="222222"/>
          <w:highlight w:val="white"/>
        </w:rPr>
        <w:t>265</w:t>
      </w:r>
      <w:r>
        <w:rPr>
          <w:color w:val="222222"/>
          <w:highlight w:val="white"/>
        </w:rPr>
        <w:t>, pp.120-131.</w:t>
      </w:r>
    </w:p>
    <w:p w14:paraId="74B521AE" w14:textId="77777777" w:rsidR="00331782" w:rsidRDefault="00331782" w:rsidP="00331782">
      <w:pPr>
        <w:jc w:val="both"/>
        <w:rPr>
          <w:color w:val="222222"/>
          <w:highlight w:val="white"/>
        </w:rPr>
      </w:pPr>
    </w:p>
    <w:p w14:paraId="63D9FD4E" w14:textId="77777777" w:rsidR="00331782" w:rsidRDefault="00331782" w:rsidP="00331782">
      <w:pPr>
        <w:jc w:val="both"/>
        <w:rPr>
          <w:color w:val="222222"/>
          <w:highlight w:val="white"/>
        </w:rPr>
      </w:pPr>
      <w:r>
        <w:rPr>
          <w:color w:val="222222"/>
          <w:highlight w:val="white"/>
        </w:rPr>
        <w:t xml:space="preserve">Jayes, M., Palmer, R., Enderby, P. and Sutton, A., (2020). How do health and social care professionals in England and Wales assess mental capacity? A literature review. </w:t>
      </w:r>
      <w:r>
        <w:rPr>
          <w:i/>
          <w:color w:val="222222"/>
          <w:highlight w:val="white"/>
        </w:rPr>
        <w:t>Disability and rehabilitation</w:t>
      </w:r>
      <w:r>
        <w:rPr>
          <w:color w:val="222222"/>
          <w:highlight w:val="white"/>
        </w:rPr>
        <w:t xml:space="preserve">, </w:t>
      </w:r>
      <w:r>
        <w:rPr>
          <w:i/>
          <w:color w:val="222222"/>
          <w:highlight w:val="white"/>
        </w:rPr>
        <w:t>42</w:t>
      </w:r>
      <w:r>
        <w:rPr>
          <w:color w:val="222222"/>
          <w:highlight w:val="white"/>
        </w:rPr>
        <w:t>(19), pp.2797-2808.</w:t>
      </w:r>
    </w:p>
    <w:p w14:paraId="3CD78529" w14:textId="77777777" w:rsidR="00331782" w:rsidRDefault="00331782" w:rsidP="00331782">
      <w:pPr>
        <w:jc w:val="both"/>
        <w:rPr>
          <w:color w:val="222222"/>
          <w:highlight w:val="white"/>
        </w:rPr>
      </w:pPr>
    </w:p>
    <w:p w14:paraId="331C37FB" w14:textId="77777777" w:rsidR="00331782" w:rsidRDefault="00331782" w:rsidP="00331782">
      <w:pPr>
        <w:jc w:val="both"/>
        <w:rPr>
          <w:color w:val="222222"/>
          <w:highlight w:val="white"/>
        </w:rPr>
      </w:pPr>
      <w:r>
        <w:rPr>
          <w:color w:val="222222"/>
          <w:highlight w:val="white"/>
        </w:rPr>
        <w:t xml:space="preserve">Kalelioglu, F., Gülbahar, Y. and Kukul, V., (2016). A framework for computational thinking based on a systematic research review. </w:t>
      </w:r>
      <w:r>
        <w:rPr>
          <w:i/>
          <w:color w:val="222222"/>
          <w:highlight w:val="white"/>
        </w:rPr>
        <w:t>Baltic Journal of Modern Computing</w:t>
      </w:r>
      <w:r>
        <w:rPr>
          <w:color w:val="222222"/>
          <w:highlight w:val="white"/>
        </w:rPr>
        <w:t xml:space="preserve">, </w:t>
      </w:r>
      <w:r>
        <w:rPr>
          <w:i/>
          <w:color w:val="222222"/>
          <w:highlight w:val="white"/>
        </w:rPr>
        <w:t>4</w:t>
      </w:r>
      <w:r>
        <w:rPr>
          <w:color w:val="222222"/>
          <w:highlight w:val="white"/>
        </w:rPr>
        <w:t>(3), p.583.</w:t>
      </w:r>
    </w:p>
    <w:p w14:paraId="5C9C79F7" w14:textId="77777777" w:rsidR="00331782" w:rsidRDefault="00331782" w:rsidP="00331782">
      <w:pPr>
        <w:jc w:val="both"/>
        <w:rPr>
          <w:color w:val="222222"/>
          <w:highlight w:val="white"/>
        </w:rPr>
      </w:pPr>
    </w:p>
    <w:p w14:paraId="79FFD424" w14:textId="77777777" w:rsidR="00331782" w:rsidRDefault="00331782" w:rsidP="00331782">
      <w:pPr>
        <w:jc w:val="both"/>
        <w:rPr>
          <w:color w:val="222222"/>
          <w:highlight w:val="white"/>
        </w:rPr>
      </w:pPr>
      <w:r>
        <w:rPr>
          <w:color w:val="222222"/>
          <w:highlight w:val="white"/>
        </w:rPr>
        <w:t xml:space="preserve">Kam, P.K., (2020). ‘Social work is not just a job’: The qualities of social workers from the perspective of service users. </w:t>
      </w:r>
      <w:r>
        <w:rPr>
          <w:i/>
          <w:color w:val="222222"/>
          <w:highlight w:val="white"/>
        </w:rPr>
        <w:t>Journal of Social Work</w:t>
      </w:r>
      <w:r>
        <w:rPr>
          <w:color w:val="222222"/>
          <w:highlight w:val="white"/>
        </w:rPr>
        <w:t xml:space="preserve">, </w:t>
      </w:r>
      <w:r>
        <w:rPr>
          <w:i/>
          <w:color w:val="222222"/>
          <w:highlight w:val="white"/>
        </w:rPr>
        <w:t>20</w:t>
      </w:r>
      <w:r>
        <w:rPr>
          <w:color w:val="222222"/>
          <w:highlight w:val="white"/>
        </w:rPr>
        <w:t>(6), pp.775-796.</w:t>
      </w:r>
    </w:p>
    <w:p w14:paraId="667A59FE" w14:textId="77777777" w:rsidR="00331782" w:rsidRDefault="00331782" w:rsidP="00331782">
      <w:pPr>
        <w:jc w:val="both"/>
        <w:rPr>
          <w:color w:val="222222"/>
          <w:highlight w:val="white"/>
        </w:rPr>
      </w:pPr>
    </w:p>
    <w:p w14:paraId="7EDB5B48" w14:textId="77777777" w:rsidR="00331782" w:rsidRDefault="00331782" w:rsidP="00331782">
      <w:pPr>
        <w:jc w:val="both"/>
        <w:rPr>
          <w:color w:val="222222"/>
          <w:highlight w:val="white"/>
        </w:rPr>
      </w:pPr>
      <w:r>
        <w:rPr>
          <w:color w:val="222222"/>
          <w:highlight w:val="white"/>
        </w:rPr>
        <w:t xml:space="preserve">Kennan, D., Brady, B. and Forkan, C., (2018). Supporting children’s participation in decision making: A systematic literature review exploring the effectiveness of participatory processes. </w:t>
      </w:r>
      <w:r>
        <w:rPr>
          <w:i/>
          <w:color w:val="222222"/>
          <w:highlight w:val="white"/>
        </w:rPr>
        <w:t>The British Journal of Social Work</w:t>
      </w:r>
      <w:r>
        <w:rPr>
          <w:color w:val="222222"/>
          <w:highlight w:val="white"/>
        </w:rPr>
        <w:t xml:space="preserve">, </w:t>
      </w:r>
      <w:r>
        <w:rPr>
          <w:i/>
          <w:color w:val="222222"/>
          <w:highlight w:val="white"/>
        </w:rPr>
        <w:t>48</w:t>
      </w:r>
      <w:r>
        <w:rPr>
          <w:color w:val="222222"/>
          <w:highlight w:val="white"/>
        </w:rPr>
        <w:t>(7), pp.1985-2002.</w:t>
      </w:r>
    </w:p>
    <w:p w14:paraId="4049DC95" w14:textId="77777777" w:rsidR="00331782" w:rsidRDefault="00331782" w:rsidP="00331782">
      <w:pPr>
        <w:spacing w:before="280" w:after="280"/>
        <w:jc w:val="both"/>
      </w:pPr>
      <w:r>
        <w:t xml:space="preserve">Kettle, M. (2015) </w:t>
      </w:r>
      <w:r>
        <w:rPr>
          <w:i/>
        </w:rPr>
        <w:t>Achieving Effective Supervision</w:t>
      </w:r>
      <w:r>
        <w:t xml:space="preserve">.. Available at http://www.iriss.org.uk/resources/achieving-effective-supervision (accessed 23rd August 2024). </w:t>
      </w:r>
    </w:p>
    <w:p w14:paraId="6CA00AAE" w14:textId="77777777" w:rsidR="00331782" w:rsidRDefault="00331782" w:rsidP="00331782">
      <w:pPr>
        <w:jc w:val="both"/>
      </w:pPr>
      <w:r>
        <w:rPr>
          <w:color w:val="222222"/>
          <w:highlight w:val="white"/>
        </w:rPr>
        <w:t xml:space="preserve">Kluger, A.N. and Itzchakov, G., (2022). The power of listening at work. </w:t>
      </w:r>
      <w:r>
        <w:rPr>
          <w:i/>
          <w:color w:val="222222"/>
          <w:highlight w:val="white"/>
        </w:rPr>
        <w:t>Annual Review of Organizational Psychology and Organizational Behavior</w:t>
      </w:r>
      <w:r>
        <w:rPr>
          <w:color w:val="222222"/>
          <w:highlight w:val="white"/>
        </w:rPr>
        <w:t xml:space="preserve">, </w:t>
      </w:r>
      <w:r>
        <w:rPr>
          <w:i/>
          <w:color w:val="222222"/>
          <w:highlight w:val="white"/>
        </w:rPr>
        <w:t>9</w:t>
      </w:r>
      <w:r>
        <w:rPr>
          <w:color w:val="222222"/>
          <w:highlight w:val="white"/>
        </w:rPr>
        <w:t>(1), pp.121-146.</w:t>
      </w:r>
    </w:p>
    <w:p w14:paraId="52C6AB26" w14:textId="77777777" w:rsidR="00331782" w:rsidRDefault="00331782" w:rsidP="00331782">
      <w:pPr>
        <w:jc w:val="both"/>
      </w:pPr>
      <w:r>
        <w:t>Koprowska, J. (2008). </w:t>
      </w:r>
      <w:r>
        <w:rPr>
          <w:i/>
        </w:rPr>
        <w:t>Communication &amp; Interpersonal Skills in Social Work</w:t>
      </w:r>
      <w:r>
        <w:t>. London: Learning Matters.</w:t>
      </w:r>
    </w:p>
    <w:p w14:paraId="2AA0A70C" w14:textId="77777777" w:rsidR="00331782" w:rsidRDefault="00331782" w:rsidP="00331782">
      <w:pPr>
        <w:spacing w:before="280" w:after="280"/>
        <w:jc w:val="both"/>
        <w:rPr>
          <w:color w:val="222222"/>
          <w:highlight w:val="white"/>
        </w:rPr>
      </w:pPr>
      <w:r>
        <w:rPr>
          <w:color w:val="222222"/>
          <w:highlight w:val="white"/>
        </w:rPr>
        <w:t xml:space="preserve">Koziel, S., Hultman, L., Weitz, Y.S., Rosqvist, H.B. and Elmersjö, M., (2023). Failures in the Child Perspective: Social Workers’ Experiences of Losing Focus of the Child. </w:t>
      </w:r>
      <w:r>
        <w:rPr>
          <w:i/>
          <w:color w:val="222222"/>
          <w:highlight w:val="white"/>
        </w:rPr>
        <w:t>The International Journal of Children's Rights</w:t>
      </w:r>
      <w:r>
        <w:rPr>
          <w:color w:val="222222"/>
          <w:highlight w:val="white"/>
        </w:rPr>
        <w:t xml:space="preserve">, </w:t>
      </w:r>
      <w:r>
        <w:rPr>
          <w:i/>
          <w:color w:val="222222"/>
          <w:highlight w:val="white"/>
        </w:rPr>
        <w:t>31</w:t>
      </w:r>
      <w:r>
        <w:rPr>
          <w:color w:val="222222"/>
          <w:highlight w:val="white"/>
        </w:rPr>
        <w:t>(2), pp.352-377.</w:t>
      </w:r>
    </w:p>
    <w:p w14:paraId="703553D1" w14:textId="77777777" w:rsidR="00331782" w:rsidRPr="00EB3980" w:rsidRDefault="00331782" w:rsidP="00331782">
      <w:pPr>
        <w:jc w:val="both"/>
        <w:rPr>
          <w:color w:val="auto"/>
          <w:highlight w:val="white"/>
        </w:rPr>
      </w:pPr>
      <w:r w:rsidRPr="00EB3980">
        <w:rPr>
          <w:color w:val="auto"/>
          <w:highlight w:val="white"/>
        </w:rPr>
        <w:lastRenderedPageBreak/>
        <w:t xml:space="preserve">Laming, W. H. (2003). </w:t>
      </w:r>
      <w:r w:rsidRPr="00EB3980">
        <w:rPr>
          <w:i/>
          <w:color w:val="auto"/>
          <w:highlight w:val="white"/>
        </w:rPr>
        <w:t>The Victoria Climbie inquiry: Report of an inquiry by Lord Laming</w:t>
      </w:r>
      <w:r w:rsidRPr="00EB3980">
        <w:rPr>
          <w:color w:val="auto"/>
          <w:highlight w:val="white"/>
        </w:rPr>
        <w:t xml:space="preserve"> (Cm 5730). The Stationery Office.</w:t>
      </w:r>
    </w:p>
    <w:p w14:paraId="48DD7EAC" w14:textId="77777777" w:rsidR="00331782" w:rsidRDefault="00331782" w:rsidP="00331782">
      <w:pPr>
        <w:jc w:val="both"/>
        <w:rPr>
          <w:color w:val="333333"/>
          <w:highlight w:val="white"/>
        </w:rPr>
      </w:pPr>
    </w:p>
    <w:p w14:paraId="74516F29" w14:textId="77777777" w:rsidR="00331782" w:rsidRDefault="00331782" w:rsidP="00331782">
      <w:pPr>
        <w:jc w:val="both"/>
        <w:rPr>
          <w:color w:val="222222"/>
          <w:highlight w:val="white"/>
        </w:rPr>
      </w:pPr>
      <w:r>
        <w:rPr>
          <w:color w:val="222222"/>
          <w:highlight w:val="white"/>
        </w:rPr>
        <w:t xml:space="preserve">Levenson, J., (2017). Trauma-informed social work practice. </w:t>
      </w:r>
      <w:r>
        <w:rPr>
          <w:i/>
          <w:color w:val="222222"/>
          <w:highlight w:val="white"/>
        </w:rPr>
        <w:t>Social work</w:t>
      </w:r>
      <w:r>
        <w:rPr>
          <w:color w:val="222222"/>
          <w:highlight w:val="white"/>
        </w:rPr>
        <w:t xml:space="preserve">, </w:t>
      </w:r>
      <w:r>
        <w:rPr>
          <w:i/>
          <w:color w:val="222222"/>
          <w:highlight w:val="white"/>
        </w:rPr>
        <w:t>62</w:t>
      </w:r>
      <w:r>
        <w:rPr>
          <w:color w:val="222222"/>
          <w:highlight w:val="white"/>
        </w:rPr>
        <w:t>(2), pp.105-113.</w:t>
      </w:r>
    </w:p>
    <w:p w14:paraId="73228090" w14:textId="77777777" w:rsidR="00331782" w:rsidRDefault="00331782" w:rsidP="00331782">
      <w:pPr>
        <w:jc w:val="both"/>
        <w:rPr>
          <w:color w:val="222222"/>
          <w:highlight w:val="white"/>
        </w:rPr>
      </w:pPr>
      <w:r>
        <w:rPr>
          <w:color w:val="222222"/>
          <w:highlight w:val="white"/>
        </w:rPr>
        <w:t xml:space="preserve">Lillis, T., 2017. Imagined, prescribed and actual text trajectories: the “problem” with case notes in contemporary social work. </w:t>
      </w:r>
      <w:r>
        <w:rPr>
          <w:i/>
          <w:color w:val="222222"/>
          <w:highlight w:val="white"/>
        </w:rPr>
        <w:t>Text &amp; Talk</w:t>
      </w:r>
      <w:r>
        <w:rPr>
          <w:color w:val="222222"/>
          <w:highlight w:val="white"/>
        </w:rPr>
        <w:t xml:space="preserve">, </w:t>
      </w:r>
      <w:r>
        <w:rPr>
          <w:i/>
          <w:color w:val="222222"/>
          <w:highlight w:val="white"/>
        </w:rPr>
        <w:t>37</w:t>
      </w:r>
      <w:r>
        <w:rPr>
          <w:color w:val="222222"/>
          <w:highlight w:val="white"/>
        </w:rPr>
        <w:t>(4), pp.485-508.</w:t>
      </w:r>
    </w:p>
    <w:p w14:paraId="0DAAFA25" w14:textId="77777777" w:rsidR="00331782" w:rsidRDefault="00331782" w:rsidP="00331782">
      <w:pPr>
        <w:jc w:val="both"/>
        <w:rPr>
          <w:color w:val="222222"/>
          <w:highlight w:val="white"/>
        </w:rPr>
      </w:pPr>
    </w:p>
    <w:p w14:paraId="734B0B38" w14:textId="77777777" w:rsidR="00331782" w:rsidRDefault="00331782" w:rsidP="00331782">
      <w:pPr>
        <w:jc w:val="both"/>
        <w:rPr>
          <w:color w:val="222222"/>
          <w:highlight w:val="white"/>
        </w:rPr>
      </w:pPr>
      <w:r>
        <w:rPr>
          <w:color w:val="222222"/>
          <w:highlight w:val="white"/>
        </w:rPr>
        <w:t xml:space="preserve">Locke, J., Herschorn, S., Neu, S., Klotz, L., Kodama, R. and Carr, L., (2020). Patients’ perspective of telephone visits during the COVID-19 pandemic. </w:t>
      </w:r>
      <w:r>
        <w:rPr>
          <w:i/>
          <w:color w:val="222222"/>
          <w:highlight w:val="white"/>
        </w:rPr>
        <w:t>Canadian Urological Association Journal</w:t>
      </w:r>
      <w:r>
        <w:rPr>
          <w:color w:val="222222"/>
          <w:highlight w:val="white"/>
        </w:rPr>
        <w:t xml:space="preserve">, </w:t>
      </w:r>
      <w:r>
        <w:rPr>
          <w:i/>
          <w:color w:val="222222"/>
          <w:highlight w:val="white"/>
        </w:rPr>
        <w:t>14</w:t>
      </w:r>
      <w:r>
        <w:rPr>
          <w:color w:val="222222"/>
          <w:highlight w:val="white"/>
        </w:rPr>
        <w:t>(9), p.E402.</w:t>
      </w:r>
    </w:p>
    <w:p w14:paraId="20FA62E0" w14:textId="77777777" w:rsidR="00331782" w:rsidRDefault="00331782" w:rsidP="00331782">
      <w:pPr>
        <w:jc w:val="both"/>
        <w:rPr>
          <w:color w:val="222222"/>
          <w:highlight w:val="white"/>
        </w:rPr>
      </w:pPr>
    </w:p>
    <w:p w14:paraId="40AFE4D8" w14:textId="77777777" w:rsidR="00331782" w:rsidRDefault="00331782" w:rsidP="00331782">
      <w:pPr>
        <w:jc w:val="both"/>
        <w:rPr>
          <w:color w:val="222222"/>
          <w:highlight w:val="white"/>
        </w:rPr>
      </w:pPr>
      <w:r>
        <w:rPr>
          <w:color w:val="222222"/>
          <w:highlight w:val="white"/>
        </w:rPr>
        <w:t xml:space="preserve">Lustick, H., Norton, C., Lopez, S.R. and Greene-Rooks, J.H., (2020). Restorative practices for empowerment: A social work lens. </w:t>
      </w:r>
      <w:r>
        <w:rPr>
          <w:i/>
          <w:color w:val="222222"/>
          <w:highlight w:val="white"/>
        </w:rPr>
        <w:t>Children &amp; Schools</w:t>
      </w:r>
      <w:r>
        <w:rPr>
          <w:color w:val="222222"/>
          <w:highlight w:val="white"/>
        </w:rPr>
        <w:t xml:space="preserve">, </w:t>
      </w:r>
      <w:r>
        <w:rPr>
          <w:i/>
          <w:color w:val="222222"/>
          <w:highlight w:val="white"/>
        </w:rPr>
        <w:t>42</w:t>
      </w:r>
      <w:r>
        <w:rPr>
          <w:color w:val="222222"/>
          <w:highlight w:val="white"/>
        </w:rPr>
        <w:t>(2), pp.89-97.</w:t>
      </w:r>
    </w:p>
    <w:p w14:paraId="36EB1886" w14:textId="77777777" w:rsidR="00331782" w:rsidRDefault="00331782" w:rsidP="00331782">
      <w:pPr>
        <w:jc w:val="both"/>
        <w:rPr>
          <w:color w:val="222222"/>
          <w:highlight w:val="white"/>
        </w:rPr>
      </w:pPr>
    </w:p>
    <w:p w14:paraId="74188F4A" w14:textId="77777777" w:rsidR="00331782" w:rsidRDefault="00331782" w:rsidP="00331782">
      <w:pPr>
        <w:jc w:val="both"/>
        <w:rPr>
          <w:color w:val="222222"/>
          <w:highlight w:val="white"/>
        </w:rPr>
      </w:pPr>
      <w:r>
        <w:rPr>
          <w:color w:val="222222"/>
          <w:highlight w:val="white"/>
        </w:rPr>
        <w:t xml:space="preserve">Maloney, D., Freeman, G. and Wohn, D.Y., (2020). " Talking without a Voice" Understanding Non-verbal Communication in Social Virtual Reality. </w:t>
      </w:r>
      <w:r>
        <w:rPr>
          <w:i/>
          <w:color w:val="222222"/>
          <w:highlight w:val="white"/>
        </w:rPr>
        <w:t>Proceedings of the ACM on Human-Computer Interaction</w:t>
      </w:r>
      <w:r>
        <w:rPr>
          <w:color w:val="222222"/>
          <w:highlight w:val="white"/>
        </w:rPr>
        <w:t xml:space="preserve">, </w:t>
      </w:r>
      <w:r>
        <w:rPr>
          <w:i/>
          <w:color w:val="222222"/>
          <w:highlight w:val="white"/>
        </w:rPr>
        <w:t>4</w:t>
      </w:r>
      <w:r>
        <w:rPr>
          <w:color w:val="222222"/>
          <w:highlight w:val="white"/>
        </w:rPr>
        <w:t>(CSCW2), pp.1-25.</w:t>
      </w:r>
    </w:p>
    <w:p w14:paraId="6D3DF614" w14:textId="77777777" w:rsidR="00331782" w:rsidRDefault="00331782" w:rsidP="00331782">
      <w:pPr>
        <w:jc w:val="both"/>
        <w:rPr>
          <w:color w:val="222222"/>
          <w:highlight w:val="white"/>
        </w:rPr>
      </w:pPr>
    </w:p>
    <w:p w14:paraId="7D164231" w14:textId="77777777" w:rsidR="00331782" w:rsidRDefault="00331782" w:rsidP="00331782">
      <w:pPr>
        <w:jc w:val="both"/>
        <w:rPr>
          <w:highlight w:val="white"/>
        </w:rPr>
      </w:pPr>
      <w:r>
        <w:t xml:space="preserve">McLeod, J (1997) cited in </w:t>
      </w:r>
      <w:r>
        <w:rPr>
          <w:highlight w:val="white"/>
        </w:rPr>
        <w:t>Roscoe, K., Carson, A. and Madoc-Jones, L., (2011). Narrative social work: conversations between theory and practice. </w:t>
      </w:r>
      <w:r>
        <w:rPr>
          <w:i/>
          <w:highlight w:val="white"/>
        </w:rPr>
        <w:t>Journal of Social Work Practice</w:t>
      </w:r>
      <w:r>
        <w:rPr>
          <w:highlight w:val="white"/>
        </w:rPr>
        <w:t>, 25(1), pp.47-61.</w:t>
      </w:r>
    </w:p>
    <w:p w14:paraId="59F6456A" w14:textId="77777777" w:rsidR="00331782" w:rsidRDefault="00331782" w:rsidP="00331782">
      <w:pPr>
        <w:jc w:val="both"/>
        <w:rPr>
          <w:highlight w:val="white"/>
        </w:rPr>
      </w:pPr>
    </w:p>
    <w:p w14:paraId="57D1D7D6" w14:textId="77777777" w:rsidR="00331782" w:rsidRDefault="00331782" w:rsidP="00331782">
      <w:pPr>
        <w:jc w:val="both"/>
      </w:pPr>
      <w:r>
        <w:t xml:space="preserve">Milner, J. and O’Byrne, P. (2009) </w:t>
      </w:r>
      <w:r w:rsidRPr="00EB3980">
        <w:rPr>
          <w:i/>
        </w:rPr>
        <w:t>Assessment in Social Work</w:t>
      </w:r>
      <w:r>
        <w:t xml:space="preserve">. Basingstoke: Palgrave MacMillan. </w:t>
      </w:r>
    </w:p>
    <w:p w14:paraId="28520EE6" w14:textId="77777777" w:rsidR="00331782" w:rsidRDefault="00331782" w:rsidP="00331782">
      <w:pPr>
        <w:spacing w:before="280" w:after="280"/>
        <w:jc w:val="both"/>
      </w:pPr>
      <w:r>
        <w:t xml:space="preserve">Mishna, F., Milne, E., Bogo, M. and Pereira, L.F., (2021). Responding to COVID-19: New trends in social workers’ use of information and communication technology. </w:t>
      </w:r>
      <w:r>
        <w:rPr>
          <w:i/>
        </w:rPr>
        <w:t>Clinical Social Work Journal</w:t>
      </w:r>
      <w:r>
        <w:t>, 49(1), pp.484-494.</w:t>
      </w:r>
    </w:p>
    <w:p w14:paraId="6F126571" w14:textId="77777777" w:rsidR="00331782" w:rsidRDefault="00331782" w:rsidP="00331782">
      <w:pPr>
        <w:jc w:val="both"/>
      </w:pPr>
      <w:r>
        <w:t xml:space="preserve">Munro, E. (2019), </w:t>
      </w:r>
      <w:r>
        <w:rPr>
          <w:i/>
        </w:rPr>
        <w:t xml:space="preserve">Effective Child Protection. </w:t>
      </w:r>
      <w:r>
        <w:t>London: Sage</w:t>
      </w:r>
    </w:p>
    <w:p w14:paraId="2FCAA2BA" w14:textId="77777777" w:rsidR="00331782" w:rsidRDefault="00331782" w:rsidP="00331782">
      <w:pPr>
        <w:jc w:val="both"/>
      </w:pPr>
    </w:p>
    <w:p w14:paraId="0BD18B05" w14:textId="77777777" w:rsidR="00331782" w:rsidRPr="00EB3980" w:rsidRDefault="00331782" w:rsidP="00331782">
      <w:pPr>
        <w:jc w:val="both"/>
        <w:rPr>
          <w:color w:val="auto"/>
          <w:highlight w:val="white"/>
        </w:rPr>
      </w:pPr>
      <w:r w:rsidRPr="00EB3980">
        <w:rPr>
          <w:color w:val="auto"/>
          <w:highlight w:val="white"/>
        </w:rPr>
        <w:t xml:space="preserve">Paranduk, R. and Karisi, Y., (2020). The effectiveness of non-verbal communication in teaching and learning english: a systematic review. </w:t>
      </w:r>
      <w:r w:rsidRPr="00EB3980">
        <w:rPr>
          <w:i/>
          <w:color w:val="auto"/>
          <w:highlight w:val="white"/>
        </w:rPr>
        <w:t>Journal of English Culture, Language, Literature and Education</w:t>
      </w:r>
      <w:r w:rsidRPr="00EB3980">
        <w:rPr>
          <w:color w:val="auto"/>
          <w:highlight w:val="white"/>
        </w:rPr>
        <w:t xml:space="preserve">, </w:t>
      </w:r>
      <w:r w:rsidRPr="00EB3980">
        <w:rPr>
          <w:i/>
          <w:color w:val="auto"/>
          <w:highlight w:val="white"/>
        </w:rPr>
        <w:t>8</w:t>
      </w:r>
      <w:r w:rsidRPr="00EB3980">
        <w:rPr>
          <w:color w:val="auto"/>
          <w:highlight w:val="white"/>
        </w:rPr>
        <w:t>(2), pp.140-154.</w:t>
      </w:r>
    </w:p>
    <w:p w14:paraId="00CF034E" w14:textId="77777777" w:rsidR="00331782" w:rsidRDefault="00331782" w:rsidP="00331782">
      <w:pPr>
        <w:jc w:val="both"/>
        <w:rPr>
          <w:color w:val="222222"/>
          <w:highlight w:val="white"/>
        </w:rPr>
      </w:pPr>
    </w:p>
    <w:p w14:paraId="20BE7B90" w14:textId="77777777" w:rsidR="00331782" w:rsidRDefault="00331782" w:rsidP="00331782">
      <w:pPr>
        <w:jc w:val="both"/>
      </w:pPr>
      <w:r>
        <w:t>Parker, J., (2020). Social work practice: Assessment, planning, intervention and review.</w:t>
      </w:r>
    </w:p>
    <w:p w14:paraId="46970DF1" w14:textId="77777777" w:rsidR="00331782" w:rsidRDefault="00331782" w:rsidP="00331782">
      <w:pPr>
        <w:jc w:val="both"/>
      </w:pPr>
    </w:p>
    <w:p w14:paraId="2BFEB899" w14:textId="77777777" w:rsidR="00331782" w:rsidRDefault="00331782" w:rsidP="00331782">
      <w:pPr>
        <w:jc w:val="both"/>
      </w:pPr>
      <w:r>
        <w:t xml:space="preserve">Roberts, A. (2009), </w:t>
      </w:r>
      <w:r>
        <w:rPr>
          <w:i/>
        </w:rPr>
        <w:t>Social Workers’ Desk Reference, 2</w:t>
      </w:r>
      <w:r>
        <w:rPr>
          <w:i/>
          <w:vertAlign w:val="superscript"/>
        </w:rPr>
        <w:t>nd</w:t>
      </w:r>
      <w:r>
        <w:rPr>
          <w:i/>
        </w:rPr>
        <w:t xml:space="preserve"> Ed. </w:t>
      </w:r>
      <w:r>
        <w:t>Oxford: Oxford University Press.</w:t>
      </w:r>
    </w:p>
    <w:p w14:paraId="65FC7FE0" w14:textId="77777777" w:rsidR="00331782" w:rsidRDefault="00331782" w:rsidP="00331782">
      <w:pPr>
        <w:spacing w:before="280" w:after="280"/>
        <w:jc w:val="both"/>
        <w:rPr>
          <w:color w:val="222222"/>
          <w:highlight w:val="white"/>
        </w:rPr>
      </w:pPr>
      <w:r>
        <w:rPr>
          <w:color w:val="222222"/>
          <w:highlight w:val="white"/>
        </w:rPr>
        <w:t xml:space="preserve">Rogers, A., (2020). </w:t>
      </w:r>
      <w:r>
        <w:rPr>
          <w:i/>
          <w:color w:val="222222"/>
          <w:highlight w:val="white"/>
        </w:rPr>
        <w:t>Human behavior in the social environment: Perspectives on development, the life course, and macro contexts</w:t>
      </w:r>
      <w:r>
        <w:rPr>
          <w:color w:val="222222"/>
          <w:highlight w:val="white"/>
        </w:rPr>
        <w:t>. Routledge.</w:t>
      </w:r>
    </w:p>
    <w:p w14:paraId="22C29A5B" w14:textId="77777777" w:rsidR="00331782" w:rsidRDefault="00331782" w:rsidP="00331782">
      <w:pPr>
        <w:jc w:val="both"/>
        <w:rPr>
          <w:color w:val="222222"/>
          <w:highlight w:val="white"/>
        </w:rPr>
      </w:pPr>
      <w:r>
        <w:rPr>
          <w:color w:val="222222"/>
          <w:highlight w:val="white"/>
        </w:rPr>
        <w:t xml:space="preserve">Rogers, C. (1959). A theory of therapy, personality and interpersonal relationships as developed in the client-centered framework. In (ed.) S. Koch, </w:t>
      </w:r>
      <w:r>
        <w:rPr>
          <w:i/>
          <w:color w:val="222222"/>
          <w:highlight w:val="white"/>
        </w:rPr>
        <w:t>Psychology: A study of a science. Vol. 3: Formulations of the person and the social context</w:t>
      </w:r>
      <w:r>
        <w:rPr>
          <w:color w:val="222222"/>
          <w:highlight w:val="white"/>
        </w:rPr>
        <w:t>. New York: McGraw Hill.</w:t>
      </w:r>
    </w:p>
    <w:p w14:paraId="1EA850B4" w14:textId="77777777" w:rsidR="00331782" w:rsidRDefault="00331782" w:rsidP="00331782">
      <w:pPr>
        <w:jc w:val="both"/>
        <w:rPr>
          <w:color w:val="222222"/>
          <w:highlight w:val="white"/>
        </w:rPr>
      </w:pPr>
    </w:p>
    <w:p w14:paraId="3A2CD358" w14:textId="77777777" w:rsidR="00331782" w:rsidRDefault="00331782" w:rsidP="00331782">
      <w:pPr>
        <w:jc w:val="both"/>
      </w:pPr>
      <w:r>
        <w:t xml:space="preserve">Rolfe, G., Freshwater, D. and Jasper, M. (2010), </w:t>
      </w:r>
      <w:r>
        <w:rPr>
          <w:i/>
        </w:rPr>
        <w:t>Critical Reflection in Practice: General Knowledge for Care</w:t>
      </w:r>
      <w:r>
        <w:t xml:space="preserve">. London: Macmillan Education. </w:t>
      </w:r>
    </w:p>
    <w:p w14:paraId="64B4BB85" w14:textId="77777777" w:rsidR="00331782" w:rsidRDefault="00331782" w:rsidP="00331782">
      <w:pPr>
        <w:jc w:val="both"/>
      </w:pPr>
    </w:p>
    <w:p w14:paraId="048AD462" w14:textId="77777777" w:rsidR="00331782" w:rsidRDefault="00331782" w:rsidP="00331782">
      <w:pPr>
        <w:jc w:val="both"/>
      </w:pPr>
      <w:r>
        <w:t xml:space="preserve">Rosenthal, T. and Zimmerman, B. (2014), </w:t>
      </w:r>
      <w:r>
        <w:rPr>
          <w:i/>
        </w:rPr>
        <w:t>Social Learning and Cognition</w:t>
      </w:r>
      <w:r>
        <w:t>. New York: Academic Press.</w:t>
      </w:r>
    </w:p>
    <w:p w14:paraId="5D0258C4" w14:textId="77777777" w:rsidR="00331782" w:rsidRDefault="00331782" w:rsidP="00331782">
      <w:pPr>
        <w:jc w:val="both"/>
      </w:pPr>
    </w:p>
    <w:p w14:paraId="3E1434A4" w14:textId="77777777" w:rsidR="00331782" w:rsidRDefault="00331782" w:rsidP="00331782">
      <w:pPr>
        <w:jc w:val="both"/>
        <w:rPr>
          <w:color w:val="222222"/>
          <w:highlight w:val="white"/>
        </w:rPr>
      </w:pPr>
      <w:r>
        <w:rPr>
          <w:color w:val="222222"/>
          <w:highlight w:val="white"/>
        </w:rPr>
        <w:t xml:space="preserve">Roulston, A., Cleak, H., Nelson, R. and Hayes, D., (2022). How power dynamics and relationships interact with assessment of competence: Exploring the experiences of student social workers who failed a practice placement. </w:t>
      </w:r>
      <w:r>
        <w:rPr>
          <w:i/>
          <w:color w:val="222222"/>
          <w:highlight w:val="white"/>
        </w:rPr>
        <w:t>The British Journal of Social Work</w:t>
      </w:r>
      <w:r>
        <w:rPr>
          <w:color w:val="222222"/>
          <w:highlight w:val="white"/>
        </w:rPr>
        <w:t xml:space="preserve">, </w:t>
      </w:r>
      <w:r>
        <w:rPr>
          <w:i/>
          <w:color w:val="222222"/>
          <w:highlight w:val="white"/>
        </w:rPr>
        <w:t>52</w:t>
      </w:r>
      <w:r>
        <w:rPr>
          <w:color w:val="222222"/>
          <w:highlight w:val="white"/>
        </w:rPr>
        <w:t>(3), pp.1662-1682.</w:t>
      </w:r>
    </w:p>
    <w:p w14:paraId="28343E76" w14:textId="77777777" w:rsidR="00331782" w:rsidRDefault="00331782" w:rsidP="00331782">
      <w:pPr>
        <w:jc w:val="both"/>
        <w:rPr>
          <w:color w:val="222222"/>
          <w:highlight w:val="white"/>
        </w:rPr>
      </w:pPr>
    </w:p>
    <w:p w14:paraId="774D0842" w14:textId="77777777" w:rsidR="00331782" w:rsidRDefault="00331782" w:rsidP="00331782">
      <w:pPr>
        <w:jc w:val="both"/>
        <w:rPr>
          <w:color w:val="222222"/>
          <w:highlight w:val="white"/>
        </w:rPr>
      </w:pPr>
      <w:r>
        <w:rPr>
          <w:color w:val="222222"/>
          <w:highlight w:val="white"/>
        </w:rPr>
        <w:t>Shelter Cymru (2024), Eviction. Accessed on 23rd August 2024. https://sheltercymru.org.uk/housing-advice/eviction/</w:t>
      </w:r>
    </w:p>
    <w:p w14:paraId="6142D28C" w14:textId="77777777" w:rsidR="00331782" w:rsidRDefault="00331782" w:rsidP="00331782">
      <w:pPr>
        <w:jc w:val="both"/>
        <w:rPr>
          <w:color w:val="222222"/>
          <w:highlight w:val="white"/>
        </w:rPr>
      </w:pPr>
    </w:p>
    <w:p w14:paraId="5B942764" w14:textId="77777777" w:rsidR="00331782" w:rsidRDefault="00331782" w:rsidP="00331782">
      <w:pPr>
        <w:jc w:val="both"/>
        <w:rPr>
          <w:color w:val="222222"/>
          <w:highlight w:val="white"/>
        </w:rPr>
      </w:pPr>
      <w:r>
        <w:rPr>
          <w:color w:val="222222"/>
          <w:highlight w:val="white"/>
        </w:rPr>
        <w:lastRenderedPageBreak/>
        <w:t xml:space="preserve">Skinner, G.C., Bywaters, P.W., Bilson, A., Duschinsky, R., Clements, K. and Hutchinson, D., (2021). The ‘toxic trio’(domestic violence, substance misuse and mental ill-health): How good is the evidence base?. </w:t>
      </w:r>
      <w:r>
        <w:rPr>
          <w:i/>
          <w:color w:val="222222"/>
          <w:highlight w:val="white"/>
        </w:rPr>
        <w:t>Children and Youth Services Review</w:t>
      </w:r>
      <w:r>
        <w:rPr>
          <w:color w:val="222222"/>
          <w:highlight w:val="white"/>
        </w:rPr>
        <w:t xml:space="preserve">, </w:t>
      </w:r>
      <w:r>
        <w:rPr>
          <w:i/>
          <w:color w:val="222222"/>
          <w:highlight w:val="white"/>
        </w:rPr>
        <w:t>120</w:t>
      </w:r>
      <w:r>
        <w:rPr>
          <w:color w:val="222222"/>
          <w:highlight w:val="white"/>
        </w:rPr>
        <w:t>, p.105678.</w:t>
      </w:r>
    </w:p>
    <w:p w14:paraId="5DB7FBB2" w14:textId="77777777" w:rsidR="00331782" w:rsidRDefault="00331782" w:rsidP="00331782">
      <w:pPr>
        <w:jc w:val="both"/>
      </w:pPr>
    </w:p>
    <w:p w14:paraId="763FC9BB" w14:textId="77777777" w:rsidR="00331782" w:rsidRDefault="00331782" w:rsidP="00331782">
      <w:pPr>
        <w:jc w:val="both"/>
      </w:pPr>
      <w:r>
        <w:t>Social Care Wales (2017),</w:t>
      </w:r>
      <w:r>
        <w:rPr>
          <w:i/>
        </w:rPr>
        <w:t xml:space="preserve"> Codes of Professional Practice</w:t>
      </w:r>
      <w:r>
        <w:t xml:space="preserve"> [Online] Available at: untitled (socialcare.wales) (accessed 2nd July 2024).  </w:t>
      </w:r>
    </w:p>
    <w:p w14:paraId="082B049F" w14:textId="77777777" w:rsidR="00331782" w:rsidRDefault="00331782" w:rsidP="00331782">
      <w:pPr>
        <w:jc w:val="both"/>
      </w:pPr>
    </w:p>
    <w:p w14:paraId="755CFAA3" w14:textId="77777777" w:rsidR="00331782" w:rsidRDefault="00331782" w:rsidP="00331782">
      <w:pPr>
        <w:jc w:val="both"/>
      </w:pPr>
      <w:r>
        <w:t xml:space="preserve">Social Care Wales (2022), </w:t>
      </w:r>
      <w:r>
        <w:rPr>
          <w:i/>
        </w:rPr>
        <w:t xml:space="preserve">What is Safeguarding? </w:t>
      </w:r>
      <w:r>
        <w:t xml:space="preserve">https://socialcare.wales/resources-guidance/safeguarding-list. (Accessed on 23rd September 2024). </w:t>
      </w:r>
    </w:p>
    <w:p w14:paraId="0B0825DF" w14:textId="77777777" w:rsidR="00331782" w:rsidRDefault="00331782" w:rsidP="00331782">
      <w:pPr>
        <w:jc w:val="both"/>
      </w:pPr>
    </w:p>
    <w:p w14:paraId="52A189CB" w14:textId="77777777" w:rsidR="00331782" w:rsidRDefault="00331782" w:rsidP="00331782">
      <w:pPr>
        <w:jc w:val="both"/>
      </w:pPr>
      <w:r>
        <w:t xml:space="preserve">Social Care Wales. (2017) </w:t>
      </w:r>
      <w:r>
        <w:rPr>
          <w:i/>
        </w:rPr>
        <w:t>Code of Professional Practice</w:t>
      </w:r>
      <w:r>
        <w:t>. Cardiff: Welsh Government</w:t>
      </w:r>
    </w:p>
    <w:p w14:paraId="1A3009EA" w14:textId="77777777" w:rsidR="00331782" w:rsidRDefault="00331782" w:rsidP="00331782">
      <w:pPr>
        <w:jc w:val="both"/>
      </w:pPr>
      <w:r>
        <w:t xml:space="preserve">Social Services and Wellbeing (Wales) Act (2014) Cardiff: Welsh Government. </w:t>
      </w:r>
    </w:p>
    <w:p w14:paraId="3FF90F54" w14:textId="77777777" w:rsidR="00331782" w:rsidRDefault="00331782" w:rsidP="00331782">
      <w:pPr>
        <w:spacing w:before="280" w:after="280"/>
        <w:jc w:val="both"/>
        <w:rPr>
          <w:color w:val="222222"/>
          <w:highlight w:val="white"/>
        </w:rPr>
      </w:pPr>
      <w:r>
        <w:rPr>
          <w:color w:val="222222"/>
          <w:highlight w:val="white"/>
        </w:rPr>
        <w:t xml:space="preserve">Togher, N., (2022). Understanding disguised non-compliance in social work. </w:t>
      </w:r>
      <w:r>
        <w:rPr>
          <w:i/>
          <w:color w:val="222222"/>
          <w:highlight w:val="white"/>
        </w:rPr>
        <w:t>Glasgow: Iriss https://bit. ly/3UWTDgi</w:t>
      </w:r>
      <w:r>
        <w:rPr>
          <w:color w:val="222222"/>
          <w:highlight w:val="white"/>
        </w:rPr>
        <w:t>.</w:t>
      </w:r>
    </w:p>
    <w:p w14:paraId="50CDE1A1" w14:textId="77777777" w:rsidR="00331782" w:rsidRDefault="00331782" w:rsidP="00331782">
      <w:pPr>
        <w:jc w:val="both"/>
        <w:rPr>
          <w:color w:val="222222"/>
          <w:highlight w:val="white"/>
        </w:rPr>
      </w:pPr>
      <w:r>
        <w:rPr>
          <w:color w:val="222222"/>
          <w:highlight w:val="white"/>
        </w:rPr>
        <w:t xml:space="preserve">Treby, L., (2022). </w:t>
      </w:r>
      <w:r>
        <w:rPr>
          <w:i/>
          <w:color w:val="222222"/>
          <w:highlight w:val="white"/>
        </w:rPr>
        <w:t>What is the relationship between supervision and practice in child and family social work? An analysis of 12 case studies</w:t>
      </w:r>
      <w:r>
        <w:rPr>
          <w:color w:val="222222"/>
          <w:highlight w:val="white"/>
        </w:rPr>
        <w:t xml:space="preserve"> (Doctoral dissertation, Cardiff University).</w:t>
      </w:r>
    </w:p>
    <w:p w14:paraId="0555CEB5" w14:textId="77777777" w:rsidR="00331782" w:rsidRDefault="00331782" w:rsidP="00331782">
      <w:pPr>
        <w:jc w:val="both"/>
        <w:rPr>
          <w:color w:val="222222"/>
          <w:highlight w:val="white"/>
        </w:rPr>
      </w:pPr>
    </w:p>
    <w:p w14:paraId="47E7BAD6" w14:textId="77777777" w:rsidR="00331782" w:rsidRDefault="00331782" w:rsidP="00331782">
      <w:pPr>
        <w:jc w:val="both"/>
        <w:rPr>
          <w:color w:val="222222"/>
          <w:highlight w:val="white"/>
        </w:rPr>
      </w:pPr>
      <w:r>
        <w:rPr>
          <w:color w:val="222222"/>
          <w:highlight w:val="white"/>
        </w:rPr>
        <w:t>Verity, F., Wallace, S., Llewellyn, M., Anderson, P., Lyttleton-Smith, J., Kosnes, L., Read, S., Blackmore, H., Williams, Z., Richards, J. and Andrews, N., (2023). Evaluation of the Social Services and Well-being (Wales) Act 2014: Literature Review.</w:t>
      </w:r>
    </w:p>
    <w:p w14:paraId="1FF78FB7" w14:textId="77777777" w:rsidR="00331782" w:rsidRDefault="00331782" w:rsidP="00331782">
      <w:pPr>
        <w:jc w:val="both"/>
        <w:rPr>
          <w:color w:val="222222"/>
          <w:highlight w:val="white"/>
        </w:rPr>
      </w:pPr>
    </w:p>
    <w:p w14:paraId="77512F80" w14:textId="77777777" w:rsidR="00331782" w:rsidRDefault="00331782" w:rsidP="00331782">
      <w:pPr>
        <w:jc w:val="both"/>
      </w:pPr>
      <w:r>
        <w:t xml:space="preserve">Welsh Assembly Government (2011). </w:t>
      </w:r>
      <w:r>
        <w:rPr>
          <w:i/>
        </w:rPr>
        <w:t>Welsh Language Measure</w:t>
      </w:r>
      <w:r>
        <w:t>. Cardiff: Welsh Government.</w:t>
      </w:r>
    </w:p>
    <w:p w14:paraId="00984168" w14:textId="77777777" w:rsidR="00331782" w:rsidRDefault="00331782" w:rsidP="00331782">
      <w:pPr>
        <w:jc w:val="both"/>
      </w:pPr>
    </w:p>
    <w:p w14:paraId="6C11E8A7" w14:textId="77777777" w:rsidR="00331782" w:rsidRDefault="00331782" w:rsidP="00331782">
      <w:pPr>
        <w:jc w:val="both"/>
        <w:rPr>
          <w:color w:val="222222"/>
          <w:highlight w:val="white"/>
        </w:rPr>
      </w:pPr>
      <w:r>
        <w:rPr>
          <w:color w:val="222222"/>
          <w:highlight w:val="white"/>
        </w:rPr>
        <w:t xml:space="preserve">Welsh Assembly Government (2015), </w:t>
      </w:r>
      <w:r>
        <w:rPr>
          <w:i/>
          <w:color w:val="222222"/>
          <w:highlight w:val="white"/>
        </w:rPr>
        <w:t>Care Planning, Placement and Case Review (Wales) Regulations</w:t>
      </w:r>
      <w:r>
        <w:rPr>
          <w:color w:val="222222"/>
          <w:highlight w:val="white"/>
        </w:rPr>
        <w:t xml:space="preserve">. Cardiff: Welsh Assembly Government. </w:t>
      </w:r>
    </w:p>
    <w:p w14:paraId="06173F84" w14:textId="77777777" w:rsidR="00331782" w:rsidRDefault="00331782" w:rsidP="00331782">
      <w:pPr>
        <w:jc w:val="both"/>
        <w:rPr>
          <w:color w:val="222222"/>
          <w:highlight w:val="white"/>
        </w:rPr>
      </w:pPr>
    </w:p>
    <w:p w14:paraId="44EC58BC" w14:textId="77777777" w:rsidR="00331782" w:rsidRDefault="00331782" w:rsidP="00331782">
      <w:pPr>
        <w:jc w:val="both"/>
        <w:rPr>
          <w:color w:val="222222"/>
          <w:highlight w:val="white"/>
        </w:rPr>
      </w:pPr>
      <w:r>
        <w:rPr>
          <w:color w:val="222222"/>
          <w:highlight w:val="white"/>
        </w:rPr>
        <w:t>Welsh Assembly Government (2015a),</w:t>
      </w:r>
      <w:r>
        <w:rPr>
          <w:i/>
          <w:color w:val="222222"/>
          <w:highlight w:val="white"/>
        </w:rPr>
        <w:t xml:space="preserve"> More Than Just Words, Delivering the Active Offer Information Pack</w:t>
      </w:r>
      <w:r>
        <w:rPr>
          <w:color w:val="222222"/>
          <w:highlight w:val="white"/>
        </w:rPr>
        <w:t xml:space="preserve">. Cardiff: Welsh Assembly Government. </w:t>
      </w:r>
    </w:p>
    <w:p w14:paraId="3A14FD76" w14:textId="77777777" w:rsidR="00331782" w:rsidRDefault="00331782" w:rsidP="00331782">
      <w:pPr>
        <w:jc w:val="both"/>
        <w:rPr>
          <w:color w:val="222222"/>
          <w:highlight w:val="white"/>
        </w:rPr>
      </w:pPr>
    </w:p>
    <w:p w14:paraId="524C778D" w14:textId="77777777" w:rsidR="00331782" w:rsidRDefault="00331782" w:rsidP="00331782">
      <w:pPr>
        <w:jc w:val="both"/>
      </w:pPr>
      <w:r>
        <w:rPr>
          <w:highlight w:val="white"/>
        </w:rPr>
        <w:t xml:space="preserve">Welsh Assembly Government (2022) </w:t>
      </w:r>
      <w:r>
        <w:t xml:space="preserve">Children (Abolition of Defence of Reasonable Punishment) (Wales) Act. Cardiff: Welsh Assembly Government. </w:t>
      </w:r>
    </w:p>
    <w:p w14:paraId="5A933456" w14:textId="77777777" w:rsidR="00331782" w:rsidRDefault="00331782" w:rsidP="00331782">
      <w:pPr>
        <w:jc w:val="both"/>
      </w:pPr>
    </w:p>
    <w:p w14:paraId="17772DDB" w14:textId="266E3B82" w:rsidR="00FC0334" w:rsidRPr="00331782" w:rsidRDefault="00331782" w:rsidP="00E559CE">
      <w:pPr>
        <w:jc w:val="both"/>
        <w:rPr>
          <w:color w:val="222222"/>
          <w:highlight w:val="white"/>
        </w:rPr>
      </w:pPr>
      <w:r>
        <w:rPr>
          <w:color w:val="222222"/>
          <w:highlight w:val="white"/>
        </w:rPr>
        <w:t xml:space="preserve">Winter, K., Cree, V., Hallett, S., Hadfield, M., Ruch, G., Morrison, F. and Holland, S., (2017). Exploring communication between social workers, children and young people. </w:t>
      </w:r>
      <w:r>
        <w:rPr>
          <w:i/>
          <w:color w:val="222222"/>
          <w:highlight w:val="white"/>
        </w:rPr>
        <w:t>British Journal of Social Work</w:t>
      </w:r>
      <w:r>
        <w:rPr>
          <w:color w:val="222222"/>
          <w:highlight w:val="white"/>
        </w:rPr>
        <w:t xml:space="preserve">, </w:t>
      </w:r>
      <w:r>
        <w:rPr>
          <w:i/>
          <w:color w:val="222222"/>
          <w:highlight w:val="white"/>
        </w:rPr>
        <w:t>47</w:t>
      </w:r>
      <w:r>
        <w:rPr>
          <w:color w:val="222222"/>
          <w:highlight w:val="white"/>
        </w:rPr>
        <w:t>(5), pp.1427-1444.</w:t>
      </w: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047BA81" w14:textId="349FD3EB" w:rsidR="002A1A44" w:rsidRPr="00EE5BC3" w:rsidRDefault="002A1A44" w:rsidP="00331782">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0D7A915" w:rsidR="00E559CE" w:rsidRPr="00B17FA0" w:rsidRDefault="00290559" w:rsidP="00B94443">
            <w:pPr>
              <w:jc w:val="both"/>
              <w:rPr>
                <w:sz w:val="24"/>
                <w:szCs w:val="24"/>
              </w:rPr>
            </w:pPr>
            <w:r>
              <w:rPr>
                <w:sz w:val="24"/>
                <w:szCs w:val="24"/>
              </w:rPr>
              <w:t>16</w:t>
            </w:r>
            <w:r w:rsidRPr="00290559">
              <w:rPr>
                <w:sz w:val="24"/>
                <w:szCs w:val="24"/>
                <w:vertAlign w:val="superscript"/>
              </w:rPr>
              <w:t>th</w:t>
            </w:r>
            <w:r>
              <w:rPr>
                <w:sz w:val="24"/>
                <w:szCs w:val="24"/>
              </w:rPr>
              <w:t xml:space="preserve"> October 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4A79273" w:rsidR="00E559CE" w:rsidRPr="00B17FA0" w:rsidRDefault="00290559" w:rsidP="00B94443">
            <w:pPr>
              <w:jc w:val="both"/>
              <w:rPr>
                <w:sz w:val="24"/>
                <w:szCs w:val="24"/>
              </w:rPr>
            </w:pPr>
            <w:r>
              <w:rPr>
                <w:sz w:val="24"/>
                <w:szCs w:val="24"/>
              </w:rPr>
              <w:t>12</w:t>
            </w:r>
            <w:r w:rsidRPr="00290559">
              <w:rPr>
                <w:sz w:val="24"/>
                <w:szCs w:val="24"/>
                <w:vertAlign w:val="superscript"/>
              </w:rPr>
              <w:t>th</w:t>
            </w:r>
            <w:r>
              <w:rPr>
                <w:sz w:val="24"/>
                <w:szCs w:val="24"/>
              </w:rPr>
              <w:t xml:space="preserve"> February 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A59DB61" w:rsidR="00E559CE" w:rsidRPr="00B17FA0" w:rsidRDefault="00290559" w:rsidP="00B94443">
            <w:pPr>
              <w:jc w:val="both"/>
              <w:rPr>
                <w:sz w:val="24"/>
                <w:szCs w:val="24"/>
              </w:rPr>
            </w:pPr>
            <w:r>
              <w:rPr>
                <w:sz w:val="24"/>
                <w:szCs w:val="24"/>
              </w:rPr>
              <w:t>16</w:t>
            </w:r>
            <w:r w:rsidRPr="00290559">
              <w:rPr>
                <w:sz w:val="24"/>
                <w:szCs w:val="24"/>
                <w:vertAlign w:val="superscript"/>
              </w:rPr>
              <w:t>th</w:t>
            </w:r>
            <w:r>
              <w:rPr>
                <w:sz w:val="24"/>
                <w:szCs w:val="24"/>
              </w:rPr>
              <w:t xml:space="preserve"> August 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37E9D31" w:rsidR="00E559CE" w:rsidRPr="00B17FA0" w:rsidRDefault="00290559" w:rsidP="00B94443">
            <w:pPr>
              <w:jc w:val="both"/>
              <w:rPr>
                <w:sz w:val="24"/>
                <w:szCs w:val="24"/>
              </w:rPr>
            </w:pPr>
            <w:r>
              <w:rPr>
                <w:sz w:val="24"/>
                <w:szCs w:val="24"/>
              </w:rPr>
              <w:t>18</w:t>
            </w:r>
            <w:r w:rsidRPr="00290559">
              <w:rPr>
                <w:sz w:val="24"/>
                <w:szCs w:val="24"/>
                <w:vertAlign w:val="superscript"/>
              </w:rPr>
              <w:t>th</w:t>
            </w:r>
            <w:r>
              <w:rPr>
                <w:sz w:val="24"/>
                <w:szCs w:val="24"/>
              </w:rPr>
              <w:t xml:space="preserve"> September 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Pr="00290559" w:rsidRDefault="00FC0334" w:rsidP="00290559">
            <w:pPr>
              <w:spacing w:line="360" w:lineRule="auto"/>
              <w:jc w:val="both"/>
              <w:rPr>
                <w:color w:val="auto"/>
                <w:sz w:val="22"/>
                <w:szCs w:val="24"/>
              </w:rPr>
            </w:pPr>
          </w:p>
          <w:p w14:paraId="79188169" w14:textId="77777777" w:rsidR="00290559" w:rsidRPr="00290559" w:rsidRDefault="00290559" w:rsidP="00290559">
            <w:pPr>
              <w:spacing w:line="360" w:lineRule="auto"/>
              <w:jc w:val="both"/>
              <w:rPr>
                <w:rFonts w:asciiTheme="minorHAnsi" w:hAnsiTheme="minorHAnsi" w:cstheme="minorBidi"/>
                <w:color w:val="auto"/>
                <w:sz w:val="22"/>
              </w:rPr>
            </w:pPr>
            <w:r w:rsidRPr="00290559">
              <w:rPr>
                <w:sz w:val="22"/>
              </w:rPr>
              <w:t>Holly has continued her development as a Social Worker within the Single Point of Access Team, Children’s Services. She has developed her knowledge of the services that are available to support families’ (</w:t>
            </w:r>
            <w:r w:rsidRPr="00290559">
              <w:rPr>
                <w:b/>
                <w:sz w:val="22"/>
              </w:rPr>
              <w:t>Working Collaboratively with People in Need of Care and Support, their Carers and Other Professionals</w:t>
            </w:r>
            <w:r w:rsidRPr="00290559">
              <w:rPr>
                <w:sz w:val="22"/>
              </w:rPr>
              <w:t>). Holly works collaboratively with other professionals to ensure a holistic approach.</w:t>
            </w:r>
          </w:p>
          <w:p w14:paraId="3C299C32" w14:textId="77777777" w:rsidR="00290559" w:rsidRPr="00290559" w:rsidRDefault="00290559" w:rsidP="00290559">
            <w:pPr>
              <w:spacing w:line="360" w:lineRule="auto"/>
              <w:jc w:val="both"/>
              <w:rPr>
                <w:sz w:val="22"/>
              </w:rPr>
            </w:pPr>
          </w:p>
          <w:p w14:paraId="2359F82B" w14:textId="77777777" w:rsidR="00290559" w:rsidRPr="00290559" w:rsidRDefault="00290559" w:rsidP="00290559">
            <w:pPr>
              <w:spacing w:line="360" w:lineRule="auto"/>
              <w:jc w:val="both"/>
              <w:rPr>
                <w:sz w:val="22"/>
              </w:rPr>
            </w:pPr>
            <w:r w:rsidRPr="00290559">
              <w:rPr>
                <w:sz w:val="22"/>
              </w:rPr>
              <w:t>In Task 1 A, Holly shows that she is able to work collaboratively with professionals and with people in need of support, she is a Social Worker in a busy front door team and completes ‘What Matter’s’ conversations adhering to the Social Services and Wellbeing  ( Wales) Act 2014. This is completed usually over the phone however Holly does encourage parents / carers to attend the office should they wish to discuss the matter face to face (</w:t>
            </w:r>
            <w:r w:rsidRPr="00290559">
              <w:rPr>
                <w:b/>
                <w:sz w:val="22"/>
              </w:rPr>
              <w:t>Working Collaboratively with People in Need of Care and Support, their Carers and Other Professionals</w:t>
            </w:r>
            <w:r w:rsidRPr="00290559">
              <w:rPr>
                <w:sz w:val="22"/>
              </w:rPr>
              <w:t xml:space="preserve">). </w:t>
            </w:r>
          </w:p>
          <w:p w14:paraId="4D924078" w14:textId="77777777" w:rsidR="00290559" w:rsidRPr="00290559" w:rsidRDefault="00290559" w:rsidP="00290559">
            <w:pPr>
              <w:spacing w:line="360" w:lineRule="auto"/>
              <w:jc w:val="both"/>
              <w:rPr>
                <w:sz w:val="22"/>
              </w:rPr>
            </w:pPr>
          </w:p>
          <w:p w14:paraId="7EC013EE" w14:textId="77777777" w:rsidR="00290559" w:rsidRPr="00290559" w:rsidRDefault="00290559" w:rsidP="00290559">
            <w:pPr>
              <w:spacing w:line="360" w:lineRule="auto"/>
              <w:jc w:val="both"/>
              <w:rPr>
                <w:sz w:val="22"/>
              </w:rPr>
            </w:pPr>
            <w:r w:rsidRPr="00290559">
              <w:rPr>
                <w:sz w:val="22"/>
              </w:rPr>
              <w:lastRenderedPageBreak/>
              <w:t>Holly has identified the increased level of referrals in relation to online abuse during COVID 19 with an increased risk of children and young people being exploited (I</w:t>
            </w:r>
            <w:r w:rsidRPr="00290559">
              <w:rPr>
                <w:b/>
                <w:sz w:val="22"/>
              </w:rPr>
              <w:t>ntervention and Application of Professional Judgement in Increasingly Complex Situations</w:t>
            </w:r>
            <w:r w:rsidRPr="00290559">
              <w:rPr>
                <w:sz w:val="22"/>
              </w:rPr>
              <w:t xml:space="preserve">). She has identified that she would benefit from further training in relation to this and will attend any available training opportunities. </w:t>
            </w:r>
          </w:p>
          <w:p w14:paraId="29C99796" w14:textId="77777777" w:rsidR="00290559" w:rsidRPr="00290559" w:rsidRDefault="00290559" w:rsidP="00290559">
            <w:pPr>
              <w:spacing w:line="360" w:lineRule="auto"/>
              <w:jc w:val="both"/>
              <w:rPr>
                <w:sz w:val="22"/>
              </w:rPr>
            </w:pPr>
          </w:p>
          <w:p w14:paraId="35C90E5D" w14:textId="77777777" w:rsidR="00290559" w:rsidRPr="00290559" w:rsidRDefault="00290559" w:rsidP="00290559">
            <w:pPr>
              <w:spacing w:line="360" w:lineRule="auto"/>
              <w:jc w:val="both"/>
              <w:rPr>
                <w:sz w:val="22"/>
              </w:rPr>
            </w:pPr>
            <w:r w:rsidRPr="00290559">
              <w:rPr>
                <w:sz w:val="22"/>
              </w:rPr>
              <w:t>In Task 2, Holly used her initiative to contact a National Charity that works to prevent child sexual abuse and has completed training that will enhance her practice (</w:t>
            </w:r>
            <w:r w:rsidRPr="00290559">
              <w:rPr>
                <w:b/>
                <w:sz w:val="22"/>
              </w:rPr>
              <w:t xml:space="preserve">Intervention and Application of Professional Judgement in Increasingly Complex Situations). </w:t>
            </w:r>
            <w:r w:rsidRPr="00290559">
              <w:rPr>
                <w:sz w:val="22"/>
              </w:rPr>
              <w:t>She has identified that this is an area of interest for her and is looking at opportunities to be a facilitator for the courses.</w:t>
            </w:r>
          </w:p>
          <w:p w14:paraId="7D38DA73" w14:textId="77777777" w:rsidR="00290559" w:rsidRPr="00290559" w:rsidRDefault="00290559" w:rsidP="00290559">
            <w:pPr>
              <w:spacing w:line="360" w:lineRule="auto"/>
              <w:jc w:val="both"/>
              <w:rPr>
                <w:sz w:val="22"/>
              </w:rPr>
            </w:pPr>
          </w:p>
          <w:p w14:paraId="7E71EC13" w14:textId="6ABD7DE5" w:rsidR="00FC0334" w:rsidRPr="00290559" w:rsidRDefault="00290559" w:rsidP="00290559">
            <w:pPr>
              <w:spacing w:line="360" w:lineRule="auto"/>
              <w:jc w:val="both"/>
              <w:rPr>
                <w:sz w:val="22"/>
              </w:rPr>
            </w:pPr>
            <w:r w:rsidRPr="00290559">
              <w:rPr>
                <w:sz w:val="22"/>
              </w:rPr>
              <w:t>I supervise Holly and see her grow in confidence working with professionals and families. She is excellent at communicating and asking appropriate questions and is aware of the threshold for intervention under Child Protection (</w:t>
            </w:r>
            <w:r w:rsidRPr="00290559">
              <w:rPr>
                <w:b/>
                <w:sz w:val="22"/>
              </w:rPr>
              <w:t>Applying Analysis in Assessment to Inform Interventions)</w:t>
            </w:r>
            <w:r w:rsidRPr="00290559">
              <w:rPr>
                <w:sz w:val="22"/>
              </w:rPr>
              <w:t>. She adheres to the Code of Practice by being open and honest with parents / carers. Holly uses supervision, both informal and formal as an opportunity to critically reflect upon her practice and is able to seek support when needed (</w:t>
            </w:r>
            <w:r w:rsidRPr="00290559">
              <w:rPr>
                <w:b/>
                <w:sz w:val="22"/>
              </w:rPr>
              <w:t>Applying Analysis in Assessment to Inform Interventions</w:t>
            </w:r>
            <w:r w:rsidRPr="00290559">
              <w:rPr>
                <w:sz w:val="22"/>
              </w:rPr>
              <w:t xml:space="preserve">). I feel she is becoming increasingly able to manage more complex cases, including Court reports and is growing in confidence as a qualified Social Worker. </w:t>
            </w:r>
          </w:p>
          <w:p w14:paraId="737A80A5" w14:textId="77777777" w:rsidR="00FC0334" w:rsidRPr="00290559" w:rsidRDefault="00FC0334" w:rsidP="00290559">
            <w:pPr>
              <w:spacing w:line="360" w:lineRule="auto"/>
              <w:jc w:val="both"/>
              <w:rPr>
                <w:color w:val="auto"/>
                <w:sz w:val="22"/>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06673FDF" w14:textId="77777777" w:rsidR="00331782" w:rsidRDefault="00331782" w:rsidP="00AA7960">
      <w:pPr>
        <w:keepNext/>
        <w:jc w:val="center"/>
        <w:rPr>
          <w:b/>
          <w:sz w:val="28"/>
          <w:szCs w:val="28"/>
        </w:rPr>
      </w:pPr>
    </w:p>
    <w:p w14:paraId="7210B161" w14:textId="77777777" w:rsidR="00331782" w:rsidRDefault="00331782" w:rsidP="00AA7960">
      <w:pPr>
        <w:keepNext/>
        <w:jc w:val="center"/>
        <w:rPr>
          <w:b/>
          <w:sz w:val="28"/>
          <w:szCs w:val="28"/>
        </w:rPr>
      </w:pPr>
    </w:p>
    <w:p w14:paraId="73E7B70C" w14:textId="77777777" w:rsidR="00331782" w:rsidRDefault="00331782" w:rsidP="00AA7960">
      <w:pPr>
        <w:keepNext/>
        <w:jc w:val="center"/>
        <w:rPr>
          <w:b/>
          <w:sz w:val="28"/>
          <w:szCs w:val="28"/>
        </w:rPr>
      </w:pPr>
    </w:p>
    <w:p w14:paraId="74B247CE" w14:textId="77777777" w:rsidR="00331782" w:rsidRDefault="00331782" w:rsidP="00AA7960">
      <w:pPr>
        <w:keepNext/>
        <w:jc w:val="center"/>
        <w:rPr>
          <w:b/>
          <w:sz w:val="28"/>
          <w:szCs w:val="28"/>
        </w:rPr>
      </w:pPr>
    </w:p>
    <w:p w14:paraId="743A9E3B" w14:textId="77777777" w:rsidR="00331782" w:rsidRDefault="00331782" w:rsidP="00AA7960">
      <w:pPr>
        <w:keepNext/>
        <w:jc w:val="center"/>
        <w:rPr>
          <w:b/>
          <w:sz w:val="28"/>
          <w:szCs w:val="28"/>
        </w:rPr>
      </w:pPr>
    </w:p>
    <w:p w14:paraId="32AF4668" w14:textId="77777777" w:rsidR="00331782" w:rsidRDefault="00331782" w:rsidP="00AA7960">
      <w:pPr>
        <w:keepNext/>
        <w:jc w:val="center"/>
        <w:rPr>
          <w:b/>
          <w:sz w:val="28"/>
          <w:szCs w:val="28"/>
        </w:rPr>
      </w:pPr>
    </w:p>
    <w:p w14:paraId="2D775D9A" w14:textId="58398BA6"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DF3B5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90559" w:rsidRPr="00290559">
        <w:rPr>
          <w:sz w:val="24"/>
          <w:szCs w:val="24"/>
        </w:rPr>
        <w:t>Holly Roberts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7DFB47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290559">
        <w:rPr>
          <w:b/>
          <w:sz w:val="24"/>
          <w:szCs w:val="24"/>
        </w:rPr>
        <w:t xml:space="preserve"> </w:t>
      </w:r>
      <w:r w:rsidR="00290559" w:rsidRPr="00290559">
        <w:rPr>
          <w:sz w:val="24"/>
          <w:szCs w:val="24"/>
        </w:rPr>
        <w:t>2319561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5F94A9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90559">
        <w:rPr>
          <w:b/>
          <w:sz w:val="24"/>
          <w:szCs w:val="24"/>
        </w:rPr>
        <w:t xml:space="preserve"> </w:t>
      </w:r>
      <w:r w:rsidR="00290559" w:rsidRPr="00290559">
        <w:rPr>
          <w:sz w:val="24"/>
          <w:szCs w:val="24"/>
        </w:rPr>
        <w:t>07523354173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7FC61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90559">
        <w:rPr>
          <w:b/>
          <w:sz w:val="24"/>
          <w:szCs w:val="24"/>
        </w:rPr>
        <w:t xml:space="preserve"> </w:t>
      </w:r>
      <w:r w:rsidR="00290559" w:rsidRPr="00290559">
        <w:rPr>
          <w:sz w:val="24"/>
          <w:szCs w:val="24"/>
        </w:rPr>
        <w:t>2319561@student.uwtsd.ac.uk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07DC60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90559" w:rsidRPr="00290559">
        <w:rPr>
          <w:sz w:val="24"/>
          <w:szCs w:val="24"/>
        </w:rPr>
        <w:t>January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777CB5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90559">
        <w:rPr>
          <w:b/>
          <w:sz w:val="24"/>
          <w:szCs w:val="24"/>
        </w:rPr>
        <w:t xml:space="preserve"> </w:t>
      </w:r>
      <w:r w:rsidR="00290559" w:rsidRPr="00290559">
        <w:rPr>
          <w:sz w:val="24"/>
          <w:szCs w:val="24"/>
        </w:rPr>
        <w:t>January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2C9F8B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29055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5573A8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290559">
        <w:rPr>
          <w:b/>
          <w:sz w:val="24"/>
          <w:szCs w:val="24"/>
        </w:rPr>
        <w:t xml:space="preserve"> Vicky Brooke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AF341A3" w:rsidR="004923DA" w:rsidRDefault="004923DA" w:rsidP="00FF7EBB">
            <w:pPr>
              <w:jc w:val="both"/>
              <w:rPr>
                <w:b/>
                <w:sz w:val="24"/>
                <w:szCs w:val="24"/>
              </w:rPr>
            </w:pPr>
            <w:r w:rsidRPr="008B28E7">
              <w:rPr>
                <w:b/>
                <w:sz w:val="24"/>
                <w:szCs w:val="24"/>
              </w:rPr>
              <w:t>Name:</w:t>
            </w:r>
            <w:r w:rsidR="00290559">
              <w:rPr>
                <w:b/>
                <w:sz w:val="24"/>
                <w:szCs w:val="24"/>
              </w:rPr>
              <w:t xml:space="preserve"> Einir Davies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3D1487DF" w:rsidR="004923DA" w:rsidRPr="008B28E7" w:rsidRDefault="004923DA" w:rsidP="00FF7EBB">
            <w:pPr>
              <w:jc w:val="both"/>
              <w:rPr>
                <w:b/>
                <w:sz w:val="24"/>
                <w:szCs w:val="24"/>
              </w:rPr>
            </w:pPr>
            <w:r w:rsidRPr="008B28E7">
              <w:rPr>
                <w:b/>
                <w:sz w:val="24"/>
                <w:szCs w:val="24"/>
              </w:rPr>
              <w:t>Professional Qualification and date of qualification:</w:t>
            </w:r>
            <w:r w:rsidR="000C29B7">
              <w:rPr>
                <w:b/>
                <w:sz w:val="24"/>
                <w:szCs w:val="24"/>
              </w:rPr>
              <w:t xml:space="preserve"> Social Work, September 2009</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23D349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0C29B7">
        <w:rPr>
          <w:sz w:val="24"/>
          <w:szCs w:val="24"/>
        </w:rPr>
        <w:t>H.Roberts</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6F5136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C29B7">
        <w:rPr>
          <w:sz w:val="24"/>
          <w:szCs w:val="24"/>
        </w:rPr>
        <w:t>7</w:t>
      </w:r>
      <w:r w:rsidR="000C29B7" w:rsidRPr="000C29B7">
        <w:rPr>
          <w:sz w:val="24"/>
          <w:szCs w:val="24"/>
          <w:vertAlign w:val="superscript"/>
        </w:rPr>
        <w:t>th</w:t>
      </w:r>
      <w:r w:rsidR="000C29B7">
        <w:rPr>
          <w:sz w:val="24"/>
          <w:szCs w:val="24"/>
        </w:rPr>
        <w:t xml:space="preserve"> October 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79225D4"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331782">
        <w:rPr>
          <w:sz w:val="24"/>
          <w:szCs w:val="24"/>
        </w:rPr>
        <w:t>E.Davies</w:t>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58CD63C"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331782">
        <w:rPr>
          <w:sz w:val="24"/>
          <w:szCs w:val="24"/>
        </w:rPr>
        <w:t>24</w:t>
      </w:r>
      <w:r w:rsidR="00331782" w:rsidRPr="00331782">
        <w:rPr>
          <w:sz w:val="24"/>
          <w:szCs w:val="24"/>
          <w:vertAlign w:val="superscript"/>
        </w:rPr>
        <w:t>th</w:t>
      </w:r>
      <w:r w:rsidR="00331782">
        <w:rPr>
          <w:sz w:val="24"/>
          <w:szCs w:val="24"/>
        </w:rPr>
        <w:t xml:space="preserve"> September 2024</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5593088" w:rsidR="00335C41" w:rsidRPr="00D3203C" w:rsidRDefault="00331782" w:rsidP="00335C41">
            <w:pPr>
              <w:ind w:right="180"/>
              <w:jc w:val="both"/>
              <w:rPr>
                <w:sz w:val="24"/>
                <w:szCs w:val="24"/>
              </w:rPr>
            </w:pPr>
            <w:r>
              <w:rPr>
                <w:sz w:val="24"/>
                <w:szCs w:val="24"/>
              </w:rPr>
              <w:t>Signed: V.Brooke</w:t>
            </w:r>
            <w:r w:rsidR="00335C41"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6BF4150C" w:rsidR="00335C41" w:rsidRPr="00D3203C" w:rsidRDefault="00331782" w:rsidP="00335C41">
            <w:pPr>
              <w:ind w:right="180"/>
              <w:jc w:val="both"/>
              <w:rPr>
                <w:sz w:val="24"/>
                <w:szCs w:val="24"/>
              </w:rPr>
            </w:pPr>
            <w:r>
              <w:rPr>
                <w:sz w:val="24"/>
                <w:szCs w:val="24"/>
              </w:rPr>
              <w:t>Date 7</w:t>
            </w:r>
            <w:r w:rsidRPr="00331782">
              <w:rPr>
                <w:sz w:val="24"/>
                <w:szCs w:val="24"/>
                <w:vertAlign w:val="superscript"/>
              </w:rPr>
              <w:t>th</w:t>
            </w:r>
            <w:r>
              <w:rPr>
                <w:sz w:val="24"/>
                <w:szCs w:val="24"/>
              </w:rPr>
              <w:t xml:space="preserve"> October 2024</w:t>
            </w:r>
            <w:r w:rsidR="00335C41" w:rsidRPr="00D3203C">
              <w:rPr>
                <w:sz w:val="24"/>
                <w:szCs w:val="24"/>
              </w:rPr>
              <w:t>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1302AD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331782">
        <w:rPr>
          <w:caps/>
          <w:sz w:val="24"/>
          <w:szCs w:val="24"/>
        </w:rPr>
        <w:t>Vicky Brooke</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01F997E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331782">
        <w:rPr>
          <w:sz w:val="24"/>
          <w:szCs w:val="24"/>
        </w:rPr>
        <w:t>7</w:t>
      </w:r>
      <w:r w:rsidR="00331782" w:rsidRPr="00331782">
        <w:rPr>
          <w:sz w:val="24"/>
          <w:szCs w:val="24"/>
          <w:vertAlign w:val="superscript"/>
        </w:rPr>
        <w:t>th</w:t>
      </w:r>
      <w:r w:rsidR="00331782">
        <w:rPr>
          <w:sz w:val="24"/>
          <w:szCs w:val="24"/>
        </w:rPr>
        <w:t xml:space="preserve"> October 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40957E37" w:rsidR="00D05A5D" w:rsidRPr="00DA5682" w:rsidRDefault="00331782" w:rsidP="00CC14B6">
            <w:pPr>
              <w:rPr>
                <w:sz w:val="24"/>
                <w:szCs w:val="24"/>
              </w:rPr>
            </w:pPr>
            <w:r>
              <w:rPr>
                <w:sz w:val="24"/>
                <w:szCs w:val="24"/>
              </w:rPr>
              <w:t>Holly Roberts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7777777" w:rsidR="00D05A5D" w:rsidRPr="00DA5682" w:rsidRDefault="00D05A5D" w:rsidP="00CC14B6">
            <w:pPr>
              <w:rPr>
                <w:sz w:val="24"/>
                <w:szCs w:val="24"/>
              </w:rPr>
            </w:pP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05917ED" w:rsidR="00D05A5D" w:rsidRPr="00DA5682" w:rsidRDefault="00331782" w:rsidP="00CC14B6">
            <w:pPr>
              <w:rPr>
                <w:sz w:val="24"/>
                <w:szCs w:val="24"/>
              </w:rPr>
            </w:pPr>
            <w:r>
              <w:rPr>
                <w:sz w:val="24"/>
                <w:szCs w:val="24"/>
              </w:rPr>
              <w:t>Vicky Brooke</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44AE9F9" w:rsidR="00D05A5D" w:rsidRPr="00DA5682" w:rsidRDefault="00331782" w:rsidP="00CC14B6">
            <w:pPr>
              <w:rPr>
                <w:sz w:val="24"/>
                <w:szCs w:val="24"/>
              </w:rPr>
            </w:pPr>
            <w:r>
              <w:rPr>
                <w:sz w:val="24"/>
                <w:szCs w:val="24"/>
              </w:rPr>
              <w:t>Vicky Brooke</w:t>
            </w:r>
            <w:bookmarkStart w:id="1" w:name="_GoBack"/>
            <w:bookmarkEnd w:id="1"/>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7777777" w:rsidR="00D05A5D" w:rsidRPr="00DA5682" w:rsidRDefault="00D05A5D" w:rsidP="00D05A5D">
      <w:pPr>
        <w:rPr>
          <w:sz w:val="24"/>
          <w:szCs w:val="24"/>
        </w:rPr>
      </w:pPr>
      <w:r w:rsidRPr="00DA5682">
        <w:rPr>
          <w:sz w:val="24"/>
          <w:szCs w:val="24"/>
        </w:rPr>
        <w:t xml:space="preserve">Signed:……………………….. Print Name:………………………… Date:……….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7777777" w:rsidR="00D05A5D" w:rsidRPr="00DA5682" w:rsidRDefault="00D05A5D" w:rsidP="00D05A5D">
      <w:pPr>
        <w:rPr>
          <w:sz w:val="24"/>
          <w:szCs w:val="24"/>
        </w:rPr>
      </w:pPr>
      <w:r w:rsidRPr="00DA5682">
        <w:rPr>
          <w:sz w:val="24"/>
          <w:szCs w:val="24"/>
        </w:rPr>
        <w:t xml:space="preserve">Signed:……………………….. Print Name:………………………….Date:……….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7B804" w14:textId="77777777" w:rsidR="00472EB6" w:rsidRDefault="00472EB6">
      <w:r>
        <w:separator/>
      </w:r>
    </w:p>
  </w:endnote>
  <w:endnote w:type="continuationSeparator" w:id="0">
    <w:p w14:paraId="692BFAEC" w14:textId="77777777" w:rsidR="00472EB6" w:rsidRDefault="0047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F0F8DB2" w:rsidR="00A5656A" w:rsidRDefault="00A5656A">
    <w:pPr>
      <w:pStyle w:val="Footer"/>
      <w:jc w:val="right"/>
    </w:pPr>
    <w:r>
      <w:fldChar w:fldCharType="begin"/>
    </w:r>
    <w:r>
      <w:instrText xml:space="preserve"> PAGE   \* MERGEFORMAT </w:instrText>
    </w:r>
    <w:r>
      <w:fldChar w:fldCharType="separate"/>
    </w:r>
    <w:r w:rsidR="00331782">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A3B28" w14:textId="77777777" w:rsidR="00472EB6" w:rsidRDefault="00472EB6">
      <w:r>
        <w:separator/>
      </w:r>
    </w:p>
  </w:footnote>
  <w:footnote w:type="continuationSeparator" w:id="0">
    <w:p w14:paraId="5CAEEDE0" w14:textId="77777777" w:rsidR="00472EB6" w:rsidRDefault="00472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29B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055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782"/>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0FE"/>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63770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bailii.org/uk/cases/UKHL/1985/7.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qc.org.uk/sites/default/files/Brief_guide_Capacity_and_consent_in_under_18s%20v3.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E25093-3112-4346-9045-DE8AC0693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4316</Words>
  <Characters>25258</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Holly Roberts</cp:lastModifiedBy>
  <cp:revision>2</cp:revision>
  <cp:lastPrinted>2020-02-11T19:20:00Z</cp:lastPrinted>
  <dcterms:created xsi:type="dcterms:W3CDTF">2024-10-07T19:25:00Z</dcterms:created>
  <dcterms:modified xsi:type="dcterms:W3CDTF">2024-10-07T19:25:00Z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