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C748F" w:rsidRDefault="006C748F" w:rsidP="006C748F">
      <w:pPr>
        <w:pStyle w:val="Heading1"/>
      </w:pPr>
      <w:r>
        <w:t>PCDA Exam 2</w:t>
      </w:r>
    </w:p>
    <w:p w:rsidR="006C748F" w:rsidRDefault="006C748F" w:rsidP="006C748F">
      <w:pPr>
        <w:pStyle w:val="Heading1"/>
      </w:pPr>
      <w:r>
        <w:t>Niall Carribine SWP6992</w:t>
      </w:r>
    </w:p>
    <w:p w:rsidR="006C748F" w:rsidRDefault="006C748F" w:rsidP="006C748F">
      <w:pPr>
        <w:pStyle w:val="Heading1"/>
      </w:pPr>
      <w:r>
        <w:t xml:space="preserve">Student No: </w:t>
      </w:r>
      <w:r w:rsidRPr="006C748F">
        <w:t>2031210</w:t>
      </w:r>
    </w:p>
    <w:p w:rsidR="006C748F" w:rsidRDefault="006C748F" w:rsidP="006C748F">
      <w:pPr>
        <w:pStyle w:val="Heading1"/>
      </w:pPr>
      <w:r>
        <w:t xml:space="preserve">29/11/2021 </w:t>
      </w:r>
    </w:p>
    <w:p w:rsidR="00941580" w:rsidRPr="00941580" w:rsidRDefault="006C748F" w:rsidP="00941580">
      <w:pPr>
        <w:pStyle w:val="Heading1"/>
      </w:pPr>
      <w:r>
        <w:t>Cohort 3.21</w:t>
      </w:r>
      <w:bookmarkStart w:id="0" w:name="_GoBack"/>
      <w:bookmarkEnd w:id="0"/>
    </w:p>
    <w:p w:rsidR="006C748F" w:rsidRDefault="006C748F" w:rsidP="006C748F"/>
    <w:p w:rsidR="006C748F" w:rsidRDefault="006C748F" w:rsidP="006C748F">
      <w:pPr>
        <w:pStyle w:val="Heading2"/>
      </w:pPr>
      <w:r>
        <w:t>Q1</w:t>
      </w:r>
    </w:p>
    <w:p w:rsidR="006C748F" w:rsidRDefault="004C554D" w:rsidP="006C748F">
      <w:r>
        <w:t>A person driving a mechanically propelled vehicle on a road must stop on being required to do so by a constable in uniform or traffic officer.</w:t>
      </w:r>
    </w:p>
    <w:p w:rsidR="004C554D" w:rsidRDefault="004C554D" w:rsidP="006C748F">
      <w:r>
        <w:t>A person riding a pedal cycle on a road must stop on being required to do so by a constable in uniform or traffic officer.</w:t>
      </w:r>
    </w:p>
    <w:p w:rsidR="004C554D" w:rsidRDefault="004C554D" w:rsidP="006C748F">
      <w:r>
        <w:t xml:space="preserve">A person failing to comply with the above commits the offence of failing to stop. </w:t>
      </w:r>
    </w:p>
    <w:p w:rsidR="004C554D" w:rsidRDefault="004C554D" w:rsidP="006C748F"/>
    <w:p w:rsidR="006C748F" w:rsidRDefault="006C748F" w:rsidP="006C748F">
      <w:pPr>
        <w:pStyle w:val="Heading2"/>
      </w:pPr>
      <w:r>
        <w:t>Q2</w:t>
      </w:r>
    </w:p>
    <w:p w:rsidR="006C748F" w:rsidRDefault="004C554D" w:rsidP="006C748F">
      <w:r>
        <w:t>Section 6(4) states that a constable has the power to require preliminary tests for a person who has committed a moving traffic offence. The preliminary tests are to identify if the driver has alcohol or drugs over the specified limit for alcohol or drugs in their system.</w:t>
      </w:r>
    </w:p>
    <w:p w:rsidR="008A7E0D" w:rsidRDefault="008A7E0D" w:rsidP="006C748F"/>
    <w:p w:rsidR="006C748F" w:rsidRDefault="006C748F" w:rsidP="006C748F">
      <w:pPr>
        <w:pStyle w:val="Heading2"/>
      </w:pPr>
      <w:r>
        <w:t>Q3</w:t>
      </w:r>
    </w:p>
    <w:p w:rsidR="006C748F" w:rsidRPr="00676192" w:rsidRDefault="004C554D" w:rsidP="006C748F">
      <w:pPr>
        <w:rPr>
          <w:b/>
          <w:u w:val="single"/>
        </w:rPr>
      </w:pPr>
      <w:r w:rsidRPr="00676192">
        <w:rPr>
          <w:b/>
          <w:u w:val="single"/>
        </w:rPr>
        <w:t>Section 3 Road Traffic Act 1988</w:t>
      </w:r>
    </w:p>
    <w:p w:rsidR="004C554D" w:rsidRDefault="004C554D" w:rsidP="006C748F">
      <w:r>
        <w:t>A person driving a mechanically propelled vehicle on a road or other public place without due care and attention or without reasonable consideration for other users of the road or place commits an offence.</w:t>
      </w:r>
    </w:p>
    <w:p w:rsidR="008A7E0D" w:rsidRDefault="008A7E0D" w:rsidP="006C748F"/>
    <w:p w:rsidR="006C748F" w:rsidRDefault="006C748F" w:rsidP="006C748F">
      <w:pPr>
        <w:pStyle w:val="Heading2"/>
      </w:pPr>
      <w:r>
        <w:t>Q4</w:t>
      </w:r>
    </w:p>
    <w:p w:rsidR="004C554D" w:rsidRDefault="00676192" w:rsidP="004C554D">
      <w:r>
        <w:rPr>
          <w:b/>
          <w:u w:val="single"/>
        </w:rPr>
        <w:t>Defences for Section 3</w:t>
      </w:r>
    </w:p>
    <w:p w:rsidR="00676192" w:rsidRDefault="00676192" w:rsidP="00676192">
      <w:pPr>
        <w:pStyle w:val="ListParagraph"/>
        <w:numPr>
          <w:ilvl w:val="0"/>
          <w:numId w:val="10"/>
        </w:numPr>
      </w:pPr>
      <w:r>
        <w:t>Medical Episode</w:t>
      </w:r>
    </w:p>
    <w:p w:rsidR="00676192" w:rsidRDefault="00676192" w:rsidP="00676192">
      <w:pPr>
        <w:pStyle w:val="ListParagraph"/>
        <w:numPr>
          <w:ilvl w:val="0"/>
          <w:numId w:val="10"/>
        </w:numPr>
      </w:pPr>
      <w:r>
        <w:t>Saving life/limb</w:t>
      </w:r>
    </w:p>
    <w:p w:rsidR="00676192" w:rsidRDefault="00676192" w:rsidP="00676192">
      <w:pPr>
        <w:pStyle w:val="ListParagraph"/>
        <w:numPr>
          <w:ilvl w:val="0"/>
          <w:numId w:val="10"/>
        </w:numPr>
      </w:pPr>
      <w:r>
        <w:t>In immediate danger</w:t>
      </w:r>
    </w:p>
    <w:p w:rsidR="00676192" w:rsidRDefault="00676192" w:rsidP="00676192">
      <w:pPr>
        <w:pStyle w:val="ListParagraph"/>
        <w:numPr>
          <w:ilvl w:val="0"/>
          <w:numId w:val="10"/>
        </w:numPr>
      </w:pPr>
      <w:r>
        <w:t>Was not driving</w:t>
      </w:r>
    </w:p>
    <w:p w:rsidR="00676192" w:rsidRPr="00676192" w:rsidRDefault="00676192" w:rsidP="00676192">
      <w:pPr>
        <w:pStyle w:val="ListParagraph"/>
        <w:numPr>
          <w:ilvl w:val="0"/>
          <w:numId w:val="10"/>
        </w:numPr>
      </w:pPr>
      <w:r>
        <w:t>Was not on a road or public place</w:t>
      </w:r>
    </w:p>
    <w:p w:rsidR="006C748F" w:rsidRDefault="006C748F" w:rsidP="006C748F">
      <w:pPr>
        <w:pStyle w:val="Heading2"/>
      </w:pPr>
      <w:r>
        <w:lastRenderedPageBreak/>
        <w:t>Q5</w:t>
      </w:r>
    </w:p>
    <w:p w:rsidR="004C554D" w:rsidRDefault="004C554D" w:rsidP="004C554D">
      <w:r>
        <w:t>Section 165 gives a constable the power to require proof of insurance or security. If a constable believes that there is no such proof, then under powers in 165A, the constable may seize that vehicle.</w:t>
      </w:r>
    </w:p>
    <w:p w:rsidR="006C748F" w:rsidRDefault="006C748F" w:rsidP="006C748F"/>
    <w:p w:rsidR="006C748F" w:rsidRDefault="006C748F" w:rsidP="006C748F">
      <w:pPr>
        <w:pStyle w:val="Heading2"/>
      </w:pPr>
      <w:r>
        <w:t>Q6</w:t>
      </w:r>
    </w:p>
    <w:p w:rsidR="004C554D" w:rsidRPr="004C554D" w:rsidRDefault="004C554D" w:rsidP="004C554D">
      <w:r>
        <w:t>Section 170 RTA 1988</w:t>
      </w:r>
    </w:p>
    <w:p w:rsidR="006C748F" w:rsidRDefault="004C554D" w:rsidP="006C748F">
      <w:r>
        <w:t>Whereby an accident occurs owing to the presence of a mechanically propelled vehicle. The driver of the mechanically propelled vehicle must stop and exchange details with any person who has reasonable grounds for asking for them if:</w:t>
      </w:r>
    </w:p>
    <w:p w:rsidR="004C554D" w:rsidRDefault="004C554D" w:rsidP="004C554D">
      <w:pPr>
        <w:pStyle w:val="ListParagraph"/>
        <w:numPr>
          <w:ilvl w:val="0"/>
          <w:numId w:val="2"/>
        </w:numPr>
      </w:pPr>
      <w:r>
        <w:t>Injury is caused to a person other than the driver o</w:t>
      </w:r>
      <w:r w:rsidR="008A7E0D">
        <w:t>f that</w:t>
      </w:r>
      <w:r>
        <w:t xml:space="preserve"> mechanically propelled vehicle</w:t>
      </w:r>
    </w:p>
    <w:p w:rsidR="004C554D" w:rsidRDefault="004C554D" w:rsidP="004C554D">
      <w:pPr>
        <w:pStyle w:val="ListParagraph"/>
        <w:numPr>
          <w:ilvl w:val="0"/>
          <w:numId w:val="2"/>
        </w:numPr>
      </w:pPr>
      <w:r>
        <w:t>Damage is caused to:</w:t>
      </w:r>
    </w:p>
    <w:p w:rsidR="004C554D" w:rsidRDefault="004C554D" w:rsidP="004C554D">
      <w:pPr>
        <w:pStyle w:val="ListParagraph"/>
        <w:numPr>
          <w:ilvl w:val="1"/>
          <w:numId w:val="2"/>
        </w:numPr>
      </w:pPr>
      <w:r>
        <w:t>Any vehicle other than that mechanically propelled vehicle or trailer drawn by it</w:t>
      </w:r>
    </w:p>
    <w:p w:rsidR="004C554D" w:rsidRDefault="004C554D" w:rsidP="004C554D">
      <w:pPr>
        <w:pStyle w:val="ListParagraph"/>
        <w:numPr>
          <w:ilvl w:val="1"/>
          <w:numId w:val="2"/>
        </w:numPr>
      </w:pPr>
      <w:r>
        <w:t>Any animal other than one in or on the mechanically propelled vehicle or in or on a trailer drawn by it</w:t>
      </w:r>
    </w:p>
    <w:p w:rsidR="00A203B4" w:rsidRDefault="004C554D" w:rsidP="00A203B4">
      <w:pPr>
        <w:pStyle w:val="ListParagraph"/>
        <w:numPr>
          <w:ilvl w:val="1"/>
          <w:numId w:val="2"/>
        </w:numPr>
      </w:pPr>
      <w:r>
        <w:t>Any property fixed to, growing on, adjacent to or forming part of the land</w:t>
      </w:r>
      <w:r w:rsidR="00A203B4">
        <w:t>.</w:t>
      </w:r>
    </w:p>
    <w:p w:rsidR="00A203B4" w:rsidRDefault="00A203B4" w:rsidP="00A203B4"/>
    <w:p w:rsidR="008A7E0D" w:rsidRDefault="008A7E0D">
      <w:pPr>
        <w:rPr>
          <w:rFonts w:asciiTheme="majorHAnsi" w:eastAsiaTheme="majorEastAsia" w:hAnsiTheme="majorHAnsi" w:cstheme="majorBidi"/>
          <w:color w:val="2E74B5" w:themeColor="accent1" w:themeShade="BF"/>
          <w:sz w:val="26"/>
          <w:szCs w:val="26"/>
        </w:rPr>
      </w:pPr>
      <w:r>
        <w:br w:type="page"/>
      </w:r>
    </w:p>
    <w:p w:rsidR="006C748F" w:rsidRDefault="006C748F" w:rsidP="006C748F">
      <w:pPr>
        <w:pStyle w:val="Heading2"/>
      </w:pPr>
      <w:r>
        <w:lastRenderedPageBreak/>
        <w:t>Q7</w:t>
      </w:r>
    </w:p>
    <w:p w:rsidR="006C748F" w:rsidRDefault="00A203B4" w:rsidP="006C748F">
      <w:pPr>
        <w:rPr>
          <w:b/>
          <w:u w:val="single"/>
        </w:rPr>
      </w:pPr>
      <w:r>
        <w:rPr>
          <w:b/>
          <w:u w:val="single"/>
        </w:rPr>
        <w:t>Road</w:t>
      </w:r>
    </w:p>
    <w:p w:rsidR="00A203B4" w:rsidRDefault="00A203B4" w:rsidP="006C748F">
      <w:r>
        <w:t>A road includes any highway to which the public has access. It also includes any bridges over which a road passes.</w:t>
      </w:r>
    </w:p>
    <w:p w:rsidR="00A203B4" w:rsidRDefault="00A203B4" w:rsidP="006C748F">
      <w:r>
        <w:rPr>
          <w:b/>
          <w:u w:val="single"/>
        </w:rPr>
        <w:t>Public Place</w:t>
      </w:r>
    </w:p>
    <w:p w:rsidR="00A203B4" w:rsidRDefault="00A203B4" w:rsidP="006C748F">
      <w:r>
        <w:t>A public place is any place to which the public have access. It can include private car parks (supermarkets) where the public have presumed access.</w:t>
      </w:r>
    </w:p>
    <w:p w:rsidR="00A203B4" w:rsidRDefault="00A203B4" w:rsidP="006C748F">
      <w:pPr>
        <w:rPr>
          <w:b/>
          <w:u w:val="single"/>
        </w:rPr>
      </w:pPr>
      <w:r>
        <w:rPr>
          <w:b/>
          <w:u w:val="single"/>
        </w:rPr>
        <w:t>Mechanically Propelled Vehicle</w:t>
      </w:r>
    </w:p>
    <w:p w:rsidR="00A203B4" w:rsidRDefault="00A203B4" w:rsidP="006C748F">
      <w:r>
        <w:t>A vehicle where its motion is powered by any of the following:</w:t>
      </w:r>
    </w:p>
    <w:p w:rsidR="00A203B4" w:rsidRDefault="00A203B4" w:rsidP="00A203B4">
      <w:pPr>
        <w:pStyle w:val="ListParagraph"/>
        <w:numPr>
          <w:ilvl w:val="0"/>
          <w:numId w:val="3"/>
        </w:numPr>
      </w:pPr>
      <w:r>
        <w:t>Steams</w:t>
      </w:r>
    </w:p>
    <w:p w:rsidR="00A203B4" w:rsidRDefault="00A203B4" w:rsidP="00A203B4">
      <w:pPr>
        <w:pStyle w:val="ListParagraph"/>
        <w:numPr>
          <w:ilvl w:val="0"/>
          <w:numId w:val="3"/>
        </w:numPr>
      </w:pPr>
      <w:r>
        <w:t>Electric</w:t>
      </w:r>
    </w:p>
    <w:p w:rsidR="00A203B4" w:rsidRDefault="00676192" w:rsidP="00A203B4">
      <w:pPr>
        <w:pStyle w:val="ListParagraph"/>
        <w:numPr>
          <w:ilvl w:val="0"/>
          <w:numId w:val="3"/>
        </w:numPr>
      </w:pPr>
      <w:r>
        <w:t>Petrol</w:t>
      </w:r>
    </w:p>
    <w:p w:rsidR="00A203B4" w:rsidRDefault="00A203B4" w:rsidP="00A203B4">
      <w:pPr>
        <w:pStyle w:val="ListParagraph"/>
        <w:numPr>
          <w:ilvl w:val="0"/>
          <w:numId w:val="3"/>
        </w:numPr>
      </w:pPr>
      <w:r>
        <w:t>Diesel</w:t>
      </w:r>
    </w:p>
    <w:p w:rsidR="00A203B4" w:rsidRDefault="00A203B4" w:rsidP="00A203B4">
      <w:pPr>
        <w:pStyle w:val="ListParagraph"/>
        <w:numPr>
          <w:ilvl w:val="0"/>
          <w:numId w:val="3"/>
        </w:numPr>
      </w:pPr>
      <w:r>
        <w:t>Oil</w:t>
      </w:r>
    </w:p>
    <w:p w:rsidR="00A203B4" w:rsidRDefault="00676192" w:rsidP="00A203B4">
      <w:pPr>
        <w:pStyle w:val="ListParagraph"/>
        <w:numPr>
          <w:ilvl w:val="0"/>
          <w:numId w:val="3"/>
        </w:numPr>
      </w:pPr>
      <w:r>
        <w:t>Gas</w:t>
      </w:r>
    </w:p>
    <w:p w:rsidR="00A203B4" w:rsidRDefault="00A203B4" w:rsidP="00A203B4">
      <w:r>
        <w:rPr>
          <w:b/>
          <w:u w:val="single"/>
        </w:rPr>
        <w:t>Animal</w:t>
      </w:r>
    </w:p>
    <w:p w:rsidR="00A203B4" w:rsidRDefault="00A203B4" w:rsidP="00A203B4">
      <w:r>
        <w:t>An animal is defined as any of the following:</w:t>
      </w:r>
    </w:p>
    <w:p w:rsidR="00A203B4" w:rsidRDefault="00A203B4" w:rsidP="00A203B4">
      <w:pPr>
        <w:pStyle w:val="ListParagraph"/>
        <w:numPr>
          <w:ilvl w:val="0"/>
          <w:numId w:val="4"/>
        </w:numPr>
      </w:pPr>
      <w:r>
        <w:t>Cow</w:t>
      </w:r>
    </w:p>
    <w:p w:rsidR="00A203B4" w:rsidRDefault="00A203B4" w:rsidP="00A203B4">
      <w:pPr>
        <w:pStyle w:val="ListParagraph"/>
        <w:numPr>
          <w:ilvl w:val="0"/>
          <w:numId w:val="4"/>
        </w:numPr>
      </w:pPr>
      <w:r>
        <w:t>Horse</w:t>
      </w:r>
    </w:p>
    <w:p w:rsidR="00A203B4" w:rsidRDefault="00A203B4" w:rsidP="00A203B4">
      <w:pPr>
        <w:pStyle w:val="ListParagraph"/>
        <w:numPr>
          <w:ilvl w:val="0"/>
          <w:numId w:val="4"/>
        </w:numPr>
      </w:pPr>
      <w:r>
        <w:t>Ass</w:t>
      </w:r>
    </w:p>
    <w:p w:rsidR="00A203B4" w:rsidRDefault="00A203B4" w:rsidP="00A203B4">
      <w:pPr>
        <w:pStyle w:val="ListParagraph"/>
        <w:numPr>
          <w:ilvl w:val="0"/>
          <w:numId w:val="4"/>
        </w:numPr>
      </w:pPr>
      <w:r>
        <w:t>Mule</w:t>
      </w:r>
    </w:p>
    <w:p w:rsidR="00A203B4" w:rsidRDefault="00A203B4" w:rsidP="00A203B4">
      <w:pPr>
        <w:pStyle w:val="ListParagraph"/>
        <w:numPr>
          <w:ilvl w:val="0"/>
          <w:numId w:val="4"/>
        </w:numPr>
      </w:pPr>
      <w:r>
        <w:t>Pig</w:t>
      </w:r>
    </w:p>
    <w:p w:rsidR="00A203B4" w:rsidRDefault="00A203B4" w:rsidP="00A203B4">
      <w:pPr>
        <w:pStyle w:val="ListParagraph"/>
        <w:numPr>
          <w:ilvl w:val="0"/>
          <w:numId w:val="4"/>
        </w:numPr>
      </w:pPr>
      <w:r>
        <w:t>Sheep</w:t>
      </w:r>
    </w:p>
    <w:p w:rsidR="00A203B4" w:rsidRDefault="00A203B4" w:rsidP="00A203B4">
      <w:pPr>
        <w:pStyle w:val="ListParagraph"/>
        <w:numPr>
          <w:ilvl w:val="0"/>
          <w:numId w:val="4"/>
        </w:numPr>
      </w:pPr>
      <w:r>
        <w:t>Dog</w:t>
      </w:r>
    </w:p>
    <w:p w:rsidR="00A203B4" w:rsidRDefault="00A203B4" w:rsidP="00A203B4">
      <w:pPr>
        <w:pStyle w:val="ListParagraph"/>
        <w:numPr>
          <w:ilvl w:val="0"/>
          <w:numId w:val="4"/>
        </w:numPr>
      </w:pPr>
      <w:r>
        <w:t>Goat</w:t>
      </w:r>
    </w:p>
    <w:p w:rsidR="00A203B4" w:rsidRPr="00A203B4" w:rsidRDefault="00A203B4" w:rsidP="00A203B4"/>
    <w:p w:rsidR="006C748F" w:rsidRDefault="006C748F" w:rsidP="006C748F">
      <w:pPr>
        <w:pStyle w:val="Heading2"/>
      </w:pPr>
      <w:r>
        <w:t>Q8</w:t>
      </w:r>
    </w:p>
    <w:p w:rsidR="006C748F" w:rsidRDefault="00A203B4" w:rsidP="006C748F">
      <w:r>
        <w:t xml:space="preserve">When a reportable traffic collision has occurred, any drivers involved in said collision must stop and provide their details </w:t>
      </w:r>
      <w:r w:rsidR="008A7E0D">
        <w:t>to anybody who should reasonably</w:t>
      </w:r>
      <w:r>
        <w:t xml:space="preserve"> request it. For example, where a vehicle collides with another causing damage to it, the driver of the non-damaged vehicle must stop. The driver of the damaged vehicle under this section has reasonable grounds to request the details of the other driver. These details can include name, address, contact information, and name and contact information of the insurer. Other details that should be provided are the make, model and registration of the other car involved if not already known. Where a driver causes damage to property but there are no persons present. The driver must take reasonable steps there and then to contact the owner of the property to provide details.</w:t>
      </w:r>
    </w:p>
    <w:p w:rsidR="00A203B4" w:rsidRDefault="00A203B4" w:rsidP="006C748F">
      <w:r>
        <w:t>Drivers who do not stop commit the offence of failing to stop at the scene of a reportable road traffic collision.</w:t>
      </w:r>
    </w:p>
    <w:p w:rsidR="006C748F" w:rsidRDefault="006C748F" w:rsidP="006C748F">
      <w:pPr>
        <w:pStyle w:val="Heading2"/>
      </w:pPr>
      <w:r>
        <w:lastRenderedPageBreak/>
        <w:t>Q9</w:t>
      </w:r>
    </w:p>
    <w:p w:rsidR="006C748F" w:rsidRDefault="00A07BE1" w:rsidP="006C748F">
      <w:r>
        <w:t xml:space="preserve">Section 6E outlines a police officers power to enter a house in relation to the offence of driving over the prescribed limit. A police officer may enter if he/she reasonable believes that an occupant of the house has been driving over the prescribed limit for drugs/alcohol. They must also enter if they have reasonable grounds to believe that an occupant of the house has been involved in a reportable road traffic collision (Section 170) and has failed to stop. </w:t>
      </w:r>
    </w:p>
    <w:p w:rsidR="00A07BE1" w:rsidRDefault="00A07BE1" w:rsidP="006C748F">
      <w:r>
        <w:t xml:space="preserve">For example, a pub landlord has said one of their customers has been drinking in their pub all day and they have left and drove away in a vehicle. The officers responding arrive at the customers address and see him walk from his vehicle and enter his house. Those officers, under section 6E would have a power to enter that person’s address as they there and then have reasonable grounds to believe that person has been driving whilst being over the prescribed limit for drink. Under section 6 they would therefore have grounds to require preliminary testing. </w:t>
      </w:r>
    </w:p>
    <w:p w:rsidR="00A07BE1" w:rsidRDefault="00A07BE1" w:rsidP="006C748F"/>
    <w:p w:rsidR="006C748F" w:rsidRDefault="006C748F" w:rsidP="006C748F">
      <w:pPr>
        <w:pStyle w:val="Heading2"/>
      </w:pPr>
      <w:r>
        <w:t>Q10</w:t>
      </w:r>
    </w:p>
    <w:p w:rsidR="00A112B6" w:rsidRPr="00676192" w:rsidRDefault="00A112B6" w:rsidP="00A112B6">
      <w:pPr>
        <w:rPr>
          <w:b/>
          <w:u w:val="single"/>
        </w:rPr>
      </w:pPr>
      <w:r w:rsidRPr="00676192">
        <w:rPr>
          <w:b/>
          <w:u w:val="single"/>
        </w:rPr>
        <w:t>Section 1 Road Traffic Act 1988</w:t>
      </w:r>
    </w:p>
    <w:p w:rsidR="006C748F" w:rsidRDefault="00A07BE1" w:rsidP="006C748F">
      <w:r>
        <w:t xml:space="preserve">A person </w:t>
      </w:r>
      <w:r w:rsidR="00A112B6">
        <w:t xml:space="preserve">who </w:t>
      </w:r>
      <w:r>
        <w:t xml:space="preserve">causes the death of another whilst driving a mechanically propelled vehicle on a road or other public place dangerously </w:t>
      </w:r>
      <w:r w:rsidR="00A112B6">
        <w:t>commits an offence</w:t>
      </w:r>
    </w:p>
    <w:p w:rsidR="008A7E0D" w:rsidRDefault="008A7E0D" w:rsidP="006C748F"/>
    <w:p w:rsidR="006C748F" w:rsidRDefault="006C748F" w:rsidP="006C748F">
      <w:pPr>
        <w:pStyle w:val="Heading2"/>
      </w:pPr>
      <w:r>
        <w:t>Q11</w:t>
      </w:r>
    </w:p>
    <w:p w:rsidR="00A112B6" w:rsidRDefault="00A112B6" w:rsidP="00A112B6">
      <w:pPr>
        <w:rPr>
          <w:b/>
          <w:u w:val="single"/>
        </w:rPr>
      </w:pPr>
      <w:r>
        <w:rPr>
          <w:b/>
          <w:u w:val="single"/>
        </w:rPr>
        <w:t>Prescribed limits for alcohol</w:t>
      </w:r>
    </w:p>
    <w:p w:rsidR="00A112B6" w:rsidRDefault="00A112B6" w:rsidP="00A112B6">
      <w:pPr>
        <w:rPr>
          <w:rFonts w:cstheme="minorHAnsi"/>
        </w:rPr>
      </w:pPr>
      <w:r>
        <w:t>Breath - 35</w:t>
      </w:r>
      <w:r>
        <w:rPr>
          <w:rFonts w:cstheme="minorHAnsi"/>
        </w:rPr>
        <w:t>µg/100ml</w:t>
      </w:r>
    </w:p>
    <w:p w:rsidR="00A112B6" w:rsidRDefault="00A112B6" w:rsidP="00A112B6">
      <w:pPr>
        <w:rPr>
          <w:rFonts w:cstheme="minorHAnsi"/>
        </w:rPr>
      </w:pPr>
      <w:r>
        <w:rPr>
          <w:rFonts w:cstheme="minorHAnsi"/>
        </w:rPr>
        <w:t>Blood – 80mg/100ml</w:t>
      </w:r>
    </w:p>
    <w:p w:rsidR="00A112B6" w:rsidRDefault="00A112B6" w:rsidP="00A112B6">
      <w:pPr>
        <w:rPr>
          <w:rFonts w:cstheme="minorHAnsi"/>
        </w:rPr>
      </w:pPr>
      <w:r>
        <w:rPr>
          <w:rFonts w:cstheme="minorHAnsi"/>
        </w:rPr>
        <w:t>Urine – 107mg/100ml</w:t>
      </w:r>
    </w:p>
    <w:p w:rsidR="00A112B6" w:rsidRDefault="00A112B6" w:rsidP="00A112B6">
      <w:pPr>
        <w:rPr>
          <w:rFonts w:cstheme="minorHAnsi"/>
          <w:b/>
          <w:u w:val="single"/>
        </w:rPr>
      </w:pPr>
      <w:r>
        <w:rPr>
          <w:rFonts w:cstheme="minorHAnsi"/>
          <w:b/>
          <w:u w:val="single"/>
        </w:rPr>
        <w:t>Prescribed limits for Drugs</w:t>
      </w:r>
    </w:p>
    <w:p w:rsidR="00A112B6" w:rsidRDefault="00A112B6" w:rsidP="00A112B6">
      <w:pPr>
        <w:rPr>
          <w:rFonts w:cstheme="minorHAnsi"/>
        </w:rPr>
      </w:pPr>
      <w:r>
        <w:rPr>
          <w:rFonts w:cstheme="minorHAnsi"/>
        </w:rPr>
        <w:t>Cannabis - 2</w:t>
      </w:r>
      <w:r>
        <w:rPr>
          <w:rFonts w:cstheme="minorHAnsi"/>
        </w:rPr>
        <w:t>µ</w:t>
      </w:r>
      <w:r>
        <w:rPr>
          <w:rFonts w:cstheme="minorHAnsi"/>
        </w:rPr>
        <w:t>g/100ml</w:t>
      </w:r>
    </w:p>
    <w:p w:rsidR="00A112B6" w:rsidRDefault="00A112B6" w:rsidP="00A112B6">
      <w:pPr>
        <w:rPr>
          <w:rFonts w:cstheme="minorHAnsi"/>
        </w:rPr>
      </w:pPr>
      <w:r>
        <w:rPr>
          <w:rFonts w:cstheme="minorHAnsi"/>
        </w:rPr>
        <w:t>Cocaine - 10</w:t>
      </w:r>
      <w:r>
        <w:rPr>
          <w:rFonts w:cstheme="minorHAnsi"/>
        </w:rPr>
        <w:t>µ</w:t>
      </w:r>
      <w:r>
        <w:rPr>
          <w:rFonts w:cstheme="minorHAnsi"/>
        </w:rPr>
        <w:t>g/100ml</w:t>
      </w:r>
    </w:p>
    <w:p w:rsidR="00A112B6" w:rsidRPr="00A112B6" w:rsidRDefault="00A112B6" w:rsidP="00A112B6">
      <w:pPr>
        <w:rPr>
          <w:rFonts w:cstheme="minorHAnsi"/>
        </w:rPr>
      </w:pPr>
    </w:p>
    <w:p w:rsidR="008A7E0D" w:rsidRDefault="008A7E0D">
      <w:pPr>
        <w:rPr>
          <w:rFonts w:asciiTheme="majorHAnsi" w:eastAsiaTheme="majorEastAsia" w:hAnsiTheme="majorHAnsi" w:cstheme="majorBidi"/>
          <w:color w:val="2E74B5" w:themeColor="accent1" w:themeShade="BF"/>
          <w:sz w:val="26"/>
          <w:szCs w:val="26"/>
        </w:rPr>
      </w:pPr>
      <w:r>
        <w:br w:type="page"/>
      </w:r>
    </w:p>
    <w:p w:rsidR="006C748F" w:rsidRDefault="006C748F" w:rsidP="006C748F">
      <w:pPr>
        <w:pStyle w:val="Heading2"/>
      </w:pPr>
      <w:r>
        <w:lastRenderedPageBreak/>
        <w:t>Q12</w:t>
      </w:r>
    </w:p>
    <w:p w:rsidR="006C748F" w:rsidRDefault="00A112B6" w:rsidP="006C748F">
      <w:r>
        <w:t>A number of persons can be present in a suspect interview. These can include:</w:t>
      </w:r>
    </w:p>
    <w:p w:rsidR="00A112B6" w:rsidRDefault="00A112B6" w:rsidP="006C748F">
      <w:r>
        <w:rPr>
          <w:b/>
          <w:u w:val="single"/>
        </w:rPr>
        <w:t>Solicitor</w:t>
      </w:r>
    </w:p>
    <w:p w:rsidR="00A112B6" w:rsidRDefault="00A112B6" w:rsidP="006C748F">
      <w:r>
        <w:t>The role of the solicitor is to advise their client (suspect) on legal matters and give them council. They can advise their client whether they should answer a question, they cannot answer on their behalf, but they can read out a prepared statement if signed by the suspect. They can ask officers questions, and clarify points of law. They can also ask to stop the interview to have a private consultation with their client.</w:t>
      </w:r>
    </w:p>
    <w:p w:rsidR="00A112B6" w:rsidRDefault="00A112B6" w:rsidP="006C748F">
      <w:r>
        <w:rPr>
          <w:b/>
          <w:u w:val="single"/>
        </w:rPr>
        <w:t>Paralegal</w:t>
      </w:r>
    </w:p>
    <w:p w:rsidR="00A112B6" w:rsidRDefault="00A112B6" w:rsidP="006C748F">
      <w:r>
        <w:t>A paralegal can attend suspect interviews. Their role is similar to that of a solicitor, and may advise their client on points of law, however they are not qualified solicitors and are more often than not solicitors in training. It is important that the suspect understands that they still have a right to talk to a qualified solicitor.</w:t>
      </w:r>
    </w:p>
    <w:p w:rsidR="00A112B6" w:rsidRDefault="00A112B6" w:rsidP="006C748F">
      <w:r>
        <w:rPr>
          <w:b/>
          <w:u w:val="single"/>
        </w:rPr>
        <w:t>Appropriate Adult</w:t>
      </w:r>
    </w:p>
    <w:p w:rsidR="00A112B6" w:rsidRDefault="00A112B6" w:rsidP="006C748F">
      <w:r>
        <w:t>An appropriate adult is someone who sits on interview based on the ne</w:t>
      </w:r>
      <w:r w:rsidR="00E26FF5">
        <w:t>eds of the suspect. An appropriate adult must always be present when the suspect is under 18, however the can also be present if the suspect has a disability or a mental illness. The role of the appropriate adult is to ensure the welfare of the suspect is maintained throughout the interview, and to understand the suspect understands the questions asked by the officers. The appropriate adult may reword the officer’s questions using words the suspect understands more. They cannot answer on behalf of the suspect. The appropriate adult may be an appointed person that the police use, or it can be a family member (e.g. parent) however, care must be taken if suspect knows the appropriate adult knows the suspect as that could influence the suspect’s answers or put undue mental damage on the suspect.</w:t>
      </w:r>
    </w:p>
    <w:p w:rsidR="00E26FF5" w:rsidRDefault="00E26FF5" w:rsidP="006C748F">
      <w:pPr>
        <w:rPr>
          <w:b/>
          <w:u w:val="single"/>
        </w:rPr>
      </w:pPr>
      <w:r>
        <w:rPr>
          <w:b/>
          <w:u w:val="single"/>
        </w:rPr>
        <w:t>Interpreter</w:t>
      </w:r>
    </w:p>
    <w:p w:rsidR="00E26FF5" w:rsidRDefault="00E26FF5" w:rsidP="006C748F">
      <w:r>
        <w:t xml:space="preserve">An interpreter may be present should the suspect be unable to speak English or should they wish to conduct the interview in another language. The interpretations job is to translate anything said by the suspect to the relevant person and vice versa. The must not add their own opinion on the circumstances of the interview and they therefore cannot be involved in the incident or personally connected to the suspect. It is important to note a person has a right to an interpreter even if they can speak English. </w:t>
      </w:r>
    </w:p>
    <w:p w:rsidR="00400DA7" w:rsidRDefault="00400DA7">
      <w:pPr>
        <w:rPr>
          <w:b/>
          <w:u w:val="single"/>
        </w:rPr>
      </w:pPr>
      <w:r>
        <w:rPr>
          <w:b/>
          <w:u w:val="single"/>
        </w:rPr>
        <w:br w:type="page"/>
      </w:r>
    </w:p>
    <w:p w:rsidR="006C748F" w:rsidRDefault="006C748F" w:rsidP="006C748F">
      <w:pPr>
        <w:pStyle w:val="Heading2"/>
      </w:pPr>
      <w:r>
        <w:lastRenderedPageBreak/>
        <w:t>Q13</w:t>
      </w:r>
    </w:p>
    <w:p w:rsidR="00340910" w:rsidRDefault="00340910" w:rsidP="006C748F">
      <w:r>
        <w:t>The national policing model</w:t>
      </w:r>
      <w:r w:rsidR="00676192">
        <w:t xml:space="preserve"> for interviewing</w:t>
      </w:r>
      <w:r>
        <w:t xml:space="preserve"> follows the PEACE acronym.</w:t>
      </w:r>
    </w:p>
    <w:p w:rsidR="00340910" w:rsidRDefault="00340910" w:rsidP="006C748F">
      <w:r>
        <w:rPr>
          <w:b/>
        </w:rPr>
        <w:t xml:space="preserve">P </w:t>
      </w:r>
      <w:r>
        <w:t>– Plan &amp; Prepare - The officer must gather all relevant material and information prior to the interview. They should outline their objectives before meeting with the interview.</w:t>
      </w:r>
    </w:p>
    <w:p w:rsidR="00340910" w:rsidRDefault="00340910" w:rsidP="006C748F">
      <w:r>
        <w:rPr>
          <w:b/>
        </w:rPr>
        <w:t>E</w:t>
      </w:r>
      <w:r>
        <w:t xml:space="preserve"> – Engage &amp; Explain – The officers should build a rapport with the interviewee </w:t>
      </w:r>
      <w:r w:rsidR="00400DA7">
        <w:t>and explain the process in full. They should ensure the interviewee understands the objectives of the interview and the relevant processes that will follow after the interview.</w:t>
      </w:r>
    </w:p>
    <w:p w:rsidR="00400DA7" w:rsidRDefault="00400DA7" w:rsidP="006C748F">
      <w:r>
        <w:rPr>
          <w:b/>
        </w:rPr>
        <w:t>A</w:t>
      </w:r>
      <w:r>
        <w:t xml:space="preserve"> – Account, Ask, Clarify &amp; Challenge – The officer should ask the interviewee for their account in full to get their free narrative surrounding the circumstances of the event(s). They should then ask questions surrounding their account to gather as much possible detail. The officer should then clarify what the interviewee has said, ensuring that there is a mutual understanding and ensure the officer has not misunderstood anything. The officer should then challenge the account of the interviewee. This part is more relevant to suspect interviewing, however it can be relevant in witness interviews if the officer has contradictory information at hand.</w:t>
      </w:r>
    </w:p>
    <w:p w:rsidR="00400DA7" w:rsidRDefault="00400DA7" w:rsidP="006C748F">
      <w:r>
        <w:rPr>
          <w:b/>
        </w:rPr>
        <w:t>C</w:t>
      </w:r>
      <w:r>
        <w:t xml:space="preserve"> – Closure – The officer must then close the interview, ensuring all the objectives have been met and the interviewee has nothing further to add.</w:t>
      </w:r>
      <w:r w:rsidR="008A7E0D">
        <w:t xml:space="preserve"> They should take time to reiterate the processes that will follow the interview</w:t>
      </w:r>
    </w:p>
    <w:p w:rsidR="00400DA7" w:rsidRDefault="00400DA7" w:rsidP="006C748F">
      <w:r>
        <w:rPr>
          <w:b/>
        </w:rPr>
        <w:t>E</w:t>
      </w:r>
      <w:r>
        <w:t xml:space="preserve"> – Evaluate – The officer must evaluate how the interview went, and ensure any possibilities to learn and improve are exploited.</w:t>
      </w:r>
    </w:p>
    <w:p w:rsidR="00400DA7" w:rsidRPr="00400DA7" w:rsidRDefault="00400DA7" w:rsidP="006C748F"/>
    <w:p w:rsidR="006C748F" w:rsidRDefault="006C748F" w:rsidP="00C63CBA">
      <w:pPr>
        <w:pStyle w:val="Heading2"/>
      </w:pPr>
      <w:r>
        <w:t>Q14</w:t>
      </w:r>
    </w:p>
    <w:p w:rsidR="008A7E0D" w:rsidRPr="008A7E0D" w:rsidRDefault="008A7E0D" w:rsidP="008A7E0D">
      <w:r>
        <w:rPr>
          <w:b/>
          <w:u w:val="single"/>
        </w:rPr>
        <w:t>Section 76 Serious Crime Act 2015</w:t>
      </w:r>
    </w:p>
    <w:p w:rsidR="00400DA7" w:rsidRDefault="00400DA7" w:rsidP="006C748F">
      <w:r>
        <w:t xml:space="preserve">A person (A) commits an offence if they engage in behaviour towards another person (B) </w:t>
      </w:r>
      <w:r w:rsidR="00676192">
        <w:t>and</w:t>
      </w:r>
      <w:r>
        <w:t>:</w:t>
      </w:r>
    </w:p>
    <w:p w:rsidR="00400DA7" w:rsidRDefault="00400DA7" w:rsidP="00400DA7">
      <w:pPr>
        <w:pStyle w:val="ListParagraph"/>
        <w:numPr>
          <w:ilvl w:val="0"/>
          <w:numId w:val="5"/>
        </w:numPr>
      </w:pPr>
      <w:r>
        <w:t>The behaviour is coercive and controlling and,</w:t>
      </w:r>
    </w:p>
    <w:p w:rsidR="00400DA7" w:rsidRDefault="00400DA7" w:rsidP="00400DA7">
      <w:pPr>
        <w:pStyle w:val="ListParagraph"/>
        <w:numPr>
          <w:ilvl w:val="0"/>
          <w:numId w:val="5"/>
        </w:numPr>
      </w:pPr>
      <w:r>
        <w:t>At the time of the incident (A) and (B) are personally connected</w:t>
      </w:r>
      <w:r w:rsidR="00676192">
        <w:t xml:space="preserve"> and,</w:t>
      </w:r>
    </w:p>
    <w:p w:rsidR="00400DA7" w:rsidRDefault="00400DA7" w:rsidP="00400DA7">
      <w:pPr>
        <w:pStyle w:val="ListParagraph"/>
        <w:numPr>
          <w:ilvl w:val="0"/>
          <w:numId w:val="5"/>
        </w:numPr>
      </w:pPr>
      <w:r>
        <w:t>The behaviour has a serious effect on (B)</w:t>
      </w:r>
      <w:r w:rsidR="00676192">
        <w:t xml:space="preserve"> and,</w:t>
      </w:r>
    </w:p>
    <w:p w:rsidR="00400DA7" w:rsidRDefault="00400DA7" w:rsidP="00400DA7">
      <w:pPr>
        <w:pStyle w:val="ListParagraph"/>
        <w:numPr>
          <w:ilvl w:val="0"/>
          <w:numId w:val="5"/>
        </w:numPr>
      </w:pPr>
      <w:r>
        <w:t>(A) ought to know their behaviour has a serious effect on (B)</w:t>
      </w:r>
    </w:p>
    <w:p w:rsidR="00C63CBA" w:rsidRDefault="00C63CBA" w:rsidP="00C63CBA"/>
    <w:p w:rsidR="006C748F" w:rsidRDefault="006C748F" w:rsidP="006C748F">
      <w:pPr>
        <w:pStyle w:val="Heading2"/>
      </w:pPr>
      <w:r>
        <w:t>Q15</w:t>
      </w:r>
    </w:p>
    <w:p w:rsidR="006C748F" w:rsidRDefault="00C63CBA" w:rsidP="006C748F">
      <w:r>
        <w:t xml:space="preserve">It is important because it is an umbrella term used to describe a person’s behaviour </w:t>
      </w:r>
      <w:r w:rsidR="00676192">
        <w:t xml:space="preserve">and demeanour </w:t>
      </w:r>
      <w:r>
        <w:t>towards another. It does not have to be actions such as violence or threats of violence but is broader. This helps those in coercive and controlling relationships as it improves the chances of a conviction as opposed to an offence of an unreported assault. This is because offences dating back to 2015 are much easier to prove than historic unreported assault.</w:t>
      </w:r>
    </w:p>
    <w:p w:rsidR="008A7E0D" w:rsidRDefault="008A7E0D">
      <w:pPr>
        <w:rPr>
          <w:rFonts w:asciiTheme="majorHAnsi" w:eastAsiaTheme="majorEastAsia" w:hAnsiTheme="majorHAnsi" w:cstheme="majorBidi"/>
          <w:color w:val="2E74B5" w:themeColor="accent1" w:themeShade="BF"/>
          <w:sz w:val="26"/>
          <w:szCs w:val="26"/>
        </w:rPr>
      </w:pPr>
      <w:r>
        <w:br w:type="page"/>
      </w:r>
    </w:p>
    <w:p w:rsidR="006C748F" w:rsidRDefault="006C748F" w:rsidP="006C748F">
      <w:pPr>
        <w:pStyle w:val="Heading2"/>
      </w:pPr>
      <w:r>
        <w:lastRenderedPageBreak/>
        <w:t>Q16</w:t>
      </w:r>
    </w:p>
    <w:p w:rsidR="006C748F" w:rsidRDefault="00C63CBA" w:rsidP="006C748F">
      <w:r>
        <w:t>Section 46 allows a police officer to bring a child into police protection and put them in a safe place for up to 72 hours. They must reasonabl</w:t>
      </w:r>
      <w:r w:rsidR="00676192">
        <w:t>y</w:t>
      </w:r>
      <w:r>
        <w:t xml:space="preserve"> believe that doing so would protect the child from suffering physical injury</w:t>
      </w:r>
      <w:r w:rsidR="00676192">
        <w:t xml:space="preserve"> or mental harm</w:t>
      </w:r>
      <w:r>
        <w:t>. The power also prevents the child being removed from a safe place (e.g. hospital). It is important to note section 46 does not include powers of entry, however other powers of entry (section 17 PACE) or a warrant may be available.</w:t>
      </w:r>
      <w:r w:rsidR="00676192">
        <w:t xml:space="preserve"> Furthermore, a police station does not count as a place of safety.</w:t>
      </w:r>
    </w:p>
    <w:p w:rsidR="008A7E0D" w:rsidRDefault="008A7E0D" w:rsidP="006C748F"/>
    <w:p w:rsidR="006C748F" w:rsidRDefault="006C748F" w:rsidP="006C748F">
      <w:pPr>
        <w:pStyle w:val="Heading2"/>
      </w:pPr>
      <w:r>
        <w:t>Q17</w:t>
      </w:r>
    </w:p>
    <w:p w:rsidR="006C748F" w:rsidRDefault="00C63CBA" w:rsidP="006C748F">
      <w:r>
        <w:t xml:space="preserve">A person who has attained the age of 16 and has assumed responsibility of a child </w:t>
      </w:r>
      <w:r w:rsidR="00676192">
        <w:t>who</w:t>
      </w:r>
      <w:r>
        <w:t xml:space="preserve"> wilfully assaults, ill-treats (physically or mentally)</w:t>
      </w:r>
      <w:r w:rsidR="00CB7036">
        <w:t>, exposes him or procures or causes him to be assaulted, ill-treated (physically or mentally) or be exposed in such as way that it would have a negative impact on the child’s</w:t>
      </w:r>
      <w:r w:rsidR="00676192">
        <w:t xml:space="preserve"> mental or physical</w:t>
      </w:r>
      <w:r w:rsidR="00CB7036">
        <w:t xml:space="preserve"> wellbeing commits an offence.</w:t>
      </w:r>
    </w:p>
    <w:p w:rsidR="00CB7036" w:rsidRDefault="00CB7036" w:rsidP="006C748F"/>
    <w:p w:rsidR="006C748F" w:rsidRDefault="006C748F" w:rsidP="006C748F">
      <w:pPr>
        <w:pStyle w:val="Heading2"/>
      </w:pPr>
      <w:r>
        <w:t>Q18</w:t>
      </w:r>
    </w:p>
    <w:p w:rsidR="006C748F" w:rsidRDefault="00CB7036" w:rsidP="006C748F">
      <w:r>
        <w:t xml:space="preserve">The DASH model should be used. DASH stands for domestic abuse, stalking and harassment. It is a set of questions that the victim should be asked in order to assess the risk level of that victim. The DASH questions are often asked as part of a PPN. </w:t>
      </w:r>
    </w:p>
    <w:p w:rsidR="00CB7036" w:rsidRDefault="00CB7036" w:rsidP="006C748F"/>
    <w:p w:rsidR="006C748F" w:rsidRDefault="006C748F" w:rsidP="006C748F">
      <w:pPr>
        <w:pStyle w:val="Heading2"/>
      </w:pPr>
      <w:r>
        <w:t>Q19</w:t>
      </w:r>
    </w:p>
    <w:p w:rsidR="006C748F" w:rsidRDefault="00CB7036" w:rsidP="006C748F">
      <w:r>
        <w:t xml:space="preserve">The PPN process must be carried out when a victim is thought to be at risk. </w:t>
      </w:r>
      <w:r w:rsidR="00676192">
        <w:t xml:space="preserve">It contains a series of questions, sometimes including the DASH questionnaire if relevant, regarding the victims circumstances. </w:t>
      </w:r>
      <w:r>
        <w:t>Once completed with the relevant detai</w:t>
      </w:r>
      <w:r w:rsidR="00784CC3">
        <w:t>led, it is sent to the relevant organisation.</w:t>
      </w:r>
      <w:r w:rsidR="00676192">
        <w:t xml:space="preserve"> </w:t>
      </w:r>
    </w:p>
    <w:p w:rsidR="00784CC3" w:rsidRDefault="00784CC3" w:rsidP="006C748F"/>
    <w:p w:rsidR="006C748F" w:rsidRDefault="006C748F" w:rsidP="006C748F">
      <w:pPr>
        <w:pStyle w:val="Heading2"/>
      </w:pPr>
      <w:r>
        <w:t>Q20</w:t>
      </w:r>
    </w:p>
    <w:p w:rsidR="006C748F" w:rsidRDefault="00784CC3" w:rsidP="006C748F">
      <w:r>
        <w:t>A DVPN is a domestic violence protection order. Filled out by the police, once authorised (by a superintendent or above) it is applied to a suspect that has not been charged. The DVPN will have conditions attached to it, for example instruct the suspect to not contact the victim, or approach the address of the victim. The DVPN can last up to 48 hours. During this time, the suspect will be summoned to a magistrate court, and the police will act as the prosecutors and apply for a domestic violence protection order (DVPO). If granted, it extends the DVPN for up to 28 days. Breach of the DVPN or DVPO is an arrest able offence.</w:t>
      </w:r>
    </w:p>
    <w:p w:rsidR="008A7E0D" w:rsidRDefault="008A7E0D" w:rsidP="006C748F"/>
    <w:p w:rsidR="006C748F" w:rsidRDefault="006C748F" w:rsidP="006C748F">
      <w:pPr>
        <w:pStyle w:val="Heading2"/>
      </w:pPr>
      <w:r>
        <w:t>Q21</w:t>
      </w:r>
    </w:p>
    <w:p w:rsidR="006C748F" w:rsidRDefault="004111B8" w:rsidP="006C748F">
      <w:r>
        <w:t xml:space="preserve">Child sexual exploitation is when an individual or group manipulates a child into engaging in sexual activity. This can be in exchange for something the child needs or wants, </w:t>
      </w:r>
      <w:r w:rsidR="00676192">
        <w:t xml:space="preserve">and for the purpose of </w:t>
      </w:r>
      <w:r>
        <w:t xml:space="preserve">the increased financial or social status of the perpetrator. It can be exploitation even if the activity appears </w:t>
      </w:r>
      <w:r w:rsidR="00676192">
        <w:t>consensual</w:t>
      </w:r>
      <w:r>
        <w:t>. It doesn’t always have to be physical and can occur through technology.</w:t>
      </w:r>
    </w:p>
    <w:p w:rsidR="008A7E0D" w:rsidRDefault="008A7E0D" w:rsidP="006C748F"/>
    <w:p w:rsidR="006C748F" w:rsidRDefault="006C748F" w:rsidP="006C748F">
      <w:pPr>
        <w:pStyle w:val="Heading2"/>
      </w:pPr>
      <w:r>
        <w:lastRenderedPageBreak/>
        <w:t>Q22</w:t>
      </w:r>
    </w:p>
    <w:p w:rsidR="006C748F" w:rsidRDefault="00C63CBA" w:rsidP="006C748F">
      <w:r>
        <w:t>A person (A) commits an offence of rape if he intentionally penetrates the anus, vagina or mouth of another person (B) with his penis and,</w:t>
      </w:r>
    </w:p>
    <w:p w:rsidR="00C63CBA" w:rsidRDefault="00C63CBA" w:rsidP="00C63CBA">
      <w:pPr>
        <w:pStyle w:val="ListParagraph"/>
        <w:numPr>
          <w:ilvl w:val="0"/>
          <w:numId w:val="6"/>
        </w:numPr>
      </w:pPr>
      <w:r>
        <w:t>(B) does not consent to the penetration and,</w:t>
      </w:r>
    </w:p>
    <w:p w:rsidR="00C63CBA" w:rsidRDefault="00C63CBA" w:rsidP="00C63CBA">
      <w:pPr>
        <w:pStyle w:val="ListParagraph"/>
        <w:numPr>
          <w:ilvl w:val="0"/>
          <w:numId w:val="6"/>
        </w:numPr>
      </w:pPr>
      <w:r>
        <w:t>(A) does not reasonable believe that (B) consents.</w:t>
      </w:r>
    </w:p>
    <w:p w:rsidR="008A7E0D" w:rsidRDefault="008A7E0D" w:rsidP="006C748F">
      <w:pPr>
        <w:pStyle w:val="Heading2"/>
      </w:pPr>
    </w:p>
    <w:p w:rsidR="006C748F" w:rsidRDefault="006C748F" w:rsidP="006C748F">
      <w:pPr>
        <w:pStyle w:val="Heading2"/>
      </w:pPr>
      <w:r>
        <w:t>Q23</w:t>
      </w:r>
    </w:p>
    <w:p w:rsidR="006C748F" w:rsidRDefault="004111B8" w:rsidP="006C748F">
      <w:r>
        <w:t>If proved in court</w:t>
      </w:r>
    </w:p>
    <w:p w:rsidR="004111B8" w:rsidRDefault="004111B8" w:rsidP="004111B8">
      <w:pPr>
        <w:pStyle w:val="ListParagraph"/>
        <w:numPr>
          <w:ilvl w:val="0"/>
          <w:numId w:val="7"/>
        </w:numPr>
      </w:pPr>
      <w:r>
        <w:t>The victim did not consent if</w:t>
      </w:r>
    </w:p>
    <w:p w:rsidR="004111B8" w:rsidRDefault="004111B8" w:rsidP="004111B8">
      <w:pPr>
        <w:pStyle w:val="ListParagraph"/>
        <w:numPr>
          <w:ilvl w:val="0"/>
          <w:numId w:val="7"/>
        </w:numPr>
      </w:pPr>
      <w:r>
        <w:t xml:space="preserve">Any of the specified </w:t>
      </w:r>
      <w:r w:rsidR="006B531D">
        <w:t>circumstances</w:t>
      </w:r>
      <w:r>
        <w:t xml:space="preserve"> existed</w:t>
      </w:r>
    </w:p>
    <w:p w:rsidR="004111B8" w:rsidRDefault="004111B8" w:rsidP="004111B8">
      <w:pPr>
        <w:pStyle w:val="ListParagraph"/>
        <w:numPr>
          <w:ilvl w:val="0"/>
          <w:numId w:val="7"/>
        </w:numPr>
      </w:pPr>
      <w:r>
        <w:t xml:space="preserve">The </w:t>
      </w:r>
      <w:r w:rsidR="006B531D">
        <w:t>perpetrator</w:t>
      </w:r>
      <w:r>
        <w:t xml:space="preserve"> knew any of the specified </w:t>
      </w:r>
      <w:r w:rsidR="006B531D">
        <w:t>circumstances</w:t>
      </w:r>
      <w:r>
        <w:t xml:space="preserve"> existed.</w:t>
      </w:r>
    </w:p>
    <w:p w:rsidR="006B531D" w:rsidRDefault="006B531D" w:rsidP="006B531D">
      <w:r>
        <w:t>The circumstances are:</w:t>
      </w:r>
    </w:p>
    <w:p w:rsidR="006B531D" w:rsidRDefault="006B531D" w:rsidP="006B531D">
      <w:pPr>
        <w:pStyle w:val="ListParagraph"/>
        <w:numPr>
          <w:ilvl w:val="0"/>
          <w:numId w:val="8"/>
        </w:numPr>
      </w:pPr>
      <w:r>
        <w:t>Use of force</w:t>
      </w:r>
    </w:p>
    <w:p w:rsidR="006B531D" w:rsidRDefault="006B531D" w:rsidP="006B531D">
      <w:pPr>
        <w:pStyle w:val="ListParagraph"/>
        <w:numPr>
          <w:ilvl w:val="0"/>
          <w:numId w:val="8"/>
        </w:numPr>
      </w:pPr>
      <w:r>
        <w:t>Violence or threats of violence</w:t>
      </w:r>
    </w:p>
    <w:p w:rsidR="006B531D" w:rsidRDefault="006B531D" w:rsidP="006B531D">
      <w:pPr>
        <w:pStyle w:val="ListParagraph"/>
        <w:numPr>
          <w:ilvl w:val="0"/>
          <w:numId w:val="8"/>
        </w:numPr>
      </w:pPr>
      <w:r>
        <w:t xml:space="preserve">Unconsciousness </w:t>
      </w:r>
    </w:p>
    <w:p w:rsidR="006B531D" w:rsidRDefault="006B531D" w:rsidP="006B531D">
      <w:pPr>
        <w:pStyle w:val="ListParagraph"/>
        <w:numPr>
          <w:ilvl w:val="0"/>
          <w:numId w:val="8"/>
        </w:numPr>
      </w:pPr>
      <w:r>
        <w:t>Inability to give consent due to a disability</w:t>
      </w:r>
    </w:p>
    <w:p w:rsidR="006B531D" w:rsidRDefault="006B531D" w:rsidP="006B531D">
      <w:pPr>
        <w:pStyle w:val="ListParagraph"/>
        <w:numPr>
          <w:ilvl w:val="0"/>
          <w:numId w:val="8"/>
        </w:numPr>
      </w:pPr>
      <w:r>
        <w:t>Victim administered a substance with the intention of stupefying or overpowering them</w:t>
      </w:r>
    </w:p>
    <w:p w:rsidR="008A7E0D" w:rsidRDefault="008A7E0D" w:rsidP="008A7E0D"/>
    <w:p w:rsidR="006C748F" w:rsidRDefault="006C748F" w:rsidP="006C748F">
      <w:pPr>
        <w:pStyle w:val="Heading2"/>
      </w:pPr>
      <w:r>
        <w:t>Q24</w:t>
      </w:r>
    </w:p>
    <w:p w:rsidR="006C748F" w:rsidRDefault="006B531D" w:rsidP="006C748F">
      <w:r>
        <w:t>Section 18 is the power to search premises if there is reasonable grounds to suspect that evidence relating to an offence will be found. It is normally a warrant issued by an inspector however a constable can enter under section 18 if it is believed evidence will be lost by seeking such authorisation</w:t>
      </w:r>
    </w:p>
    <w:p w:rsidR="008A7E0D" w:rsidRDefault="008A7E0D" w:rsidP="006C748F"/>
    <w:p w:rsidR="006C748F" w:rsidRDefault="006C748F" w:rsidP="006C748F">
      <w:pPr>
        <w:pStyle w:val="Heading2"/>
      </w:pPr>
      <w:r>
        <w:t>Q25</w:t>
      </w:r>
    </w:p>
    <w:p w:rsidR="006B531D" w:rsidRDefault="006B531D" w:rsidP="006B531D">
      <w:r>
        <w:t>Section 19 PACE allows the seizure of items found in a search. They may seize an item if the reasonably believe that the item is:</w:t>
      </w:r>
    </w:p>
    <w:p w:rsidR="006B531D" w:rsidRDefault="006B531D" w:rsidP="006B531D">
      <w:pPr>
        <w:pStyle w:val="ListParagraph"/>
        <w:numPr>
          <w:ilvl w:val="0"/>
          <w:numId w:val="9"/>
        </w:numPr>
      </w:pPr>
      <w:r>
        <w:t>Concealed</w:t>
      </w:r>
    </w:p>
    <w:p w:rsidR="006B531D" w:rsidRDefault="006B531D" w:rsidP="006B531D">
      <w:pPr>
        <w:pStyle w:val="ListParagraph"/>
        <w:numPr>
          <w:ilvl w:val="0"/>
          <w:numId w:val="9"/>
        </w:numPr>
      </w:pPr>
      <w:r>
        <w:t>Lost</w:t>
      </w:r>
    </w:p>
    <w:p w:rsidR="006B531D" w:rsidRDefault="006B531D" w:rsidP="006B531D">
      <w:pPr>
        <w:pStyle w:val="ListParagraph"/>
        <w:numPr>
          <w:ilvl w:val="0"/>
          <w:numId w:val="9"/>
        </w:numPr>
      </w:pPr>
      <w:r>
        <w:t>Altered</w:t>
      </w:r>
    </w:p>
    <w:p w:rsidR="006B531D" w:rsidRDefault="006B531D" w:rsidP="006B531D">
      <w:pPr>
        <w:pStyle w:val="ListParagraph"/>
        <w:numPr>
          <w:ilvl w:val="0"/>
          <w:numId w:val="9"/>
        </w:numPr>
      </w:pPr>
      <w:r>
        <w:t>Damaged</w:t>
      </w:r>
    </w:p>
    <w:p w:rsidR="006B531D" w:rsidRDefault="006B531D" w:rsidP="006B531D">
      <w:pPr>
        <w:pStyle w:val="ListParagraph"/>
        <w:numPr>
          <w:ilvl w:val="0"/>
          <w:numId w:val="9"/>
        </w:numPr>
      </w:pPr>
      <w:r>
        <w:t>Destroyed</w:t>
      </w:r>
    </w:p>
    <w:p w:rsidR="006B531D" w:rsidRDefault="006B531D" w:rsidP="006B531D">
      <w:pPr>
        <w:pStyle w:val="ListParagraph"/>
        <w:numPr>
          <w:ilvl w:val="0"/>
          <w:numId w:val="9"/>
        </w:numPr>
      </w:pPr>
      <w:r>
        <w:t>Stolen</w:t>
      </w:r>
    </w:p>
    <w:p w:rsidR="006B531D" w:rsidRPr="006B531D" w:rsidRDefault="006B531D" w:rsidP="006B531D">
      <w:r>
        <w:t>There are also seizure powers if the officer believes the item was used in the commission of a criminal offence.</w:t>
      </w:r>
    </w:p>
    <w:sectPr w:rsidR="006B531D" w:rsidRPr="006B531D" w:rsidSect="006C748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43CC" w:rsidRDefault="00E243CC" w:rsidP="006C748F">
      <w:pPr>
        <w:spacing w:after="0" w:line="240" w:lineRule="auto"/>
      </w:pPr>
      <w:r>
        <w:separator/>
      </w:r>
    </w:p>
  </w:endnote>
  <w:endnote w:type="continuationSeparator" w:id="0">
    <w:p w:rsidR="00E243CC" w:rsidRDefault="00E243CC" w:rsidP="006C7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203B4" w:rsidRDefault="00941580" w:rsidP="00941580">
    <w:pPr>
      <w:pStyle w:val="Footer"/>
      <w:rPr>
        <w:color w:val="000000"/>
        <w:sz w:val="17"/>
      </w:rPr>
    </w:pPr>
    <w:bookmarkStart w:id="3" w:name="TITUS1FooterEvenPages"/>
    <w:r>
      <w:rPr>
        <w:color w:val="000000"/>
        <w:sz w:val="17"/>
      </w:rPr>
      <w:t> </w:t>
    </w:r>
  </w:p>
  <w:bookmarkEnd w:id="3"/>
  <w:p w:rsidR="00A203B4" w:rsidRDefault="00A203B4" w:rsidP="00A203B4">
    <w:pPr>
      <w:pStyle w:val="Footer"/>
    </w:pPr>
  </w:p>
  <w:p w:rsidR="006C748F" w:rsidRDefault="006C74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748F" w:rsidRDefault="00941580" w:rsidP="00941580">
    <w:pPr>
      <w:pStyle w:val="Footer"/>
      <w:rPr>
        <w:color w:val="000000"/>
        <w:sz w:val="17"/>
      </w:rPr>
    </w:pPr>
    <w:bookmarkStart w:id="4" w:name="TITUS1FooterPrimary"/>
    <w:r>
      <w:rPr>
        <w:color w:val="000000"/>
        <w:sz w:val="17"/>
      </w:rPr>
      <w:t> </w:t>
    </w:r>
  </w:p>
  <w:bookmarkEnd w:id="4"/>
  <w:p w:rsidR="006C748F" w:rsidRDefault="006C74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748F" w:rsidRDefault="00941580" w:rsidP="00941580">
    <w:pPr>
      <w:pStyle w:val="Footer"/>
      <w:rPr>
        <w:color w:val="000000"/>
        <w:sz w:val="17"/>
      </w:rPr>
    </w:pPr>
    <w:bookmarkStart w:id="6" w:name="TITUS1FooterFirstPage"/>
    <w:r>
      <w:rPr>
        <w:color w:val="000000"/>
        <w:sz w:val="17"/>
      </w:rPr>
      <w:t> </w:t>
    </w:r>
  </w:p>
  <w:bookmarkEnd w:id="6"/>
  <w:p w:rsidR="006C748F" w:rsidRDefault="006C74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43CC" w:rsidRDefault="00E243CC" w:rsidP="006C748F">
      <w:pPr>
        <w:spacing w:after="0" w:line="240" w:lineRule="auto"/>
      </w:pPr>
      <w:r>
        <w:separator/>
      </w:r>
    </w:p>
  </w:footnote>
  <w:footnote w:type="continuationSeparator" w:id="0">
    <w:p w:rsidR="00E243CC" w:rsidRDefault="00E243CC" w:rsidP="006C74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203B4" w:rsidRDefault="00941580" w:rsidP="00941580">
    <w:pPr>
      <w:pStyle w:val="Header"/>
      <w:rPr>
        <w:color w:val="000000"/>
        <w:sz w:val="17"/>
      </w:rPr>
    </w:pPr>
    <w:bookmarkStart w:id="1" w:name="TITUS1HeaderEvenPages"/>
    <w:r>
      <w:rPr>
        <w:color w:val="000000"/>
        <w:sz w:val="17"/>
      </w:rPr>
      <w:t> </w:t>
    </w:r>
  </w:p>
  <w:bookmarkEnd w:id="1"/>
  <w:p w:rsidR="00A203B4" w:rsidRDefault="00A203B4" w:rsidP="00A203B4">
    <w:pPr>
      <w:pStyle w:val="Header"/>
    </w:pPr>
  </w:p>
  <w:p w:rsidR="006C748F" w:rsidRDefault="006C74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748F" w:rsidRDefault="00941580" w:rsidP="00941580">
    <w:pPr>
      <w:pStyle w:val="Header"/>
      <w:rPr>
        <w:color w:val="000000"/>
        <w:sz w:val="17"/>
      </w:rPr>
    </w:pPr>
    <w:bookmarkStart w:id="2" w:name="TITUS1HeaderPrimary"/>
    <w:r>
      <w:rPr>
        <w:color w:val="000000"/>
        <w:sz w:val="17"/>
      </w:rPr>
      <w:t> </w:t>
    </w:r>
  </w:p>
  <w:bookmarkEnd w:id="2"/>
  <w:p w:rsidR="006C748F" w:rsidRDefault="006C74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748F" w:rsidRDefault="00941580" w:rsidP="00941580">
    <w:pPr>
      <w:pStyle w:val="Header"/>
      <w:rPr>
        <w:color w:val="000000"/>
        <w:sz w:val="17"/>
      </w:rPr>
    </w:pPr>
    <w:bookmarkStart w:id="5" w:name="TITUS1HeaderFirstPage"/>
    <w:r>
      <w:rPr>
        <w:color w:val="000000"/>
        <w:sz w:val="17"/>
      </w:rPr>
      <w:t> </w:t>
    </w:r>
  </w:p>
  <w:bookmarkEnd w:id="5"/>
  <w:p w:rsidR="006C748F" w:rsidRDefault="006C74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FB444D"/>
    <w:multiLevelType w:val="hybridMultilevel"/>
    <w:tmpl w:val="F606F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076B86"/>
    <w:multiLevelType w:val="hybridMultilevel"/>
    <w:tmpl w:val="883CD09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D80BEE"/>
    <w:multiLevelType w:val="hybridMultilevel"/>
    <w:tmpl w:val="D736E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E20128"/>
    <w:multiLevelType w:val="hybridMultilevel"/>
    <w:tmpl w:val="30386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3E3BAE"/>
    <w:multiLevelType w:val="hybridMultilevel"/>
    <w:tmpl w:val="6BA62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DF3C88"/>
    <w:multiLevelType w:val="hybridMultilevel"/>
    <w:tmpl w:val="C9845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ED3375"/>
    <w:multiLevelType w:val="hybridMultilevel"/>
    <w:tmpl w:val="8618AA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413457"/>
    <w:multiLevelType w:val="hybridMultilevel"/>
    <w:tmpl w:val="3DE4A7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E76348"/>
    <w:multiLevelType w:val="hybridMultilevel"/>
    <w:tmpl w:val="33A0D8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E505BF"/>
    <w:multiLevelType w:val="hybridMultilevel"/>
    <w:tmpl w:val="5C187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2"/>
  </w:num>
  <w:num w:numId="4">
    <w:abstractNumId w:val="5"/>
  </w:num>
  <w:num w:numId="5">
    <w:abstractNumId w:val="1"/>
  </w:num>
  <w:num w:numId="6">
    <w:abstractNumId w:val="6"/>
  </w:num>
  <w:num w:numId="7">
    <w:abstractNumId w:val="8"/>
  </w:num>
  <w:num w:numId="8">
    <w:abstractNumId w:val="3"/>
  </w:num>
  <w:num w:numId="9">
    <w:abstractNumId w:val="0"/>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748F"/>
    <w:rsid w:val="00015688"/>
    <w:rsid w:val="00053426"/>
    <w:rsid w:val="0007120C"/>
    <w:rsid w:val="001F5392"/>
    <w:rsid w:val="00340910"/>
    <w:rsid w:val="00400DA7"/>
    <w:rsid w:val="004111B8"/>
    <w:rsid w:val="004B58F3"/>
    <w:rsid w:val="004C554D"/>
    <w:rsid w:val="00676192"/>
    <w:rsid w:val="006B531D"/>
    <w:rsid w:val="006C748F"/>
    <w:rsid w:val="00784CC3"/>
    <w:rsid w:val="008A7E0D"/>
    <w:rsid w:val="00941580"/>
    <w:rsid w:val="00A07BE1"/>
    <w:rsid w:val="00A112B6"/>
    <w:rsid w:val="00A203B4"/>
    <w:rsid w:val="00A51337"/>
    <w:rsid w:val="00C63CBA"/>
    <w:rsid w:val="00CB7036"/>
    <w:rsid w:val="00D15BD7"/>
    <w:rsid w:val="00E243CC"/>
    <w:rsid w:val="00E26FF5"/>
    <w:rsid w:val="00F60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340E79"/>
  <w15:chartTrackingRefBased/>
  <w15:docId w15:val="{213645D7-EB73-412B-8D15-D60C48C73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C748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C748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48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C748F"/>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6C74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48F"/>
  </w:style>
  <w:style w:type="paragraph" w:styleId="Footer">
    <w:name w:val="footer"/>
    <w:basedOn w:val="Normal"/>
    <w:link w:val="FooterChar"/>
    <w:uiPriority w:val="99"/>
    <w:unhideWhenUsed/>
    <w:rsid w:val="006C74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48F"/>
  </w:style>
  <w:style w:type="paragraph" w:styleId="ListParagraph">
    <w:name w:val="List Paragraph"/>
    <w:basedOn w:val="Normal"/>
    <w:uiPriority w:val="34"/>
    <w:qFormat/>
    <w:rsid w:val="004C55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8</Pages>
  <Words>1956</Words>
  <Characters>11152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Carribine,Niall swp6992</dc:creator>
  <cp:keywords/>
  <dc:description/>
  <cp:lastModifiedBy>Carribine,Niall swp6992</cp:lastModifiedBy>
  <cp:revision>13</cp:revision>
  <dcterms:created xsi:type="dcterms:W3CDTF">2021-11-29T12:22:00Z</dcterms:created>
  <dcterms:modified xsi:type="dcterms:W3CDTF">2021-11-29T15:01:00Z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26e5f389-7dce-4389-a722-cb63d3974a52</vt:lpwstr>
  </property>
  <property fmtid="{D5CDD505-2E9C-101B-9397-08002B2CF9AE}" pid="3" name="Classification">
    <vt:lpwstr>OFFICIAL</vt:lpwstr>
  </property>
  <property fmtid="{D5CDD505-2E9C-101B-9397-08002B2CF9AE}" pid="4" name="Visibility">
    <vt:lpwstr>NOT VISIBLE</vt:lpwstr>
  </property>
</Properties>
</file>