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3A136" w14:textId="77777777" w:rsidR="00A10C2C" w:rsidRDefault="00000000">
      <w:pPr>
        <w:spacing w:before="0" w:after="0" w:line="259" w:lineRule="auto"/>
        <w:jc w:val="left"/>
        <w:rPr>
          <w:rFonts w:ascii="Quattrocento Sans" w:eastAsia="Quattrocento Sans" w:hAnsi="Quattrocento Sans" w:cs="Quattrocento Sans"/>
          <w:sz w:val="20"/>
          <w:szCs w:val="20"/>
        </w:rPr>
      </w:pPr>
      <w:r>
        <w:rPr>
          <w:rFonts w:ascii="Quattrocento Sans" w:eastAsia="Quattrocento Sans" w:hAnsi="Quattrocento Sans" w:cs="Quattrocento Sans"/>
          <w:noProof/>
          <w:sz w:val="20"/>
          <w:szCs w:val="20"/>
          <w:lang w:eastAsia="en-GB"/>
        </w:rPr>
        <w:drawing>
          <wp:inline distT="0" distB="0" distL="0" distR="0" wp14:anchorId="6DA17CBC" wp14:editId="673B2457">
            <wp:extent cx="2623078" cy="1167542"/>
            <wp:effectExtent l="0" t="0" r="0" b="0"/>
            <wp:docPr id="1026"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11" cstate="print"/>
                    <a:srcRect/>
                    <a:stretch/>
                  </pic:blipFill>
                  <pic:spPr>
                    <a:xfrm>
                      <a:off x="0" y="0"/>
                      <a:ext cx="2623078" cy="1167542"/>
                    </a:xfrm>
                    <a:prstGeom prst="rect">
                      <a:avLst/>
                    </a:prstGeom>
                  </pic:spPr>
                </pic:pic>
              </a:graphicData>
            </a:graphic>
          </wp:inline>
        </w:drawing>
      </w:r>
    </w:p>
    <w:p w14:paraId="67CC6A68" w14:textId="77777777" w:rsidR="00A10C2C" w:rsidRDefault="00A10C2C">
      <w:pPr>
        <w:spacing w:before="0" w:after="0" w:line="259" w:lineRule="auto"/>
        <w:jc w:val="left"/>
        <w:rPr>
          <w:rFonts w:ascii="Quattrocento Sans" w:eastAsia="Quattrocento Sans" w:hAnsi="Quattrocento Sans" w:cs="Quattrocento Sans"/>
          <w:sz w:val="20"/>
          <w:szCs w:val="20"/>
        </w:rPr>
      </w:pPr>
    </w:p>
    <w:p w14:paraId="15F7B6AF" w14:textId="77777777" w:rsidR="00C929CD" w:rsidRDefault="00C929CD">
      <w:pPr>
        <w:spacing w:before="0" w:after="0" w:line="259" w:lineRule="auto"/>
        <w:jc w:val="left"/>
        <w:rPr>
          <w:rFonts w:ascii="Quattrocento Sans" w:eastAsia="Quattrocento Sans" w:hAnsi="Quattrocento Sans" w:cs="Quattrocento Sans"/>
          <w:sz w:val="20"/>
          <w:szCs w:val="20"/>
        </w:rPr>
      </w:pPr>
    </w:p>
    <w:p w14:paraId="29E96726" w14:textId="77777777" w:rsidR="00C929CD" w:rsidRDefault="00C929CD">
      <w:pPr>
        <w:spacing w:before="0" w:after="0" w:line="259" w:lineRule="auto"/>
        <w:jc w:val="left"/>
        <w:rPr>
          <w:rFonts w:ascii="Quattrocento Sans" w:eastAsia="Quattrocento Sans" w:hAnsi="Quattrocento Sans" w:cs="Quattrocento Sans"/>
          <w:sz w:val="20"/>
          <w:szCs w:val="20"/>
        </w:rPr>
      </w:pPr>
    </w:p>
    <w:p w14:paraId="3EA984F9" w14:textId="77777777" w:rsidR="00C929CD" w:rsidRDefault="00C929CD">
      <w:pPr>
        <w:spacing w:before="0" w:after="0" w:line="259" w:lineRule="auto"/>
        <w:jc w:val="left"/>
        <w:rPr>
          <w:rFonts w:ascii="Quattrocento Sans" w:eastAsia="Quattrocento Sans" w:hAnsi="Quattrocento Sans" w:cs="Quattrocento Sans"/>
          <w:sz w:val="20"/>
          <w:szCs w:val="20"/>
        </w:rPr>
      </w:pPr>
    </w:p>
    <w:p w14:paraId="45CF07A0" w14:textId="77777777" w:rsidR="00C929CD" w:rsidRDefault="00C929CD">
      <w:pPr>
        <w:spacing w:before="0" w:after="0" w:line="259" w:lineRule="auto"/>
        <w:jc w:val="left"/>
        <w:rPr>
          <w:rFonts w:ascii="Quattrocento Sans" w:eastAsia="Quattrocento Sans" w:hAnsi="Quattrocento Sans" w:cs="Quattrocento Sans"/>
          <w:sz w:val="20"/>
          <w:szCs w:val="20"/>
        </w:rPr>
      </w:pPr>
    </w:p>
    <w:p w14:paraId="4DA7D1E8" w14:textId="77777777" w:rsidR="00C929CD" w:rsidRDefault="00C929CD">
      <w:pPr>
        <w:spacing w:before="0" w:after="0" w:line="259" w:lineRule="auto"/>
        <w:jc w:val="left"/>
        <w:rPr>
          <w:rFonts w:ascii="Quattrocento Sans" w:eastAsia="Quattrocento Sans" w:hAnsi="Quattrocento Sans" w:cs="Quattrocento Sans"/>
          <w:sz w:val="20"/>
          <w:szCs w:val="20"/>
        </w:rPr>
      </w:pPr>
    </w:p>
    <w:p w14:paraId="580A8B24" w14:textId="77777777" w:rsidR="00C929CD" w:rsidRDefault="00C929CD">
      <w:pPr>
        <w:spacing w:before="0" w:after="0" w:line="259" w:lineRule="auto"/>
        <w:jc w:val="left"/>
        <w:rPr>
          <w:rFonts w:ascii="Quattrocento Sans" w:eastAsia="Quattrocento Sans" w:hAnsi="Quattrocento Sans" w:cs="Quattrocento Sans"/>
          <w:sz w:val="20"/>
          <w:szCs w:val="20"/>
        </w:rPr>
      </w:pPr>
    </w:p>
    <w:p w14:paraId="4765C9F4" w14:textId="77777777" w:rsidR="00C929CD" w:rsidRDefault="00C929CD">
      <w:pPr>
        <w:spacing w:before="0" w:after="0" w:line="259" w:lineRule="auto"/>
        <w:jc w:val="left"/>
        <w:rPr>
          <w:rFonts w:ascii="Quattrocento Sans" w:eastAsia="Quattrocento Sans" w:hAnsi="Quattrocento Sans" w:cs="Quattrocento Sans"/>
          <w:sz w:val="20"/>
          <w:szCs w:val="20"/>
        </w:rPr>
      </w:pPr>
    </w:p>
    <w:p w14:paraId="7B52A80B" w14:textId="77777777" w:rsidR="00C929CD" w:rsidRDefault="00C929CD">
      <w:pPr>
        <w:spacing w:before="0" w:after="0" w:line="259" w:lineRule="auto"/>
        <w:jc w:val="left"/>
        <w:rPr>
          <w:rFonts w:ascii="Quattrocento Sans" w:eastAsia="Quattrocento Sans" w:hAnsi="Quattrocento Sans" w:cs="Quattrocento Sans"/>
          <w:sz w:val="20"/>
          <w:szCs w:val="20"/>
        </w:rPr>
      </w:pPr>
    </w:p>
    <w:p w14:paraId="4EFB60A2" w14:textId="77777777" w:rsidR="00C929CD" w:rsidRDefault="00C929CD">
      <w:pPr>
        <w:spacing w:before="0" w:after="0" w:line="259" w:lineRule="auto"/>
        <w:jc w:val="left"/>
        <w:rPr>
          <w:rFonts w:ascii="Quattrocento Sans" w:eastAsia="Quattrocento Sans" w:hAnsi="Quattrocento Sans" w:cs="Quattrocento Sans"/>
          <w:sz w:val="20"/>
          <w:szCs w:val="20"/>
        </w:rPr>
      </w:pPr>
    </w:p>
    <w:p w14:paraId="368516BD" w14:textId="77777777" w:rsidR="00C929CD" w:rsidRDefault="00C929CD">
      <w:pPr>
        <w:spacing w:before="0" w:after="0" w:line="259" w:lineRule="auto"/>
        <w:jc w:val="left"/>
        <w:rPr>
          <w:rFonts w:ascii="Quattrocento Sans" w:eastAsia="Quattrocento Sans" w:hAnsi="Quattrocento Sans" w:cs="Quattrocento Sans"/>
          <w:sz w:val="20"/>
          <w:szCs w:val="20"/>
        </w:rPr>
      </w:pPr>
    </w:p>
    <w:p w14:paraId="281B1729" w14:textId="7DC0D07A" w:rsidR="00A10C2C" w:rsidRDefault="00000000">
      <w:pPr>
        <w:spacing w:before="0" w:after="0"/>
        <w:rPr>
          <w:b/>
          <w:bCs/>
          <w:sz w:val="36"/>
          <w:szCs w:val="36"/>
        </w:rPr>
      </w:pPr>
      <w:r>
        <w:rPr>
          <w:b/>
          <w:bCs/>
          <w:sz w:val="36"/>
          <w:szCs w:val="36"/>
        </w:rPr>
        <w:t xml:space="preserve">Name: </w:t>
      </w:r>
      <w:r w:rsidR="00C929CD">
        <w:rPr>
          <w:b/>
          <w:bCs/>
          <w:sz w:val="36"/>
          <w:szCs w:val="36"/>
        </w:rPr>
        <w:t>Jenny Elizabeth Torres Crespo</w:t>
      </w:r>
    </w:p>
    <w:p w14:paraId="325451A4" w14:textId="303BE006" w:rsidR="00A10C2C" w:rsidRDefault="00000000">
      <w:pPr>
        <w:spacing w:before="0" w:after="0"/>
        <w:rPr>
          <w:b/>
          <w:bCs/>
          <w:sz w:val="36"/>
          <w:szCs w:val="36"/>
        </w:rPr>
      </w:pPr>
      <w:r>
        <w:rPr>
          <w:b/>
          <w:bCs/>
          <w:sz w:val="36"/>
          <w:szCs w:val="36"/>
        </w:rPr>
        <w:t xml:space="preserve">Student ID: </w:t>
      </w:r>
      <w:r w:rsidR="00C929CD">
        <w:rPr>
          <w:b/>
          <w:bCs/>
          <w:sz w:val="36"/>
          <w:szCs w:val="36"/>
        </w:rPr>
        <w:t>2511145</w:t>
      </w:r>
    </w:p>
    <w:p w14:paraId="67CCE0EF" w14:textId="77777777" w:rsidR="00A10C2C" w:rsidRDefault="00000000">
      <w:pPr>
        <w:spacing w:before="0" w:after="0"/>
        <w:rPr>
          <w:b/>
          <w:bCs/>
          <w:sz w:val="36"/>
          <w:szCs w:val="36"/>
        </w:rPr>
      </w:pPr>
      <w:r>
        <w:rPr>
          <w:b/>
          <w:bCs/>
          <w:sz w:val="36"/>
          <w:szCs w:val="36"/>
        </w:rPr>
        <w:t>Module Code: LCHS4001</w:t>
      </w:r>
    </w:p>
    <w:p w14:paraId="39DE214B" w14:textId="77777777" w:rsidR="00A10C2C" w:rsidRDefault="00000000">
      <w:pPr>
        <w:spacing w:before="0" w:after="0"/>
        <w:rPr>
          <w:b/>
          <w:bCs/>
          <w:sz w:val="36"/>
          <w:szCs w:val="36"/>
        </w:rPr>
      </w:pPr>
      <w:r>
        <w:rPr>
          <w:b/>
          <w:bCs/>
          <w:sz w:val="36"/>
          <w:szCs w:val="36"/>
        </w:rPr>
        <w:t>Module: Academic and Employability Skills</w:t>
      </w:r>
    </w:p>
    <w:p w14:paraId="51EF9A22" w14:textId="1D144A90" w:rsidR="00A10C2C" w:rsidRDefault="00000000">
      <w:pPr>
        <w:spacing w:before="0" w:after="0"/>
        <w:rPr>
          <w:b/>
          <w:bCs/>
          <w:sz w:val="36"/>
          <w:szCs w:val="36"/>
        </w:rPr>
      </w:pPr>
      <w:r>
        <w:rPr>
          <w:b/>
          <w:bCs/>
          <w:sz w:val="36"/>
          <w:szCs w:val="36"/>
        </w:rPr>
        <w:t xml:space="preserve">Lecturer: </w:t>
      </w:r>
      <w:r w:rsidR="00C929CD">
        <w:rPr>
          <w:b/>
          <w:bCs/>
          <w:sz w:val="36"/>
          <w:szCs w:val="36"/>
        </w:rPr>
        <w:t>Muhammed Khan</w:t>
      </w:r>
      <w:r>
        <w:rPr>
          <w:b/>
          <w:bCs/>
          <w:sz w:val="36"/>
          <w:szCs w:val="36"/>
        </w:rPr>
        <w:t xml:space="preserve"> </w:t>
      </w:r>
    </w:p>
    <w:p w14:paraId="6FF8E17E" w14:textId="77777777" w:rsidR="00A10C2C" w:rsidRDefault="00000000">
      <w:pPr>
        <w:spacing w:before="0" w:after="0"/>
        <w:jc w:val="center"/>
        <w:rPr>
          <w:b/>
          <w:bCs/>
          <w:sz w:val="28"/>
          <w:szCs w:val="28"/>
        </w:rPr>
      </w:pPr>
      <w:r>
        <w:t xml:space="preserve"> </w:t>
      </w:r>
      <w:r>
        <w:br w:type="page"/>
      </w:r>
      <w:r>
        <w:rPr>
          <w:b/>
          <w:bCs/>
          <w:sz w:val="28"/>
          <w:szCs w:val="28"/>
        </w:rPr>
        <w:lastRenderedPageBreak/>
        <w:t>Table of Contents</w:t>
      </w:r>
    </w:p>
    <w:p w14:paraId="39EF8221" w14:textId="77777777" w:rsidR="00A10C2C" w:rsidRDefault="00A10C2C">
      <w:pPr>
        <w:widowControl w:val="0"/>
        <w:tabs>
          <w:tab w:val="right" w:leader="dot" w:pos="9025"/>
        </w:tabs>
        <w:spacing w:before="0" w:after="0"/>
        <w:jc w:val="left"/>
      </w:pPr>
      <w:r>
        <w:fldChar w:fldCharType="begin"/>
      </w:r>
      <w:r>
        <w:instrText xml:space="preserve"> TOC \h \u \z \t "Heading 1,1,Heading 2,2,Heading 3,3,Heading 4,4,Heading 5,5,Heading 6,6,"</w:instrText>
      </w:r>
      <w:r>
        <w:fldChar w:fldCharType="separate"/>
      </w:r>
      <w:hyperlink w:anchor="_w9h0umx93l6h" w:history="1">
        <w:r>
          <w:t>1. Introduction</w:t>
        </w:r>
        <w:r>
          <w:tab/>
        </w:r>
      </w:hyperlink>
      <w:r>
        <w:fldChar w:fldCharType="begin"/>
      </w:r>
      <w:r>
        <w:instrText xml:space="preserve"> PAGEREF _w9h0umx93l6h \h </w:instrText>
      </w:r>
      <w:r>
        <w:fldChar w:fldCharType="separate"/>
      </w:r>
      <w:r>
        <w:t>3</w:t>
      </w:r>
      <w:r>
        <w:fldChar w:fldCharType="end"/>
      </w:r>
    </w:p>
    <w:p w14:paraId="3460006F" w14:textId="77777777" w:rsidR="00A10C2C" w:rsidRDefault="00A10C2C">
      <w:pPr>
        <w:widowControl w:val="0"/>
        <w:tabs>
          <w:tab w:val="right" w:leader="dot" w:pos="9025"/>
        </w:tabs>
        <w:spacing w:before="0" w:after="0"/>
        <w:jc w:val="left"/>
      </w:pPr>
      <w:hyperlink w:anchor="_1wjrdyhfy2g9" w:history="1">
        <w:r>
          <w:t>2. Occupational Therapist in the Health and Social Care Field</w:t>
        </w:r>
        <w:r>
          <w:tab/>
        </w:r>
      </w:hyperlink>
      <w:r>
        <w:fldChar w:fldCharType="begin"/>
      </w:r>
      <w:r>
        <w:instrText xml:space="preserve"> PAGEREF _1wjrdyhfy2g9 \h </w:instrText>
      </w:r>
      <w:r>
        <w:fldChar w:fldCharType="separate"/>
      </w:r>
      <w:r>
        <w:t>3</w:t>
      </w:r>
      <w:r>
        <w:fldChar w:fldCharType="end"/>
      </w:r>
    </w:p>
    <w:p w14:paraId="61FD70FF" w14:textId="77777777" w:rsidR="00A10C2C" w:rsidRDefault="00A10C2C">
      <w:pPr>
        <w:widowControl w:val="0"/>
        <w:tabs>
          <w:tab w:val="right" w:leader="dot" w:pos="9025"/>
        </w:tabs>
        <w:spacing w:before="0" w:after="0"/>
        <w:ind w:left="360"/>
        <w:jc w:val="left"/>
      </w:pPr>
      <w:hyperlink w:anchor="_tqmmru6p5qsu" w:history="1">
        <w:r>
          <w:t>2.1 Description of an Occupational Therapist in Health and Social Care</w:t>
        </w:r>
        <w:r>
          <w:tab/>
        </w:r>
      </w:hyperlink>
      <w:r>
        <w:fldChar w:fldCharType="begin"/>
      </w:r>
      <w:r>
        <w:instrText xml:space="preserve"> PAGEREF _tqmmru6p5qsu \h </w:instrText>
      </w:r>
      <w:r>
        <w:fldChar w:fldCharType="separate"/>
      </w:r>
      <w:r>
        <w:t>3</w:t>
      </w:r>
      <w:r>
        <w:fldChar w:fldCharType="end"/>
      </w:r>
    </w:p>
    <w:p w14:paraId="52E4DC33" w14:textId="77777777" w:rsidR="00A10C2C" w:rsidRDefault="00A10C2C">
      <w:pPr>
        <w:widowControl w:val="0"/>
        <w:tabs>
          <w:tab w:val="right" w:leader="dot" w:pos="9025"/>
        </w:tabs>
        <w:spacing w:before="0" w:after="0"/>
        <w:ind w:left="360"/>
        <w:jc w:val="left"/>
      </w:pPr>
      <w:hyperlink w:anchor="_oscbp4cq2ugg" w:history="1">
        <w:r>
          <w:t>2.2 Explanation of Most Significant Skills Needed for an Occupational Therapist in Health and Social Care</w:t>
        </w:r>
        <w:r>
          <w:tab/>
        </w:r>
      </w:hyperlink>
      <w:r>
        <w:fldChar w:fldCharType="begin"/>
      </w:r>
      <w:r>
        <w:instrText xml:space="preserve"> PAGEREF _oscbp4cq2ugg \h </w:instrText>
      </w:r>
      <w:r>
        <w:fldChar w:fldCharType="separate"/>
      </w:r>
      <w:r>
        <w:t>3</w:t>
      </w:r>
      <w:r>
        <w:fldChar w:fldCharType="end"/>
      </w:r>
    </w:p>
    <w:p w14:paraId="30E06A25" w14:textId="77777777" w:rsidR="00A10C2C" w:rsidRDefault="00A10C2C">
      <w:pPr>
        <w:widowControl w:val="0"/>
        <w:tabs>
          <w:tab w:val="right" w:leader="dot" w:pos="9025"/>
        </w:tabs>
        <w:spacing w:before="0" w:after="0"/>
        <w:jc w:val="left"/>
      </w:pPr>
      <w:hyperlink w:anchor="_2pq8wm4jhnha" w:history="1">
        <w:r>
          <w:t>3 Strategies for Skill Improvement for Occupational Therapists</w:t>
        </w:r>
        <w:r>
          <w:tab/>
        </w:r>
      </w:hyperlink>
      <w:r>
        <w:fldChar w:fldCharType="begin"/>
      </w:r>
      <w:r>
        <w:instrText xml:space="preserve"> PAGEREF _2pq8wm4jhnha \h </w:instrText>
      </w:r>
      <w:r>
        <w:fldChar w:fldCharType="separate"/>
      </w:r>
      <w:r>
        <w:t>5</w:t>
      </w:r>
      <w:r>
        <w:fldChar w:fldCharType="end"/>
      </w:r>
    </w:p>
    <w:p w14:paraId="2C54CA36" w14:textId="77777777" w:rsidR="00A10C2C" w:rsidRDefault="00A10C2C">
      <w:pPr>
        <w:widowControl w:val="0"/>
        <w:tabs>
          <w:tab w:val="right" w:leader="dot" w:pos="9025"/>
        </w:tabs>
        <w:spacing w:before="0" w:after="0"/>
        <w:ind w:left="360"/>
        <w:jc w:val="left"/>
      </w:pPr>
      <w:hyperlink w:anchor="_56j1x6o39mn1" w:history="1">
        <w:r>
          <w:t>3.1 Three Strategies to Improve the Skills for Occupational Therapists</w:t>
        </w:r>
        <w:r>
          <w:tab/>
        </w:r>
      </w:hyperlink>
      <w:r>
        <w:fldChar w:fldCharType="begin"/>
      </w:r>
      <w:r>
        <w:instrText xml:space="preserve"> PAGEREF _56j1x6o39mn1 \h </w:instrText>
      </w:r>
      <w:r>
        <w:fldChar w:fldCharType="separate"/>
      </w:r>
      <w:r>
        <w:t>5</w:t>
      </w:r>
      <w:r>
        <w:fldChar w:fldCharType="end"/>
      </w:r>
    </w:p>
    <w:p w14:paraId="4BDE3902" w14:textId="77777777" w:rsidR="00A10C2C" w:rsidRDefault="00A10C2C">
      <w:pPr>
        <w:widowControl w:val="0"/>
        <w:tabs>
          <w:tab w:val="right" w:leader="dot" w:pos="9025"/>
        </w:tabs>
        <w:spacing w:before="0" w:after="0"/>
        <w:jc w:val="left"/>
      </w:pPr>
      <w:hyperlink w:anchor="_pf5u1fourl5q" w:history="1">
        <w:r>
          <w:t>4. Conclusion</w:t>
        </w:r>
        <w:r>
          <w:tab/>
        </w:r>
      </w:hyperlink>
      <w:r>
        <w:fldChar w:fldCharType="begin"/>
      </w:r>
      <w:r>
        <w:instrText xml:space="preserve"> PAGEREF _pf5u1fourl5q \h </w:instrText>
      </w:r>
      <w:r>
        <w:fldChar w:fldCharType="separate"/>
      </w:r>
      <w:r>
        <w:t>6</w:t>
      </w:r>
      <w:r>
        <w:fldChar w:fldCharType="end"/>
      </w:r>
    </w:p>
    <w:p w14:paraId="273DCED4" w14:textId="77777777" w:rsidR="00A10C2C" w:rsidRDefault="00A10C2C">
      <w:pPr>
        <w:widowControl w:val="0"/>
        <w:tabs>
          <w:tab w:val="right" w:leader="dot" w:pos="9025"/>
        </w:tabs>
        <w:spacing w:before="0" w:after="0"/>
        <w:jc w:val="left"/>
      </w:pPr>
      <w:hyperlink w:anchor="_tbrkxnqt0edv" w:history="1">
        <w:r>
          <w:t>5. Reference List</w:t>
        </w:r>
        <w:r>
          <w:tab/>
        </w:r>
      </w:hyperlink>
      <w:r>
        <w:fldChar w:fldCharType="begin"/>
      </w:r>
      <w:r>
        <w:instrText xml:space="preserve"> PAGEREF _tbrkxnqt0edv \h </w:instrText>
      </w:r>
      <w:r>
        <w:fldChar w:fldCharType="separate"/>
      </w:r>
      <w:r>
        <w:t>7</w:t>
      </w:r>
      <w:r>
        <w:fldChar w:fldCharType="end"/>
      </w:r>
      <w:r>
        <w:fldChar w:fldCharType="end"/>
      </w:r>
    </w:p>
    <w:p w14:paraId="09347156" w14:textId="77777777" w:rsidR="00A10C2C" w:rsidRDefault="00000000">
      <w:pPr>
        <w:spacing w:before="0" w:after="0"/>
        <w:jc w:val="center"/>
        <w:rPr>
          <w:b/>
          <w:bCs/>
          <w:sz w:val="28"/>
          <w:szCs w:val="28"/>
        </w:rPr>
      </w:pPr>
      <w:r>
        <w:br w:type="page"/>
      </w:r>
    </w:p>
    <w:p w14:paraId="3BECAD4F" w14:textId="77777777" w:rsidR="00A10C2C" w:rsidRDefault="00A10C2C">
      <w:pPr>
        <w:spacing w:before="0" w:after="0"/>
        <w:jc w:val="center"/>
        <w:rPr>
          <w:b/>
          <w:bCs/>
          <w:sz w:val="28"/>
          <w:szCs w:val="28"/>
        </w:rPr>
      </w:pPr>
    </w:p>
    <w:p w14:paraId="01C18AF7" w14:textId="77777777" w:rsidR="00A10C2C" w:rsidRDefault="00000000">
      <w:pPr>
        <w:pStyle w:val="Heading1"/>
        <w:spacing w:before="0" w:after="0"/>
      </w:pPr>
      <w:bookmarkStart w:id="0" w:name="_w9h0umx93l6h" w:colFirst="0" w:colLast="0"/>
      <w:bookmarkEnd w:id="0"/>
      <w:r>
        <w:t>1. Introduction</w:t>
      </w:r>
    </w:p>
    <w:p w14:paraId="78FCE258" w14:textId="43B8B134" w:rsidR="00A10C2C" w:rsidRDefault="00000000">
      <w:pPr>
        <w:spacing w:before="0" w:after="0"/>
      </w:pPr>
      <w:r>
        <w:t>Health as well as social care roles are effectively found to play a significant role in enhancing the wellbeing of people. This report dwells on the occupation of an Occupational Therapist. Occupational Therapists are effectively found to assist physically, mentally or socially challenged individuals to lead an independent as well as a safe life (</w:t>
      </w:r>
      <w:r>
        <w:rPr>
          <w:highlight w:val="white"/>
        </w:rPr>
        <w:t xml:space="preserve">Lianur </w:t>
      </w:r>
      <w:r>
        <w:rPr>
          <w:i/>
          <w:iCs/>
          <w:highlight w:val="white"/>
        </w:rPr>
        <w:t xml:space="preserve">et al., </w:t>
      </w:r>
      <w:r>
        <w:rPr>
          <w:highlight w:val="white"/>
        </w:rPr>
        <w:t>2025)</w:t>
      </w:r>
      <w:r>
        <w:t>. The report will actively outline the position as well as primary responsibilities. It will then provide the most significant skills required. Lastly, it will give some strategies on how these skills may be developed. The organisational structure guarantees a clear perception of the job and its importance.</w:t>
      </w:r>
    </w:p>
    <w:p w14:paraId="157A1E16" w14:textId="77777777" w:rsidR="00BF7A54" w:rsidRDefault="00BF7A54">
      <w:pPr>
        <w:spacing w:before="0" w:after="0"/>
      </w:pPr>
    </w:p>
    <w:p w14:paraId="18844827" w14:textId="77777777" w:rsidR="00A10C2C" w:rsidRDefault="00000000">
      <w:pPr>
        <w:pStyle w:val="Heading1"/>
        <w:spacing w:before="0" w:after="0"/>
      </w:pPr>
      <w:bookmarkStart w:id="1" w:name="_1wjrdyhfy2g9" w:colFirst="0" w:colLast="0"/>
      <w:bookmarkEnd w:id="1"/>
      <w:r>
        <w:t>2. Occupational Therapist in the Health and Social Care Field</w:t>
      </w:r>
    </w:p>
    <w:p w14:paraId="25D0C63A" w14:textId="77777777" w:rsidR="00A10C2C" w:rsidRDefault="00000000">
      <w:pPr>
        <w:pStyle w:val="Heading2"/>
        <w:spacing w:before="0" w:after="0"/>
      </w:pPr>
      <w:bookmarkStart w:id="2" w:name="_tqmmru6p5qsu" w:colFirst="0" w:colLast="0"/>
      <w:bookmarkEnd w:id="2"/>
      <w:r>
        <w:t>2.1 Description of an Occupational Therapist in Health and Social Care</w:t>
      </w:r>
    </w:p>
    <w:p w14:paraId="5551728A" w14:textId="1863F955" w:rsidR="00A10C2C" w:rsidRDefault="00000000">
      <w:pPr>
        <w:spacing w:before="0" w:after="0"/>
      </w:pPr>
      <w:r>
        <w:t xml:space="preserve">The role </w:t>
      </w:r>
      <w:r w:rsidR="00825F40">
        <w:t>of Occupational</w:t>
      </w:r>
      <w:r w:rsidRPr="00731D0F">
        <w:rPr>
          <w:color w:val="000000" w:themeColor="text1"/>
        </w:rPr>
        <w:t xml:space="preserve"> </w:t>
      </w:r>
      <w:r w:rsidR="00731D0F" w:rsidRPr="00731D0F">
        <w:rPr>
          <w:color w:val="000000" w:themeColor="text1"/>
        </w:rPr>
        <w:t>T</w:t>
      </w:r>
      <w:r w:rsidRPr="00731D0F">
        <w:rPr>
          <w:color w:val="000000" w:themeColor="text1"/>
        </w:rPr>
        <w:t xml:space="preserve">herapist </w:t>
      </w:r>
      <w:r>
        <w:t>is important in actively supporting individuals to effectively achieve independence as well as improve their overall quality of life (</w:t>
      </w:r>
      <w:r>
        <w:rPr>
          <w:highlight w:val="white"/>
        </w:rPr>
        <w:t>Atchison and Dirette, 2023)</w:t>
      </w:r>
      <w:r>
        <w:t>.</w:t>
      </w:r>
    </w:p>
    <w:p w14:paraId="30A3FF4F" w14:textId="71CF79D6" w:rsidR="00A10C2C" w:rsidRDefault="00000000">
      <w:pPr>
        <w:spacing w:before="0" w:after="0"/>
      </w:pPr>
      <w:r>
        <w:t xml:space="preserve">Occupational </w:t>
      </w:r>
      <w:r w:rsidR="00825F40">
        <w:t>T</w:t>
      </w:r>
      <w:r>
        <w:t>herapists evaluate the physical, mental and emotional needs of the patients and develop individualised care plans. They assist individuals in doing their day-to-day tasks, dealing with disabilities and adjusting their surroundings (</w:t>
      </w:r>
      <w:r>
        <w:rPr>
          <w:highlight w:val="white"/>
        </w:rPr>
        <w:t xml:space="preserve">Christiansen </w:t>
      </w:r>
      <w:r>
        <w:rPr>
          <w:i/>
          <w:iCs/>
          <w:highlight w:val="white"/>
        </w:rPr>
        <w:t xml:space="preserve">et al., </w:t>
      </w:r>
      <w:r>
        <w:rPr>
          <w:highlight w:val="white"/>
        </w:rPr>
        <w:t>2024)</w:t>
      </w:r>
      <w:r>
        <w:t>. They do not limit their work to clients who may be of all ages and cooperate with families and other healthcare professionals in order to gain their assistance. Some of the key tasks involve assessing the functional skills, prescribing the adaptive equipment and offering the therapeutic sessions that can be used to improve skills.</w:t>
      </w:r>
    </w:p>
    <w:p w14:paraId="1E86581C" w14:textId="489B8A94" w:rsidR="00A10C2C" w:rsidRDefault="00000000">
      <w:pPr>
        <w:spacing w:before="0" w:after="0"/>
      </w:pPr>
      <w:r>
        <w:t xml:space="preserve">In the example, an </w:t>
      </w:r>
      <w:r w:rsidR="00825F40">
        <w:t>O</w:t>
      </w:r>
      <w:r>
        <w:t xml:space="preserve">ccupational </w:t>
      </w:r>
      <w:r w:rsidR="00825F40">
        <w:t>T</w:t>
      </w:r>
      <w:r>
        <w:t>herapist can assist a stroke survivor to be able to dress up by themselves by creating exercises and implementing adaptive equipment. They also train families on supportive measures at home, thus ensuring continuity of care.</w:t>
      </w:r>
    </w:p>
    <w:p w14:paraId="2A74BB0F" w14:textId="113B5A60" w:rsidR="00BF7A54" w:rsidRDefault="00000000">
      <w:pPr>
        <w:spacing w:before="0" w:after="0"/>
      </w:pPr>
      <w:r>
        <w:t>This role is fundamental in health and social care as it enables them to be self-reliant, facilitates physical and mental health, and minimises the use of long-term care services.</w:t>
      </w:r>
    </w:p>
    <w:p w14:paraId="31A482BC" w14:textId="67F8C7ED" w:rsidR="00BF7A54" w:rsidRPr="00BF7A54" w:rsidRDefault="00BF7A54">
      <w:pPr>
        <w:spacing w:before="0" w:after="0"/>
        <w:rPr>
          <w:color w:val="FF0000"/>
        </w:rPr>
      </w:pPr>
    </w:p>
    <w:p w14:paraId="37AD544F" w14:textId="77777777" w:rsidR="00BF7A54" w:rsidRDefault="00BF7A54">
      <w:pPr>
        <w:pStyle w:val="Heading2"/>
        <w:spacing w:before="0" w:after="0"/>
      </w:pPr>
      <w:bookmarkStart w:id="3" w:name="_oscbp4cq2ugg" w:colFirst="0" w:colLast="0"/>
      <w:bookmarkEnd w:id="3"/>
    </w:p>
    <w:p w14:paraId="45B6418E" w14:textId="08E0EB3E" w:rsidR="00A10C2C" w:rsidRDefault="00000000">
      <w:pPr>
        <w:pStyle w:val="Heading2"/>
        <w:spacing w:before="0" w:after="0"/>
      </w:pPr>
      <w:r>
        <w:t>2.2 Explanation of Most Significant Skills Needed for an Occupational Therapist in Health and Social Care</w:t>
      </w:r>
    </w:p>
    <w:p w14:paraId="7BFDC9A9" w14:textId="77777777" w:rsidR="00A10C2C" w:rsidRDefault="00000000">
      <w:pPr>
        <w:spacing w:before="0" w:after="0"/>
        <w:rPr>
          <w:b/>
          <w:bCs/>
        </w:rPr>
      </w:pPr>
      <w:r>
        <w:rPr>
          <w:b/>
          <w:bCs/>
        </w:rPr>
        <w:t>Skill 1: Communication</w:t>
      </w:r>
    </w:p>
    <w:p w14:paraId="522E59DF" w14:textId="02EBED62" w:rsidR="00A10C2C" w:rsidRDefault="00000000">
      <w:pPr>
        <w:spacing w:before="0" w:after="0"/>
      </w:pPr>
      <w:r>
        <w:t xml:space="preserve">Communication is considered to be one of the most crucial skills of an </w:t>
      </w:r>
      <w:r w:rsidR="00825F40">
        <w:t>O</w:t>
      </w:r>
      <w:r>
        <w:t xml:space="preserve">ccupational </w:t>
      </w:r>
      <w:r w:rsidR="00825F40">
        <w:t>T</w:t>
      </w:r>
      <w:r>
        <w:t xml:space="preserve">herapist due to the fact that the staff and patients </w:t>
      </w:r>
      <w:r w:rsidR="00BF7A54">
        <w:t>need to be</w:t>
      </w:r>
      <w:r>
        <w:t xml:space="preserve"> well understood.</w:t>
      </w:r>
    </w:p>
    <w:p w14:paraId="573A950E" w14:textId="50C57E9F" w:rsidR="00A10C2C" w:rsidRDefault="00000000">
      <w:pPr>
        <w:spacing w:before="0" w:after="0"/>
      </w:pPr>
      <w:r>
        <w:t xml:space="preserve">Occupational </w:t>
      </w:r>
      <w:r w:rsidR="00825F40">
        <w:t>T</w:t>
      </w:r>
      <w:r>
        <w:t>herapists are expected to clarify treatment plans, attend to the concerns of patients, and cooperate with other medical practitioners (</w:t>
      </w:r>
      <w:r>
        <w:rPr>
          <w:highlight w:val="white"/>
        </w:rPr>
        <w:t>Oosting</w:t>
      </w:r>
      <w:r>
        <w:rPr>
          <w:i/>
          <w:iCs/>
          <w:highlight w:val="white"/>
        </w:rPr>
        <w:t xml:space="preserve"> et al., </w:t>
      </w:r>
      <w:r>
        <w:rPr>
          <w:highlight w:val="white"/>
        </w:rPr>
        <w:t>2023)</w:t>
      </w:r>
      <w:r>
        <w:t>. Communication is effective in forming trust and motivating patients to participate in the therapy.</w:t>
      </w:r>
    </w:p>
    <w:p w14:paraId="7D751A24" w14:textId="5FFE4BFC" w:rsidR="00A10C2C" w:rsidRDefault="00000000">
      <w:pPr>
        <w:spacing w:before="0" w:after="0"/>
      </w:pPr>
      <w:r>
        <w:t xml:space="preserve">To illustrate, in the case of an elderly patient who has gone through a hip replacement, an </w:t>
      </w:r>
      <w:r w:rsidR="00825F40">
        <w:t>O</w:t>
      </w:r>
      <w:r>
        <w:t xml:space="preserve">ccupational </w:t>
      </w:r>
      <w:r w:rsidR="00825F40">
        <w:t>T</w:t>
      </w:r>
      <w:r>
        <w:t>herapist can apply the simplest language and visual representations to show how something can be done safely, e.g. dressing or cooking. Feedback sessions assist the patients in airing out challenges, and necessary amendments are made concerning the care plan.</w:t>
      </w:r>
    </w:p>
    <w:p w14:paraId="1078D20A" w14:textId="29709950" w:rsidR="00A10C2C" w:rsidRDefault="00000000">
      <w:pPr>
        <w:spacing w:before="0" w:after="0"/>
      </w:pPr>
      <w:r>
        <w:t>In the absence of good communication abilities, the patient can misinterpret the instructions, making the therapeutic efforts ineffective and even harmful.</w:t>
      </w:r>
    </w:p>
    <w:p w14:paraId="724B2620" w14:textId="77777777" w:rsidR="00BF7A54" w:rsidRDefault="00BF7A54">
      <w:pPr>
        <w:spacing w:before="0" w:after="0"/>
        <w:rPr>
          <w:b/>
          <w:bCs/>
        </w:rPr>
      </w:pPr>
    </w:p>
    <w:p w14:paraId="061E7FF6" w14:textId="5FB65E43" w:rsidR="00A10C2C" w:rsidRDefault="00000000">
      <w:pPr>
        <w:spacing w:before="0" w:after="0"/>
        <w:rPr>
          <w:b/>
          <w:bCs/>
        </w:rPr>
      </w:pPr>
      <w:r>
        <w:rPr>
          <w:b/>
          <w:bCs/>
        </w:rPr>
        <w:t>Skill 2: Problem-solving</w:t>
      </w:r>
    </w:p>
    <w:p w14:paraId="5B1FA7EE" w14:textId="408BC7A7" w:rsidR="00A10C2C" w:rsidRDefault="00000000">
      <w:pPr>
        <w:spacing w:before="0" w:after="0"/>
      </w:pPr>
      <w:r>
        <w:t xml:space="preserve">The issue of problem-solving plays a vital role in ensuring that the </w:t>
      </w:r>
      <w:r w:rsidR="00825F40">
        <w:t>O</w:t>
      </w:r>
      <w:r>
        <w:t xml:space="preserve">ccupational </w:t>
      </w:r>
      <w:r w:rsidR="00825F40">
        <w:t>T</w:t>
      </w:r>
      <w:r>
        <w:t>herapists come up with viable solutions to the needs of individual patients.</w:t>
      </w:r>
    </w:p>
    <w:p w14:paraId="687A2BB4" w14:textId="0E59635B" w:rsidR="00A10C2C" w:rsidRDefault="00000000">
      <w:pPr>
        <w:spacing w:before="0" w:after="0"/>
      </w:pPr>
      <w:r>
        <w:t>Every patient is different in their challenges, and a therapist should be able to be innovative and modify activities or environments to enhance independence (</w:t>
      </w:r>
      <w:r>
        <w:rPr>
          <w:highlight w:val="white"/>
        </w:rPr>
        <w:t xml:space="preserve">Juba </w:t>
      </w:r>
      <w:r>
        <w:rPr>
          <w:i/>
          <w:iCs/>
          <w:highlight w:val="white"/>
        </w:rPr>
        <w:t>et al.,</w:t>
      </w:r>
      <w:r>
        <w:rPr>
          <w:highlight w:val="white"/>
        </w:rPr>
        <w:t xml:space="preserve"> 2023)</w:t>
      </w:r>
      <w:r>
        <w:t>.</w:t>
      </w:r>
    </w:p>
    <w:p w14:paraId="30EEAE95" w14:textId="60E0CC25" w:rsidR="00A10C2C" w:rsidRDefault="00000000">
      <w:pPr>
        <w:spacing w:before="0" w:after="0"/>
      </w:pPr>
      <w:r>
        <w:t xml:space="preserve">As an example, an </w:t>
      </w:r>
      <w:r w:rsidR="00825F40">
        <w:t>O</w:t>
      </w:r>
      <w:r>
        <w:t xml:space="preserve">ccupational </w:t>
      </w:r>
      <w:r w:rsidR="00825F40">
        <w:t>T</w:t>
      </w:r>
      <w:r>
        <w:t>herapist may rearrange the kitchen of a stroke patient by providing grab rails or lightweight utensils, allowing one to prepare the meal without the risk of falling.</w:t>
      </w:r>
      <w:r w:rsidR="00BF7A54">
        <w:t xml:space="preserve"> </w:t>
      </w:r>
      <w:r>
        <w:t>Good problem-solving is the guarantee of a personalised and proper therapy that improves patient outcomes.</w:t>
      </w:r>
    </w:p>
    <w:p w14:paraId="22742379" w14:textId="77777777" w:rsidR="00BF7A54" w:rsidRDefault="00BF7A54">
      <w:pPr>
        <w:spacing w:before="0" w:after="0"/>
        <w:rPr>
          <w:b/>
          <w:bCs/>
        </w:rPr>
      </w:pPr>
    </w:p>
    <w:p w14:paraId="4FAC465F" w14:textId="2C2BAC0C" w:rsidR="00A10C2C" w:rsidRDefault="00000000">
      <w:pPr>
        <w:spacing w:before="0" w:after="0"/>
        <w:rPr>
          <w:b/>
          <w:bCs/>
        </w:rPr>
      </w:pPr>
      <w:r>
        <w:rPr>
          <w:b/>
          <w:bCs/>
        </w:rPr>
        <w:t>Skill 3: Empathy</w:t>
      </w:r>
    </w:p>
    <w:p w14:paraId="715FBFC7" w14:textId="67F74C48" w:rsidR="00A10C2C" w:rsidRDefault="00000000">
      <w:pPr>
        <w:spacing w:before="0" w:after="0"/>
      </w:pPr>
      <w:r>
        <w:t xml:space="preserve">Occupational </w:t>
      </w:r>
      <w:r w:rsidR="00825F40">
        <w:t>T</w:t>
      </w:r>
      <w:r>
        <w:t>herapy involves empathy to find out how patients feel and what triggers them to take action.</w:t>
      </w:r>
      <w:r w:rsidR="00BF7A54">
        <w:t xml:space="preserve"> </w:t>
      </w:r>
      <w:r>
        <w:t>Showing empathy helps therapists provide emotional support and encourages patient participation, which improves recovery rates (</w:t>
      </w:r>
      <w:r>
        <w:rPr>
          <w:highlight w:val="white"/>
        </w:rPr>
        <w:t xml:space="preserve">Mallonee </w:t>
      </w:r>
      <w:r>
        <w:rPr>
          <w:i/>
          <w:iCs/>
          <w:highlight w:val="white"/>
        </w:rPr>
        <w:t xml:space="preserve">et al., </w:t>
      </w:r>
      <w:r>
        <w:rPr>
          <w:highlight w:val="white"/>
        </w:rPr>
        <w:t>2022)</w:t>
      </w:r>
      <w:r>
        <w:t>.</w:t>
      </w:r>
    </w:p>
    <w:p w14:paraId="014D2F5B" w14:textId="4AD862E1" w:rsidR="00A10C2C" w:rsidRDefault="00000000">
      <w:pPr>
        <w:spacing w:before="0" w:after="0"/>
      </w:pPr>
      <w:r>
        <w:t>In the case of a patient who feels frustrated that he/she is not making progress, a therapist can admit that he/she feels the same way and modify the strategy to keep him/her motivated.</w:t>
      </w:r>
    </w:p>
    <w:p w14:paraId="091E657E" w14:textId="2EFA4029" w:rsidR="00A10C2C" w:rsidRDefault="00000000">
      <w:pPr>
        <w:spacing w:before="0" w:after="0"/>
      </w:pPr>
      <w:r>
        <w:lastRenderedPageBreak/>
        <w:t>Empathy is found to effectively strengthen the therapeutic relationship as well as effectively promote trust.</w:t>
      </w:r>
    </w:p>
    <w:p w14:paraId="2623881C" w14:textId="77777777" w:rsidR="00BF7A54" w:rsidRDefault="00BF7A54">
      <w:pPr>
        <w:spacing w:before="0" w:after="0"/>
      </w:pPr>
    </w:p>
    <w:p w14:paraId="6E28456C" w14:textId="77777777" w:rsidR="00A10C2C" w:rsidRDefault="00000000">
      <w:pPr>
        <w:spacing w:before="0" w:after="0"/>
        <w:rPr>
          <w:b/>
          <w:bCs/>
        </w:rPr>
      </w:pPr>
      <w:r>
        <w:rPr>
          <w:b/>
          <w:bCs/>
        </w:rPr>
        <w:t>Consequences of lacking these skills</w:t>
      </w:r>
    </w:p>
    <w:p w14:paraId="423BDE00" w14:textId="77D25452" w:rsidR="00A10C2C" w:rsidRDefault="007506F1">
      <w:pPr>
        <w:spacing w:before="0" w:after="0"/>
      </w:pPr>
      <w:r>
        <w:t>In instances that Occupational Therapists are unable to communicate, solve problems or be empathetic this can greatly affect patient care.</w:t>
      </w:r>
      <w:r w:rsidR="00BF7A54">
        <w:t xml:space="preserve"> </w:t>
      </w:r>
      <w:r>
        <w:t>There could lead to misinterpretations, improper interventions and reduced patient engagement (</w:t>
      </w:r>
      <w:r>
        <w:rPr>
          <w:highlight w:val="white"/>
        </w:rPr>
        <w:t xml:space="preserve">Newman </w:t>
      </w:r>
      <w:r>
        <w:rPr>
          <w:i/>
          <w:iCs/>
          <w:highlight w:val="white"/>
        </w:rPr>
        <w:t xml:space="preserve">et al., </w:t>
      </w:r>
      <w:r>
        <w:rPr>
          <w:highlight w:val="white"/>
        </w:rPr>
        <w:t>2021)</w:t>
      </w:r>
      <w:r>
        <w:t>. The patient can feel isolated and will not recover as fast or may not comply. To illustrate, a lack of emotional awareness of a patient may lead to an unwillingness to attend a therapy session. As such, these are critical areas of skills to foster safe, effective, and caring health and social care environments.</w:t>
      </w:r>
    </w:p>
    <w:p w14:paraId="75B3968E" w14:textId="77777777" w:rsidR="00BF7A54" w:rsidRDefault="00BF7A54">
      <w:pPr>
        <w:pStyle w:val="Heading1"/>
        <w:spacing w:before="0" w:after="0"/>
      </w:pPr>
      <w:bookmarkStart w:id="4" w:name="_2pq8wm4jhnha" w:colFirst="0" w:colLast="0"/>
      <w:bookmarkEnd w:id="4"/>
    </w:p>
    <w:p w14:paraId="0DC07979" w14:textId="0F8829AD" w:rsidR="00A10C2C" w:rsidRDefault="00000000">
      <w:pPr>
        <w:pStyle w:val="Heading1"/>
        <w:spacing w:before="0" w:after="0"/>
      </w:pPr>
      <w:r>
        <w:t>3 Strategies for Skill Improvement for Occupational Therapists</w:t>
      </w:r>
    </w:p>
    <w:p w14:paraId="2C00D7C6" w14:textId="77777777" w:rsidR="00A10C2C" w:rsidRDefault="00000000">
      <w:pPr>
        <w:pStyle w:val="Heading2"/>
        <w:spacing w:before="0" w:after="0"/>
      </w:pPr>
      <w:bookmarkStart w:id="5" w:name="_56j1x6o39mn1" w:colFirst="0" w:colLast="0"/>
      <w:bookmarkEnd w:id="5"/>
      <w:r>
        <w:t>3.1 Three Strategies to Improve the Skills for Occupational Therapists</w:t>
      </w:r>
    </w:p>
    <w:p w14:paraId="37627EFA" w14:textId="77777777" w:rsidR="00A10C2C" w:rsidRDefault="00000000">
      <w:pPr>
        <w:spacing w:before="0" w:after="0"/>
        <w:rPr>
          <w:b/>
          <w:bCs/>
        </w:rPr>
      </w:pPr>
      <w:r>
        <w:rPr>
          <w:b/>
          <w:bCs/>
        </w:rPr>
        <w:t>Skill 1: Communication (Strategy: Role-Playing).</w:t>
      </w:r>
    </w:p>
    <w:p w14:paraId="58AE1190" w14:textId="35FE9D49" w:rsidR="00A10C2C" w:rsidRDefault="00000000">
      <w:pPr>
        <w:spacing w:before="0" w:after="0"/>
      </w:pPr>
      <w:r>
        <w:t>Role-playing is one way in which communication skills can be enhanced, and through which occupational therapists can train on how to interact in real-life situations.</w:t>
      </w:r>
    </w:p>
    <w:p w14:paraId="4C4D671D" w14:textId="546EA37C" w:rsidR="00A10C2C" w:rsidRDefault="007506F1">
      <w:pPr>
        <w:spacing w:before="0" w:after="0"/>
      </w:pPr>
      <w:r>
        <w:t>Studies have demonstrated that role-playing improves verbal and non-verbal communication, builds confidence, and enhances patient-centred dialogue (</w:t>
      </w:r>
      <w:r>
        <w:rPr>
          <w:highlight w:val="white"/>
        </w:rPr>
        <w:t xml:space="preserve">Watermeyer </w:t>
      </w:r>
      <w:r>
        <w:rPr>
          <w:i/>
          <w:iCs/>
          <w:highlight w:val="white"/>
        </w:rPr>
        <w:t xml:space="preserve">et al., </w:t>
      </w:r>
      <w:r>
        <w:rPr>
          <w:highlight w:val="white"/>
        </w:rPr>
        <w:t>2025)</w:t>
      </w:r>
      <w:r>
        <w:t>. As an example, a therapist can role-play the explanation of a rehabilitation plan to a patient with low knowledge. This practice will assist them in speaking clearly, changing the tone and predicting the questions of patients. Role-playing will be helpful because the therapists will be able to convey the instructions efficiently, which will minimise the possibility of misunderstandings and enhance patient outcomes.</w:t>
      </w:r>
    </w:p>
    <w:p w14:paraId="6218687C" w14:textId="77777777" w:rsidR="007506F1" w:rsidRDefault="007506F1">
      <w:pPr>
        <w:spacing w:before="0" w:after="0"/>
      </w:pPr>
    </w:p>
    <w:p w14:paraId="50799894" w14:textId="3382A2E4" w:rsidR="00A10C2C" w:rsidRDefault="00000000">
      <w:pPr>
        <w:spacing w:before="0" w:after="0"/>
        <w:rPr>
          <w:b/>
          <w:bCs/>
        </w:rPr>
      </w:pPr>
      <w:r>
        <w:rPr>
          <w:b/>
          <w:bCs/>
        </w:rPr>
        <w:t>Skill 2: Problem-Solving (Strategy: Reflective Journaling)</w:t>
      </w:r>
    </w:p>
    <w:p w14:paraId="63DF45D2" w14:textId="2ECDC2A7" w:rsidR="00A10C2C" w:rsidRDefault="00000000">
      <w:pPr>
        <w:spacing w:before="0" w:after="0"/>
      </w:pPr>
      <w:r>
        <w:t>Reflective journaling is an effective tool to improve the level of problem-solving, as it will help therapists to analyse the challenges and explore other possible solutions.</w:t>
      </w:r>
    </w:p>
    <w:p w14:paraId="07868440" w14:textId="59B87289" w:rsidR="00A10C2C" w:rsidRDefault="00000000">
      <w:pPr>
        <w:spacing w:before="0" w:after="0"/>
      </w:pPr>
      <w:r>
        <w:t>Reflection enables professionals to analyse previous judgments, learn through experiences of triumph and failure, and critically come up with innovative ways of handling further cases (</w:t>
      </w:r>
      <w:r>
        <w:rPr>
          <w:highlight w:val="white"/>
        </w:rPr>
        <w:t>Qudrat-Ullah, 2025)</w:t>
      </w:r>
      <w:r>
        <w:t>.</w:t>
      </w:r>
    </w:p>
    <w:p w14:paraId="75B99274" w14:textId="1527DE97" w:rsidR="00A10C2C" w:rsidRDefault="00000000">
      <w:pPr>
        <w:spacing w:before="0" w:after="0"/>
      </w:pPr>
      <w:r>
        <w:t xml:space="preserve">An </w:t>
      </w:r>
      <w:r w:rsidR="00825F40">
        <w:t>O</w:t>
      </w:r>
      <w:r>
        <w:t xml:space="preserve">ccupational </w:t>
      </w:r>
      <w:r w:rsidR="00825F40">
        <w:t>T</w:t>
      </w:r>
      <w:r>
        <w:t xml:space="preserve">herapist can record the way he or she modified a bathroom for a patient with mobility problems, and then consider what worked and how the practice could be better the </w:t>
      </w:r>
      <w:r>
        <w:lastRenderedPageBreak/>
        <w:t>next time.</w:t>
      </w:r>
      <w:r w:rsidR="007506F1">
        <w:t xml:space="preserve"> </w:t>
      </w:r>
      <w:r>
        <w:t>Reflection, which occurs in regular intervals, will improve critical thinking and make patient care easier to solve.</w:t>
      </w:r>
    </w:p>
    <w:p w14:paraId="497C60E7" w14:textId="77777777" w:rsidR="007506F1" w:rsidRDefault="007506F1">
      <w:pPr>
        <w:spacing w:before="0" w:after="0"/>
        <w:rPr>
          <w:b/>
          <w:bCs/>
        </w:rPr>
      </w:pPr>
    </w:p>
    <w:p w14:paraId="6B346CDD" w14:textId="17CECB4E" w:rsidR="00A10C2C" w:rsidRDefault="00000000">
      <w:pPr>
        <w:spacing w:before="0" w:after="0"/>
        <w:rPr>
          <w:b/>
          <w:bCs/>
        </w:rPr>
      </w:pPr>
      <w:r>
        <w:rPr>
          <w:b/>
          <w:bCs/>
        </w:rPr>
        <w:t>Competency 3: Empathy (Strategy: Patient Shadowing)</w:t>
      </w:r>
    </w:p>
    <w:p w14:paraId="47953B05" w14:textId="4A4C4694" w:rsidR="00A10C2C" w:rsidRDefault="00000000">
      <w:pPr>
        <w:spacing w:before="0" w:after="0"/>
      </w:pPr>
      <w:r>
        <w:t>Patient shadowing is one way that can enhance empathy because a therapist can gain insight into the lives of patients by shadowing them to know their views.</w:t>
      </w:r>
      <w:r w:rsidR="007506F1">
        <w:t xml:space="preserve"> </w:t>
      </w:r>
      <w:r>
        <w:t>Placing real-life patients in real-life conditions assists practitioners to empathise with the patient emotionally and also value the difficulties that the patient goes through (</w:t>
      </w:r>
      <w:r>
        <w:rPr>
          <w:highlight w:val="white"/>
        </w:rPr>
        <w:t>Leonard and Willig, 2021)</w:t>
      </w:r>
      <w:r>
        <w:t>.</w:t>
      </w:r>
    </w:p>
    <w:p w14:paraId="4305FE64" w14:textId="2430D21E" w:rsidR="00A10C2C" w:rsidRDefault="00000000">
      <w:pPr>
        <w:spacing w:before="0" w:after="0"/>
      </w:pPr>
      <w:r>
        <w:t>In the case of a patient, a therapist can be observed performing some daily activities at home and may notice the challenges and modify therapy methods to suit his/her needs.</w:t>
      </w:r>
    </w:p>
    <w:p w14:paraId="57FD186B" w14:textId="19D6811D" w:rsidR="00A10C2C" w:rsidRDefault="00000000">
      <w:pPr>
        <w:spacing w:before="0" w:after="0"/>
      </w:pPr>
      <w:r>
        <w:t>Patient shadowing increases emotional awareness, which allows the therapists to deliver more empathetic and individualised care.</w:t>
      </w:r>
    </w:p>
    <w:p w14:paraId="7466A4E4" w14:textId="77777777" w:rsidR="00BF7A54" w:rsidRDefault="00BF7A54">
      <w:pPr>
        <w:pStyle w:val="Heading1"/>
        <w:spacing w:before="0" w:after="0"/>
      </w:pPr>
      <w:bookmarkStart w:id="6" w:name="_pf5u1fourl5q" w:colFirst="0" w:colLast="0"/>
      <w:bookmarkEnd w:id="6"/>
    </w:p>
    <w:p w14:paraId="239EB5C3" w14:textId="05A3B515" w:rsidR="00A10C2C" w:rsidRDefault="00000000">
      <w:pPr>
        <w:pStyle w:val="Heading1"/>
        <w:spacing w:before="0" w:after="0"/>
      </w:pPr>
      <w:r>
        <w:t>4. Conclusion</w:t>
      </w:r>
    </w:p>
    <w:p w14:paraId="1AAFBB1B" w14:textId="7E74AEF2" w:rsidR="00A10C2C" w:rsidRDefault="00000000">
      <w:pPr>
        <w:spacing w:before="0" w:after="0"/>
      </w:pPr>
      <w:r>
        <w:t xml:space="preserve">Finally, </w:t>
      </w:r>
      <w:r w:rsidR="00825F40">
        <w:t>O</w:t>
      </w:r>
      <w:r>
        <w:t xml:space="preserve">ccupational </w:t>
      </w:r>
      <w:r w:rsidR="00825F40">
        <w:t>T</w:t>
      </w:r>
      <w:r>
        <w:t>herapists are crucial in ensuring safe and quality care delivery through the provision of independence and well-being to patients. The key skills to succeed in this job are effective communication, problem-solving, and empathy, and these skills may be reinforced with the help of role-playing, reflective journaling, and patient shadowing. In general, the creation of such skills will provide patients with individualised, sympathetic, and efficient services, and the need to constantly improve professionally to promote high standards in health and social care.</w:t>
      </w:r>
      <w:r>
        <w:br w:type="page"/>
      </w:r>
    </w:p>
    <w:p w14:paraId="62A9B64D" w14:textId="77777777" w:rsidR="00A10C2C" w:rsidRDefault="00000000">
      <w:pPr>
        <w:pStyle w:val="Heading1"/>
        <w:spacing w:before="0" w:after="0"/>
      </w:pPr>
      <w:bookmarkStart w:id="7" w:name="_tbrkxnqt0edv" w:colFirst="0" w:colLast="0"/>
      <w:bookmarkEnd w:id="7"/>
      <w:r>
        <w:lastRenderedPageBreak/>
        <w:t>5. Reference List</w:t>
      </w:r>
    </w:p>
    <w:p w14:paraId="23C38A5B" w14:textId="77777777" w:rsidR="00A10C2C" w:rsidRDefault="00000000">
      <w:pPr>
        <w:spacing w:before="0" w:after="0"/>
        <w:rPr>
          <w:highlight w:val="white"/>
        </w:rPr>
      </w:pPr>
      <w:r>
        <w:rPr>
          <w:highlight w:val="white"/>
        </w:rPr>
        <w:t xml:space="preserve">Atchison, B. and Dirette, D., 2023. </w:t>
      </w:r>
      <w:r>
        <w:rPr>
          <w:i/>
          <w:iCs/>
          <w:highlight w:val="white"/>
        </w:rPr>
        <w:t>Conditions in occupational therapy: Effect on occupational performance</w:t>
      </w:r>
      <w:r>
        <w:rPr>
          <w:highlight w:val="white"/>
        </w:rPr>
        <w:t>. Lippincott Williams &amp; Wilkins.</w:t>
      </w:r>
    </w:p>
    <w:p w14:paraId="1F9F8B7E" w14:textId="77777777" w:rsidR="00A10C2C" w:rsidRDefault="00000000">
      <w:pPr>
        <w:spacing w:before="0" w:after="0"/>
        <w:rPr>
          <w:highlight w:val="white"/>
        </w:rPr>
      </w:pPr>
      <w:r>
        <w:rPr>
          <w:highlight w:val="white"/>
        </w:rPr>
        <w:t xml:space="preserve">Christiansen, C.H., Bass, J. and Baum, C.M., 2024. </w:t>
      </w:r>
      <w:r>
        <w:rPr>
          <w:i/>
          <w:iCs/>
          <w:highlight w:val="white"/>
        </w:rPr>
        <w:t>Occupational therapy: Performance, participation, and well-being</w:t>
      </w:r>
      <w:r>
        <w:rPr>
          <w:highlight w:val="white"/>
        </w:rPr>
        <w:t>. Taylor &amp; Francis.</w:t>
      </w:r>
    </w:p>
    <w:p w14:paraId="46B730B9" w14:textId="77777777" w:rsidR="00A10C2C" w:rsidRDefault="00000000">
      <w:pPr>
        <w:spacing w:before="0" w:after="0"/>
        <w:rPr>
          <w:highlight w:val="white"/>
        </w:rPr>
      </w:pPr>
      <w:r>
        <w:rPr>
          <w:highlight w:val="white"/>
        </w:rPr>
        <w:t xml:space="preserve">Juba, O.O., Lawal, O., David, J.I. and Olumide, B.F., 2023. Developing and assessing care strategies for dementia patients during unsupervised periods: Balancing safety with independence. </w:t>
      </w:r>
      <w:r>
        <w:rPr>
          <w:i/>
          <w:iCs/>
          <w:highlight w:val="white"/>
        </w:rPr>
        <w:t>International Journal of Advanced Engineering Technologies and Innovations</w:t>
      </w:r>
      <w:r>
        <w:rPr>
          <w:highlight w:val="white"/>
        </w:rPr>
        <w:t xml:space="preserve">, </w:t>
      </w:r>
      <w:r>
        <w:rPr>
          <w:i/>
          <w:iCs/>
          <w:highlight w:val="white"/>
        </w:rPr>
        <w:t>1</w:t>
      </w:r>
      <w:r>
        <w:rPr>
          <w:highlight w:val="white"/>
        </w:rPr>
        <w:t>(04), pp.322-349.</w:t>
      </w:r>
    </w:p>
    <w:p w14:paraId="7CD4FBC6" w14:textId="77777777" w:rsidR="00A10C2C" w:rsidRDefault="00000000">
      <w:pPr>
        <w:spacing w:before="0" w:after="0"/>
        <w:rPr>
          <w:highlight w:val="white"/>
        </w:rPr>
      </w:pPr>
      <w:r>
        <w:rPr>
          <w:highlight w:val="white"/>
        </w:rPr>
        <w:t xml:space="preserve">Leonard, S.R.K. and Willig, C., 2021. The experience of living with very high empathy: A critical realist, pragmatic approach to exploring objective and subjective layers of the phenomenon. </w:t>
      </w:r>
      <w:r>
        <w:rPr>
          <w:i/>
          <w:iCs/>
          <w:highlight w:val="white"/>
        </w:rPr>
        <w:t>Counselling and psychotherapy research</w:t>
      </w:r>
      <w:r>
        <w:rPr>
          <w:highlight w:val="white"/>
        </w:rPr>
        <w:t xml:space="preserve">, </w:t>
      </w:r>
      <w:r>
        <w:rPr>
          <w:i/>
          <w:iCs/>
          <w:highlight w:val="white"/>
        </w:rPr>
        <w:t>21</w:t>
      </w:r>
      <w:r>
        <w:rPr>
          <w:highlight w:val="white"/>
        </w:rPr>
        <w:t>(1), pp.52-65.</w:t>
      </w:r>
    </w:p>
    <w:p w14:paraId="11CBE194" w14:textId="77777777" w:rsidR="00A10C2C" w:rsidRDefault="00000000">
      <w:pPr>
        <w:spacing w:before="0" w:after="0"/>
        <w:rPr>
          <w:highlight w:val="white"/>
        </w:rPr>
      </w:pPr>
      <w:r>
        <w:rPr>
          <w:highlight w:val="white"/>
        </w:rPr>
        <w:t xml:space="preserve">Lianur, L., Haryani, A. and Putri, M.I., 2025. The Effect of Occupational Therapy on Increasing Functional Independence in Patients with Mental Disorders. </w:t>
      </w:r>
      <w:r>
        <w:rPr>
          <w:i/>
          <w:iCs/>
          <w:highlight w:val="white"/>
        </w:rPr>
        <w:t>International Journal on ObGyn and Health Sciences</w:t>
      </w:r>
      <w:r>
        <w:rPr>
          <w:highlight w:val="white"/>
        </w:rPr>
        <w:t xml:space="preserve">, </w:t>
      </w:r>
      <w:r>
        <w:rPr>
          <w:i/>
          <w:iCs/>
          <w:highlight w:val="white"/>
        </w:rPr>
        <w:t>3</w:t>
      </w:r>
      <w:r>
        <w:rPr>
          <w:highlight w:val="white"/>
        </w:rPr>
        <w:t>(2), pp.38-48.</w:t>
      </w:r>
    </w:p>
    <w:p w14:paraId="5599ADFA" w14:textId="77777777" w:rsidR="00A10C2C" w:rsidRDefault="00000000">
      <w:pPr>
        <w:spacing w:before="0" w:after="0"/>
        <w:rPr>
          <w:highlight w:val="white"/>
        </w:rPr>
      </w:pPr>
      <w:r>
        <w:rPr>
          <w:highlight w:val="white"/>
        </w:rPr>
        <w:t xml:space="preserve">Mallonee, J., Petros, R. and Solomon, P., 2022. Explaining engagement in outpatient therapy among adults with serious mental health conditions by degree of therapeutic alliance, therapist empathy, and perceived coercion. </w:t>
      </w:r>
      <w:r>
        <w:rPr>
          <w:i/>
          <w:iCs/>
          <w:highlight w:val="white"/>
        </w:rPr>
        <w:t>Psychiatric Rehabilitation Journal</w:t>
      </w:r>
      <w:r>
        <w:rPr>
          <w:highlight w:val="white"/>
        </w:rPr>
        <w:t xml:space="preserve">, </w:t>
      </w:r>
      <w:r>
        <w:rPr>
          <w:i/>
          <w:iCs/>
          <w:highlight w:val="white"/>
        </w:rPr>
        <w:t>45</w:t>
      </w:r>
      <w:r>
        <w:rPr>
          <w:highlight w:val="white"/>
        </w:rPr>
        <w:t>(1), p.79.</w:t>
      </w:r>
    </w:p>
    <w:p w14:paraId="03B4270A" w14:textId="77777777" w:rsidR="00A10C2C" w:rsidRDefault="00000000">
      <w:pPr>
        <w:spacing w:before="0" w:after="0"/>
        <w:rPr>
          <w:highlight w:val="white"/>
        </w:rPr>
      </w:pPr>
      <w:r>
        <w:rPr>
          <w:highlight w:val="white"/>
        </w:rPr>
        <w:t xml:space="preserve">Newman, B., Joseph, K., Chauhan, A., Seale, H., Li, J., Manias, E., Walton, M., Mears, S., Jones, B. and Harrison, R., 2021. Do patient engagement interventions work for all patients? A systematic review and realist synthesis of interventions to enhance patient safety. </w:t>
      </w:r>
      <w:r>
        <w:rPr>
          <w:i/>
          <w:iCs/>
          <w:highlight w:val="white"/>
        </w:rPr>
        <w:t>Health Expectations</w:t>
      </w:r>
      <w:r>
        <w:rPr>
          <w:highlight w:val="white"/>
        </w:rPr>
        <w:t xml:space="preserve">, </w:t>
      </w:r>
      <w:r>
        <w:rPr>
          <w:i/>
          <w:iCs/>
          <w:highlight w:val="white"/>
        </w:rPr>
        <w:t>24</w:t>
      </w:r>
      <w:r>
        <w:rPr>
          <w:highlight w:val="white"/>
        </w:rPr>
        <w:t>(6), pp.1905-1923.</w:t>
      </w:r>
    </w:p>
    <w:p w14:paraId="314A6E98" w14:textId="77777777" w:rsidR="00A10C2C" w:rsidRDefault="00000000">
      <w:pPr>
        <w:spacing w:before="0" w:after="0"/>
        <w:rPr>
          <w:highlight w:val="white"/>
        </w:rPr>
      </w:pPr>
      <w:r>
        <w:rPr>
          <w:highlight w:val="white"/>
        </w:rPr>
        <w:t xml:space="preserve">Oosting, I.J., Kluit, L., Schaafsma, F.G., Beumer, A., van Bennekom, C.A., de Boer, A.G. and de Wind, A., 2023. Patients' Experiences, Needs, and Expectations of Cooperation Between Medical Specialists and Occupational Health Physicians: A Qualitative Study. </w:t>
      </w:r>
      <w:r>
        <w:rPr>
          <w:i/>
          <w:iCs/>
          <w:highlight w:val="white"/>
        </w:rPr>
        <w:t>Journal of Occupational and Environmental Medicine</w:t>
      </w:r>
      <w:r>
        <w:rPr>
          <w:highlight w:val="white"/>
        </w:rPr>
        <w:t xml:space="preserve">, </w:t>
      </w:r>
      <w:r>
        <w:rPr>
          <w:i/>
          <w:iCs/>
          <w:highlight w:val="white"/>
        </w:rPr>
        <w:t>65</w:t>
      </w:r>
      <w:r>
        <w:rPr>
          <w:highlight w:val="white"/>
        </w:rPr>
        <w:t>(6), pp e395-e401.</w:t>
      </w:r>
    </w:p>
    <w:p w14:paraId="0F818D65" w14:textId="77777777" w:rsidR="00A10C2C" w:rsidRDefault="00000000">
      <w:pPr>
        <w:spacing w:before="0" w:after="0"/>
        <w:rPr>
          <w:highlight w:val="white"/>
        </w:rPr>
      </w:pPr>
      <w:r>
        <w:rPr>
          <w:highlight w:val="white"/>
        </w:rPr>
        <w:t xml:space="preserve">Qudrat-Ullah, H., 2025. Learning from Mistakes. In </w:t>
      </w:r>
      <w:r>
        <w:rPr>
          <w:i/>
          <w:iCs/>
          <w:highlight w:val="white"/>
        </w:rPr>
        <w:t>Mastering Decision-Making in Business and Personal Life: An Interdisciplinary Perspective on Making Better Choices</w:t>
      </w:r>
      <w:r>
        <w:rPr>
          <w:highlight w:val="white"/>
        </w:rPr>
        <w:t xml:space="preserve"> (pp. 363-400). Cham: Springer Nature Switzerland.</w:t>
      </w:r>
    </w:p>
    <w:p w14:paraId="781A1CCD" w14:textId="77777777" w:rsidR="00A10C2C" w:rsidRDefault="00000000">
      <w:pPr>
        <w:spacing w:before="0" w:after="0"/>
        <w:rPr>
          <w:highlight w:val="white"/>
        </w:rPr>
      </w:pPr>
      <w:r>
        <w:rPr>
          <w:highlight w:val="white"/>
        </w:rPr>
        <w:t xml:space="preserve">Watermeyer, J., Beukes, J., Ruch, A. and Pretorius, D., 2025. Medical students’ communication skills in peer role-plays: An exploratory observational study. </w:t>
      </w:r>
      <w:r>
        <w:rPr>
          <w:i/>
          <w:iCs/>
          <w:highlight w:val="white"/>
        </w:rPr>
        <w:t>African Journal of Primary Health Care &amp; Family Medicine</w:t>
      </w:r>
      <w:r>
        <w:rPr>
          <w:highlight w:val="white"/>
        </w:rPr>
        <w:t xml:space="preserve">, </w:t>
      </w:r>
      <w:r>
        <w:rPr>
          <w:i/>
          <w:iCs/>
          <w:highlight w:val="white"/>
        </w:rPr>
        <w:t>17</w:t>
      </w:r>
      <w:r>
        <w:rPr>
          <w:highlight w:val="white"/>
        </w:rPr>
        <w:t>(1), p.4926.</w:t>
      </w:r>
    </w:p>
    <w:p w14:paraId="1CCFDEC2" w14:textId="77777777" w:rsidR="00A10C2C" w:rsidRDefault="00A10C2C">
      <w:pPr>
        <w:spacing w:before="0" w:after="0"/>
      </w:pPr>
    </w:p>
    <w:sectPr w:rsidR="00A10C2C">
      <w:footerReference w:type="defaul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F94A3" w14:textId="77777777" w:rsidR="00343ED9" w:rsidRDefault="00343ED9">
      <w:pPr>
        <w:spacing w:before="0" w:after="0" w:line="240" w:lineRule="auto"/>
      </w:pPr>
      <w:r>
        <w:separator/>
      </w:r>
    </w:p>
  </w:endnote>
  <w:endnote w:type="continuationSeparator" w:id="0">
    <w:p w14:paraId="215D95EB" w14:textId="77777777" w:rsidR="00343ED9" w:rsidRDefault="00343ED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Quattrocento Sans">
    <w:altName w:val="Quattrocento Sans"/>
    <w:charset w:val="00"/>
    <w:family w:val="swiss"/>
    <w:pitch w:val="variable"/>
    <w:sig w:usb0="800000BF" w:usb1="4000005B" w:usb2="00000000" w:usb3="00000000" w:csb0="00000001" w:csb1="00000000"/>
    <w:embedRegular r:id="rId1" w:fontKey="{2C19E9AB-253E-47B6-909A-8263B76E64E9}"/>
  </w:font>
  <w:font w:name="SimSun">
    <w:altName w:val="宋体"/>
    <w:panose1 w:val="02010600030101010101"/>
    <w:charset w:val="86"/>
    <w:family w:val="auto"/>
    <w:pitch w:val="variable"/>
    <w:sig w:usb0="000002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embedRegular r:id="rId2" w:fontKey="{5249A998-D7F3-4597-A445-FF496F111448}"/>
  </w:font>
  <w:font w:name="Calibri">
    <w:panose1 w:val="020F0502020204030204"/>
    <w:charset w:val="00"/>
    <w:family w:val="swiss"/>
    <w:pitch w:val="variable"/>
    <w:sig w:usb0="E4002EFF" w:usb1="C200247B" w:usb2="00000009" w:usb3="00000000" w:csb0="000001FF" w:csb1="00000000"/>
    <w:embedRegular r:id="rId3" w:fontKey="{4E2C4169-36B0-45B7-8191-D28EB74E46F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B5378" w14:textId="77777777" w:rsidR="00A10C2C" w:rsidRDefault="00000000">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7</w:t>
    </w:r>
    <w:r>
      <w:rPr>
        <w:color w:val="000000"/>
      </w:rPr>
      <w:fldChar w:fldCharType="end"/>
    </w:r>
  </w:p>
  <w:p w14:paraId="10DE177C" w14:textId="77777777" w:rsidR="00A10C2C" w:rsidRDefault="00A10C2C">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50532" w14:textId="77777777" w:rsidR="00343ED9" w:rsidRDefault="00343ED9">
      <w:pPr>
        <w:spacing w:before="0" w:after="0" w:line="240" w:lineRule="auto"/>
      </w:pPr>
      <w:r>
        <w:separator/>
      </w:r>
    </w:p>
  </w:footnote>
  <w:footnote w:type="continuationSeparator" w:id="0">
    <w:p w14:paraId="27062EE2" w14:textId="77777777" w:rsidR="00343ED9" w:rsidRDefault="00343ED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3D6D21"/>
    <w:multiLevelType w:val="hybridMultilevel"/>
    <w:tmpl w:val="00000000"/>
    <w:lvl w:ilvl="0" w:tplc="4FB4049A">
      <w:start w:val="1"/>
      <w:numFmt w:val="bullet"/>
      <w:lvlText w:val="●"/>
      <w:lvlJc w:val="left"/>
      <w:pPr>
        <w:ind w:left="720" w:hanging="360"/>
      </w:pPr>
      <w:rPr>
        <w:u w:val="none"/>
      </w:rPr>
    </w:lvl>
    <w:lvl w:ilvl="1" w:tplc="CC1CCF22">
      <w:start w:val="1"/>
      <w:numFmt w:val="bullet"/>
      <w:lvlText w:val="○"/>
      <w:lvlJc w:val="left"/>
      <w:pPr>
        <w:ind w:left="1440" w:hanging="360"/>
      </w:pPr>
      <w:rPr>
        <w:u w:val="none"/>
      </w:rPr>
    </w:lvl>
    <w:lvl w:ilvl="2" w:tplc="FF0C19B4">
      <w:start w:val="1"/>
      <w:numFmt w:val="bullet"/>
      <w:lvlText w:val="■"/>
      <w:lvlJc w:val="left"/>
      <w:pPr>
        <w:ind w:left="2160" w:hanging="360"/>
      </w:pPr>
      <w:rPr>
        <w:u w:val="none"/>
      </w:rPr>
    </w:lvl>
    <w:lvl w:ilvl="3" w:tplc="7FBA9470">
      <w:start w:val="1"/>
      <w:numFmt w:val="bullet"/>
      <w:lvlText w:val="●"/>
      <w:lvlJc w:val="left"/>
      <w:pPr>
        <w:ind w:left="2880" w:hanging="360"/>
      </w:pPr>
      <w:rPr>
        <w:u w:val="none"/>
      </w:rPr>
    </w:lvl>
    <w:lvl w:ilvl="4" w:tplc="39DABE12">
      <w:start w:val="1"/>
      <w:numFmt w:val="bullet"/>
      <w:lvlText w:val="○"/>
      <w:lvlJc w:val="left"/>
      <w:pPr>
        <w:ind w:left="3600" w:hanging="360"/>
      </w:pPr>
      <w:rPr>
        <w:u w:val="none"/>
      </w:rPr>
    </w:lvl>
    <w:lvl w:ilvl="5" w:tplc="2BF850FA">
      <w:start w:val="1"/>
      <w:numFmt w:val="bullet"/>
      <w:lvlText w:val="■"/>
      <w:lvlJc w:val="left"/>
      <w:pPr>
        <w:ind w:left="4320" w:hanging="360"/>
      </w:pPr>
      <w:rPr>
        <w:u w:val="none"/>
      </w:rPr>
    </w:lvl>
    <w:lvl w:ilvl="6" w:tplc="F360433C">
      <w:start w:val="1"/>
      <w:numFmt w:val="bullet"/>
      <w:lvlText w:val="●"/>
      <w:lvlJc w:val="left"/>
      <w:pPr>
        <w:ind w:left="5040" w:hanging="360"/>
      </w:pPr>
      <w:rPr>
        <w:u w:val="none"/>
      </w:rPr>
    </w:lvl>
    <w:lvl w:ilvl="7" w:tplc="D3342208">
      <w:start w:val="1"/>
      <w:numFmt w:val="bullet"/>
      <w:lvlText w:val="○"/>
      <w:lvlJc w:val="left"/>
      <w:pPr>
        <w:ind w:left="5760" w:hanging="360"/>
      </w:pPr>
      <w:rPr>
        <w:u w:val="none"/>
      </w:rPr>
    </w:lvl>
    <w:lvl w:ilvl="8" w:tplc="D88C1A88">
      <w:start w:val="1"/>
      <w:numFmt w:val="bullet"/>
      <w:lvlText w:val="■"/>
      <w:lvlJc w:val="left"/>
      <w:pPr>
        <w:ind w:left="6480" w:hanging="360"/>
      </w:pPr>
      <w:rPr>
        <w:u w:val="none"/>
      </w:rPr>
    </w:lvl>
  </w:abstractNum>
  <w:num w:numId="1" w16cid:durableId="1383561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0C2C"/>
    <w:rsid w:val="000A68C2"/>
    <w:rsid w:val="001B5444"/>
    <w:rsid w:val="00205EAF"/>
    <w:rsid w:val="00342373"/>
    <w:rsid w:val="00343ED9"/>
    <w:rsid w:val="003D022D"/>
    <w:rsid w:val="005C5F6B"/>
    <w:rsid w:val="00731D0F"/>
    <w:rsid w:val="00741383"/>
    <w:rsid w:val="007506F1"/>
    <w:rsid w:val="00825F40"/>
    <w:rsid w:val="00A10C2C"/>
    <w:rsid w:val="00A95D67"/>
    <w:rsid w:val="00BA0DEF"/>
    <w:rsid w:val="00BF7A54"/>
    <w:rsid w:val="00C17E84"/>
    <w:rsid w:val="00C929CD"/>
    <w:rsid w:val="00CF634B"/>
    <w:rsid w:val="00D85DA2"/>
    <w:rsid w:val="00DF6B4A"/>
    <w:rsid w:val="00EF64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FC29A"/>
  <w15:docId w15:val="{3CF9503A-EE82-4F48-AA01-1731A1618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before="40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32"/>
      <w:szCs w:val="32"/>
    </w:rPr>
  </w:style>
  <w:style w:type="paragraph" w:styleId="Heading2">
    <w:name w:val="heading 2"/>
    <w:basedOn w:val="Normal"/>
    <w:next w:val="Normal"/>
    <w:uiPriority w:val="9"/>
    <w:unhideWhenUsed/>
    <w:qFormat/>
    <w:pPr>
      <w:keepNext/>
      <w:keepLines/>
      <w:spacing w:before="360"/>
      <w:outlineLvl w:val="1"/>
    </w:pPr>
    <w:rPr>
      <w:b/>
      <w:bCs/>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customStyle="1" w:styleId="Normal10">
    <w:name w:val="Normal1_0"/>
  </w:style>
  <w:style w:type="table" w:customStyle="1" w:styleId="TableNormal10">
    <w:name w:val="Table Normal1_0"/>
    <w:tblPr>
      <w:tblCellMar>
        <w:top w:w="0" w:type="dxa"/>
        <w:left w:w="0" w:type="dxa"/>
        <w:bottom w:w="0" w:type="dxa"/>
        <w:right w:w="0" w:type="dxa"/>
      </w:tblCellMar>
    </w:tblPr>
  </w:style>
  <w:style w:type="table" w:customStyle="1" w:styleId="TableNormal100">
    <w:name w:val="Table Normal1_0_0"/>
    <w:tblPr>
      <w:tblCellMar>
        <w:top w:w="0" w:type="dxa"/>
        <w:left w:w="0" w:type="dxa"/>
        <w:bottom w:w="0" w:type="dxa"/>
        <w:right w:w="0" w:type="dxa"/>
      </w:tblCellMar>
    </w:tblPr>
  </w:style>
  <w:style w:type="paragraph" w:styleId="Header">
    <w:name w:val="header"/>
    <w:basedOn w:val="Normal"/>
    <w:link w:val="HeaderChar"/>
    <w:uiPriority w:val="99"/>
    <w:pPr>
      <w:tabs>
        <w:tab w:val="center" w:pos="4513"/>
        <w:tab w:val="right" w:pos="9026"/>
      </w:tabs>
      <w:spacing w:before="0"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513"/>
        <w:tab w:val="right" w:pos="9026"/>
      </w:tabs>
      <w:spacing w:before="0" w:after="0" w:line="240" w:lineRule="auto"/>
    </w:pPr>
  </w:style>
  <w:style w:type="character" w:customStyle="1" w:styleId="FooterChar">
    <w:name w:val="Footer Char"/>
    <w:basedOn w:val="DefaultParagraphFont"/>
    <w:link w:val="Footer"/>
    <w:uiPriority w:val="99"/>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Table1">
    <w:name w:val="Table1"/>
    <w:basedOn w:val="TableNormal"/>
    <w:tblPr>
      <w:tblStyleRowBandSize w:val="1"/>
      <w:tblStyleColBandSize w:val="1"/>
    </w:tblPr>
  </w:style>
  <w:style w:type="table" w:customStyle="1" w:styleId="Table2">
    <w:name w:val="Table2"/>
    <w:basedOn w:val="TableNormal"/>
    <w:tblPr>
      <w:tblStyleRowBandSize w:val="1"/>
      <w:tblStyleColBandSize w:val="1"/>
    </w:tblPr>
  </w:style>
  <w:style w:type="table" w:customStyle="1" w:styleId="Table3">
    <w:name w:val="Table3"/>
    <w:basedOn w:val="TableNormal"/>
    <w:tblPr>
      <w:tblStyleRowBandSize w:val="1"/>
      <w:tblStyleColBandSize w:val="1"/>
    </w:tblPr>
  </w:style>
  <w:style w:type="table" w:customStyle="1" w:styleId="Table4">
    <w:name w:val="Table4"/>
    <w:basedOn w:val="TableNormal"/>
    <w:pPr>
      <w:spacing w:before="0" w:after="200"/>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pxR7/YHgVU7BEoc3Q5DsPNWOaQ==">CgMxLjAaHwoBMBIaChgICVIUChJ0YWJsZS52OHV2anliNmZnNm4aHwoBMRIaChgICVIUChJ0YWJsZS5mc2JxOGcyYTFjazgaHwoBMhIaChgICVIUChJ0YWJsZS5oYmFrcjRkbHVkdGYyDmguNjk4cnVvdndmcjhzMg5oLjg4ZDAzbnllaHJ5djIOaC5vbGFwM2d5ejB3em0yDWguZWQ5OGN1NGV4ancyDmguNXRmN3hwcHAycDgzMg5oLnNjamswcjg0MDV3YzIOaC5nMWE1enNrbHh5dzgyDmguNnE5Ynl4MW41eGs0Mg5oLjc0ZjZrOGI2Nzk4cTIOaC5vNzh1bHhqaTl6cmM4AHIhMWN2R1RqeG5sWmV0TzR3V05wcTQwaE9FRS1qaTY0UXNx</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5" ma:contentTypeDescription="Create a new document." ma:contentTypeScope="" ma:versionID="99fac5afd66691ea66d46d3a8cf12c12">
  <xsd:schema xmlns:xsd="http://www.w3.org/2001/XMLSchema" xmlns:xs="http://www.w3.org/2001/XMLSchema" xmlns:p="http://schemas.microsoft.com/office/2006/metadata/properties" xmlns:ns3="716bca3a-9bc9-4129-a185-7ea87f9d73cc" targetNamespace="http://schemas.microsoft.com/office/2006/metadata/properties" ma:root="true" ma:fieldsID="b0e841025a8a444ee6791792f82144e5"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2FAECD-DC16-4FC3-A81E-6DE06047A194}">
  <ds:schemaRefs>
    <ds:schemaRef ds:uri="http://schemas.microsoft.com/sharepoint/v3/contenttype/forms"/>
  </ds:schemaRefs>
</ds:datastoreItem>
</file>

<file path=customXml/itemProps2.xml><?xml version="1.0" encoding="utf-8"?>
<ds:datastoreItem xmlns:ds="http://schemas.openxmlformats.org/officeDocument/2006/customXml" ds:itemID="{573BB2E0-73FA-4131-BB9F-EB4CB88F1AF6}">
  <ds:schemaRefs>
    <ds:schemaRef ds:uri="http://schemas.microsoft.com/office/2006/metadata/properties"/>
    <ds:schemaRef ds:uri="http://schemas.microsoft.com/office/infopath/2007/PartnerControls"/>
    <ds:schemaRef ds:uri="716bca3a-9bc9-4129-a185-7ea87f9d73cc"/>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B43F8668-EC99-42E5-8020-E9F54F51BB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1737</Words>
  <Characters>9906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WPS Office</dc:creator>
  <cp:lastModifiedBy>Jenny Elizabeth Torres Crespo (2511145)</cp:lastModifiedBy>
  <cp:revision>3</cp:revision>
  <dcterms:created xsi:type="dcterms:W3CDTF">2025-12-07T22:00:00Z</dcterms:created>
  <dcterms:modified xsi:type="dcterms:W3CDTF">2025-12-07T22:09:00Z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a46a56c983d14e03b682b628ef19f0b0</vt:lpwstr>
  </property>
  <property fmtid="{D5CDD505-2E9C-101B-9397-08002B2CF9AE}" pid="3" name="ContentTypeId">
    <vt:lpwstr>0x010100EC7AA10F5A1D3A4F887C4BB63AD5C124</vt:lpwstr>
  </property>
</Properties>
</file>