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Ind w:w="390" w:type="dxa"/>
        <w:tblLook w:val="06A0" w:firstRow="1" w:lastRow="0" w:firstColumn="1" w:lastColumn="0" w:noHBand="1" w:noVBand="1"/>
      </w:tblPr>
      <w:tblGrid>
        <w:gridCol w:w="2014"/>
        <w:gridCol w:w="3062"/>
        <w:gridCol w:w="3874"/>
      </w:tblGrid>
      <w:tr w:rsidRPr="00441462" w:rsidR="169FC110" w:rsidTr="1074910E" w14:paraId="075BB7DD" w14:textId="77777777">
        <w:trPr>
          <w:gridAfter w:val="1"/>
          <w:wAfter w:w="4530" w:type="dxa"/>
          <w:trHeight w:val="300"/>
        </w:trPr>
        <w:tc>
          <w:tcPr>
            <w:tcW w:w="2100" w:type="dxa"/>
            <w:tcBorders>
              <w:top w:val="single" w:color="auto" w:sz="8" w:space="0"/>
              <w:left w:val="single" w:color="auto" w:sz="8" w:space="0"/>
              <w:bottom w:val="single" w:color="auto" w:sz="8" w:space="0"/>
              <w:right w:val="single" w:color="auto" w:sz="8" w:space="0"/>
            </w:tcBorders>
            <w:tcMar>
              <w:left w:w="108" w:type="dxa"/>
              <w:right w:w="108" w:type="dxa"/>
            </w:tcMar>
          </w:tcPr>
          <w:p w:rsidRPr="00441462" w:rsidR="169FC110" w:rsidP="1074910E" w:rsidRDefault="169FC110" w14:paraId="3F92880B" w14:textId="55333968">
            <w:pPr>
              <w:spacing w:before="120" w:after="120" w:line="360" w:lineRule="auto"/>
              <w:jc w:val="both"/>
              <w:rPr>
                <w:rFonts w:ascii="Arial" w:hAnsi="Arial" w:eastAsia="Arial" w:cs="Arial" w:asciiTheme="minorAscii" w:hAnsiTheme="minorAscii" w:eastAsiaTheme="minorAscii" w:cstheme="minorAscii"/>
                <w:color w:val="000000" w:themeColor="text1"/>
                <w:sz w:val="22"/>
                <w:szCs w:val="22"/>
              </w:rPr>
            </w:pPr>
            <w:r w:rsidRPr="1074910E" w:rsidR="631A6754">
              <w:rPr>
                <w:rFonts w:ascii="Arial" w:hAnsi="Arial" w:eastAsia="Arial" w:cs="Arial" w:asciiTheme="minorAscii" w:hAnsiTheme="minorAscii" w:eastAsiaTheme="minorAscii" w:cstheme="minorAscii"/>
                <w:b w:val="1"/>
                <w:bCs w:val="1"/>
                <w:color w:val="000000" w:themeColor="text1" w:themeTint="FF" w:themeShade="FF"/>
                <w:sz w:val="22"/>
                <w:szCs w:val="22"/>
              </w:rPr>
              <w:t>Student name:</w:t>
            </w:r>
          </w:p>
        </w:tc>
        <w:tc>
          <w:tcPr>
            <w:tcW w:w="3300" w:type="dxa"/>
            <w:tcBorders>
              <w:top w:val="single" w:color="auto" w:sz="8" w:space="0"/>
              <w:left w:val="single" w:color="auto" w:sz="8" w:space="0"/>
              <w:bottom w:val="single" w:color="auto" w:sz="8" w:space="0"/>
              <w:right w:val="single" w:color="auto" w:sz="8" w:space="0"/>
            </w:tcBorders>
            <w:tcMar>
              <w:left w:w="108" w:type="dxa"/>
              <w:right w:w="108" w:type="dxa"/>
            </w:tcMar>
          </w:tcPr>
          <w:p w:rsidRPr="00441462" w:rsidR="0FF13143" w:rsidP="1074910E" w:rsidRDefault="0FF13143" w14:paraId="4BC4CB82" w14:textId="7D320700">
            <w:pPr>
              <w:spacing w:before="120" w:after="120" w:line="360" w:lineRule="auto"/>
              <w:jc w:val="both"/>
              <w:rPr>
                <w:rFonts w:ascii="Arial" w:hAnsi="Arial" w:eastAsia="Arial" w:cs="Arial" w:asciiTheme="minorAscii" w:hAnsiTheme="minorAscii" w:eastAsiaTheme="minorAscii" w:cstheme="minorAscii"/>
                <w:color w:val="000000" w:themeColor="text1"/>
                <w:sz w:val="22"/>
                <w:szCs w:val="22"/>
              </w:rPr>
            </w:pPr>
            <w:r w:rsidRPr="1074910E" w:rsidR="7BE71BE4">
              <w:rPr>
                <w:rFonts w:ascii="Arial" w:hAnsi="Arial" w:eastAsia="Arial" w:cs="Arial" w:asciiTheme="minorAscii" w:hAnsiTheme="minorAscii" w:eastAsiaTheme="minorAscii" w:cstheme="minorAscii"/>
                <w:b w:val="1"/>
                <w:bCs w:val="1"/>
                <w:color w:val="000000" w:themeColor="text1" w:themeTint="FF" w:themeShade="FF"/>
                <w:sz w:val="22"/>
                <w:szCs w:val="22"/>
              </w:rPr>
              <w:t>Desislava Markova</w:t>
            </w:r>
          </w:p>
        </w:tc>
      </w:tr>
      <w:tr w:rsidRPr="00441462" w:rsidR="169FC110" w:rsidTr="1074910E" w14:paraId="0A9CADEB" w14:textId="77777777">
        <w:trPr>
          <w:gridAfter w:val="1"/>
          <w:wAfter w:w="4530" w:type="dxa"/>
          <w:trHeight w:val="300"/>
        </w:trPr>
        <w:tc>
          <w:tcPr>
            <w:tcW w:w="2100" w:type="dxa"/>
            <w:tcBorders>
              <w:top w:val="single" w:color="auto" w:sz="8" w:space="0"/>
              <w:left w:val="single" w:color="auto" w:sz="8" w:space="0"/>
              <w:bottom w:val="single" w:color="auto" w:sz="8" w:space="0"/>
              <w:right w:val="single" w:color="auto" w:sz="8" w:space="0"/>
            </w:tcBorders>
            <w:tcMar>
              <w:left w:w="108" w:type="dxa"/>
              <w:right w:w="108" w:type="dxa"/>
            </w:tcMar>
          </w:tcPr>
          <w:p w:rsidRPr="00441462" w:rsidR="0FF13143" w:rsidP="1074910E" w:rsidRDefault="0FF13143" w14:paraId="7A99866A" w14:textId="3B69FF62">
            <w:pPr>
              <w:spacing w:line="360" w:lineRule="auto"/>
              <w:jc w:val="both"/>
              <w:rPr>
                <w:rFonts w:ascii="Arial" w:hAnsi="Arial" w:eastAsia="Arial" w:cs="Arial" w:asciiTheme="minorAscii" w:hAnsiTheme="minorAscii" w:eastAsiaTheme="minorAscii" w:cstheme="minorAscii"/>
                <w:b w:val="1"/>
                <w:bCs w:val="1"/>
                <w:color w:val="000000" w:themeColor="text1"/>
                <w:sz w:val="22"/>
                <w:szCs w:val="22"/>
              </w:rPr>
            </w:pPr>
            <w:r w:rsidRPr="1074910E" w:rsidR="7BE71BE4">
              <w:rPr>
                <w:rFonts w:ascii="Arial" w:hAnsi="Arial" w:eastAsia="Arial" w:cs="Arial" w:asciiTheme="minorAscii" w:hAnsiTheme="minorAscii" w:eastAsiaTheme="minorAscii" w:cstheme="minorAscii"/>
                <w:b w:val="1"/>
                <w:bCs w:val="1"/>
                <w:color w:val="000000" w:themeColor="text1" w:themeTint="FF" w:themeShade="FF"/>
                <w:sz w:val="22"/>
                <w:szCs w:val="22"/>
              </w:rPr>
              <w:t>Student num</w:t>
            </w:r>
            <w:r w:rsidRPr="1074910E" w:rsidR="5A9F7530">
              <w:rPr>
                <w:rFonts w:ascii="Arial" w:hAnsi="Arial" w:eastAsia="Arial" w:cs="Arial" w:asciiTheme="minorAscii" w:hAnsiTheme="minorAscii" w:eastAsiaTheme="minorAscii" w:cstheme="minorAscii"/>
                <w:b w:val="1"/>
                <w:bCs w:val="1"/>
                <w:color w:val="000000" w:themeColor="text1" w:themeTint="FF" w:themeShade="FF"/>
                <w:sz w:val="22"/>
                <w:szCs w:val="22"/>
              </w:rPr>
              <w:t>ber:</w:t>
            </w:r>
          </w:p>
        </w:tc>
        <w:tc>
          <w:tcPr>
            <w:tcW w:w="3300" w:type="dxa"/>
            <w:tcBorders>
              <w:top w:val="single" w:color="auto" w:sz="8" w:space="0"/>
              <w:left w:val="single" w:color="auto" w:sz="8" w:space="0"/>
              <w:bottom w:val="single" w:color="auto" w:sz="8" w:space="0"/>
              <w:right w:val="single" w:color="auto" w:sz="8" w:space="0"/>
            </w:tcBorders>
            <w:tcMar>
              <w:left w:w="108" w:type="dxa"/>
              <w:right w:w="108" w:type="dxa"/>
            </w:tcMar>
          </w:tcPr>
          <w:p w:rsidRPr="00441462" w:rsidR="6314F0E9" w:rsidP="1074910E" w:rsidRDefault="6314F0E9" w14:paraId="409D356F" w14:textId="572F918A">
            <w:pPr>
              <w:spacing w:line="360" w:lineRule="auto"/>
              <w:jc w:val="both"/>
              <w:rPr>
                <w:rFonts w:ascii="Arial" w:hAnsi="Arial" w:eastAsia="Arial" w:cs="Arial" w:asciiTheme="minorAscii" w:hAnsiTheme="minorAscii" w:eastAsiaTheme="minorAscii" w:cstheme="minorAscii"/>
                <w:color w:val="000000" w:themeColor="text1"/>
                <w:sz w:val="22"/>
                <w:szCs w:val="22"/>
              </w:rPr>
            </w:pPr>
            <w:r w:rsidRPr="1074910E" w:rsidR="5A9F7530">
              <w:rPr>
                <w:rFonts w:ascii="Arial" w:hAnsi="Arial" w:eastAsia="Arial" w:cs="Arial" w:asciiTheme="minorAscii" w:hAnsiTheme="minorAscii" w:eastAsiaTheme="minorAscii" w:cstheme="minorAscii"/>
                <w:b w:val="1"/>
                <w:bCs w:val="1"/>
                <w:color w:val="000000" w:themeColor="text1" w:themeTint="FF" w:themeShade="FF"/>
                <w:sz w:val="22"/>
                <w:szCs w:val="22"/>
              </w:rPr>
              <w:t>2512936</w:t>
            </w:r>
          </w:p>
        </w:tc>
      </w:tr>
      <w:tr w:rsidRPr="00441462" w:rsidR="169FC110" w:rsidTr="1074910E" w14:paraId="5A715832" w14:textId="77777777">
        <w:trPr>
          <w:trHeight w:val="300"/>
        </w:trPr>
        <w:tc>
          <w:tcPr>
            <w:tcW w:w="2100" w:type="dxa"/>
            <w:tcBorders>
              <w:top w:val="single" w:color="auto" w:sz="8" w:space="0"/>
              <w:left w:val="single" w:color="auto" w:sz="8" w:space="0"/>
              <w:bottom w:val="single" w:color="auto" w:sz="8" w:space="0"/>
              <w:right w:val="single" w:color="auto" w:sz="8" w:space="0"/>
            </w:tcBorders>
            <w:tcMar>
              <w:left w:w="108" w:type="dxa"/>
              <w:right w:w="108" w:type="dxa"/>
            </w:tcMar>
          </w:tcPr>
          <w:p w:rsidRPr="00441462" w:rsidR="169FC110" w:rsidP="1074910E" w:rsidRDefault="169FC110" w14:paraId="6834B325" w14:textId="0B478AD0">
            <w:pPr>
              <w:spacing w:before="120" w:after="120" w:line="360" w:lineRule="auto"/>
              <w:jc w:val="both"/>
              <w:rPr>
                <w:rFonts w:ascii="Arial" w:hAnsi="Arial" w:eastAsia="Arial" w:cs="Arial" w:asciiTheme="minorAscii" w:hAnsiTheme="minorAscii" w:eastAsiaTheme="minorAscii" w:cstheme="minorAscii"/>
                <w:color w:val="000000" w:themeColor="text1"/>
                <w:sz w:val="22"/>
                <w:szCs w:val="22"/>
              </w:rPr>
            </w:pPr>
            <w:r w:rsidRPr="1074910E" w:rsidR="631A6754">
              <w:rPr>
                <w:rFonts w:ascii="Arial" w:hAnsi="Arial" w:eastAsia="Arial" w:cs="Arial" w:asciiTheme="minorAscii" w:hAnsiTheme="minorAscii" w:eastAsiaTheme="minorAscii" w:cstheme="minorAscii"/>
                <w:b w:val="1"/>
                <w:bCs w:val="1"/>
                <w:color w:val="000000" w:themeColor="text1" w:themeTint="FF" w:themeShade="FF"/>
                <w:sz w:val="22"/>
                <w:szCs w:val="22"/>
              </w:rPr>
              <w:t>Programme:</w:t>
            </w:r>
          </w:p>
        </w:tc>
        <w:tc>
          <w:tcPr>
            <w:tcW w:w="7830"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Pr="00441462" w:rsidR="169FC110" w:rsidP="1074910E" w:rsidRDefault="169FC110" w14:paraId="4B139578" w14:textId="61906ECA">
            <w:pPr>
              <w:spacing w:before="120" w:after="120" w:line="360" w:lineRule="auto"/>
              <w:jc w:val="both"/>
              <w:rPr>
                <w:rFonts w:ascii="Arial" w:hAnsi="Arial" w:eastAsia="Arial" w:cs="Arial" w:asciiTheme="minorAscii" w:hAnsiTheme="minorAscii" w:eastAsiaTheme="minorAscii" w:cstheme="minorAscii"/>
                <w:color w:val="000000" w:themeColor="text1"/>
                <w:sz w:val="22"/>
                <w:szCs w:val="22"/>
              </w:rPr>
            </w:pPr>
            <w:r w:rsidRPr="1074910E" w:rsidR="631A6754">
              <w:rPr>
                <w:rFonts w:ascii="Arial" w:hAnsi="Arial" w:eastAsia="Arial" w:cs="Arial" w:asciiTheme="minorAscii" w:hAnsiTheme="minorAscii" w:eastAsiaTheme="minorAscii" w:cstheme="minorAscii"/>
                <w:b w:val="1"/>
                <w:bCs w:val="1"/>
                <w:color w:val="000000" w:themeColor="text1" w:themeTint="FF" w:themeShade="FF"/>
                <w:sz w:val="22"/>
                <w:szCs w:val="22"/>
              </w:rPr>
              <w:t>MSc Public Health and Social Care in Practice</w:t>
            </w:r>
          </w:p>
        </w:tc>
      </w:tr>
      <w:tr w:rsidRPr="00441462" w:rsidR="169FC110" w:rsidTr="1074910E" w14:paraId="0B19A170" w14:textId="77777777">
        <w:trPr>
          <w:trHeight w:val="300"/>
        </w:trPr>
        <w:tc>
          <w:tcPr>
            <w:tcW w:w="2100" w:type="dxa"/>
            <w:tcBorders>
              <w:top w:val="single" w:color="auto" w:sz="8" w:space="0"/>
              <w:left w:val="single" w:color="auto" w:sz="8" w:space="0"/>
              <w:bottom w:val="single" w:color="auto" w:sz="8" w:space="0"/>
              <w:right w:val="single" w:color="auto" w:sz="8" w:space="0"/>
            </w:tcBorders>
            <w:tcMar>
              <w:left w:w="108" w:type="dxa"/>
              <w:right w:w="108" w:type="dxa"/>
            </w:tcMar>
          </w:tcPr>
          <w:p w:rsidRPr="00441462" w:rsidR="169FC110" w:rsidP="1074910E" w:rsidRDefault="169FC110" w14:paraId="70B23B98" w14:textId="0BB5E71A">
            <w:pPr>
              <w:spacing w:before="120" w:after="120" w:line="360" w:lineRule="auto"/>
              <w:jc w:val="both"/>
              <w:rPr>
                <w:rFonts w:ascii="Arial" w:hAnsi="Arial" w:eastAsia="Arial" w:cs="Arial" w:asciiTheme="minorAscii" w:hAnsiTheme="minorAscii" w:eastAsiaTheme="minorAscii" w:cstheme="minorAscii"/>
                <w:color w:val="000000" w:themeColor="text1"/>
                <w:sz w:val="22"/>
                <w:szCs w:val="22"/>
              </w:rPr>
            </w:pPr>
            <w:r w:rsidRPr="1074910E" w:rsidR="631A6754">
              <w:rPr>
                <w:rFonts w:ascii="Arial" w:hAnsi="Arial" w:eastAsia="Arial" w:cs="Arial" w:asciiTheme="minorAscii" w:hAnsiTheme="minorAscii" w:eastAsiaTheme="minorAscii" w:cstheme="minorAscii"/>
                <w:b w:val="1"/>
                <w:bCs w:val="1"/>
                <w:color w:val="000000" w:themeColor="text1" w:themeTint="FF" w:themeShade="FF"/>
                <w:sz w:val="22"/>
                <w:szCs w:val="22"/>
              </w:rPr>
              <w:t>Module:</w:t>
            </w:r>
          </w:p>
        </w:tc>
        <w:tc>
          <w:tcPr>
            <w:tcW w:w="7830"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Pr="00441462" w:rsidR="169FC110" w:rsidP="1074910E" w:rsidRDefault="169FC110" w14:paraId="552CACDD" w14:textId="0B68FAD7">
            <w:pPr>
              <w:spacing w:before="120" w:after="120" w:line="360" w:lineRule="auto"/>
              <w:jc w:val="both"/>
              <w:rPr>
                <w:rFonts w:ascii="Arial" w:hAnsi="Arial" w:eastAsia="Arial" w:cs="Arial" w:asciiTheme="minorAscii" w:hAnsiTheme="minorAscii" w:eastAsiaTheme="minorAscii" w:cstheme="minorAscii"/>
                <w:color w:val="000000" w:themeColor="text1"/>
                <w:sz w:val="22"/>
                <w:szCs w:val="22"/>
              </w:rPr>
            </w:pPr>
            <w:r w:rsidRPr="1074910E" w:rsidR="631A6754">
              <w:rPr>
                <w:rFonts w:ascii="Arial" w:hAnsi="Arial" w:eastAsia="Arial" w:cs="Arial" w:asciiTheme="minorAscii" w:hAnsiTheme="minorAscii" w:eastAsiaTheme="minorAscii" w:cstheme="minorAscii"/>
                <w:b w:val="1"/>
                <w:bCs w:val="1"/>
                <w:color w:val="000000" w:themeColor="text1" w:themeTint="FF" w:themeShade="FF"/>
                <w:sz w:val="22"/>
                <w:szCs w:val="22"/>
              </w:rPr>
              <w:t>Quality Assurance and Service Improvements</w:t>
            </w:r>
          </w:p>
          <w:p w:rsidRPr="00441462" w:rsidR="169FC110" w:rsidP="1074910E" w:rsidRDefault="169FC110" w14:paraId="5EB80424" w14:textId="1B043104">
            <w:pPr>
              <w:spacing w:before="120" w:after="120" w:line="360" w:lineRule="auto"/>
              <w:jc w:val="both"/>
              <w:rPr>
                <w:rFonts w:ascii="Arial" w:hAnsi="Arial" w:eastAsia="Arial" w:cs="Arial" w:asciiTheme="minorAscii" w:hAnsiTheme="minorAscii" w:eastAsiaTheme="minorAscii" w:cstheme="minorAscii"/>
                <w:color w:val="000000" w:themeColor="text1"/>
                <w:sz w:val="22"/>
                <w:szCs w:val="22"/>
              </w:rPr>
            </w:pPr>
            <w:r w:rsidRPr="1074910E" w:rsidR="631A6754">
              <w:rPr>
                <w:rFonts w:ascii="Arial" w:hAnsi="Arial" w:eastAsia="Arial" w:cs="Arial" w:asciiTheme="minorAscii" w:hAnsiTheme="minorAscii" w:eastAsiaTheme="minorAscii" w:cstheme="minorAscii"/>
                <w:b w:val="1"/>
                <w:bCs w:val="1"/>
                <w:color w:val="000000" w:themeColor="text1" w:themeTint="FF" w:themeShade="FF"/>
                <w:sz w:val="22"/>
                <w:szCs w:val="22"/>
              </w:rPr>
              <w:t xml:space="preserve"> </w:t>
            </w:r>
          </w:p>
        </w:tc>
      </w:tr>
      <w:tr w:rsidRPr="00441462" w:rsidR="169FC110" w:rsidTr="1074910E" w14:paraId="792B0E0F" w14:textId="77777777">
        <w:trPr>
          <w:gridAfter w:val="1"/>
          <w:wAfter w:w="4530" w:type="dxa"/>
          <w:trHeight w:val="300"/>
        </w:trPr>
        <w:tc>
          <w:tcPr>
            <w:tcW w:w="2100" w:type="dxa"/>
            <w:tcBorders>
              <w:top w:val="single" w:color="auto" w:sz="8" w:space="0"/>
              <w:left w:val="single" w:color="auto" w:sz="8" w:space="0"/>
              <w:bottom w:val="single" w:color="auto" w:sz="8" w:space="0"/>
              <w:right w:val="single" w:color="auto" w:sz="8" w:space="0"/>
            </w:tcBorders>
            <w:tcMar>
              <w:left w:w="108" w:type="dxa"/>
              <w:right w:w="108" w:type="dxa"/>
            </w:tcMar>
          </w:tcPr>
          <w:p w:rsidRPr="00441462" w:rsidR="169FC110" w:rsidP="1074910E" w:rsidRDefault="169FC110" w14:paraId="200EC738" w14:textId="30870ED2">
            <w:pPr>
              <w:spacing w:before="120" w:after="120" w:line="360" w:lineRule="auto"/>
              <w:jc w:val="both"/>
              <w:rPr>
                <w:rFonts w:ascii="Arial" w:hAnsi="Arial" w:eastAsia="Arial" w:cs="Arial" w:asciiTheme="minorAscii" w:hAnsiTheme="minorAscii" w:eastAsiaTheme="minorAscii" w:cstheme="minorAscii"/>
                <w:color w:val="000000" w:themeColor="text1"/>
                <w:sz w:val="22"/>
                <w:szCs w:val="22"/>
              </w:rPr>
            </w:pPr>
            <w:r w:rsidRPr="1074910E" w:rsidR="631A6754">
              <w:rPr>
                <w:rFonts w:ascii="Arial" w:hAnsi="Arial" w:eastAsia="Arial" w:cs="Arial" w:asciiTheme="minorAscii" w:hAnsiTheme="minorAscii" w:eastAsiaTheme="minorAscii" w:cstheme="minorAscii"/>
                <w:b w:val="1"/>
                <w:bCs w:val="1"/>
                <w:color w:val="000000" w:themeColor="text1" w:themeTint="FF" w:themeShade="FF"/>
                <w:sz w:val="22"/>
                <w:szCs w:val="22"/>
              </w:rPr>
              <w:t>Module code:</w:t>
            </w:r>
          </w:p>
        </w:tc>
        <w:tc>
          <w:tcPr>
            <w:tcW w:w="3300" w:type="dxa"/>
            <w:tcBorders>
              <w:top w:val="single" w:color="auto" w:sz="8" w:space="0"/>
              <w:left w:val="single" w:color="auto" w:sz="8" w:space="0"/>
              <w:bottom w:val="single" w:color="auto" w:sz="8" w:space="0"/>
              <w:right w:val="single" w:color="auto" w:sz="8" w:space="0"/>
            </w:tcBorders>
            <w:tcMar>
              <w:left w:w="108" w:type="dxa"/>
              <w:right w:w="108" w:type="dxa"/>
            </w:tcMar>
          </w:tcPr>
          <w:p w:rsidRPr="00441462" w:rsidR="169FC110" w:rsidP="1074910E" w:rsidRDefault="169FC110" w14:paraId="0D33443B" w14:textId="6E2D82BC">
            <w:pPr>
              <w:spacing w:before="120" w:after="120" w:line="360" w:lineRule="auto"/>
              <w:jc w:val="both"/>
              <w:rPr>
                <w:rFonts w:ascii="Arial" w:hAnsi="Arial" w:eastAsia="Arial" w:cs="Arial" w:asciiTheme="minorAscii" w:hAnsiTheme="minorAscii" w:eastAsiaTheme="minorAscii" w:cstheme="minorAscii"/>
                <w:color w:val="000000" w:themeColor="text1"/>
                <w:sz w:val="22"/>
                <w:szCs w:val="22"/>
              </w:rPr>
            </w:pPr>
            <w:r w:rsidRPr="1074910E" w:rsidR="631A6754">
              <w:rPr>
                <w:rFonts w:ascii="Arial" w:hAnsi="Arial" w:eastAsia="Arial" w:cs="Arial" w:asciiTheme="minorAscii" w:hAnsiTheme="minorAscii" w:eastAsiaTheme="minorAscii" w:cstheme="minorAscii"/>
                <w:b w:val="1"/>
                <w:bCs w:val="1"/>
                <w:color w:val="000000" w:themeColor="text1" w:themeTint="FF" w:themeShade="FF"/>
                <w:sz w:val="22"/>
                <w:szCs w:val="22"/>
              </w:rPr>
              <w:t>LCHS7006</w:t>
            </w:r>
          </w:p>
          <w:p w:rsidRPr="00441462" w:rsidR="169FC110" w:rsidP="1074910E" w:rsidRDefault="169FC110" w14:paraId="7CFD9D4A" w14:textId="5C802EE5">
            <w:pPr>
              <w:spacing w:before="120" w:after="120" w:line="360" w:lineRule="auto"/>
              <w:jc w:val="both"/>
              <w:rPr>
                <w:rFonts w:ascii="Arial" w:hAnsi="Arial" w:eastAsia="Arial" w:cs="Arial" w:asciiTheme="minorAscii" w:hAnsiTheme="minorAscii" w:eastAsiaTheme="minorAscii" w:cstheme="minorAscii"/>
                <w:color w:val="000000" w:themeColor="text1"/>
                <w:sz w:val="22"/>
                <w:szCs w:val="22"/>
              </w:rPr>
            </w:pPr>
            <w:r w:rsidRPr="1074910E" w:rsidR="631A6754">
              <w:rPr>
                <w:rFonts w:ascii="Arial" w:hAnsi="Arial" w:eastAsia="Arial" w:cs="Arial" w:asciiTheme="minorAscii" w:hAnsiTheme="minorAscii" w:eastAsiaTheme="minorAscii" w:cstheme="minorAscii"/>
                <w:b w:val="1"/>
                <w:bCs w:val="1"/>
                <w:color w:val="000000" w:themeColor="text1" w:themeTint="FF" w:themeShade="FF"/>
                <w:sz w:val="22"/>
                <w:szCs w:val="22"/>
              </w:rPr>
              <w:t xml:space="preserve"> </w:t>
            </w:r>
          </w:p>
        </w:tc>
      </w:tr>
      <w:tr w:rsidRPr="00441462" w:rsidR="169FC110" w:rsidTr="1074910E" w14:paraId="35589E56" w14:textId="77777777">
        <w:trPr>
          <w:gridAfter w:val="1"/>
          <w:wAfter w:w="4530" w:type="dxa"/>
          <w:trHeight w:val="300"/>
        </w:trPr>
        <w:tc>
          <w:tcPr>
            <w:tcW w:w="2100" w:type="dxa"/>
            <w:tcBorders>
              <w:top w:val="single" w:color="auto" w:sz="8" w:space="0"/>
              <w:left w:val="single" w:color="auto" w:sz="8" w:space="0"/>
              <w:bottom w:val="single" w:color="auto" w:sz="8" w:space="0"/>
              <w:right w:val="single" w:color="auto" w:sz="8" w:space="0"/>
            </w:tcBorders>
            <w:tcMar>
              <w:left w:w="108" w:type="dxa"/>
              <w:right w:w="108" w:type="dxa"/>
            </w:tcMar>
          </w:tcPr>
          <w:p w:rsidRPr="00441462" w:rsidR="169FC110" w:rsidP="1074910E" w:rsidRDefault="169FC110" w14:paraId="66C70E06" w14:textId="25F1C0E8">
            <w:pPr>
              <w:spacing w:before="120" w:after="120" w:line="360" w:lineRule="auto"/>
              <w:jc w:val="both"/>
              <w:rPr>
                <w:rFonts w:ascii="Arial" w:hAnsi="Arial" w:eastAsia="Arial" w:cs="Arial" w:asciiTheme="minorAscii" w:hAnsiTheme="minorAscii" w:eastAsiaTheme="minorAscii" w:cstheme="minorAscii"/>
                <w:color w:val="000000" w:themeColor="text1"/>
                <w:sz w:val="22"/>
                <w:szCs w:val="22"/>
              </w:rPr>
            </w:pPr>
            <w:r w:rsidRPr="1074910E" w:rsidR="631A6754">
              <w:rPr>
                <w:rFonts w:ascii="Arial" w:hAnsi="Arial" w:eastAsia="Arial" w:cs="Arial" w:asciiTheme="minorAscii" w:hAnsiTheme="minorAscii" w:eastAsiaTheme="minorAscii" w:cstheme="minorAscii"/>
                <w:b w:val="1"/>
                <w:bCs w:val="1"/>
                <w:color w:val="000000" w:themeColor="text1" w:themeTint="FF" w:themeShade="FF"/>
                <w:sz w:val="22"/>
                <w:szCs w:val="22"/>
              </w:rPr>
              <w:t>Lecturer:</w:t>
            </w:r>
          </w:p>
        </w:tc>
        <w:tc>
          <w:tcPr>
            <w:tcW w:w="3300" w:type="dxa"/>
            <w:tcBorders>
              <w:top w:val="single" w:color="auto" w:sz="8" w:space="0"/>
              <w:left w:val="single" w:color="auto" w:sz="8" w:space="0"/>
              <w:bottom w:val="single" w:color="auto" w:sz="8" w:space="0"/>
              <w:right w:val="single" w:color="auto" w:sz="8" w:space="0"/>
            </w:tcBorders>
            <w:tcMar>
              <w:left w:w="108" w:type="dxa"/>
              <w:right w:w="108" w:type="dxa"/>
            </w:tcMar>
          </w:tcPr>
          <w:p w:rsidRPr="00441462" w:rsidR="169FC110" w:rsidP="1074910E" w:rsidRDefault="169FC110" w14:paraId="784B6993" w14:textId="1A37FAFA">
            <w:pPr>
              <w:spacing w:before="120" w:after="120" w:line="360" w:lineRule="auto"/>
              <w:jc w:val="both"/>
              <w:rPr>
                <w:rFonts w:ascii="Arial" w:hAnsi="Arial" w:eastAsia="Arial" w:cs="Arial" w:asciiTheme="minorAscii" w:hAnsiTheme="minorAscii" w:eastAsiaTheme="minorAscii" w:cstheme="minorAscii"/>
                <w:color w:val="000000" w:themeColor="text1"/>
                <w:sz w:val="22"/>
                <w:szCs w:val="22"/>
              </w:rPr>
            </w:pPr>
            <w:r w:rsidRPr="1074910E" w:rsidR="631A6754">
              <w:rPr>
                <w:rFonts w:ascii="Arial" w:hAnsi="Arial" w:eastAsia="Arial" w:cs="Arial" w:asciiTheme="minorAscii" w:hAnsiTheme="minorAscii" w:eastAsiaTheme="minorAscii" w:cstheme="minorAscii"/>
                <w:b w:val="1"/>
                <w:bCs w:val="1"/>
                <w:color w:val="000000" w:themeColor="text1" w:themeTint="FF" w:themeShade="FF"/>
                <w:sz w:val="22"/>
                <w:szCs w:val="22"/>
              </w:rPr>
              <w:t>Dr Fahad Khan</w:t>
            </w:r>
          </w:p>
        </w:tc>
      </w:tr>
      <w:tr w:rsidRPr="00441462" w:rsidR="169FC110" w:rsidTr="1074910E" w14:paraId="6C1B479F" w14:textId="77777777">
        <w:trPr>
          <w:gridAfter w:val="1"/>
          <w:wAfter w:w="4530" w:type="dxa"/>
          <w:trHeight w:val="300"/>
        </w:trPr>
        <w:tc>
          <w:tcPr>
            <w:tcW w:w="2100" w:type="dxa"/>
            <w:tcBorders>
              <w:top w:val="single" w:color="auto" w:sz="8" w:space="0"/>
              <w:left w:val="single" w:color="auto" w:sz="8" w:space="0"/>
              <w:bottom w:val="single" w:color="auto" w:sz="8" w:space="0"/>
              <w:right w:val="single" w:color="auto" w:sz="8" w:space="0"/>
            </w:tcBorders>
            <w:tcMar>
              <w:left w:w="108" w:type="dxa"/>
              <w:right w:w="108" w:type="dxa"/>
            </w:tcMar>
          </w:tcPr>
          <w:p w:rsidRPr="00441462" w:rsidR="169FC110" w:rsidP="1074910E" w:rsidRDefault="169FC110" w14:paraId="1CFA03CC" w14:textId="1CC6FD25">
            <w:pPr>
              <w:spacing w:before="120" w:after="120" w:line="360" w:lineRule="auto"/>
              <w:jc w:val="both"/>
              <w:rPr>
                <w:rFonts w:ascii="Arial" w:hAnsi="Arial" w:eastAsia="Arial" w:cs="Arial" w:asciiTheme="minorAscii" w:hAnsiTheme="minorAscii" w:eastAsiaTheme="minorAscii" w:cstheme="minorAscii"/>
                <w:color w:val="000000" w:themeColor="text1"/>
                <w:sz w:val="22"/>
                <w:szCs w:val="22"/>
              </w:rPr>
            </w:pPr>
            <w:r w:rsidRPr="1074910E" w:rsidR="631A6754">
              <w:rPr>
                <w:rFonts w:ascii="Arial" w:hAnsi="Arial" w:eastAsia="Arial" w:cs="Arial" w:asciiTheme="minorAscii" w:hAnsiTheme="minorAscii" w:eastAsiaTheme="minorAscii" w:cstheme="minorAscii"/>
                <w:b w:val="1"/>
                <w:bCs w:val="1"/>
                <w:color w:val="000000" w:themeColor="text1" w:themeTint="FF" w:themeShade="FF"/>
                <w:sz w:val="22"/>
                <w:szCs w:val="22"/>
              </w:rPr>
              <w:t>Assignment Title:</w:t>
            </w:r>
          </w:p>
        </w:tc>
        <w:tc>
          <w:tcPr>
            <w:tcW w:w="3300" w:type="dxa"/>
            <w:tcBorders>
              <w:top w:val="single" w:color="auto" w:sz="8" w:space="0"/>
              <w:left w:val="single" w:color="auto" w:sz="8" w:space="0"/>
              <w:bottom w:val="single" w:color="auto" w:sz="8" w:space="0"/>
              <w:right w:val="single" w:color="auto" w:sz="8" w:space="0"/>
            </w:tcBorders>
            <w:tcMar>
              <w:left w:w="108" w:type="dxa"/>
              <w:right w:w="108" w:type="dxa"/>
            </w:tcMar>
          </w:tcPr>
          <w:p w:rsidRPr="00441462" w:rsidR="169FC110" w:rsidP="1074910E" w:rsidRDefault="169FC110" w14:paraId="73AAA407" w14:textId="7DBAFA4E">
            <w:pPr>
              <w:spacing w:before="120" w:after="120" w:line="360" w:lineRule="auto"/>
              <w:rPr>
                <w:rFonts w:ascii="Arial" w:hAnsi="Arial" w:eastAsia="Arial" w:cs="Arial" w:asciiTheme="minorAscii" w:hAnsiTheme="minorAscii" w:eastAsiaTheme="minorAscii" w:cstheme="minorAscii"/>
                <w:color w:val="000000" w:themeColor="text1"/>
                <w:sz w:val="22"/>
                <w:szCs w:val="22"/>
              </w:rPr>
            </w:pPr>
            <w:r w:rsidRPr="1074910E" w:rsidR="631A6754">
              <w:rPr>
                <w:rFonts w:ascii="Arial" w:hAnsi="Arial" w:eastAsia="Arial" w:cs="Arial" w:asciiTheme="minorAscii" w:hAnsiTheme="minorAscii" w:eastAsiaTheme="minorAscii" w:cstheme="minorAscii"/>
                <w:b w:val="1"/>
                <w:bCs w:val="1"/>
                <w:color w:val="000000" w:themeColor="text1" w:themeTint="FF" w:themeShade="FF"/>
                <w:sz w:val="22"/>
                <w:szCs w:val="22"/>
              </w:rPr>
              <w:t xml:space="preserve">Component 2 </w:t>
            </w:r>
          </w:p>
          <w:p w:rsidRPr="00441462" w:rsidR="169FC110" w:rsidP="1074910E" w:rsidRDefault="169FC110" w14:paraId="7BAE1D02" w14:textId="6C1459E7">
            <w:pPr>
              <w:spacing w:before="120" w:after="120" w:line="360" w:lineRule="auto"/>
              <w:rPr>
                <w:rFonts w:ascii="Arial" w:hAnsi="Arial" w:eastAsia="Arial" w:cs="Arial" w:asciiTheme="minorAscii" w:hAnsiTheme="minorAscii" w:eastAsiaTheme="minorAscii" w:cstheme="minorAscii"/>
                <w:color w:val="000000" w:themeColor="text1"/>
                <w:sz w:val="22"/>
                <w:szCs w:val="22"/>
              </w:rPr>
            </w:pPr>
            <w:r w:rsidRPr="1074910E" w:rsidR="631A6754">
              <w:rPr>
                <w:rFonts w:ascii="Arial" w:hAnsi="Arial" w:eastAsia="Arial" w:cs="Arial" w:asciiTheme="minorAscii" w:hAnsiTheme="minorAscii" w:eastAsiaTheme="minorAscii" w:cstheme="minorAscii"/>
                <w:b w:val="1"/>
                <w:bCs w:val="1"/>
                <w:color w:val="000000" w:themeColor="text1" w:themeTint="FF" w:themeShade="FF"/>
                <w:sz w:val="22"/>
                <w:szCs w:val="22"/>
              </w:rPr>
              <w:t>Service Improvement Report</w:t>
            </w:r>
          </w:p>
        </w:tc>
      </w:tr>
    </w:tbl>
    <w:p w:rsidRPr="00441462" w:rsidR="0087029A" w:rsidP="1074910E" w:rsidRDefault="0087029A" w14:paraId="2C078E63" w14:textId="0F118049">
      <w:pPr>
        <w:spacing w:line="360" w:lineRule="auto"/>
        <w:rPr>
          <w:rFonts w:ascii="Arial" w:hAnsi="Arial" w:eastAsia="Arial" w:cs="Arial" w:asciiTheme="minorAscii" w:hAnsiTheme="minorAscii" w:eastAsiaTheme="minorAscii" w:cstheme="minorAscii"/>
          <w:color w:val="000000" w:themeColor="text1"/>
          <w:sz w:val="22"/>
          <w:szCs w:val="22"/>
        </w:rPr>
      </w:pPr>
    </w:p>
    <w:p w:rsidRPr="00441462" w:rsidR="169FC110" w:rsidP="1074910E" w:rsidRDefault="169FC110" w14:paraId="22A2DE88" w14:textId="5B49EF89">
      <w:pPr>
        <w:spacing w:line="360" w:lineRule="auto"/>
        <w:rPr>
          <w:rFonts w:ascii="Arial" w:hAnsi="Arial" w:eastAsia="Arial" w:cs="Arial" w:asciiTheme="minorAscii" w:hAnsiTheme="minorAscii" w:eastAsiaTheme="minorAscii" w:cstheme="minorAscii"/>
          <w:color w:val="000000" w:themeColor="text1"/>
          <w:sz w:val="22"/>
          <w:szCs w:val="22"/>
        </w:rPr>
      </w:pPr>
    </w:p>
    <w:p w:rsidRPr="00441462" w:rsidR="169FC110" w:rsidP="1074910E" w:rsidRDefault="00174842" w14:paraId="64BC7983" w14:textId="3A568ED1">
      <w:p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p>
    <w:p w:rsidRPr="00441462" w:rsidR="169FC110" w:rsidP="1074910E" w:rsidRDefault="00174842" w14:paraId="520BE56C" w14:textId="4B33352C">
      <w:p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p>
    <w:p w:rsidRPr="00441462" w:rsidR="169FC110" w:rsidP="1074910E" w:rsidRDefault="00174842" w14:paraId="00AB2EAA" w14:textId="5E567726">
      <w:p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p>
    <w:p w:rsidRPr="00441462" w:rsidR="169FC110" w:rsidP="1074910E" w:rsidRDefault="00174842" w14:paraId="45905FBE" w14:textId="5D605C07">
      <w:p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p>
    <w:p w:rsidRPr="00441462" w:rsidR="169FC110" w:rsidP="1074910E" w:rsidRDefault="00174842" w14:paraId="78FD57F6" w14:textId="5C3F708D">
      <w:p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p>
    <w:p w:rsidRPr="00441462" w:rsidR="169FC110" w:rsidP="1074910E" w:rsidRDefault="00174842" w14:paraId="28DB5388" w14:textId="55DDCBEC">
      <w:p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p>
    <w:p w:rsidRPr="00441462" w:rsidR="169FC110" w:rsidP="1074910E" w:rsidRDefault="00174842" w14:paraId="506D9847" w14:textId="6671CD8C">
      <w:p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p>
    <w:p w:rsidRPr="00441462" w:rsidR="169FC110" w:rsidP="1074910E" w:rsidRDefault="00174842" w14:paraId="7E8A7652" w14:textId="6E62A302">
      <w:pPr>
        <w:pStyle w:val="Normal"/>
        <w:spacing w:line="360" w:lineRule="auto"/>
        <w:rPr>
          <w:rFonts w:ascii="Arial" w:hAnsi="Arial" w:eastAsia="Arial" w:cs="Arial" w:asciiTheme="minorAscii" w:hAnsiTheme="minorAscii" w:eastAsiaTheme="minorAscii" w:cstheme="minorAscii"/>
          <w:b w:val="1"/>
          <w:bCs w:val="1"/>
          <w:color w:val="000000" w:themeColor="text1" w:themeTint="FF" w:themeShade="FF"/>
          <w:sz w:val="28"/>
          <w:szCs w:val="28"/>
        </w:rPr>
      </w:pPr>
    </w:p>
    <w:p w:rsidRPr="00441462" w:rsidR="169FC110" w:rsidP="1074910E" w:rsidRDefault="00174842" w14:paraId="4C612891" w14:textId="5060CFDB">
      <w:pPr>
        <w:pStyle w:val="Normal"/>
        <w:spacing w:line="360" w:lineRule="auto"/>
        <w:jc w:val="center"/>
        <w:rPr>
          <w:rFonts w:ascii="Arial" w:hAnsi="Arial" w:eastAsia="Arial" w:cs="Arial" w:asciiTheme="minorAscii" w:hAnsiTheme="minorAscii" w:eastAsiaTheme="minorAscii" w:cstheme="minorAscii"/>
          <w:b w:val="1"/>
          <w:bCs w:val="1"/>
          <w:color w:val="000000" w:themeColor="text1"/>
          <w:sz w:val="28"/>
          <w:szCs w:val="28"/>
        </w:rPr>
      </w:pPr>
      <w:r w:rsidRPr="1074910E" w:rsidR="00174842">
        <w:rPr>
          <w:rFonts w:ascii="Arial" w:hAnsi="Arial" w:eastAsia="Arial" w:cs="Arial" w:asciiTheme="minorAscii" w:hAnsiTheme="minorAscii" w:eastAsiaTheme="minorAscii" w:cstheme="minorAscii"/>
          <w:b w:val="1"/>
          <w:bCs w:val="1"/>
          <w:color w:val="000000" w:themeColor="text1" w:themeTint="FF" w:themeShade="FF"/>
          <w:sz w:val="28"/>
          <w:szCs w:val="28"/>
        </w:rPr>
        <w:t>Service Improvement Report: A Critical Analysis of Quality Management and Service Improvement in the Bristol Royal Infirmary Inquiry</w:t>
      </w:r>
    </w:p>
    <w:p w:rsidR="00441462" w:rsidP="1074910E" w:rsidRDefault="00441462" w14:paraId="6EBEDC35" w14:textId="77777777">
      <w:pPr>
        <w:spacing w:line="360" w:lineRule="auto"/>
        <w:jc w:val="center"/>
        <w:rPr>
          <w:rFonts w:ascii="Arial" w:hAnsi="Arial" w:eastAsia="Arial" w:cs="Arial" w:asciiTheme="minorAscii" w:hAnsiTheme="minorAscii" w:eastAsiaTheme="minorAscii" w:cstheme="minorAscii"/>
          <w:b w:val="1"/>
          <w:bCs w:val="1"/>
          <w:color w:val="000000" w:themeColor="text1"/>
          <w:sz w:val="22"/>
          <w:szCs w:val="22"/>
        </w:rPr>
      </w:pPr>
    </w:p>
    <w:p w:rsidRPr="00441462" w:rsidR="00441462" w:rsidP="1074910E" w:rsidRDefault="00441462" w14:paraId="0D4B08BD" w14:textId="77777777">
      <w:pPr>
        <w:spacing w:line="360" w:lineRule="auto"/>
        <w:jc w:val="center"/>
        <w:rPr>
          <w:rFonts w:ascii="Arial" w:hAnsi="Arial" w:eastAsia="Arial" w:cs="Arial" w:asciiTheme="minorAscii" w:hAnsiTheme="minorAscii" w:eastAsiaTheme="minorAscii" w:cstheme="minorAscii"/>
          <w:b w:val="1"/>
          <w:bCs w:val="1"/>
          <w:color w:val="000000" w:themeColor="text1"/>
          <w:sz w:val="22"/>
          <w:szCs w:val="22"/>
        </w:rPr>
      </w:pPr>
    </w:p>
    <w:p w:rsidR="1074910E" w:rsidP="1074910E" w:rsidRDefault="1074910E" w14:paraId="79DC90EF" w14:textId="6B53B9DF">
      <w:pPr>
        <w:spacing w:line="360" w:lineRule="auto"/>
        <w:jc w:val="center"/>
        <w:rPr>
          <w:rFonts w:ascii="Arial" w:hAnsi="Arial" w:eastAsia="Arial" w:cs="Arial" w:asciiTheme="minorAscii" w:hAnsiTheme="minorAscii" w:eastAsiaTheme="minorAscii" w:cstheme="minorAscii"/>
          <w:b w:val="1"/>
          <w:bCs w:val="1"/>
          <w:color w:val="000000" w:themeColor="text1" w:themeTint="FF" w:themeShade="FF"/>
          <w:sz w:val="22"/>
          <w:szCs w:val="22"/>
        </w:rPr>
      </w:pPr>
    </w:p>
    <w:p w:rsidRPr="00441462" w:rsidR="0062352B" w:rsidP="1074910E" w:rsidRDefault="0062352B" w14:paraId="06D47902" w14:textId="737763C9">
      <w:pPr>
        <w:pStyle w:val="pdq2pgselectionanchorcontainer"/>
        <w:spacing w:line="360" w:lineRule="auto"/>
        <w:rPr>
          <w:rFonts w:ascii="Arial" w:hAnsi="Arial" w:eastAsia="Arial" w:cs="Arial" w:asciiTheme="minorAscii" w:hAnsiTheme="minorAscii" w:eastAsiaTheme="minorAscii" w:cstheme="minorAscii"/>
          <w:b w:val="1"/>
          <w:bCs w:val="1"/>
          <w:color w:val="000000" w:themeColor="text1"/>
          <w:sz w:val="22"/>
          <w:szCs w:val="22"/>
        </w:rPr>
      </w:pPr>
      <w:r w:rsidRPr="1074910E" w:rsidR="0062352B">
        <w:rPr>
          <w:rFonts w:ascii="Arial" w:hAnsi="Arial" w:eastAsia="Arial" w:cs="Arial" w:asciiTheme="minorAscii" w:hAnsiTheme="minorAscii" w:eastAsiaTheme="minorAscii" w:cstheme="minorAscii"/>
          <w:b w:val="1"/>
          <w:bCs w:val="1"/>
          <w:color w:val="000000" w:themeColor="text1" w:themeTint="FF" w:themeShade="FF"/>
          <w:sz w:val="22"/>
          <w:szCs w:val="22"/>
        </w:rPr>
        <w:t>Introduction</w:t>
      </w:r>
    </w:p>
    <w:p w:rsidRPr="00441462" w:rsidR="0062352B" w:rsidP="1074910E" w:rsidRDefault="0062352B" w14:paraId="3E0F996C" w14:textId="120E3FA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074910E" w:rsidR="7E62D470">
        <w:rPr>
          <w:rFonts w:ascii="Arial" w:hAnsi="Arial" w:eastAsia="Arial" w:cs="Arial" w:asciiTheme="minorAscii" w:hAnsiTheme="minorAscii" w:eastAsiaTheme="minorAscii" w:cstheme="minorAscii"/>
          <w:noProof w:val="0"/>
          <w:sz w:val="22"/>
          <w:szCs w:val="22"/>
          <w:lang w:val="en-GB"/>
        </w:rPr>
        <w:t>Quality improvement is fundamental to modern health and social care and aims to ensure that services are safe, effective, person-centred, timely, efficient and equitable (World Health Organization, 2021). These internationally recognised dimensions provide a foundation for systematically evaluating and improving healthcare quality (Institute of Medicine, 2001). Contemporary quality improvement requires healthcare organisations to move beyond reactive responses to adverse events by fostering continuous learning, proactively identifying quality problems and implementing systematic improvements to enhance patient care (Endalamaw et al., 2024). Patient safety failures commonly emerge through interactions between organisational, managerial and system-level weaknesses rather than isolated clinical errors (Reason, 2000). Consequently, quality assurance and service improvement remain central NHS priorities, supported by clinical governance, evidence-based practice, organisational learning and integrated care (NHS England, 2023; Health and Care Act 2022).</w:t>
      </w:r>
    </w:p>
    <w:p w:rsidRPr="00441462" w:rsidR="0062352B" w:rsidP="1074910E" w:rsidRDefault="0062352B" w14:paraId="048DD5ED" w14:textId="1CCEC85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074910E" w:rsidR="7E62D470">
        <w:rPr>
          <w:rFonts w:ascii="Arial" w:hAnsi="Arial" w:eastAsia="Arial" w:cs="Arial" w:asciiTheme="minorAscii" w:hAnsiTheme="minorAscii" w:eastAsiaTheme="minorAscii" w:cstheme="minorAscii"/>
          <w:noProof w:val="0"/>
          <w:sz w:val="22"/>
          <w:szCs w:val="22"/>
          <w:lang w:val="en-GB"/>
        </w:rPr>
        <w:t>The Bristol Royal Infirmary Inquiry remains one of the most significant patient safety cases in NHS history and continues to inform contemporary quality improvement (Kennedy, 2001). The Inquiry investigated paediatric cardiac surgery undertaken between 1984 and 1995 following concerns about unusually high mortality among children undergoing complex congenital heart surgery (Kennedy, 2001). Approximately 1,827 children underwent cardiac surgery during this period, with outcomes significantly poorer than those achieved by comparable UK specialist centres (Kennedy, 2001). The Inquiry estimated approximately 30–35 excess deaths among children younger than one year, while mortality for infant cardiac surgery at Bristol was reported to be approximately twice that of comparable centres (Kennedy, 2001; Mayor, 2001; Spiegelhalter, 2002).</w:t>
      </w:r>
    </w:p>
    <w:p w:rsidRPr="00441462" w:rsidR="0062352B" w:rsidP="1074910E" w:rsidRDefault="0062352B" w14:paraId="0EE2B29F" w14:textId="522AFA2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074910E" w:rsidR="7E62D470">
        <w:rPr>
          <w:rFonts w:ascii="Arial" w:hAnsi="Arial" w:eastAsia="Arial" w:cs="Arial" w:asciiTheme="minorAscii" w:hAnsiTheme="minorAscii" w:eastAsiaTheme="minorAscii" w:cstheme="minorAscii"/>
          <w:noProof w:val="0"/>
          <w:sz w:val="22"/>
          <w:szCs w:val="22"/>
          <w:lang w:val="en-GB"/>
        </w:rPr>
        <w:t>The failures affected children, families, healthcare professionals, managers, regulators and public confidence in the NHS (Kennedy, 2001; Francis, 2013). The Inquiry identified interconnected deficiencies in leadership, clinical governance, audit, communication, regulatory oversight and an organisational culture that discouraged challenge (Kennedy, 2001). Similar patterns identified in subsequent NHS inquiries demonstrate the continuing importance of effective leadership, positive safety cultures and organisational learning in preventing avoidable harm and improving patient outcomes (Francis, 2013; Braithwaite et al., 2017; Mannion and Davies, 2018).</w:t>
      </w:r>
    </w:p>
    <w:p w:rsidRPr="00441462" w:rsidR="0062352B" w:rsidP="1074910E" w:rsidRDefault="0062352B" w14:paraId="4589E9CF" w14:textId="7489DACB">
      <w:pPr>
        <w:spacing w:before="240" w:beforeAutospacing="off" w:after="240" w:afterAutospacing="off" w:line="360" w:lineRule="auto"/>
      </w:pPr>
      <w:r w:rsidRPr="1074910E" w:rsidR="7E62D470">
        <w:rPr>
          <w:rFonts w:ascii="Arial" w:hAnsi="Arial" w:eastAsia="Arial" w:cs="Arial" w:asciiTheme="minorAscii" w:hAnsiTheme="minorAscii" w:eastAsiaTheme="minorAscii" w:cstheme="minorAscii"/>
          <w:noProof w:val="0"/>
          <w:sz w:val="22"/>
          <w:szCs w:val="22"/>
          <w:lang w:val="en-GB"/>
        </w:rPr>
        <w:t xml:space="preserve">This report critically evaluates the Bristol Royal Infirmary quality failures and develops evidence-based recommendations for sustainable service improvement. Root causes are examined through the Fishbone Diagram and 5 Whys technique, while the Donabedian Model evaluates organisational structures, clinical </w:t>
      </w:r>
      <w:r w:rsidRPr="1074910E" w:rsidR="7E62D470">
        <w:rPr>
          <w:rFonts w:ascii="Arial" w:hAnsi="Arial" w:eastAsia="Arial" w:cs="Arial" w:asciiTheme="minorAscii" w:hAnsiTheme="minorAscii" w:eastAsiaTheme="minorAscii" w:cstheme="minorAscii"/>
          <w:noProof w:val="0"/>
          <w:sz w:val="22"/>
          <w:szCs w:val="22"/>
          <w:lang w:val="en-GB"/>
        </w:rPr>
        <w:t>processes</w:t>
      </w:r>
      <w:r w:rsidRPr="1074910E" w:rsidR="7E62D470">
        <w:rPr>
          <w:rFonts w:ascii="Arial" w:hAnsi="Arial" w:eastAsia="Arial" w:cs="Arial" w:asciiTheme="minorAscii" w:hAnsiTheme="minorAscii" w:eastAsiaTheme="minorAscii" w:cstheme="minorAscii"/>
          <w:noProof w:val="0"/>
          <w:sz w:val="22"/>
          <w:szCs w:val="22"/>
          <w:lang w:val="en-GB"/>
        </w:rPr>
        <w:t xml:space="preserve"> and patient outcomes (Donabedian, 1988; Health Foundation, 2021). PESTLE analysis assesses wider political, economic, social, technological, legal and environmental influences, while Kotter's Eight-Step Change Model and the Plan–Do–Study–Act cycle provide frameworks for implementing and evaluating improvement (Walshe and Smith, 2016; Kotter, 2012; NHS England, 2023).</w:t>
      </w:r>
    </w:p>
    <w:p w:rsidRPr="00441462" w:rsidR="0062352B" w:rsidP="1074910E" w:rsidRDefault="0062352B" w14:paraId="3A4DEE57" w14:textId="1ED4AEF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Pr="00441462" w:rsidR="0062352B" w:rsidP="1074910E" w:rsidRDefault="0062352B" w14:paraId="28676D67" w14:textId="458226A2">
      <w:pPr>
        <w:pStyle w:val="NormalWeb"/>
        <w:spacing w:line="360" w:lineRule="auto"/>
        <w:rPr>
          <w:rFonts w:ascii="Arial" w:hAnsi="Arial" w:eastAsia="Arial" w:cs="Arial" w:asciiTheme="minorAscii" w:hAnsiTheme="minorAscii" w:eastAsiaTheme="minorAscii" w:cstheme="minorAscii"/>
          <w:b w:val="1"/>
          <w:bCs w:val="1"/>
          <w:color w:val="000000" w:themeColor="text1"/>
          <w:sz w:val="22"/>
          <w:szCs w:val="22"/>
        </w:rPr>
      </w:pPr>
      <w:r w:rsidRPr="1074910E" w:rsidR="0062352B">
        <w:rPr>
          <w:rFonts w:ascii="Arial" w:hAnsi="Arial" w:eastAsia="Arial" w:cs="Arial" w:asciiTheme="minorAscii" w:hAnsiTheme="minorAscii" w:eastAsiaTheme="minorAscii" w:cstheme="minorAscii"/>
          <w:b w:val="1"/>
          <w:bCs w:val="1"/>
          <w:color w:val="000000" w:themeColor="text1" w:themeTint="FF" w:themeShade="FF"/>
          <w:sz w:val="22"/>
          <w:szCs w:val="22"/>
        </w:rPr>
        <w:t>Root Cause Analysis</w:t>
      </w:r>
    </w:p>
    <w:p w:rsidRPr="00441462" w:rsidR="0062352B" w:rsidP="1074910E" w:rsidRDefault="0062352B" w14:paraId="22DCC99C"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62352B">
        <w:rPr>
          <w:rFonts w:ascii="Arial" w:hAnsi="Arial" w:eastAsia="Arial" w:cs="Arial" w:asciiTheme="minorAscii" w:hAnsiTheme="minorAscii" w:eastAsiaTheme="minorAscii" w:cstheme="minorAscii"/>
          <w:color w:val="000000" w:themeColor="text1" w:themeTint="FF" w:themeShade="FF"/>
          <w:sz w:val="22"/>
          <w:szCs w:val="22"/>
        </w:rPr>
        <w:t>Root cause analysis is a systematic approach for identifying underlying contributory factors associated with adverse events rather than attributing harm solely to immediate errors or individuals (NHS England, 2022). Within healthcare, it supports organisational learning by examining how interacting system weaknesses contribute to harm and identifying opportunities for sustainable improvement (Health Foundation, 2021). The Bristol Inquiry concluded that excessive mortality in paediatric cardiac surgery resulted from interconnected organisational, managerial and clinical failures rather than individual actions alone (Kennedy, 2001). The Fishbone Diagram and 5 Whys technique are therefore used complementarily to provide breadth in identifying contributory factors and depth in tracing underlying causal mechanisms (Health Foundation, 2021).</w:t>
      </w:r>
    </w:p>
    <w:p w:rsidRPr="00441462" w:rsidR="0062352B" w:rsidP="1074910E" w:rsidRDefault="0062352B" w14:paraId="0B2F1A33"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62352B">
        <w:rPr>
          <w:rFonts w:ascii="Arial" w:hAnsi="Arial" w:eastAsia="Arial" w:cs="Arial" w:asciiTheme="minorAscii" w:hAnsiTheme="minorAscii" w:eastAsiaTheme="minorAscii" w:cstheme="minorAscii"/>
          <w:color w:val="000000" w:themeColor="text1" w:themeTint="FF" w:themeShade="FF"/>
          <w:sz w:val="22"/>
          <w:szCs w:val="22"/>
        </w:rPr>
        <w:t>The Fishbone Diagram, or Ishikawa Diagram, categorises multiple contributory factors and is particularly valuable for analysing complex healthcare failures where several system weaknesses interact (Walshe and Smith, 2016; Reason, 2000). Applied to Bristol, it identifies interconnected deficiencies in leadership, governance, communication, training, audit and organisational culture (Kennedy, 2001). Leadership failures delayed responses to evidence of poor outcomes, while weak governance limited accountability and oversight of clinical performance (Kennedy, 2001; Francis, 2013). Professional hierarchies discouraged staff from challenging senior clinicians, and inadequate multidisciplinary collaboration and specialist development restricted opportunities for organisational learning (Mannion and Davies, 2018; Walshe and Smith, 2016). Mortality data were collected but not adequately analysed or acted upon, allowing poor performance to continue over several years (Kennedy, 2001).</w:t>
      </w:r>
    </w:p>
    <w:p w:rsidRPr="00441462" w:rsidR="00441462" w:rsidP="1074910E" w:rsidRDefault="00441462" w14:paraId="29CDEDC1" w14:textId="068A6B6D">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441462">
        <w:rPr>
          <w:rFonts w:ascii="Arial" w:hAnsi="Arial" w:eastAsia="Arial" w:cs="Arial" w:asciiTheme="minorAscii" w:hAnsiTheme="minorAscii" w:eastAsiaTheme="minorAscii" w:cstheme="minorAscii"/>
          <w:sz w:val="22"/>
          <w:szCs w:val="22"/>
        </w:rPr>
        <w:t xml:space="preserve">To systematically examine the underlying causes of poor patient outcomes at Bristol Royal Infirmary, a Fishbone Diagram was applied to identify the interconnected organisational, managerial and system-level factors contributing to excessive mortality in paediatric cardiac </w:t>
      </w:r>
      <w:r w:rsidRPr="1074910E" w:rsidR="00441462">
        <w:rPr>
          <w:rFonts w:ascii="Arial" w:hAnsi="Arial" w:eastAsia="Arial" w:cs="Arial" w:asciiTheme="minorAscii" w:hAnsiTheme="minorAscii" w:eastAsiaTheme="minorAscii" w:cstheme="minorAscii"/>
          <w:sz w:val="22"/>
          <w:szCs w:val="22"/>
        </w:rPr>
        <w:t>surgery (Kennedy, 2001; Health Foundation, 2021). As illustrated in Figure 1, the analysis categorises key contributory factors across leadership, clinical governance, communication and culture, clinical audit and data, multidisciplinary teamwork, and external regulatory oversight, demonstrating that the failures resulted from multiple interacting system weaknesses rather than isolated clinical errors (Kennedy, 2001; Reason, 2000).</w:t>
      </w:r>
    </w:p>
    <w:p w:rsidRPr="00441462" w:rsidR="00441462" w:rsidP="1074910E" w:rsidRDefault="00441462" w14:paraId="5044CAF7" w14:textId="61244FEC">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00441462">
        <w:drawing>
          <wp:inline wp14:editId="57832D12" wp14:anchorId="174582C3">
            <wp:extent cx="6697555" cy="4965499"/>
            <wp:effectExtent l="0" t="0" r="0" b="0"/>
            <wp:docPr id="688056402"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4">
                      <a:extLst>
                        <a:ext uri="{28A0092B-C50C-407E-A947-70E740481C1C}">
                          <a14:useLocalDpi xmlns:a14="http://schemas.microsoft.com/office/drawing/2010/main"/>
                        </a:ext>
                      </a:extLst>
                    </a:blip>
                    <a:srcRect/>
                    <a:stretch>
                      <a:fillRect/>
                    </a:stretch>
                  </pic:blipFill>
                  <pic:spPr bwMode="auto">
                    <a:xfrm rot="0">
                      <a:off x="0" y="0"/>
                      <a:ext cx="6697555" cy="4965499"/>
                    </a:xfrm>
                    <a:prstGeom prst="rect">
                      <a:avLst/>
                    </a:prstGeom>
                    <a:noFill/>
                    <a:ln>
                      <a:noFill/>
                    </a:ln>
                  </pic:spPr>
                </pic:pic>
              </a:graphicData>
            </a:graphic>
          </wp:inline>
        </w:drawing>
      </w:r>
    </w:p>
    <w:p w:rsidRPr="00441462" w:rsidR="00441462" w:rsidP="1074910E" w:rsidRDefault="00441462" w14:paraId="16192CBB" w14:textId="508E6619">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441462">
        <w:rPr>
          <w:rFonts w:ascii="Arial" w:hAnsi="Arial" w:eastAsia="Arial" w:cs="Arial" w:asciiTheme="minorAscii" w:hAnsiTheme="minorAscii" w:eastAsiaTheme="minorAscii" w:cstheme="minorAscii"/>
          <w:sz w:val="22"/>
          <w:szCs w:val="22"/>
        </w:rPr>
        <w:t>Figure 1. Fishbone Diagram illustrating the systemic contributory factors associated with poor patient outcomes in paediatric cardiac surgery at Bristol Royal Infirmary (1984–1995).</w:t>
      </w:r>
    </w:p>
    <w:p w:rsidRPr="00441462" w:rsidR="0062352B" w:rsidP="1074910E" w:rsidRDefault="0062352B" w14:paraId="290CD6AB"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62352B">
        <w:rPr>
          <w:rFonts w:ascii="Arial" w:hAnsi="Arial" w:eastAsia="Arial" w:cs="Arial" w:asciiTheme="minorAscii" w:hAnsiTheme="minorAscii" w:eastAsiaTheme="minorAscii" w:cstheme="minorAscii"/>
          <w:color w:val="000000" w:themeColor="text1" w:themeTint="FF" w:themeShade="FF"/>
          <w:sz w:val="22"/>
          <w:szCs w:val="22"/>
        </w:rPr>
        <w:t xml:space="preserve">However, the Fishbone Diagram identifies potential contributory factors without necessarily establishing causal relationships or determining their relative importance (Health Foundation, </w:t>
      </w:r>
      <w:r w:rsidRPr="1074910E" w:rsidR="0062352B">
        <w:rPr>
          <w:rFonts w:ascii="Arial" w:hAnsi="Arial" w:eastAsia="Arial" w:cs="Arial" w:asciiTheme="minorAscii" w:hAnsiTheme="minorAscii" w:eastAsiaTheme="minorAscii" w:cstheme="minorAscii"/>
          <w:color w:val="000000" w:themeColor="text1" w:themeTint="FF" w:themeShade="FF"/>
          <w:sz w:val="22"/>
          <w:szCs w:val="22"/>
        </w:rPr>
        <w:t>2021). The 5 Whys therefore complements it by tracing deeper organisational causes through repeated questioning (Health Foundation, 2021). In Bristol, excessive mortality persisted because poor outcomes were not identified and addressed promptly; this reflected inadequate audit and performance monitoring, which in turn resulted from weak governance and leadership accountability (Kennedy, 2001). These deficiencies were reinforced by an organisational culture that discouraged openness, learning and professional challenge, ultimately revealing the absence of a sufficiently patient-centred safety culture (Kennedy, 2001; Francis, 2013).</w:t>
      </w:r>
    </w:p>
    <w:p w:rsidRPr="00441462" w:rsidR="0062352B" w:rsidP="1074910E" w:rsidRDefault="0062352B" w14:paraId="6C94242D"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62352B">
        <w:rPr>
          <w:rFonts w:ascii="Arial" w:hAnsi="Arial" w:eastAsia="Arial" w:cs="Arial" w:asciiTheme="minorAscii" w:hAnsiTheme="minorAscii" w:eastAsiaTheme="minorAscii" w:cstheme="minorAscii"/>
          <w:color w:val="000000" w:themeColor="text1" w:themeTint="FF" w:themeShade="FF"/>
          <w:sz w:val="22"/>
          <w:szCs w:val="22"/>
        </w:rPr>
        <w:t>The 5 Whys offers greater causal depth but may oversimplify healthcare failures by assuming relatively linear relationships between causes and outcomes (Braithwaite et al., 2017). Conversely, the Fishbone Diagram captures a broader range of contributory factors but does not prioritise their influence, meaning neither framework independently captures the full complexity of healthcare systems (Braithwaite et al., 2017). Their combined application therefore provides a more comprehensive analysis by integrating breadth and depth while reducing the limitations associated with relying on either framework alone (Health Foundation, 2021).</w:t>
      </w:r>
    </w:p>
    <w:p w:rsidRPr="00441462" w:rsidR="0062352B" w:rsidP="0068759B" w:rsidRDefault="0062352B" w14:paraId="0A3CCC2F" w14:textId="77777777">
      <w:pPr>
        <w:pStyle w:val="NormalWeb"/>
        <w:spacing w:line="360" w:lineRule="auto"/>
      </w:pPr>
      <w:r w:rsidRPr="1074910E" w:rsidR="0062352B">
        <w:rPr>
          <w:rFonts w:ascii="Arial" w:hAnsi="Arial" w:eastAsia="Arial" w:cs="Arial" w:asciiTheme="minorAscii" w:hAnsiTheme="minorAscii" w:eastAsiaTheme="minorAscii" w:cstheme="minorAscii"/>
          <w:color w:val="000000" w:themeColor="text1" w:themeTint="FF" w:themeShade="FF"/>
          <w:sz w:val="22"/>
          <w:szCs w:val="22"/>
        </w:rPr>
        <w:t xml:space="preserve">The identified causes are supported by multiple forms of evidence from the Bristol Inquiry, including mortality statistics, audit findings, professional testimony and organisational documentation, strengthening confidence that they reflect systemic weaknesses rather than isolated opinions (Kennedy, 2001; Health Foundation, 2021). Nevertheless, historical inquiry data require cautious interpretation because healthcare governance, regulation and patient safety systems have changed substantially since the events occurred (NHS England, 2022). A systems-based approach recognises that adverse outcomes emerge through interactions among organisational, clinical and human factors and therefore requires improvement strategies directed at the healthcare system </w:t>
      </w:r>
      <w:r w:rsidRPr="1074910E" w:rsidR="0062352B">
        <w:rPr>
          <w:rFonts w:ascii="Arial" w:hAnsi="Arial" w:eastAsia="Arial" w:cs="Arial" w:asciiTheme="minorAscii" w:hAnsiTheme="minorAscii" w:eastAsiaTheme="minorAscii" w:cstheme="minorAscii"/>
          <w:color w:val="000000" w:themeColor="text1" w:themeTint="FF" w:themeShade="FF"/>
          <w:sz w:val="22"/>
          <w:szCs w:val="22"/>
        </w:rPr>
        <w:t>as a whole rather</w:t>
      </w:r>
      <w:r w:rsidRPr="1074910E" w:rsidR="0062352B">
        <w:rPr>
          <w:rFonts w:ascii="Arial" w:hAnsi="Arial" w:eastAsia="Arial" w:cs="Arial" w:asciiTheme="minorAscii" w:hAnsiTheme="minorAscii" w:eastAsiaTheme="minorAscii" w:cstheme="minorAscii"/>
          <w:color w:val="000000" w:themeColor="text1" w:themeTint="FF" w:themeShade="FF"/>
          <w:sz w:val="22"/>
          <w:szCs w:val="22"/>
        </w:rPr>
        <w:t xml:space="preserve"> than primarily blaming individuals (Vincent and Amalberti, 2016). Consequently, sustainable improvement requires simultaneous attention to governance, leadership, workforce culture and clinical processes because unresolved weaknesses in one area may continue to generate patient safety risks elsewhere in the system (Braithwaite et al., 2017; NHS England, 2022).</w:t>
      </w:r>
    </w:p>
    <w:p w:rsidR="1074910E" w:rsidP="1074910E" w:rsidRDefault="1074910E" w14:paraId="5C632B8E" w14:textId="4F2A50AD">
      <w:pPr>
        <w:pStyle w:val="NormalWeb"/>
        <w:spacing w:line="360" w:lineRule="auto"/>
        <w:rPr>
          <w:rFonts w:ascii="Arial" w:hAnsi="Arial" w:eastAsia="Arial" w:cs="Arial" w:asciiTheme="minorAscii" w:hAnsiTheme="minorAscii" w:eastAsiaTheme="minorAscii" w:cstheme="minorAscii"/>
          <w:color w:val="000000" w:themeColor="text1" w:themeTint="FF" w:themeShade="FF"/>
          <w:sz w:val="22"/>
          <w:szCs w:val="22"/>
        </w:rPr>
      </w:pPr>
    </w:p>
    <w:p w:rsidRPr="00441462" w:rsidR="0062352B" w:rsidP="1074910E" w:rsidRDefault="0062352B" w14:paraId="54957B12" w14:textId="77777777">
      <w:pPr>
        <w:pStyle w:val="pdq2pgselectionanchorcontainer"/>
        <w:spacing w:line="360" w:lineRule="auto"/>
        <w:rPr>
          <w:rFonts w:ascii="Arial" w:hAnsi="Arial" w:eastAsia="Arial" w:cs="Arial" w:asciiTheme="minorAscii" w:hAnsiTheme="minorAscii" w:eastAsiaTheme="minorAscii" w:cstheme="minorAscii"/>
          <w:b w:val="1"/>
          <w:bCs w:val="1"/>
          <w:color w:val="000000" w:themeColor="text1"/>
          <w:sz w:val="22"/>
          <w:szCs w:val="22"/>
        </w:rPr>
      </w:pPr>
      <w:r w:rsidRPr="1074910E" w:rsidR="0062352B">
        <w:rPr>
          <w:rFonts w:ascii="Arial" w:hAnsi="Arial" w:eastAsia="Arial" w:cs="Arial" w:asciiTheme="minorAscii" w:hAnsiTheme="minorAscii" w:eastAsiaTheme="minorAscii" w:cstheme="minorAscii"/>
          <w:b w:val="1"/>
          <w:bCs w:val="1"/>
          <w:color w:val="000000" w:themeColor="text1" w:themeTint="FF" w:themeShade="FF"/>
          <w:sz w:val="22"/>
          <w:szCs w:val="22"/>
        </w:rPr>
        <w:t>Quality Evaluation Using the Donabedian Model</w:t>
      </w:r>
    </w:p>
    <w:p w:rsidRPr="00441462" w:rsidR="0062352B" w:rsidP="1074910E" w:rsidRDefault="0062352B" w14:paraId="059F3743"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62352B">
        <w:rPr>
          <w:rFonts w:ascii="Arial" w:hAnsi="Arial" w:eastAsia="Arial" w:cs="Arial" w:asciiTheme="minorAscii" w:hAnsiTheme="minorAscii" w:eastAsiaTheme="minorAscii" w:cstheme="minorAscii"/>
          <w:color w:val="000000" w:themeColor="text1" w:themeTint="FF" w:themeShade="FF"/>
          <w:sz w:val="22"/>
          <w:szCs w:val="22"/>
        </w:rPr>
        <w:t xml:space="preserve">The Donabedian Model is a widely recognised framework for evaluating healthcare quality through three interconnected dimensions: structure, process and outcomes (Donabedian, </w:t>
      </w:r>
      <w:r w:rsidRPr="1074910E" w:rsidR="0062352B">
        <w:rPr>
          <w:rFonts w:ascii="Arial" w:hAnsi="Arial" w:eastAsia="Arial" w:cs="Arial" w:asciiTheme="minorAscii" w:hAnsiTheme="minorAscii" w:eastAsiaTheme="minorAscii" w:cstheme="minorAscii"/>
          <w:color w:val="000000" w:themeColor="text1" w:themeTint="FF" w:themeShade="FF"/>
          <w:sz w:val="22"/>
          <w:szCs w:val="22"/>
        </w:rPr>
        <w:t>1988). It proposes that effective organisational structures support appropriate clinical processes, which subsequently influence patient outcomes, making the model relevant to analysis of the Bristol Royal Infirmary failures (Donabedian, 1988; Kennedy, 2001).</w:t>
      </w:r>
    </w:p>
    <w:p w:rsidRPr="00441462" w:rsidR="0062352B" w:rsidP="1074910E" w:rsidRDefault="0062352B" w14:paraId="4817B106"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62352B">
        <w:rPr>
          <w:rFonts w:ascii="Arial" w:hAnsi="Arial" w:eastAsia="Arial" w:cs="Arial" w:asciiTheme="minorAscii" w:hAnsiTheme="minorAscii" w:eastAsiaTheme="minorAscii" w:cstheme="minorAscii"/>
          <w:color w:val="000000" w:themeColor="text1" w:themeTint="FF" w:themeShade="FF"/>
          <w:sz w:val="22"/>
          <w:szCs w:val="22"/>
        </w:rPr>
        <w:t>Structure refers to the organisational environment in which care is delivered, including leadership, governance, staffing, resources and organisational culture (Donabedian, 1988). At Bristol, weak clinical governance limited accountability and oversight of surgical performance, while leadership failed to respond effectively to evidence of poor outcomes (Kennedy, 2001; Francis, 2013). Regulatory deficiencies and professional hierarchies further discouraged openness and professional challenge, creating structural conditions in which patient safety concerns remained inadequately addressed (Francis, 2013; Mannion and Davies, 2018). Evidence indicates that strong governance, effective leadership and positive organisational cultures are associated with better patient safety outcomes, demonstrating the significance of these structural deficiencies (Braithwaite et al., 2017; Mannion and Davies, 2018).</w:t>
      </w:r>
    </w:p>
    <w:p w:rsidRPr="00441462" w:rsidR="0062352B" w:rsidP="1074910E" w:rsidRDefault="0062352B" w14:paraId="4FEF090C"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62352B">
        <w:rPr>
          <w:rFonts w:ascii="Arial" w:hAnsi="Arial" w:eastAsia="Arial" w:cs="Arial" w:asciiTheme="minorAscii" w:hAnsiTheme="minorAscii" w:eastAsiaTheme="minorAscii" w:cstheme="minorAscii"/>
          <w:color w:val="000000" w:themeColor="text1" w:themeTint="FF" w:themeShade="FF"/>
          <w:sz w:val="22"/>
          <w:szCs w:val="22"/>
        </w:rPr>
        <w:t>Process concerns how care is delivered through clinical decision-making, communication, multidisciplinary collaboration, audit and evidence-based practice (Donabedian, 1988). At Bristol, mortality data were collected but not adequately analysed or benchmarked against comparable specialist centres, reducing opportunities for early identification of deteriorating performance (Kennedy, 2001). Ineffective communication between clinicians, managers and regulators prevented appropriate escalation of concerns, while limited multidisciplinary learning reduced organisational capacity for improvement (Kennedy, 2001; Walshe and Smith, 2016). The failure to respond effectively to concerns raised by healthcare professionals also reflected a culture that discouraged transparency and learning from adverse events (Dixon-Woods et al., 2014). These findings demonstrate that clinical competence alone cannot ensure quality without effective communication, governance and organisational learning (Health Foundation, 2021).</w:t>
      </w:r>
    </w:p>
    <w:p w:rsidRPr="00441462" w:rsidR="0062352B" w:rsidP="1074910E" w:rsidRDefault="0062352B" w14:paraId="203AF158"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62352B">
        <w:rPr>
          <w:rFonts w:ascii="Arial" w:hAnsi="Arial" w:eastAsia="Arial" w:cs="Arial" w:asciiTheme="minorAscii" w:hAnsiTheme="minorAscii" w:eastAsiaTheme="minorAscii" w:cstheme="minorAscii"/>
          <w:color w:val="000000" w:themeColor="text1" w:themeTint="FF" w:themeShade="FF"/>
          <w:sz w:val="22"/>
          <w:szCs w:val="22"/>
        </w:rPr>
        <w:t>Outcomes represent the consequences of healthcare delivery for patients, organisations and the wider system (Donabedian, 1988). Bristol's surgical outcomes were significantly poorer than those of comparable UK specialist cardiac centres, with approximately 30–35 excess deaths among children younger than one year and infant cardiac surgery mortality reported at approximately twice that of other centres during part of the investigated period (Kennedy, 2001; Mayor, 2001; Spiegelhalter, 2002). Beyond mortality, the failures damaged public confidence and contributed to major reforms in clinical governance, quality assurance and patient safety (Francis, 2013; NHS England, 2023).</w:t>
      </w:r>
    </w:p>
    <w:p w:rsidRPr="00441462" w:rsidR="0062352B" w:rsidP="1074910E" w:rsidRDefault="0062352B" w14:paraId="10498A99" w14:textId="7046F76C">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62352B">
        <w:rPr>
          <w:rFonts w:ascii="Arial" w:hAnsi="Arial" w:eastAsia="Arial" w:cs="Arial" w:asciiTheme="minorAscii" w:hAnsiTheme="minorAscii" w:eastAsiaTheme="minorAscii" w:cstheme="minorAscii"/>
          <w:color w:val="000000" w:themeColor="text1" w:themeTint="FF" w:themeShade="FF"/>
          <w:sz w:val="22"/>
          <w:szCs w:val="22"/>
        </w:rPr>
        <w:t xml:space="preserve">Benchmarking against specialist cardiac centres demonstrated significant variation between Bristol's performance and expected standards, illustrating the importance of comparative data for identifying unwarranted variation and supporting improvement (Spiegelhalter, 2002; Kennedy, 2001). Contemporary quality standards and indicators provide measurable benchmarks through which healthcare organisations can evaluate performance and support evidence-based improvement (National Institute for Health and Care Excellence, </w:t>
      </w:r>
      <w:r w:rsidRPr="1074910E" w:rsidR="00CA4E58">
        <w:rPr>
          <w:rFonts w:ascii="Arial" w:hAnsi="Arial" w:eastAsia="Arial" w:cs="Arial" w:asciiTheme="minorAscii" w:hAnsiTheme="minorAscii" w:eastAsiaTheme="minorAscii" w:cstheme="minorAscii"/>
          <w:color w:val="000000" w:themeColor="text1" w:themeTint="FF" w:themeShade="FF"/>
          <w:sz w:val="22"/>
          <w:szCs w:val="22"/>
        </w:rPr>
        <w:t>no date</w:t>
      </w:r>
      <w:r w:rsidRPr="1074910E" w:rsidR="0062352B">
        <w:rPr>
          <w:rFonts w:ascii="Arial" w:hAnsi="Arial" w:eastAsia="Arial" w:cs="Arial" w:asciiTheme="minorAscii" w:hAnsiTheme="minorAscii" w:eastAsiaTheme="minorAscii" w:cstheme="minorAscii"/>
          <w:color w:val="000000" w:themeColor="text1" w:themeTint="FF" w:themeShade="FF"/>
          <w:sz w:val="22"/>
          <w:szCs w:val="22"/>
        </w:rPr>
        <w:t>). However, meaningful evaluation should combine outcome indicators with evidence concerning organisational structures and clinical processes because mortality data alone cannot fully explain differences in healthcare performance or quality (</w:t>
      </w:r>
      <w:r w:rsidRPr="1074910E" w:rsidR="00B422F0">
        <w:rPr>
          <w:rFonts w:ascii="Arial" w:hAnsi="Arial" w:eastAsia="Arial" w:cs="Arial" w:asciiTheme="minorAscii" w:hAnsiTheme="minorAscii" w:eastAsiaTheme="minorAscii" w:cstheme="minorAscii"/>
          <w:color w:val="000000" w:themeColor="text1" w:themeTint="FF" w:themeShade="FF"/>
          <w:sz w:val="22"/>
          <w:szCs w:val="22"/>
        </w:rPr>
        <w:t>Donabedian, 1988; Health Foundation, 2021</w:t>
      </w:r>
      <w:r w:rsidRPr="1074910E" w:rsidR="0062352B">
        <w:rPr>
          <w:rFonts w:ascii="Arial" w:hAnsi="Arial" w:eastAsia="Arial" w:cs="Arial" w:asciiTheme="minorAscii" w:hAnsiTheme="minorAscii" w:eastAsiaTheme="minorAscii" w:cstheme="minorAscii"/>
          <w:color w:val="000000" w:themeColor="text1" w:themeTint="FF" w:themeShade="FF"/>
          <w:sz w:val="22"/>
          <w:szCs w:val="22"/>
        </w:rPr>
        <w:t>).</w:t>
      </w:r>
    </w:p>
    <w:p w:rsidRPr="00441462" w:rsidR="0062352B" w:rsidP="1074910E" w:rsidRDefault="0062352B" w14:paraId="7056C9F3"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62352B">
        <w:rPr>
          <w:rFonts w:ascii="Arial" w:hAnsi="Arial" w:eastAsia="Arial" w:cs="Arial" w:asciiTheme="minorAscii" w:hAnsiTheme="minorAscii" w:eastAsiaTheme="minorAscii" w:cstheme="minorAscii"/>
          <w:color w:val="000000" w:themeColor="text1" w:themeTint="FF" w:themeShade="FF"/>
          <w:sz w:val="22"/>
          <w:szCs w:val="22"/>
        </w:rPr>
        <w:t>Despite its value, the Donabedian Model may imply a relatively linear relationship between structure, process and outcomes, whereas healthcare systems involve complex interactions between organisational, cultural and human factors (Braithwaite et al., 2017). The framework also does not explicitly evaluate leadership behaviour, organisational culture or wider policy influences, all of which contributed significantly to the Bristol failures (Mannion and Davies, 2018; Francis, 2013). Nevertheless, combining Donabedian with root cause analysis and strategic frameworks provides a more comprehensive evaluation by linking quality measurement with understanding of underlying organisational and system-level causes (Health Foundation, 2021; Walshe and Smith, 2016).</w:t>
      </w:r>
    </w:p>
    <w:p w:rsidR="68074525" w:rsidP="1074910E" w:rsidRDefault="68074525" w14:paraId="64B3E2A4" w14:textId="41F83A13">
      <w:pPr>
        <w:pStyle w:val="NormalWeb"/>
        <w:spacing w:line="360" w:lineRule="auto"/>
        <w:rPr>
          <w:rFonts w:ascii="Arial" w:hAnsi="Arial" w:eastAsia="Arial" w:cs="Arial" w:asciiTheme="minorAscii" w:hAnsiTheme="minorAscii" w:eastAsiaTheme="minorAscii" w:cstheme="minorAscii"/>
          <w:noProof w:val="0"/>
          <w:sz w:val="22"/>
          <w:szCs w:val="22"/>
          <w:lang w:val="en-GB"/>
        </w:rPr>
      </w:pPr>
      <w:r w:rsidRPr="1074910E" w:rsidR="35E28F0B">
        <w:rPr>
          <w:rFonts w:ascii="Arial" w:hAnsi="Arial" w:eastAsia="Arial" w:cs="Arial" w:asciiTheme="minorAscii" w:hAnsiTheme="minorAscii" w:eastAsiaTheme="minorAscii" w:cstheme="minorAscii"/>
          <w:noProof w:val="0"/>
          <w:sz w:val="22"/>
          <w:szCs w:val="22"/>
          <w:lang w:val="en-GB"/>
        </w:rPr>
        <w:t>Overall, the Donabedian Model demonstrates how weaknesses in organisational structures and clinical processes contributed to Bristol's poor patient outcomes (Kennedy, 2001; Donabedian, 1988)</w:t>
      </w:r>
      <w:r w:rsidRPr="1074910E" w:rsidR="35E28F0B">
        <w:rPr>
          <w:rFonts w:ascii="Arial" w:hAnsi="Arial" w:eastAsia="Arial" w:cs="Arial" w:asciiTheme="minorAscii" w:hAnsiTheme="minorAscii" w:eastAsiaTheme="minorAscii" w:cstheme="minorAscii"/>
          <w:noProof w:val="0"/>
          <w:sz w:val="22"/>
          <w:szCs w:val="22"/>
          <w:lang w:val="en-GB"/>
        </w:rPr>
        <w:t>.</w:t>
      </w:r>
    </w:p>
    <w:p w:rsidRPr="00441462" w:rsidR="0062352B" w:rsidP="1074910E" w:rsidRDefault="0062352B" w14:paraId="0C74D4BF" w14:textId="77777777">
      <w:pPr>
        <w:pStyle w:val="NormalWeb"/>
        <w:spacing w:line="360" w:lineRule="auto"/>
        <w:rPr>
          <w:rFonts w:ascii="Arial" w:hAnsi="Arial" w:eastAsia="Arial" w:cs="Arial" w:asciiTheme="minorAscii" w:hAnsiTheme="minorAscii" w:eastAsiaTheme="minorAscii" w:cstheme="minorAscii"/>
          <w:b w:val="1"/>
          <w:bCs w:val="1"/>
          <w:color w:val="000000" w:themeColor="text1"/>
          <w:sz w:val="22"/>
          <w:szCs w:val="22"/>
        </w:rPr>
      </w:pPr>
      <w:r w:rsidRPr="1074910E" w:rsidR="0062352B">
        <w:rPr>
          <w:rFonts w:ascii="Arial" w:hAnsi="Arial" w:eastAsia="Arial" w:cs="Arial" w:asciiTheme="minorAscii" w:hAnsiTheme="minorAscii" w:eastAsiaTheme="minorAscii" w:cstheme="minorAscii"/>
          <w:b w:val="1"/>
          <w:bCs w:val="1"/>
          <w:color w:val="000000" w:themeColor="text1" w:themeTint="FF" w:themeShade="FF"/>
          <w:sz w:val="22"/>
          <w:szCs w:val="22"/>
        </w:rPr>
        <w:t>Strategic Analysis Using PESTLE</w:t>
      </w:r>
    </w:p>
    <w:p w:rsidRPr="00441462" w:rsidR="0062352B" w:rsidP="1074910E" w:rsidRDefault="0062352B" w14:paraId="79125549"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62352B">
        <w:rPr>
          <w:rFonts w:ascii="Arial" w:hAnsi="Arial" w:eastAsia="Arial" w:cs="Arial" w:asciiTheme="minorAscii" w:hAnsiTheme="minorAscii" w:eastAsiaTheme="minorAscii" w:cstheme="minorAscii"/>
          <w:color w:val="000000" w:themeColor="text1" w:themeTint="FF" w:themeShade="FF"/>
          <w:sz w:val="22"/>
          <w:szCs w:val="22"/>
        </w:rPr>
        <w:t xml:space="preserve">Strategic analysis enables healthcare organisations to examine wider external influences on service delivery, governance and patient safety (Walshe and Smith, 2016). PESTLE was selected because it evaluates political, economic, social, technological, legal and environmental </w:t>
      </w:r>
      <w:r w:rsidRPr="1074910E" w:rsidR="0062352B">
        <w:rPr>
          <w:rFonts w:ascii="Arial" w:hAnsi="Arial" w:eastAsia="Arial" w:cs="Arial" w:asciiTheme="minorAscii" w:hAnsiTheme="minorAscii" w:eastAsiaTheme="minorAscii" w:cstheme="minorAscii"/>
          <w:color w:val="000000" w:themeColor="text1" w:themeTint="FF" w:themeShade="FF"/>
          <w:sz w:val="22"/>
          <w:szCs w:val="22"/>
        </w:rPr>
        <w:t>influences and therefore provides a broad framework for examining the external context surrounding the Bristol Royal Infirmary failures (Walshe and Smith, 2016; Kennedy, 2001).</w:t>
      </w:r>
    </w:p>
    <w:p w:rsidRPr="00441462" w:rsidR="0062352B" w:rsidP="1074910E" w:rsidRDefault="0062352B" w14:paraId="4F5ED0AC"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62352B">
        <w:rPr>
          <w:rFonts w:ascii="Arial" w:hAnsi="Arial" w:eastAsia="Arial" w:cs="Arial" w:asciiTheme="minorAscii" w:hAnsiTheme="minorAscii" w:eastAsiaTheme="minorAscii" w:cstheme="minorAscii"/>
          <w:color w:val="000000" w:themeColor="text1" w:themeTint="FF" w:themeShade="FF"/>
          <w:sz w:val="22"/>
          <w:szCs w:val="22"/>
        </w:rPr>
        <w:t>Politically, national systems for clinical governance and performance monitoring were insufficiently developed during the period investigated, limiting external oversight and delaying intervention despite evidence of poor outcomes (Kennedy, 2001). Subsequent NHS reforms introduced stronger governance and patient safety arrangements to improve accountability and organisational learning (Francis, 2013; NHS England, 2023). Economically, limited investment in specialist services, clinical audit and workforce development may restrict opportunities for effective performance monitoring and continuous improvement, while investment in quality improvement can contribute to reduced avoidable harm and greater long-term efficiency (Kennedy, 2001; Health Foundation, 2021).</w:t>
      </w:r>
    </w:p>
    <w:p w:rsidRPr="00441462" w:rsidR="0062352B" w:rsidP="1074910E" w:rsidRDefault="0062352B" w14:paraId="037839C5"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62352B">
        <w:rPr>
          <w:rFonts w:ascii="Arial" w:hAnsi="Arial" w:eastAsia="Arial" w:cs="Arial" w:asciiTheme="minorAscii" w:hAnsiTheme="minorAscii" w:eastAsiaTheme="minorAscii" w:cstheme="minorAscii"/>
          <w:color w:val="000000" w:themeColor="text1" w:themeTint="FF" w:themeShade="FF"/>
          <w:sz w:val="22"/>
          <w:szCs w:val="22"/>
        </w:rPr>
        <w:t>Social factors were particularly significant because professional hierarchy, poor communication and reluctance to challenge senior clinicians contributed to an organisational culture in which concerns were not effectively escalated (Kennedy, 2001; Mannion and Davies, 2018). Contemporary patient safety policy consequently emphasises openness, multidisciplinary collaboration and organisational learning as essential components of safer care (NHS England, 2023).</w:t>
      </w:r>
    </w:p>
    <w:p w:rsidRPr="00441462" w:rsidR="0062352B" w:rsidP="1074910E" w:rsidRDefault="0062352B" w14:paraId="364CE188" w14:textId="513B8560">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62352B">
        <w:rPr>
          <w:rFonts w:ascii="Arial" w:hAnsi="Arial" w:eastAsia="Arial" w:cs="Arial" w:asciiTheme="minorAscii" w:hAnsiTheme="minorAscii" w:eastAsiaTheme="minorAscii" w:cstheme="minorAscii"/>
          <w:color w:val="000000" w:themeColor="text1" w:themeTint="FF" w:themeShade="FF"/>
          <w:sz w:val="22"/>
          <w:szCs w:val="22"/>
        </w:rPr>
        <w:t xml:space="preserve">Technologically, although mortality data were collected at Bristol, they were not effectively analysed, benchmarked or used to support timely intervention (Kennedy, 2001). Modern digital </w:t>
      </w:r>
      <w:r w:rsidRPr="1074910E" w:rsidR="0062352B">
        <w:rPr>
          <w:rFonts w:ascii="Arial" w:hAnsi="Arial" w:eastAsia="Arial" w:cs="Arial" w:asciiTheme="minorAscii" w:hAnsiTheme="minorAscii" w:eastAsiaTheme="minorAscii" w:cstheme="minorAscii"/>
          <w:color w:val="000000" w:themeColor="text1" w:themeTint="FF" w:themeShade="FF"/>
          <w:sz w:val="22"/>
          <w:szCs w:val="22"/>
        </w:rPr>
        <w:t>audit</w:t>
      </w:r>
      <w:r w:rsidRPr="1074910E" w:rsidR="0062352B">
        <w:rPr>
          <w:rFonts w:ascii="Arial" w:hAnsi="Arial" w:eastAsia="Arial" w:cs="Arial" w:asciiTheme="minorAscii" w:hAnsiTheme="minorAscii" w:eastAsiaTheme="minorAscii" w:cstheme="minorAscii"/>
          <w:color w:val="000000" w:themeColor="text1" w:themeTint="FF" w:themeShade="FF"/>
          <w:sz w:val="22"/>
          <w:szCs w:val="22"/>
        </w:rPr>
        <w:t xml:space="preserve"> systems, clinical registries and performance dashboards can enable earlier identification of unwarranted variation, although technology remains dependent upon effective governance and appropriate organisational responses to the data generated (</w:t>
      </w:r>
      <w:r w:rsidRPr="1074910E" w:rsidR="00B422F0">
        <w:rPr>
          <w:rFonts w:ascii="Arial" w:hAnsi="Arial" w:eastAsia="Arial" w:cs="Arial" w:asciiTheme="minorAscii" w:hAnsiTheme="minorAscii" w:eastAsiaTheme="minorAscii" w:cstheme="minorAscii"/>
          <w:color w:val="000000" w:themeColor="text1" w:themeTint="FF" w:themeShade="FF"/>
          <w:sz w:val="22"/>
          <w:szCs w:val="22"/>
        </w:rPr>
        <w:t>Health Foundation, 2021; NHS England, 2023).</w:t>
      </w:r>
    </w:p>
    <w:p w:rsidRPr="00441462" w:rsidR="0062352B" w:rsidP="1074910E" w:rsidRDefault="0062352B" w14:paraId="3E74E344" w14:textId="283BEA6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62352B">
        <w:rPr>
          <w:rFonts w:ascii="Arial" w:hAnsi="Arial" w:eastAsia="Arial" w:cs="Arial" w:asciiTheme="minorAscii" w:hAnsiTheme="minorAscii" w:eastAsiaTheme="minorAscii" w:cstheme="minorAscii"/>
          <w:color w:val="000000" w:themeColor="text1" w:themeTint="FF" w:themeShade="FF"/>
          <w:sz w:val="22"/>
          <w:szCs w:val="22"/>
        </w:rPr>
        <w:t xml:space="preserve">Legally, inadequate accountability and regulatory oversight contributed to delayed intervention despite persistent evidence of poor outcomes (Kennedy, 2001). Subsequent developments in clinical governance, regulatory inspection and organisational accountability have strengthened the mechanisms intended to protect patients and support transparency across healthcare organisations (Francis, 2013; NHS England, 2023).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The environmental dimension concerns the wider organisational and service context, including workforce pressures, service configuration and infrastructure, which can influence the capacity to deliver sustainable quality improvement (Walshe and Smith, 2016). At Bristol, deficiencies in leadership and multidisciplinary working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created conditions in which poor performance remained insufficiently challenged (Kennedy, 2001).</w:t>
      </w:r>
    </w:p>
    <w:p w:rsidRPr="00441462" w:rsidR="0062352B" w:rsidP="1074910E" w:rsidRDefault="0062352B" w14:paraId="253F7EC6"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62352B">
        <w:rPr>
          <w:rFonts w:ascii="Arial" w:hAnsi="Arial" w:eastAsia="Arial" w:cs="Arial" w:asciiTheme="minorAscii" w:hAnsiTheme="minorAscii" w:eastAsiaTheme="minorAscii" w:cstheme="minorAscii"/>
          <w:color w:val="000000" w:themeColor="text1" w:themeTint="FF" w:themeShade="FF"/>
          <w:sz w:val="22"/>
          <w:szCs w:val="22"/>
        </w:rPr>
        <w:t>PESTLE is more appropriate than SWOT for this analysis because the Bristol failures were influenced by wider political, regulatory, technological and societal factors extending beyond internal organisational strengths and weaknesses (Kennedy, 2001; Francis, 2013). Although SWOT can support organisational planning by examining strengths, weaknesses, opportunities and threats, PESTLE provides broader analysis of the external system influences affecting healthcare quality and patient safety (Walshe and Smith, 2016). Nevertheless, PESTLE should not be viewed as universally superior because SWOT may provide greater insight when the primary objective is to evaluate internal organisational capability and readiness for change (Walshe and Smith, 2016). For the Bristol case, however, PESTLE provides stronger alignment with the historical, regulatory and system-level context of the failures (NHS England, 2023).</w:t>
      </w:r>
    </w:p>
    <w:p w:rsidRPr="00441462" w:rsidR="00174842" w:rsidP="1074910E" w:rsidRDefault="00174842" w14:paraId="7A2FBF6D" w14:textId="3C914934">
      <w:pPr>
        <w:pStyle w:val="Heading2"/>
        <w:spacing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pPr>
      <w:r w:rsidRPr="1074910E" w:rsidR="43185103">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Overall, PESTLE demonstrates that the Bristol failures were shaped by wider political, regulatory, technological and societal influences as well as internal organisational weaknesses (Kennedy, 2001; Francis, 2013). However, its emphasis on the external environment provides limited insight into internal power relationships, leadership behaviour and professional hierarchy, meaning it is most effective when combined with organisational and root-cause frameworks (Walshe and Smith, 2016; Mannion and Davies, 2018). </w:t>
      </w:r>
    </w:p>
    <w:p w:rsidRPr="00441462" w:rsidR="00174842" w:rsidP="1074910E" w:rsidRDefault="00174842" w14:paraId="70E004A5" w14:textId="47F4104D">
      <w:pPr>
        <w:pStyle w:val="Heading2"/>
        <w:spacing w:line="360" w:lineRule="auto"/>
        <w:rPr>
          <w:rFonts w:ascii="Arial" w:hAnsi="Arial" w:eastAsia="Arial" w:cs="Arial" w:asciiTheme="minorAscii" w:hAnsiTheme="minorAscii" w:eastAsiaTheme="minorAscii" w:cstheme="minorAscii"/>
          <w:b w:val="1"/>
          <w:bCs w:val="1"/>
          <w:color w:val="000000" w:themeColor="text1" w:themeTint="FF" w:themeShade="FF"/>
          <w:sz w:val="22"/>
          <w:szCs w:val="22"/>
        </w:rPr>
      </w:pPr>
    </w:p>
    <w:p w:rsidRPr="00441462" w:rsidR="00174842" w:rsidP="1074910E" w:rsidRDefault="00174842" w14:paraId="5824D4E9" w14:textId="43CFA2EA">
      <w:pPr>
        <w:pStyle w:val="Heading2"/>
        <w:spacing w:line="360" w:lineRule="auto"/>
        <w:rPr>
          <w:rFonts w:ascii="Arial" w:hAnsi="Arial" w:eastAsia="Arial" w:cs="Arial" w:asciiTheme="minorAscii" w:hAnsiTheme="minorAscii" w:eastAsiaTheme="minorAscii" w:cstheme="minorAscii"/>
          <w:b w:val="1"/>
          <w:bCs w:val="1"/>
          <w:color w:val="000000" w:themeColor="text1"/>
          <w:sz w:val="22"/>
          <w:szCs w:val="22"/>
        </w:rPr>
      </w:pPr>
      <w:r w:rsidRPr="1074910E" w:rsidR="00174842">
        <w:rPr>
          <w:rFonts w:ascii="Arial" w:hAnsi="Arial" w:eastAsia="Arial" w:cs="Arial" w:asciiTheme="minorAscii" w:hAnsiTheme="minorAscii" w:eastAsiaTheme="minorAscii" w:cstheme="minorAscii"/>
          <w:b w:val="1"/>
          <w:bCs w:val="1"/>
          <w:color w:val="000000" w:themeColor="text1" w:themeTint="FF" w:themeShade="FF"/>
          <w:sz w:val="22"/>
          <w:szCs w:val="22"/>
        </w:rPr>
        <w:t>Recommendations</w:t>
      </w:r>
    </w:p>
    <w:p w:rsidR="6DD3DFDE" w:rsidP="1074910E" w:rsidRDefault="6DD3DFDE" w14:paraId="767B196A" w14:textId="014087AA">
      <w:pPr>
        <w:pStyle w:val="NormalWeb"/>
        <w:spacing w:line="360" w:lineRule="auto"/>
        <w:rPr>
          <w:rFonts w:ascii="Arial" w:hAnsi="Arial" w:eastAsia="Arial" w:cs="Arial" w:asciiTheme="minorAscii" w:hAnsiTheme="minorAscii" w:eastAsiaTheme="minorAscii" w:cstheme="minorAscii"/>
          <w:noProof w:val="0"/>
          <w:sz w:val="22"/>
          <w:szCs w:val="22"/>
          <w:lang w:val="en-GB"/>
        </w:rPr>
      </w:pPr>
      <w:r w:rsidRPr="1074910E" w:rsidR="6DD3DFDE">
        <w:rPr>
          <w:rFonts w:ascii="Arial" w:hAnsi="Arial" w:eastAsia="Arial" w:cs="Arial" w:asciiTheme="minorAscii" w:hAnsiTheme="minorAscii" w:eastAsiaTheme="minorAscii" w:cstheme="minorAscii"/>
          <w:noProof w:val="0"/>
          <w:sz w:val="22"/>
          <w:szCs w:val="22"/>
          <w:lang w:val="en-GB"/>
        </w:rPr>
        <w:t xml:space="preserve">The Bristol Royal Infirmary Inquiry </w:t>
      </w:r>
      <w:r w:rsidRPr="1074910E" w:rsidR="6DD3DFDE">
        <w:rPr>
          <w:rFonts w:ascii="Arial" w:hAnsi="Arial" w:eastAsia="Arial" w:cs="Arial" w:asciiTheme="minorAscii" w:hAnsiTheme="minorAscii" w:eastAsiaTheme="minorAscii" w:cstheme="minorAscii"/>
          <w:noProof w:val="0"/>
          <w:sz w:val="22"/>
          <w:szCs w:val="22"/>
          <w:lang w:val="en-GB"/>
        </w:rPr>
        <w:t>identified</w:t>
      </w:r>
      <w:r w:rsidRPr="1074910E" w:rsidR="6DD3DFDE">
        <w:rPr>
          <w:rFonts w:ascii="Arial" w:hAnsi="Arial" w:eastAsia="Arial" w:cs="Arial" w:asciiTheme="minorAscii" w:hAnsiTheme="minorAscii" w:eastAsiaTheme="minorAscii" w:cstheme="minorAscii"/>
          <w:noProof w:val="0"/>
          <w:sz w:val="22"/>
          <w:szCs w:val="22"/>
          <w:lang w:val="en-GB"/>
        </w:rPr>
        <w:t xml:space="preserve"> interconnected failures in clinical governance, leadership, organisational culture, communication, </w:t>
      </w:r>
      <w:r w:rsidRPr="1074910E" w:rsidR="6DD3DFDE">
        <w:rPr>
          <w:rFonts w:ascii="Arial" w:hAnsi="Arial" w:eastAsia="Arial" w:cs="Arial" w:asciiTheme="minorAscii" w:hAnsiTheme="minorAscii" w:eastAsiaTheme="minorAscii" w:cstheme="minorAscii"/>
          <w:noProof w:val="0"/>
          <w:sz w:val="22"/>
          <w:szCs w:val="22"/>
          <w:lang w:val="en-GB"/>
        </w:rPr>
        <w:t>audit</w:t>
      </w:r>
      <w:r w:rsidRPr="1074910E" w:rsidR="6DD3DFDE">
        <w:rPr>
          <w:rFonts w:ascii="Arial" w:hAnsi="Arial" w:eastAsia="Arial" w:cs="Arial" w:asciiTheme="minorAscii" w:hAnsiTheme="minorAscii" w:eastAsiaTheme="minorAscii" w:cstheme="minorAscii"/>
          <w:noProof w:val="0"/>
          <w:sz w:val="22"/>
          <w:szCs w:val="22"/>
          <w:lang w:val="en-GB"/>
        </w:rPr>
        <w:t xml:space="preserve"> and regulatory oversight, requiring coordinated interventions to strengthen accountability, patient </w:t>
      </w:r>
      <w:r w:rsidRPr="1074910E" w:rsidR="6DD3DFDE">
        <w:rPr>
          <w:rFonts w:ascii="Arial" w:hAnsi="Arial" w:eastAsia="Arial" w:cs="Arial" w:asciiTheme="minorAscii" w:hAnsiTheme="minorAscii" w:eastAsiaTheme="minorAscii" w:cstheme="minorAscii"/>
          <w:noProof w:val="0"/>
          <w:sz w:val="22"/>
          <w:szCs w:val="22"/>
          <w:lang w:val="en-GB"/>
        </w:rPr>
        <w:t>safety</w:t>
      </w:r>
      <w:r w:rsidRPr="1074910E" w:rsidR="6DD3DFDE">
        <w:rPr>
          <w:rFonts w:ascii="Arial" w:hAnsi="Arial" w:eastAsia="Arial" w:cs="Arial" w:asciiTheme="minorAscii" w:hAnsiTheme="minorAscii" w:eastAsiaTheme="minorAscii" w:cstheme="minorAscii"/>
          <w:noProof w:val="0"/>
          <w:sz w:val="22"/>
          <w:szCs w:val="22"/>
          <w:lang w:val="en-GB"/>
        </w:rPr>
        <w:t xml:space="preserve"> and continuous learning (Kennedy, 2001; NHS England, 2023)</w:t>
      </w:r>
      <w:r w:rsidRPr="1074910E" w:rsidR="482F41BE">
        <w:rPr>
          <w:rFonts w:ascii="Arial" w:hAnsi="Arial" w:eastAsia="Arial" w:cs="Arial" w:asciiTheme="minorAscii" w:hAnsiTheme="minorAscii" w:eastAsiaTheme="minorAscii" w:cstheme="minorAscii"/>
          <w:noProof w:val="0"/>
          <w:sz w:val="22"/>
          <w:szCs w:val="22"/>
          <w:lang w:val="en-GB"/>
        </w:rPr>
        <w:t>.</w:t>
      </w:r>
    </w:p>
    <w:p w:rsidR="031E51C9" w:rsidP="1074910E" w:rsidRDefault="031E51C9" w14:paraId="19087DA7" w14:textId="0868975E">
      <w:pPr>
        <w:pStyle w:val="NormalWeb"/>
        <w:spacing w:line="360" w:lineRule="auto"/>
        <w:rPr>
          <w:rFonts w:ascii="Arial" w:hAnsi="Arial" w:eastAsia="Arial" w:cs="Arial" w:asciiTheme="minorAscii" w:hAnsiTheme="minorAscii" w:eastAsiaTheme="minorAscii" w:cstheme="minorAscii"/>
          <w:noProof w:val="0"/>
          <w:sz w:val="22"/>
          <w:szCs w:val="22"/>
          <w:lang w:val="en-GB"/>
        </w:rPr>
      </w:pPr>
      <w:r w:rsidRPr="1074910E" w:rsidR="031E51C9">
        <w:rPr>
          <w:rFonts w:ascii="Arial" w:hAnsi="Arial" w:eastAsia="Arial" w:cs="Arial" w:asciiTheme="minorAscii" w:hAnsiTheme="minorAscii" w:eastAsiaTheme="minorAscii" w:cstheme="minorAscii"/>
          <w:noProof w:val="0"/>
          <w:sz w:val="22"/>
          <w:szCs w:val="22"/>
          <w:lang w:val="en-GB"/>
        </w:rPr>
        <w:t>The first recommendation is to strengthen clinical governance through clear accountability structures and monthly board-level review of mortality, complications, serious incidents and unresolved escalation concerns (Francis, 2013). Clinical governance committees should assign responsibility for each identified risk, establish documented actions and deadlines, and monitor completion through routine audit and patient safety indicators (Walshe and Smith, 2016; NHS England, 2023). Success should be demonstrated by timely escalation of concerns, improved audit compliance and documented evidence that emerging safety risks result in corrective action before avoidable harm occurs (NHS England, 2023).</w:t>
      </w:r>
    </w:p>
    <w:p w:rsidR="1CADB66D" w:rsidP="1074910E" w:rsidRDefault="1CADB66D" w14:paraId="204F0DD4" w14:textId="0DE89DAD">
      <w:pPr>
        <w:pStyle w:val="NormalWeb"/>
        <w:spacing w:line="360" w:lineRule="auto"/>
        <w:rPr>
          <w:rFonts w:ascii="Arial" w:hAnsi="Arial" w:eastAsia="Arial" w:cs="Arial" w:asciiTheme="minorAscii" w:hAnsiTheme="minorAscii" w:eastAsiaTheme="minorAscii" w:cstheme="minorAscii"/>
          <w:noProof w:val="0"/>
          <w:sz w:val="22"/>
          <w:szCs w:val="22"/>
          <w:lang w:val="en-GB"/>
        </w:rPr>
      </w:pPr>
      <w:r w:rsidRPr="1074910E" w:rsidR="1CADB66D">
        <w:rPr>
          <w:rFonts w:ascii="Arial" w:hAnsi="Arial" w:eastAsia="Arial" w:cs="Arial" w:asciiTheme="minorAscii" w:hAnsiTheme="minorAscii" w:eastAsiaTheme="minorAscii" w:cstheme="minorAscii"/>
          <w:noProof w:val="0"/>
          <w:sz w:val="22"/>
          <w:szCs w:val="22"/>
          <w:lang w:val="en-GB"/>
        </w:rPr>
        <w:t>The second recommendation is to strengthen clinical audit and benchmarking through quarterly comparison of mortality, complications and other risk-adjusted outcomes against national standards and comparable specialist centres (Health Foundation, 2021). This is particularly important because Bristol collected mortality data but failed to analyse and benchmark them effectively, delaying recognition of deteriorating performance (Kennedy, 2001). Clinical governance and quality teams should investigate significant or sustained variation, document corrective actions and report progress to the board (NHS England, 2023). Success should be measured through earlier identification of deteriorating performance, timely completion of improvement actions and sustained reduction in unexplained variation (Willmington et al., 2022; NHS England, 2023). However, benchmarking should account for differences in patient complexity and organisational context because inappropriate comparisons may produce misleading conclusions about quality (Willmington et al., 2022).</w:t>
      </w:r>
    </w:p>
    <w:p w:rsidRPr="00441462" w:rsidR="00174842" w:rsidP="1074910E" w:rsidRDefault="00174842" w14:paraId="40DBDD95"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The third recommendation is to develop an organisational culture characterised by openness, psychological safety and learning (Mannion and Davies, 2018). At Bristol, professional hierarchies discouraged staff from challenging senior clinicians and escalating concerns, demonstrating how culture can undermine formal governance mechanisms (Kennedy, 2001). Multidisciplinary collaboration and effective Freedom to Speak Up arrangements should therefore enable staff to raise concerns without fear of blame or adverse professional consequences (NHS England, 2023). Evidence associates positive organisational cultures with improved staff engagement, patient safety and clinical outcomes (Braithwaite et al., 2017).</w:t>
      </w:r>
    </w:p>
    <w:p w:rsidRPr="00441462" w:rsidR="00174842" w:rsidP="1074910E" w:rsidRDefault="00174842" w14:paraId="4DD06309"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The fourth recommendation is to strengthen leadership development through structured programmes focused on compassionate leadership, patient safety and quality improvement (West et al., 2017). Effective leaders should respond proactively to deteriorating performance, promote learning and manage organisational change while recognising the experiences and challenges faced by staff (Bailey and West, 2022). Nevertheless, leadership development alone is insufficient unless supported by adequate resources, effective governance and organisational commitment to change (Hulks et al., 2024).</w:t>
      </w:r>
    </w:p>
    <w:p w:rsidRPr="00441462" w:rsidR="00174842" w:rsidP="1074910E" w:rsidRDefault="00174842" w14:paraId="4E743C2A"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The fifth recommendation is to strengthen patient and family involvement in decision-making, governance and service evaluation because lived experience can provide valuable evidence concerning healthcare quality and safety (World Health Organization, 2021). Meaningful patient and public involvement can strengthen organisational learning and service design, although healthcare organisations must address power inequalities, organisational barriers and tokenistic participation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Ocloo</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et al., 2021). Patient involvement should therefore be measurable and embedded within governance structures rather than treated as a symbolic consultation exercise (NHS England, 2023).</w:t>
      </w:r>
    </w:p>
    <w:p w:rsidRPr="00441462" w:rsidR="00174842" w:rsidP="1074910E" w:rsidRDefault="00174842" w14:paraId="5C3506AD" w14:textId="2B775C1E">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Finally, continuous professional development, multidisciplinary teamwork and routine quality monitoring should be embedded within everyday clinical practice (Health Foundation, 2021). Simulation training, multidisciplinary meetings, reflective learning and digital quality dashboards can strengthen competence, communication and early identification of patient safety risks (Walshe and Smith, 2016; NHS England, 2023). </w:t>
      </w:r>
      <w:r w:rsidRPr="1074910E" w:rsidR="002107B9">
        <w:rPr>
          <w:rFonts w:ascii="Arial" w:hAnsi="Arial" w:eastAsia="Arial" w:cs="Arial" w:asciiTheme="minorAscii" w:hAnsiTheme="minorAscii" w:eastAsiaTheme="minorAscii" w:cstheme="minorAscii"/>
          <w:color w:val="000000" w:themeColor="text1" w:themeTint="FF" w:themeShade="FF"/>
          <w:sz w:val="22"/>
          <w:szCs w:val="22"/>
        </w:rPr>
        <w:t xml:space="preserve">Workforce pressures, including staff shortages and high workload, can negatively affect the quality and safety of care, demonstrating that sustainable service improvement requires sufficient staffing capacity and organisational support (Care Quality Commission, 2023).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Short-term indicators should include audit compliance, incident reporting, staff engagement and timely escalation of concerns, while longer-term outcomes should include reduced avoidable harm, improved patient experience and sustained organisational learning (</w:t>
      </w:r>
      <w:r w:rsidRPr="1074910E" w:rsidR="002107B9">
        <w:rPr>
          <w:rFonts w:ascii="Arial" w:hAnsi="Arial" w:eastAsia="Arial" w:cs="Arial" w:asciiTheme="minorAscii" w:hAnsiTheme="minorAscii" w:eastAsiaTheme="minorAscii" w:cstheme="minorAscii"/>
          <w:color w:val="000000" w:themeColor="text1" w:themeTint="FF" w:themeShade="FF"/>
          <w:sz w:val="22"/>
          <w:szCs w:val="22"/>
        </w:rPr>
        <w:t>NHS England, 2023</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World Health Organization, 2021). Sustainable improvement therefore requires systematic measurement, professional learning and evidence-based change to become routine organisational responsibilities rather than temporary responses to adverse events (Øvretveit, 2018).</w:t>
      </w:r>
    </w:p>
    <w:p w:rsidRPr="00441462" w:rsidR="00174842" w:rsidP="1074910E" w:rsidRDefault="00174842" w14:paraId="794DF881" w14:textId="77777777">
      <w:pPr>
        <w:pStyle w:val="Heading2"/>
        <w:spacing w:line="360" w:lineRule="auto"/>
        <w:rPr>
          <w:rFonts w:ascii="Arial" w:hAnsi="Arial" w:eastAsia="Arial" w:cs="Arial" w:asciiTheme="minorAscii" w:hAnsiTheme="minorAscii" w:eastAsiaTheme="minorAscii" w:cstheme="minorAscii"/>
          <w:b w:val="1"/>
          <w:bCs w:val="1"/>
          <w:color w:val="000000" w:themeColor="text1"/>
          <w:sz w:val="22"/>
          <w:szCs w:val="22"/>
        </w:rPr>
      </w:pPr>
      <w:r w:rsidRPr="1074910E" w:rsidR="00174842">
        <w:rPr>
          <w:rFonts w:ascii="Arial" w:hAnsi="Arial" w:eastAsia="Arial" w:cs="Arial" w:asciiTheme="minorAscii" w:hAnsiTheme="minorAscii" w:eastAsiaTheme="minorAscii" w:cstheme="minorAscii"/>
          <w:b w:val="1"/>
          <w:bCs w:val="1"/>
          <w:color w:val="000000" w:themeColor="text1" w:themeTint="FF" w:themeShade="FF"/>
          <w:sz w:val="22"/>
          <w:szCs w:val="22"/>
        </w:rPr>
        <w:t>Implementation</w:t>
      </w:r>
    </w:p>
    <w:p w:rsidRPr="00441462" w:rsidR="00174842" w:rsidP="1074910E" w:rsidRDefault="00174842" w14:paraId="3F436F04"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Successful service improvement requires a structured implementation strategy that translates evidence-based recommendations into sustainable organisational change (Kotter, 2012). Because the Bristol failures developed through longstanding weaknesses in governance, leadership, culture and patient safety, they require organisational transformation rather than isolated interventions (Kennedy, 2001). Kotter's Eight-Step Change Model and the Plan–Do–Study–Act (PDSA) cycle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are</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therefore combined to address both cultural change and iterative operational improvement (Kotter, 2012; Health Foundation, 2021).</w:t>
      </w:r>
    </w:p>
    <w:p w:rsidRPr="00441462" w:rsidR="00174842" w:rsidP="1074910E" w:rsidRDefault="00174842" w14:paraId="1906B390"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Kotter's model begins by creating urgency through transparent communication of patient safety risks and evidence of deteriorating performance, thereby establishing organisational readiness for change (Kotter, 2012). A multidisciplinary guiding coalition comprising senior leaders, clinicians, managers, quality improvement specialists and patient representatives should then develop a shared vision focused on stronger governance, audit, openness and patient safety (NHS England, 2023). Effective communication of this vision and removal of barriers should include staff education, multidisciplinary collaboration, leadership support and effective mechanisms for raising concerns (Francis, 2013; West et al., 2017).</w:t>
      </w:r>
    </w:p>
    <w:p w:rsidRPr="00441462" w:rsidR="00174842" w:rsidP="1074910E" w:rsidRDefault="00174842" w14:paraId="31235D40"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Short-term achievements, such as improved audit compliance, enhanced outcome monitoring and increased staff engagement, should be measured and communicated to sustain momentum (Health Foundation, 2021). Longer-term sustainability requires successful changes to be embedded within governance systems, professional development and routine clinical practice rather than remaining dependent on temporary initiatives or individual leaders (NHS England, 2023). However, implementation should remain sensitive to workforce pressures, resource constraints and competing organisational priorities, which may affect the pace and sustainability of improvement (Hulks et al., 2024).</w:t>
      </w:r>
    </w:p>
    <w:p w:rsidRPr="00441462" w:rsidR="00174842" w:rsidP="1074910E" w:rsidRDefault="00174842" w14:paraId="34BD3419" w14:textId="73D34363">
      <w:pPr>
        <w:pStyle w:val="NormalWeb"/>
        <w:spacing w:line="360" w:lineRule="auto"/>
        <w:rPr>
          <w:rFonts w:ascii="Arial" w:hAnsi="Arial" w:eastAsia="Arial" w:cs="Arial" w:asciiTheme="minorAscii" w:hAnsiTheme="minorAscii" w:eastAsiaTheme="minorAscii" w:cstheme="minorAscii"/>
          <w:noProof w:val="0"/>
          <w:sz w:val="22"/>
          <w:szCs w:val="22"/>
          <w:lang w:val="en-GB"/>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The PDSA cycle complements Kotter by enabling interventions to be tested, evaluated and refined iteratively before wider implementation (Health Foundation, 2021). During the Plan stage, organisations should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establish</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specific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objectives</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and measurable indicators relating to governance, audit,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communication</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and patient safety; the Do stage should test interventions initially on a manageable scale (Institute for Healthcare Improvement, </w:t>
      </w:r>
      <w:r w:rsidRPr="1074910E" w:rsidR="00B94A1A">
        <w:rPr>
          <w:rFonts w:ascii="Arial" w:hAnsi="Arial" w:eastAsia="Arial" w:cs="Arial" w:asciiTheme="minorAscii" w:hAnsiTheme="minorAscii" w:eastAsiaTheme="minorAscii" w:cstheme="minorAscii"/>
          <w:color w:val="000000" w:themeColor="text1" w:themeTint="FF" w:themeShade="FF"/>
          <w:sz w:val="22"/>
          <w:szCs w:val="22"/>
        </w:rPr>
        <w:t>no date</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The Study stage should evaluate performance data, staff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feedback</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and patient experience, while the Act stage should refine, adopt or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discontinue</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the intervention according to the findings (Health Foundation, 2021).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This iterative process supports adaptation and organisational learning before wider implementation (NHS England, 2023)</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w:t>
      </w:r>
      <w:r w:rsidRPr="1074910E" w:rsidR="5B0AD601">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5B0AD601">
        <w:rPr>
          <w:rFonts w:ascii="Arial" w:hAnsi="Arial" w:eastAsia="Arial" w:cs="Arial" w:asciiTheme="minorAscii" w:hAnsiTheme="minorAscii" w:eastAsiaTheme="minorAscii" w:cstheme="minorAscii"/>
          <w:color w:val="000000" w:themeColor="text1" w:themeTint="FF" w:themeShade="FF"/>
          <w:sz w:val="22"/>
          <w:szCs w:val="22"/>
        </w:rPr>
        <w:t>F</w:t>
      </w:r>
      <w:r w:rsidRPr="1074910E" w:rsidR="5B0AD601">
        <w:rPr>
          <w:rFonts w:ascii="Arial" w:hAnsi="Arial" w:eastAsia="Arial" w:cs="Arial" w:asciiTheme="minorAscii" w:hAnsiTheme="minorAscii" w:eastAsiaTheme="minorAscii" w:cstheme="minorAscii"/>
          <w:noProof w:val="0"/>
          <w:sz w:val="22"/>
          <w:szCs w:val="22"/>
          <w:lang w:val="en-GB"/>
        </w:rPr>
        <w:t>or</w:t>
      </w:r>
      <w:r w:rsidRPr="1074910E" w:rsidR="5B0AD601">
        <w:rPr>
          <w:rFonts w:ascii="Arial" w:hAnsi="Arial" w:eastAsia="Arial" w:cs="Arial" w:asciiTheme="minorAscii" w:hAnsiTheme="minorAscii" w:eastAsiaTheme="minorAscii" w:cstheme="minorAscii"/>
          <w:noProof w:val="0"/>
          <w:sz w:val="22"/>
          <w:szCs w:val="22"/>
          <w:lang w:val="en-GB"/>
        </w:rPr>
        <w:t xml:space="preserve"> example, an initial PDSA cycle could test a monthly mortality and patient safety dashboard within one specialist clinical service, measuring whether unexpected outcome variation is identified, escalated and assigned for corrective action within predefined timeframes before wider organisational implementation (Health Foundation, 2021; Institute for Healthcare Improvement, no date).</w:t>
      </w:r>
    </w:p>
    <w:p w:rsidRPr="00441462" w:rsidR="00174842" w:rsidP="1074910E" w:rsidRDefault="00174842" w14:paraId="5984605F"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Nevertheless, PDSA does not automatically produce improvement, and its effectiveness depends on rigorous application, appropriate data collection and faithful use of iterative cycles (Jones et al., 2019). Inadequate documentation, weak measurement or premature implementation can undermine learning and reduce the reliability of outcomes (Reed and Card, 2016). Continuous monitoring through audit, patient experience, staff feedback and national benchmarking is therefore necessary to identify emerging risks and adapt interventions over time (NHS England, 2023).</w:t>
      </w:r>
    </w:p>
    <w:p w:rsidRPr="00441462" w:rsidR="00174842" w:rsidP="1074910E" w:rsidRDefault="00174842" w14:paraId="46720CAE"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Kotter was selected over Lewin's three-stage model because the Bristol failures required extensive cultural and organisational transformation rather than a relatively simple process of unfreezing, changing and refreezing (Kotter, 2012). Although Lewin provides conceptual clarity, its assumption that organisations eventually reach a stable state may be less appropriate for healthcare environments requiring continuous adaptation (Walshe and Smith, 2016). Kotter offers more explicit attention to leadership coalitions, communication, short-term achievements and cultural embedding, although its sequential structure may itself require flexible application in complex healthcare systems (Kotter, 2012).</w:t>
      </w:r>
    </w:p>
    <w:p w:rsidRPr="00441462" w:rsidR="00174842" w:rsidP="1074910E" w:rsidRDefault="00174842" w14:paraId="205D45D5"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Similarly, PDSA was selected over PDCA and Six Sigma because it emphasises iterative testing, learning and adaptation within complex healthcare settings (Health Foundation, 2021). PDCA offers a valuable general framework for process control, while Six Sigma can reduce process variation through quantitative analysis; however, neither directly addresses the cultural, leadership and governance failures central to the Bristol case as comprehensively as the combined application of Kotter and PDSA (Walshe and Smith, 2016). Consequently, the two selected frameworks provide complementary mechanisms for organisational transformation and continuous operational learning while recognising that implementation must remain responsive to context, evidence and stakeholder feedback (Reed and Card, 2016; NHS England, 2023).</w:t>
      </w:r>
    </w:p>
    <w:p w:rsidRPr="00441462" w:rsidR="00174842" w:rsidP="1074910E" w:rsidRDefault="00174842" w14:paraId="354CAEF5" w14:textId="77777777">
      <w:pPr>
        <w:pStyle w:val="Heading2"/>
        <w:spacing w:line="360" w:lineRule="auto"/>
        <w:rPr>
          <w:rFonts w:ascii="Arial" w:hAnsi="Arial" w:eastAsia="Arial" w:cs="Arial" w:asciiTheme="minorAscii" w:hAnsiTheme="minorAscii" w:eastAsiaTheme="minorAscii" w:cstheme="minorAscii"/>
          <w:b w:val="1"/>
          <w:bCs w:val="1"/>
          <w:color w:val="000000" w:themeColor="text1"/>
          <w:sz w:val="22"/>
          <w:szCs w:val="22"/>
        </w:rPr>
      </w:pPr>
      <w:r w:rsidRPr="1074910E" w:rsidR="00174842">
        <w:rPr>
          <w:rFonts w:ascii="Arial" w:hAnsi="Arial" w:eastAsia="Arial" w:cs="Arial" w:asciiTheme="minorAscii" w:hAnsiTheme="minorAscii" w:eastAsiaTheme="minorAscii" w:cstheme="minorAscii"/>
          <w:b w:val="1"/>
          <w:bCs w:val="1"/>
          <w:color w:val="000000" w:themeColor="text1" w:themeTint="FF" w:themeShade="FF"/>
          <w:sz w:val="22"/>
          <w:szCs w:val="22"/>
        </w:rPr>
        <w:t>Conclusion</w:t>
      </w:r>
    </w:p>
    <w:p w:rsidR="39C4D593" w:rsidP="1074910E" w:rsidRDefault="39C4D593" w14:paraId="61C0D1F0" w14:textId="37D3AD7F">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1074910E" w:rsidR="39C4D593">
        <w:rPr>
          <w:rFonts w:ascii="Arial" w:hAnsi="Arial" w:eastAsia="Arial" w:cs="Arial" w:asciiTheme="minorAscii" w:hAnsiTheme="minorAscii" w:eastAsiaTheme="minorAscii" w:cstheme="minorAscii"/>
          <w:noProof w:val="0"/>
          <w:sz w:val="22"/>
          <w:szCs w:val="22"/>
          <w:lang w:val="en-US"/>
        </w:rPr>
        <w:t>This report has critically evaluated the Bristol Royal Infirmary Inquiry through complementary quality management and service improvement frameworks, demonstrating how weaknesses in governance, leadership, organisational culture, communication and clinical audit contributed to poor patient outcomes (Kennedy, 2001; Francis, 2013). The Fishbone Diagram and 5 Whys identified contributory factors and deeper causal mechanisms, while the Donabedian Model demonstrated how structural and process deficiencies affected outcomes (Donabedian, 1988; Health Foundation, 2021). PESTLE further established that wider political, regulatory, technological and societal influences shaped organisational quality and patient safety (Walshe and Smith, 2016; NHS England, 2023).</w:t>
      </w:r>
    </w:p>
    <w:p w:rsidR="39C4D593" w:rsidP="1074910E" w:rsidRDefault="39C4D593" w14:paraId="022E179C" w14:textId="33485DFA">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1074910E" w:rsidR="39C4D593">
        <w:rPr>
          <w:rFonts w:ascii="Arial" w:hAnsi="Arial" w:eastAsia="Arial" w:cs="Arial" w:asciiTheme="minorAscii" w:hAnsiTheme="minorAscii" w:eastAsiaTheme="minorAscii" w:cstheme="minorAscii"/>
          <w:noProof w:val="0"/>
          <w:sz w:val="22"/>
          <w:szCs w:val="22"/>
          <w:lang w:val="en-US"/>
        </w:rPr>
        <w:t>The proposed recommendations prioritise stronger governance, benchmarking, organisational culture, leadership, patient involvement, multidisciplinary learning and continuous monitoring (World Health Organization, 2021; NHS England, 2023). Their implementation through Kotter's Eight-Step Change Model and PDSA provides complementary mechanisms for cultural transformation and iterative improvement, although sustainable change depends on rigorous measurement, stakeholder engagement and adaptation to organisational context (Kotter, 2012; Reed and Card, 2016).</w:t>
      </w:r>
    </w:p>
    <w:p w:rsidR="39C4D593" w:rsidP="1074910E" w:rsidRDefault="39C4D593" w14:paraId="793B8453" w14:textId="254CD5D4">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1074910E" w:rsidR="39C4D593">
        <w:rPr>
          <w:rFonts w:ascii="Arial" w:hAnsi="Arial" w:eastAsia="Arial" w:cs="Arial" w:asciiTheme="minorAscii" w:hAnsiTheme="minorAscii" w:eastAsiaTheme="minorAscii" w:cstheme="minorAscii"/>
          <w:noProof w:val="0"/>
          <w:sz w:val="22"/>
          <w:szCs w:val="22"/>
          <w:lang w:val="en-US"/>
        </w:rPr>
        <w:t>The continuing relevance of the Bristol Inquiry lies in its demonstration that sustainable quality assurance requires effective leadership, organisational transparency, systematic learning and evidence-based decision-making embedded within routine practice (World Health Organization, 2021; NHS England, 2023). Applying complementary quality improvement frameworks can enable health and social care organisations to learn from historical failures, strengthen patient safety and support safer, more effective and person-centred care (Braithwaite et al., 2017; Mannion and Davies, 2018).</w:t>
      </w:r>
    </w:p>
    <w:p w:rsidR="1074910E" w:rsidP="1074910E" w:rsidRDefault="1074910E" w14:paraId="59342BC8" w14:textId="61DAC750">
      <w:pPr>
        <w:pStyle w:val="Normal"/>
        <w:rPr>
          <w:rFonts w:ascii="Arial" w:hAnsi="Arial" w:eastAsia="Arial" w:cs="Arial" w:asciiTheme="minorAscii" w:hAnsiTheme="minorAscii" w:eastAsiaTheme="minorAscii" w:cstheme="minorAscii"/>
          <w:sz w:val="22"/>
          <w:szCs w:val="22"/>
        </w:rPr>
      </w:pPr>
    </w:p>
    <w:p w:rsidRPr="00441462" w:rsidR="00174842" w:rsidP="1074910E" w:rsidRDefault="00174842" w14:paraId="61F2AE16" w14:textId="77777777">
      <w:pPr>
        <w:pStyle w:val="Heading3"/>
        <w:spacing w:line="360" w:lineRule="auto"/>
        <w:rPr>
          <w:rFonts w:ascii="Arial" w:hAnsi="Arial" w:eastAsia="Arial" w:cs="Arial" w:asciiTheme="minorAscii" w:hAnsiTheme="minorAscii" w:eastAsiaTheme="minorAscii" w:cstheme="minorAscii"/>
          <w:b w:val="1"/>
          <w:bCs w:val="1"/>
          <w:color w:val="000000" w:themeColor="text1"/>
          <w:sz w:val="22"/>
          <w:szCs w:val="22"/>
        </w:rPr>
      </w:pPr>
      <w:r w:rsidRPr="1074910E" w:rsidR="00174842">
        <w:rPr>
          <w:rFonts w:ascii="Arial" w:hAnsi="Arial" w:eastAsia="Arial" w:cs="Arial" w:asciiTheme="minorAscii" w:hAnsiTheme="minorAscii" w:eastAsiaTheme="minorAscii" w:cstheme="minorAscii"/>
          <w:b w:val="1"/>
          <w:bCs w:val="1"/>
          <w:color w:val="000000" w:themeColor="text1" w:themeTint="FF" w:themeShade="FF"/>
          <w:sz w:val="22"/>
          <w:szCs w:val="22"/>
        </w:rPr>
        <w:t xml:space="preserve"> References</w:t>
      </w:r>
    </w:p>
    <w:p w:rsidRPr="00441462" w:rsidR="00174842" w:rsidP="1074910E" w:rsidRDefault="00174842" w14:paraId="360D63B3" w14:textId="72CB1A08">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Bailey, S. and West, M. (2022) ‘What is compassionate leadership?’,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The King’s Fund</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Available at: </w:t>
      </w:r>
      <w:hyperlink r:id="R77fd9fe417944879">
        <w:r w:rsidRPr="1074910E" w:rsidR="00CA52EB">
          <w:rPr>
            <w:rStyle w:val="Hyperlink"/>
            <w:rFonts w:ascii="Arial" w:hAnsi="Arial" w:eastAsia="Arial" w:cs="Arial" w:asciiTheme="minorAscii" w:hAnsiTheme="minorAscii" w:eastAsiaTheme="minorAscii" w:cstheme="minorAscii"/>
            <w:color w:val="000000" w:themeColor="text1" w:themeTint="FF" w:themeShade="FF"/>
            <w:sz w:val="22"/>
            <w:szCs w:val="22"/>
          </w:rPr>
          <w:t>https://www.kingsfund.org.uk/insight-and-analysis/long-reads/what-is-compassionate-leadership?utm_source=chatgpt.com</w:t>
        </w:r>
      </w:hyperlink>
      <w:r w:rsidRPr="1074910E" w:rsidR="00CA52EB">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(Accessed: </w:t>
      </w:r>
      <w:r w:rsidRPr="1074910E" w:rsidR="007D38B0">
        <w:rPr>
          <w:rFonts w:ascii="Arial" w:hAnsi="Arial" w:eastAsia="Arial" w:cs="Arial" w:asciiTheme="minorAscii" w:hAnsiTheme="minorAscii" w:eastAsiaTheme="minorAscii" w:cstheme="minorAscii"/>
          <w:color w:val="000000" w:themeColor="text1" w:themeTint="FF" w:themeShade="FF"/>
          <w:sz w:val="22"/>
          <w:szCs w:val="22"/>
        </w:rPr>
        <w:t>28</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June 2026).</w:t>
      </w:r>
    </w:p>
    <w:p w:rsidRPr="00441462" w:rsidR="00174842" w:rsidP="1074910E" w:rsidRDefault="00174842" w14:paraId="0AEA56A3" w14:textId="01933CEB">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Braithwaite, J., Herkes, J., Ludlow, K., Testa, L. and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Lamprell</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G. (2017) ‘Association between organisational and workplace cultures, and patient outcomes: Systematic review’</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 BMJ Open</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7(11), e017708. Available at: </w:t>
      </w:r>
      <w:hyperlink r:id="R990935bc0cec4353">
        <w:r w:rsidRPr="1074910E" w:rsidR="00CA52EB">
          <w:rPr>
            <w:rStyle w:val="Hyperlink"/>
            <w:rFonts w:ascii="Arial" w:hAnsi="Arial" w:eastAsia="Arial" w:cs="Arial" w:asciiTheme="minorAscii" w:hAnsiTheme="minorAscii" w:eastAsiaTheme="minorAscii" w:cstheme="minorAscii"/>
            <w:color w:val="000000" w:themeColor="text1" w:themeTint="FF" w:themeShade="FF"/>
            <w:sz w:val="22"/>
            <w:szCs w:val="22"/>
          </w:rPr>
          <w:t>https://bmjopen.bmj.com/content/7/11/e017708?utm_source=chatgpt.com</w:t>
        </w:r>
      </w:hyperlink>
      <w:r w:rsidRPr="1074910E" w:rsidR="00CA52EB">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(Accessed: </w:t>
      </w:r>
      <w:r w:rsidRPr="1074910E" w:rsidR="007D38B0">
        <w:rPr>
          <w:rFonts w:ascii="Arial" w:hAnsi="Arial" w:eastAsia="Arial" w:cs="Arial" w:asciiTheme="minorAscii" w:hAnsiTheme="minorAscii" w:eastAsiaTheme="minorAscii" w:cstheme="minorAscii"/>
          <w:color w:val="000000" w:themeColor="text1" w:themeTint="FF" w:themeShade="FF"/>
          <w:sz w:val="22"/>
          <w:szCs w:val="22"/>
        </w:rPr>
        <w:t xml:space="preserve">5 July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2026).</w:t>
      </w:r>
    </w:p>
    <w:p w:rsidRPr="00441462" w:rsidR="00777C76" w:rsidP="1074910E" w:rsidRDefault="00777C76" w14:paraId="50F48DC2" w14:textId="768907C5">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777C76">
        <w:rPr>
          <w:rFonts w:ascii="Arial" w:hAnsi="Arial" w:eastAsia="Arial" w:cs="Arial" w:asciiTheme="minorAscii" w:hAnsiTheme="minorAscii" w:eastAsiaTheme="minorAscii" w:cstheme="minorAscii"/>
          <w:color w:val="000000" w:themeColor="text1" w:themeTint="FF" w:themeShade="FF"/>
          <w:sz w:val="22"/>
          <w:szCs w:val="22"/>
        </w:rPr>
        <w:t xml:space="preserve">Care Quality Commission (2023) </w:t>
      </w:r>
      <w:r w:rsidRPr="1074910E" w:rsidR="00777C76">
        <w:rPr>
          <w:rFonts w:ascii="Arial" w:hAnsi="Arial" w:eastAsia="Arial" w:cs="Arial" w:asciiTheme="minorAscii" w:hAnsiTheme="minorAscii" w:eastAsiaTheme="minorAscii" w:cstheme="minorAscii"/>
          <w:i w:val="1"/>
          <w:iCs w:val="1"/>
          <w:color w:val="000000" w:themeColor="text1" w:themeTint="FF" w:themeShade="FF"/>
          <w:sz w:val="22"/>
          <w:szCs w:val="22"/>
        </w:rPr>
        <w:t xml:space="preserve">‘The health and care workforce’, in </w:t>
      </w:r>
      <w:r w:rsidRPr="1074910E" w:rsidR="00777C76">
        <w:rPr>
          <w:rFonts w:ascii="Arial" w:hAnsi="Arial" w:eastAsia="Arial" w:cs="Arial" w:asciiTheme="minorAscii" w:hAnsiTheme="minorAscii" w:eastAsiaTheme="minorAscii" w:cstheme="minorAscii"/>
          <w:i w:val="1"/>
          <w:iCs w:val="1"/>
          <w:color w:val="000000" w:themeColor="text1" w:themeTint="FF" w:themeShade="FF"/>
          <w:sz w:val="22"/>
          <w:szCs w:val="22"/>
        </w:rPr>
        <w:t>The</w:t>
      </w:r>
      <w:r w:rsidRPr="1074910E" w:rsidR="00777C76">
        <w:rPr>
          <w:rFonts w:ascii="Arial" w:hAnsi="Arial" w:eastAsia="Arial" w:cs="Arial" w:asciiTheme="minorAscii" w:hAnsiTheme="minorAscii" w:eastAsiaTheme="minorAscii" w:cstheme="minorAscii"/>
          <w:i w:val="1"/>
          <w:iCs w:val="1"/>
          <w:color w:val="000000" w:themeColor="text1" w:themeTint="FF" w:themeShade="FF"/>
          <w:sz w:val="22"/>
          <w:szCs w:val="22"/>
        </w:rPr>
        <w:t xml:space="preserve"> state of health care and adult social care in England 2022/23</w:t>
      </w:r>
      <w:r w:rsidRPr="1074910E" w:rsidR="00777C76">
        <w:rPr>
          <w:rFonts w:ascii="Arial" w:hAnsi="Arial" w:eastAsia="Arial" w:cs="Arial" w:asciiTheme="minorAscii" w:hAnsiTheme="minorAscii" w:eastAsiaTheme="minorAscii" w:cstheme="minorAscii"/>
          <w:color w:val="000000" w:themeColor="text1" w:themeTint="FF" w:themeShade="FF"/>
          <w:sz w:val="22"/>
          <w:szCs w:val="22"/>
        </w:rPr>
        <w:t xml:space="preserve">. Available at: </w:t>
      </w:r>
      <w:hyperlink r:id="Rbbbb19f0dbfe4de4">
        <w:r w:rsidRPr="1074910E" w:rsidR="002F5FCB">
          <w:rPr>
            <w:rStyle w:val="Hyperlink"/>
            <w:rFonts w:ascii="Arial" w:hAnsi="Arial" w:eastAsia="Arial" w:cs="Arial" w:asciiTheme="minorAscii" w:hAnsiTheme="minorAscii" w:eastAsiaTheme="minorAscii" w:cstheme="minorAscii"/>
            <w:color w:val="000000" w:themeColor="text1" w:themeTint="FF" w:themeShade="FF"/>
            <w:sz w:val="22"/>
            <w:szCs w:val="22"/>
          </w:rPr>
          <w:t>https://www.cqc.org.uk/publications/major-report/state-care/2022-2023/workforce?utm_source=chatgpt.com</w:t>
        </w:r>
      </w:hyperlink>
      <w:r w:rsidRPr="1074910E" w:rsidR="002F5FCB">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777C76">
        <w:rPr>
          <w:rFonts w:ascii="Arial" w:hAnsi="Arial" w:eastAsia="Arial" w:cs="Arial" w:asciiTheme="minorAscii" w:hAnsiTheme="minorAscii" w:eastAsiaTheme="minorAscii" w:cstheme="minorAscii"/>
          <w:color w:val="000000" w:themeColor="text1" w:themeTint="FF" w:themeShade="FF"/>
          <w:sz w:val="22"/>
          <w:szCs w:val="22"/>
        </w:rPr>
        <w:t xml:space="preserve"> (Accessed: </w:t>
      </w:r>
      <w:r w:rsidRPr="1074910E" w:rsidR="007D38B0">
        <w:rPr>
          <w:rFonts w:ascii="Arial" w:hAnsi="Arial" w:eastAsia="Arial" w:cs="Arial" w:asciiTheme="minorAscii" w:hAnsiTheme="minorAscii" w:eastAsiaTheme="minorAscii" w:cstheme="minorAscii"/>
          <w:color w:val="000000" w:themeColor="text1" w:themeTint="FF" w:themeShade="FF"/>
          <w:sz w:val="22"/>
          <w:szCs w:val="22"/>
        </w:rPr>
        <w:t>2 July</w:t>
      </w:r>
      <w:r w:rsidRPr="1074910E" w:rsidR="00777C76">
        <w:rPr>
          <w:rFonts w:ascii="Arial" w:hAnsi="Arial" w:eastAsia="Arial" w:cs="Arial" w:asciiTheme="minorAscii" w:hAnsiTheme="minorAscii" w:eastAsiaTheme="minorAscii" w:cstheme="minorAscii"/>
          <w:color w:val="000000" w:themeColor="text1" w:themeTint="FF" w:themeShade="FF"/>
          <w:sz w:val="22"/>
          <w:szCs w:val="22"/>
        </w:rPr>
        <w:t xml:space="preserve"> 2026).</w:t>
      </w:r>
    </w:p>
    <w:p w:rsidRPr="00441462" w:rsidR="00174842" w:rsidP="1074910E" w:rsidRDefault="00174842" w14:paraId="68E1D65F" w14:textId="7168500D">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Dixon-Woods, M., Baker, R., Charles, K., Dawson, J.,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Jerzembek</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G., Martin, G., McCarthy, I., McKee, L., Minion, J.,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Ozieranski</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P. and Willars, J. (2014) ‘Culture and behaviour in the English National Health Service: Overview of lessons from a large multimethod study’,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 xml:space="preserve">BMJ Quality &amp;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Safety</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23(2), pp. 106–115. Available at: </w:t>
      </w:r>
      <w:hyperlink r:id="Re085324d321341cb">
        <w:r w:rsidRPr="1074910E" w:rsidR="002F5FCB">
          <w:rPr>
            <w:rStyle w:val="Hyperlink"/>
            <w:rFonts w:ascii="Arial" w:hAnsi="Arial" w:eastAsia="Arial" w:cs="Arial" w:asciiTheme="minorAscii" w:hAnsiTheme="minorAscii" w:eastAsiaTheme="minorAscii" w:cstheme="minorAscii"/>
            <w:color w:val="000000" w:themeColor="text1" w:themeTint="FF" w:themeShade="FF"/>
            <w:sz w:val="22"/>
            <w:szCs w:val="22"/>
          </w:rPr>
          <w:t>https://qualitysafety.bmj.com/content/23/2/106?utm_source=chatgpt.com</w:t>
        </w:r>
      </w:hyperlink>
      <w:r w:rsidRPr="1074910E" w:rsidR="002F5FCB">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(Accessed: </w:t>
      </w:r>
      <w:r w:rsidRPr="1074910E" w:rsidR="007D38B0">
        <w:rPr>
          <w:rFonts w:ascii="Arial" w:hAnsi="Arial" w:eastAsia="Arial" w:cs="Arial" w:asciiTheme="minorAscii" w:hAnsiTheme="minorAscii" w:eastAsiaTheme="minorAscii" w:cstheme="minorAscii"/>
          <w:color w:val="000000" w:themeColor="text1" w:themeTint="FF" w:themeShade="FF"/>
          <w:sz w:val="22"/>
          <w:szCs w:val="22"/>
        </w:rPr>
        <w:t>30</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June 2026).</w:t>
      </w:r>
    </w:p>
    <w:p w:rsidRPr="00441462" w:rsidR="00174842" w:rsidP="1074910E" w:rsidRDefault="00174842" w14:paraId="3AE9E044" w14:textId="43188392">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Donabedian, A. (1988) ‘The quality of care: How can it be assessed?’</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 JAMA</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260(12), pp. 1743–1748. Available at:</w:t>
      </w:r>
      <w:r w:rsidRPr="1074910E" w:rsidR="002F5FCB">
        <w:rPr>
          <w:rFonts w:ascii="Arial" w:hAnsi="Arial" w:eastAsia="Arial" w:cs="Arial" w:asciiTheme="minorAscii" w:hAnsiTheme="minorAscii" w:eastAsiaTheme="minorAscii" w:cstheme="minorAscii"/>
          <w:color w:val="000000" w:themeColor="text1" w:themeTint="FF" w:themeShade="FF"/>
          <w:sz w:val="22"/>
          <w:szCs w:val="22"/>
        </w:rPr>
        <w:t xml:space="preserve"> </w:t>
      </w:r>
      <w:hyperlink r:id="R81ca33820c584d54">
        <w:r w:rsidRPr="1074910E" w:rsidR="002F5FCB">
          <w:rPr>
            <w:rStyle w:val="Hyperlink"/>
            <w:rFonts w:ascii="Arial" w:hAnsi="Arial" w:eastAsia="Arial" w:cs="Arial" w:asciiTheme="minorAscii" w:hAnsiTheme="minorAscii" w:eastAsiaTheme="minorAscii" w:cstheme="minorAscii"/>
            <w:color w:val="000000" w:themeColor="text1" w:themeTint="FF" w:themeShade="FF"/>
            <w:sz w:val="22"/>
            <w:szCs w:val="22"/>
          </w:rPr>
          <w:t>https://jamanetwork.com/journals/jama/article-abstract/374139?utm_source=chatgpt.com</w:t>
        </w:r>
      </w:hyperlink>
      <w:r w:rsidRPr="1074910E" w:rsidR="002F5FCB">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(Accessed: </w:t>
      </w:r>
      <w:r w:rsidRPr="1074910E" w:rsidR="007D38B0">
        <w:rPr>
          <w:rFonts w:ascii="Arial" w:hAnsi="Arial" w:eastAsia="Arial" w:cs="Arial" w:asciiTheme="minorAscii" w:hAnsiTheme="minorAscii" w:eastAsiaTheme="minorAscii" w:cstheme="minorAscii"/>
          <w:color w:val="000000" w:themeColor="text1" w:themeTint="FF" w:themeShade="FF"/>
          <w:sz w:val="22"/>
          <w:szCs w:val="22"/>
        </w:rPr>
        <w:t>3</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7D38B0">
        <w:rPr>
          <w:rFonts w:ascii="Arial" w:hAnsi="Arial" w:eastAsia="Arial" w:cs="Arial" w:asciiTheme="minorAscii" w:hAnsiTheme="minorAscii" w:eastAsiaTheme="minorAscii" w:cstheme="minorAscii"/>
          <w:color w:val="000000" w:themeColor="text1" w:themeTint="FF" w:themeShade="FF"/>
          <w:sz w:val="22"/>
          <w:szCs w:val="22"/>
        </w:rPr>
        <w:t>July</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2026).</w:t>
      </w:r>
    </w:p>
    <w:p w:rsidRPr="00441462" w:rsidR="00CA52EB" w:rsidP="1074910E" w:rsidRDefault="00CA52EB" w14:paraId="46159FE6" w14:textId="29BB6773">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CA52EB">
        <w:rPr>
          <w:rFonts w:ascii="Arial" w:hAnsi="Arial" w:eastAsia="Arial" w:cs="Arial" w:asciiTheme="minorAscii" w:hAnsiTheme="minorAscii" w:eastAsiaTheme="minorAscii" w:cstheme="minorAscii"/>
          <w:color w:val="000000" w:themeColor="text1" w:themeTint="FF" w:themeShade="FF"/>
          <w:sz w:val="22"/>
          <w:szCs w:val="22"/>
        </w:rPr>
        <w:t>Endalamaw</w:t>
      </w:r>
      <w:r w:rsidRPr="1074910E" w:rsidR="00CA52EB">
        <w:rPr>
          <w:rFonts w:ascii="Arial" w:hAnsi="Arial" w:eastAsia="Arial" w:cs="Arial" w:asciiTheme="minorAscii" w:hAnsiTheme="minorAscii" w:eastAsiaTheme="minorAscii" w:cstheme="minorAscii"/>
          <w:color w:val="000000" w:themeColor="text1" w:themeTint="FF" w:themeShade="FF"/>
          <w:sz w:val="22"/>
          <w:szCs w:val="22"/>
        </w:rPr>
        <w:t xml:space="preserve">, A., Khatri, R.B., Mengistu, T.S., </w:t>
      </w:r>
      <w:r w:rsidRPr="1074910E" w:rsidR="00CA52EB">
        <w:rPr>
          <w:rFonts w:ascii="Arial" w:hAnsi="Arial" w:eastAsia="Arial" w:cs="Arial" w:asciiTheme="minorAscii" w:hAnsiTheme="minorAscii" w:eastAsiaTheme="minorAscii" w:cstheme="minorAscii"/>
          <w:color w:val="000000" w:themeColor="text1" w:themeTint="FF" w:themeShade="FF"/>
          <w:sz w:val="22"/>
          <w:szCs w:val="22"/>
        </w:rPr>
        <w:t>Erku</w:t>
      </w:r>
      <w:r w:rsidRPr="1074910E" w:rsidR="00CA52EB">
        <w:rPr>
          <w:rFonts w:ascii="Arial" w:hAnsi="Arial" w:eastAsia="Arial" w:cs="Arial" w:asciiTheme="minorAscii" w:hAnsiTheme="minorAscii" w:eastAsiaTheme="minorAscii" w:cstheme="minorAscii"/>
          <w:color w:val="000000" w:themeColor="text1" w:themeTint="FF" w:themeShade="FF"/>
          <w:sz w:val="22"/>
          <w:szCs w:val="22"/>
        </w:rPr>
        <w:t xml:space="preserve">, D., </w:t>
      </w:r>
      <w:r w:rsidRPr="1074910E" w:rsidR="00CA52EB">
        <w:rPr>
          <w:rFonts w:ascii="Arial" w:hAnsi="Arial" w:eastAsia="Arial" w:cs="Arial" w:asciiTheme="minorAscii" w:hAnsiTheme="minorAscii" w:eastAsiaTheme="minorAscii" w:cstheme="minorAscii"/>
          <w:color w:val="000000" w:themeColor="text1" w:themeTint="FF" w:themeShade="FF"/>
          <w:sz w:val="22"/>
          <w:szCs w:val="22"/>
        </w:rPr>
        <w:t>Wolka</w:t>
      </w:r>
      <w:r w:rsidRPr="1074910E" w:rsidR="00CA52EB">
        <w:rPr>
          <w:rFonts w:ascii="Arial" w:hAnsi="Arial" w:eastAsia="Arial" w:cs="Arial" w:asciiTheme="minorAscii" w:hAnsiTheme="minorAscii" w:eastAsiaTheme="minorAscii" w:cstheme="minorAscii"/>
          <w:color w:val="000000" w:themeColor="text1" w:themeTint="FF" w:themeShade="FF"/>
          <w:sz w:val="22"/>
          <w:szCs w:val="22"/>
        </w:rPr>
        <w:t xml:space="preserve">, E., Zewdie, A., Assefa, Y. and others (2024) ‘A scoping review of continuous quality improvement in healthcare system: conceptualization, models and tools, barriers and facilitators, and impact’, </w:t>
      </w:r>
      <w:r w:rsidRPr="1074910E" w:rsidR="00CA52EB">
        <w:rPr>
          <w:rFonts w:ascii="Arial" w:hAnsi="Arial" w:eastAsia="Arial" w:cs="Arial" w:asciiTheme="minorAscii" w:hAnsiTheme="minorAscii" w:eastAsiaTheme="minorAscii" w:cstheme="minorAscii"/>
          <w:i w:val="1"/>
          <w:iCs w:val="1"/>
          <w:color w:val="000000" w:themeColor="text1" w:themeTint="FF" w:themeShade="FF"/>
          <w:sz w:val="22"/>
          <w:szCs w:val="22"/>
        </w:rPr>
        <w:t>BMC Health Services Research,</w:t>
      </w:r>
      <w:r w:rsidRPr="1074910E" w:rsidR="00CA52EB">
        <w:rPr>
          <w:rFonts w:ascii="Arial" w:hAnsi="Arial" w:eastAsia="Arial" w:cs="Arial" w:asciiTheme="minorAscii" w:hAnsiTheme="minorAscii" w:eastAsiaTheme="minorAscii" w:cstheme="minorAscii"/>
          <w:color w:val="000000" w:themeColor="text1" w:themeTint="FF" w:themeShade="FF"/>
          <w:sz w:val="22"/>
          <w:szCs w:val="22"/>
        </w:rPr>
        <w:t xml:space="preserve"> 24, article 487. Available at: </w:t>
      </w:r>
      <w:hyperlink r:id="R490e8d23e6e54d6b">
        <w:r w:rsidRPr="1074910E" w:rsidR="002F5FCB">
          <w:rPr>
            <w:rStyle w:val="Hyperlink"/>
            <w:rFonts w:ascii="Arial" w:hAnsi="Arial" w:eastAsia="Arial" w:cs="Arial" w:asciiTheme="minorAscii" w:hAnsiTheme="minorAscii" w:eastAsiaTheme="minorAscii" w:cstheme="minorAscii"/>
            <w:color w:val="000000" w:themeColor="text1" w:themeTint="FF" w:themeShade="FF"/>
            <w:sz w:val="22"/>
            <w:szCs w:val="22"/>
          </w:rPr>
          <w:t>https://pmc.ncbi.nlm.nih.gov/articles/PMC11031995/?utm_source=chatgpt.com</w:t>
        </w:r>
      </w:hyperlink>
      <w:r w:rsidRPr="1074910E" w:rsidR="002F5FCB">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CA52EB">
        <w:rPr>
          <w:rFonts w:ascii="Arial" w:hAnsi="Arial" w:eastAsia="Arial" w:cs="Arial" w:asciiTheme="minorAscii" w:hAnsiTheme="minorAscii" w:eastAsiaTheme="minorAscii" w:cstheme="minorAscii"/>
          <w:color w:val="000000" w:themeColor="text1" w:themeTint="FF" w:themeShade="FF"/>
          <w:sz w:val="22"/>
          <w:szCs w:val="22"/>
        </w:rPr>
        <w:t>(Accessed: 11 July 2026).</w:t>
      </w:r>
    </w:p>
    <w:p w:rsidRPr="00441462" w:rsidR="00174842" w:rsidP="1074910E" w:rsidRDefault="00174842" w14:paraId="394D5DCE" w14:textId="3BFF244A">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Francis, R. (2013</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 Report of the Mid Staffordshire NHS Foundation Trust Public Inquiry.</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London: The Stationery Office. Available at: </w:t>
      </w:r>
      <w:hyperlink r:id="Rb215a1c6d82b442f">
        <w:r w:rsidRPr="1074910E" w:rsidR="002F5FCB">
          <w:rPr>
            <w:rStyle w:val="Hyperlink"/>
            <w:rFonts w:ascii="Arial" w:hAnsi="Arial" w:eastAsia="Arial" w:cs="Arial" w:asciiTheme="minorAscii" w:hAnsiTheme="minorAscii" w:eastAsiaTheme="minorAscii" w:cstheme="minorAscii"/>
            <w:color w:val="000000" w:themeColor="text1" w:themeTint="FF" w:themeShade="FF"/>
            <w:sz w:val="22"/>
            <w:szCs w:val="22"/>
          </w:rPr>
          <w:t>https://assets.publishing.service.gov.uk/media/5a7c9bec40f0b65b3de09fde/0898_i.pdf?utm_source=chatgpt.com</w:t>
        </w:r>
      </w:hyperlink>
      <w:r w:rsidRPr="1074910E" w:rsidR="002F5FCB">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(Accessed: 16 June 2026).</w:t>
      </w:r>
    </w:p>
    <w:p w:rsidRPr="00441462" w:rsidR="00016FC4" w:rsidP="1074910E" w:rsidRDefault="00016FC4" w14:paraId="57FE402C" w14:textId="72EC2114">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016FC4">
        <w:rPr>
          <w:rStyle w:val="Emphasis"/>
          <w:rFonts w:ascii="Arial" w:hAnsi="Arial" w:eastAsia="Arial" w:cs="Arial" w:asciiTheme="minorAscii" w:hAnsiTheme="minorAscii" w:eastAsiaTheme="minorAscii" w:cstheme="minorAscii"/>
          <w:color w:val="000000" w:themeColor="text1" w:themeTint="FF" w:themeShade="FF"/>
          <w:sz w:val="22"/>
          <w:szCs w:val="22"/>
        </w:rPr>
        <w:t>Health and Care Act 2022</w:t>
      </w:r>
      <w:r w:rsidRPr="1074910E" w:rsidR="00016FC4">
        <w:rPr>
          <w:rFonts w:ascii="Arial" w:hAnsi="Arial" w:eastAsia="Arial" w:cs="Arial" w:asciiTheme="minorAscii" w:hAnsiTheme="minorAscii" w:eastAsiaTheme="minorAscii" w:cstheme="minorAscii"/>
          <w:color w:val="000000" w:themeColor="text1" w:themeTint="FF" w:themeShade="FF"/>
          <w:sz w:val="22"/>
          <w:szCs w:val="22"/>
        </w:rPr>
        <w:t xml:space="preserve">, c. 31. Available at: </w:t>
      </w:r>
      <w:hyperlink r:id="Rcba2ccdbc53149a6">
        <w:r w:rsidRPr="1074910E" w:rsidR="00016FC4">
          <w:rPr>
            <w:rStyle w:val="Hyperlink"/>
            <w:rFonts w:ascii="Arial" w:hAnsi="Arial" w:eastAsia="Arial" w:cs="Arial" w:asciiTheme="minorAscii" w:hAnsiTheme="minorAscii" w:eastAsiaTheme="minorAscii" w:cstheme="minorAscii"/>
            <w:color w:val="000000" w:themeColor="text1" w:themeTint="FF" w:themeShade="FF"/>
            <w:sz w:val="22"/>
            <w:szCs w:val="22"/>
          </w:rPr>
          <w:t>https://www.legislation.gov.uk/ukpga/2022/31/contents?utm_source=chatgpt.com</w:t>
        </w:r>
      </w:hyperlink>
      <w:r w:rsidRPr="1074910E" w:rsidR="00016FC4">
        <w:rPr>
          <w:rFonts w:ascii="Arial" w:hAnsi="Arial" w:eastAsia="Arial" w:cs="Arial" w:asciiTheme="minorAscii" w:hAnsiTheme="minorAscii" w:eastAsiaTheme="minorAscii" w:cstheme="minorAscii"/>
          <w:color w:val="000000" w:themeColor="text1" w:themeTint="FF" w:themeShade="FF"/>
          <w:sz w:val="22"/>
          <w:szCs w:val="22"/>
        </w:rPr>
        <w:t xml:space="preserve">  (Accessed: </w:t>
      </w:r>
      <w:r w:rsidRPr="1074910E" w:rsidR="007D38B0">
        <w:rPr>
          <w:rFonts w:ascii="Arial" w:hAnsi="Arial" w:eastAsia="Arial" w:cs="Arial" w:asciiTheme="minorAscii" w:hAnsiTheme="minorAscii" w:eastAsiaTheme="minorAscii" w:cstheme="minorAscii"/>
          <w:color w:val="000000" w:themeColor="text1" w:themeTint="FF" w:themeShade="FF"/>
          <w:sz w:val="22"/>
          <w:szCs w:val="22"/>
        </w:rPr>
        <w:t xml:space="preserve">29 </w:t>
      </w:r>
      <w:r w:rsidRPr="1074910E" w:rsidR="00016FC4">
        <w:rPr>
          <w:rFonts w:ascii="Arial" w:hAnsi="Arial" w:eastAsia="Arial" w:cs="Arial" w:asciiTheme="minorAscii" w:hAnsiTheme="minorAscii" w:eastAsiaTheme="minorAscii" w:cstheme="minorAscii"/>
          <w:color w:val="000000" w:themeColor="text1" w:themeTint="FF" w:themeShade="FF"/>
          <w:sz w:val="22"/>
          <w:szCs w:val="22"/>
        </w:rPr>
        <w:t>June 2026).</w:t>
      </w:r>
    </w:p>
    <w:p w:rsidRPr="00441462" w:rsidR="00174842" w:rsidP="1074910E" w:rsidRDefault="00174842" w14:paraId="68147E27" w14:textId="426360F6">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Health Foundation (2021)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Quality Improvement Made Simple: What Everyone Should Know About Healthcare Quality Improvement.</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London: The Health Foundation. Available at: </w:t>
      </w:r>
      <w:hyperlink r:id="Rd6de61b272274af3">
        <w:r w:rsidRPr="1074910E" w:rsidR="00270739">
          <w:rPr>
            <w:rStyle w:val="Hyperlink"/>
            <w:rFonts w:ascii="Arial" w:hAnsi="Arial" w:eastAsia="Arial" w:cs="Arial" w:asciiTheme="minorAscii" w:hAnsiTheme="minorAscii" w:eastAsiaTheme="minorAscii" w:cstheme="minorAscii"/>
            <w:color w:val="000000" w:themeColor="text1" w:themeTint="FF" w:themeShade="FF"/>
            <w:sz w:val="22"/>
            <w:szCs w:val="22"/>
          </w:rPr>
          <w:t>https://www.health.org.uk/resources-and-toolkits/quick-guides/quality-improvement-made-simple?utm_source=chatgpt.com</w:t>
        </w:r>
      </w:hyperlink>
      <w:r w:rsidRPr="1074910E" w:rsidR="00270739">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68759B">
        <w:rPr>
          <w:rFonts w:ascii="Arial" w:hAnsi="Arial" w:eastAsia="Arial" w:cs="Arial" w:asciiTheme="minorAscii" w:hAnsiTheme="minorAscii" w:eastAsiaTheme="minorAscii" w:cstheme="minorAscii"/>
          <w:color w:val="000000" w:themeColor="text1" w:themeTint="FF" w:themeShade="FF"/>
          <w:sz w:val="22"/>
          <w:szCs w:val="22"/>
        </w:rPr>
        <w:t xml:space="preserve">(Accessed: </w:t>
      </w:r>
      <w:r w:rsidRPr="1074910E" w:rsidR="007D38B0">
        <w:rPr>
          <w:rFonts w:ascii="Arial" w:hAnsi="Arial" w:eastAsia="Arial" w:cs="Arial" w:asciiTheme="minorAscii" w:hAnsiTheme="minorAscii" w:eastAsiaTheme="minorAscii" w:cstheme="minorAscii"/>
          <w:color w:val="000000" w:themeColor="text1" w:themeTint="FF" w:themeShade="FF"/>
          <w:sz w:val="22"/>
          <w:szCs w:val="22"/>
        </w:rPr>
        <w:t>30</w:t>
      </w:r>
      <w:r w:rsidRPr="1074910E" w:rsidR="0068759B">
        <w:rPr>
          <w:rFonts w:ascii="Arial" w:hAnsi="Arial" w:eastAsia="Arial" w:cs="Arial" w:asciiTheme="minorAscii" w:hAnsiTheme="minorAscii" w:eastAsiaTheme="minorAscii" w:cstheme="minorAscii"/>
          <w:color w:val="000000" w:themeColor="text1" w:themeTint="FF" w:themeShade="FF"/>
          <w:sz w:val="22"/>
          <w:szCs w:val="22"/>
        </w:rPr>
        <w:t xml:space="preserve"> June 2026).</w:t>
      </w:r>
    </w:p>
    <w:p w:rsidRPr="00441462" w:rsidR="00174842" w:rsidP="1074910E" w:rsidRDefault="00174842" w14:paraId="75388198" w14:textId="6C8C050A">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Hulks, S., Walsh, N., Ham, C. and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Alderwick</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H. (2024)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Leading across the health and care system: Lessons from experience’</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London: The King’s Fund. Available at: </w:t>
      </w:r>
      <w:hyperlink r:id="R0f2f972cd3f344a2">
        <w:r w:rsidRPr="1074910E" w:rsidR="00270739">
          <w:rPr>
            <w:rStyle w:val="Hyperlink"/>
            <w:rFonts w:ascii="Arial" w:hAnsi="Arial" w:eastAsia="Arial" w:cs="Arial" w:asciiTheme="minorAscii" w:hAnsiTheme="minorAscii" w:eastAsiaTheme="minorAscii" w:cstheme="minorAscii"/>
            <w:color w:val="000000" w:themeColor="text1" w:themeTint="FF" w:themeShade="FF"/>
            <w:sz w:val="22"/>
            <w:szCs w:val="22"/>
          </w:rPr>
          <w:t>https://www.kingsfund.org.uk/insight-and-analysis/reports/leading-across-health-care-system-lessons-experience?utm_source=chatgpt.com</w:t>
        </w:r>
      </w:hyperlink>
      <w:r w:rsidRPr="1074910E" w:rsidR="00270739">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(Accessed: </w:t>
      </w:r>
      <w:r w:rsidRPr="1074910E" w:rsidR="007D38B0">
        <w:rPr>
          <w:rFonts w:ascii="Arial" w:hAnsi="Arial" w:eastAsia="Arial" w:cs="Arial" w:asciiTheme="minorAscii" w:hAnsiTheme="minorAscii" w:eastAsiaTheme="minorAscii" w:cstheme="minorAscii"/>
          <w:color w:val="000000" w:themeColor="text1" w:themeTint="FF" w:themeShade="FF"/>
          <w:sz w:val="22"/>
          <w:szCs w:val="22"/>
        </w:rPr>
        <w:t xml:space="preserve">3 July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2026).</w:t>
      </w:r>
    </w:p>
    <w:p w:rsidRPr="00441462" w:rsidR="00174842" w:rsidP="1074910E" w:rsidRDefault="00174842" w14:paraId="13D0A5D9" w14:textId="6E9FC40B">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Institute for Healthcare Improvement (</w:t>
      </w:r>
      <w:r w:rsidRPr="1074910E" w:rsidR="00B94A1A">
        <w:rPr>
          <w:rFonts w:ascii="Arial" w:hAnsi="Arial" w:eastAsia="Arial" w:cs="Arial" w:asciiTheme="minorAscii" w:hAnsiTheme="minorAscii" w:eastAsiaTheme="minorAscii" w:cstheme="minorAscii"/>
          <w:color w:val="000000" w:themeColor="text1" w:themeTint="FF" w:themeShade="FF"/>
          <w:sz w:val="22"/>
          <w:szCs w:val="22"/>
        </w:rPr>
        <w:t>no date</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How to Improve. Boston, MA: Institute for Healthcare Improvement.</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Available at: </w:t>
      </w:r>
      <w:hyperlink r:id="R4c47db26727a4a83">
        <w:r w:rsidRPr="1074910E" w:rsidR="00270739">
          <w:rPr>
            <w:rStyle w:val="Hyperlink"/>
            <w:rFonts w:ascii="Arial" w:hAnsi="Arial" w:eastAsia="Arial" w:cs="Arial" w:asciiTheme="minorAscii" w:hAnsiTheme="minorAscii" w:eastAsiaTheme="minorAscii" w:cstheme="minorAscii"/>
            <w:color w:val="000000" w:themeColor="text1" w:themeTint="FF" w:themeShade="FF"/>
            <w:sz w:val="22"/>
            <w:szCs w:val="22"/>
          </w:rPr>
          <w:t>https://www.ihi.org/library/model-for-improvement</w:t>
        </w:r>
      </w:hyperlink>
      <w:r w:rsidRPr="1074910E" w:rsidR="00270739">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(Accessed: </w:t>
      </w:r>
      <w:r w:rsidRPr="1074910E" w:rsidR="007D38B0">
        <w:rPr>
          <w:rFonts w:ascii="Arial" w:hAnsi="Arial" w:eastAsia="Arial" w:cs="Arial" w:asciiTheme="minorAscii" w:hAnsiTheme="minorAscii" w:eastAsiaTheme="minorAscii" w:cstheme="minorAscii"/>
          <w:color w:val="000000" w:themeColor="text1" w:themeTint="FF" w:themeShade="FF"/>
          <w:sz w:val="22"/>
          <w:szCs w:val="22"/>
        </w:rPr>
        <w:t>5 July</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2026).</w:t>
      </w:r>
    </w:p>
    <w:p w:rsidRPr="00441462" w:rsidR="00174842" w:rsidP="1074910E" w:rsidRDefault="00174842" w14:paraId="46773299"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Institute of Medicine (2001)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Crossing the Quality Chasm: A New Health System for the 21st Century.</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Washington, DC: National Academies Press.</w:t>
      </w:r>
    </w:p>
    <w:p w:rsidRPr="00441462" w:rsidR="00270739" w:rsidP="1074910E" w:rsidRDefault="00270739" w14:paraId="303A46E9" w14:textId="62908A8E">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270739">
        <w:rPr>
          <w:rFonts w:ascii="Arial" w:hAnsi="Arial" w:eastAsia="Arial" w:cs="Arial" w:asciiTheme="minorAscii" w:hAnsiTheme="minorAscii" w:eastAsiaTheme="minorAscii" w:cstheme="minorAscii"/>
          <w:color w:val="000000" w:themeColor="text1" w:themeTint="FF" w:themeShade="FF"/>
          <w:sz w:val="22"/>
          <w:szCs w:val="22"/>
        </w:rPr>
        <w:t xml:space="preserve">Jones, B., Vaux, E. and Olsson-Brown, A. (2019) ‘How to get started in quality improvement’, </w:t>
      </w:r>
      <w:r w:rsidRPr="1074910E" w:rsidR="00270739">
        <w:rPr>
          <w:rFonts w:ascii="Arial" w:hAnsi="Arial" w:eastAsia="Arial" w:cs="Arial" w:asciiTheme="minorAscii" w:hAnsiTheme="minorAscii" w:eastAsiaTheme="minorAscii" w:cstheme="minorAscii"/>
          <w:i w:val="1"/>
          <w:iCs w:val="1"/>
          <w:color w:val="000000" w:themeColor="text1" w:themeTint="FF" w:themeShade="FF"/>
          <w:sz w:val="22"/>
          <w:szCs w:val="22"/>
        </w:rPr>
        <w:t>BMJ</w:t>
      </w:r>
      <w:r w:rsidRPr="1074910E" w:rsidR="00270739">
        <w:rPr>
          <w:rFonts w:ascii="Arial" w:hAnsi="Arial" w:eastAsia="Arial" w:cs="Arial" w:asciiTheme="minorAscii" w:hAnsiTheme="minorAscii" w:eastAsiaTheme="minorAscii" w:cstheme="minorAscii"/>
          <w:color w:val="000000" w:themeColor="text1" w:themeTint="FF" w:themeShade="FF"/>
          <w:sz w:val="22"/>
          <w:szCs w:val="22"/>
        </w:rPr>
        <w:t xml:space="preserve">. Available at: </w:t>
      </w:r>
      <w:hyperlink r:id="Rd5dc47ff59194cbf">
        <w:r w:rsidRPr="1074910E" w:rsidR="00270739">
          <w:rPr>
            <w:rStyle w:val="Hyperlink"/>
            <w:rFonts w:ascii="Arial" w:hAnsi="Arial" w:eastAsia="Arial" w:cs="Arial" w:asciiTheme="minorAscii" w:hAnsiTheme="minorAscii" w:eastAsiaTheme="minorAscii" w:cstheme="minorAscii"/>
            <w:color w:val="000000" w:themeColor="text1" w:themeTint="FF" w:themeShade="FF"/>
            <w:sz w:val="22"/>
            <w:szCs w:val="22"/>
          </w:rPr>
          <w:t>https://www.bmj.com/content/364/bmj.k5437</w:t>
        </w:r>
      </w:hyperlink>
      <w:r w:rsidRPr="1074910E" w:rsidR="00270739">
        <w:rPr>
          <w:rFonts w:ascii="Arial" w:hAnsi="Arial" w:eastAsia="Arial" w:cs="Arial" w:asciiTheme="minorAscii" w:hAnsiTheme="minorAscii" w:eastAsiaTheme="minorAscii" w:cstheme="minorAscii"/>
          <w:color w:val="000000" w:themeColor="text1" w:themeTint="FF" w:themeShade="FF"/>
          <w:sz w:val="22"/>
          <w:szCs w:val="22"/>
        </w:rPr>
        <w:t xml:space="preserve"> (Accessed: </w:t>
      </w:r>
      <w:r w:rsidRPr="1074910E" w:rsidR="007D38B0">
        <w:rPr>
          <w:rFonts w:ascii="Arial" w:hAnsi="Arial" w:eastAsia="Arial" w:cs="Arial" w:asciiTheme="minorAscii" w:hAnsiTheme="minorAscii" w:eastAsiaTheme="minorAscii" w:cstheme="minorAscii"/>
          <w:color w:val="000000" w:themeColor="text1" w:themeTint="FF" w:themeShade="FF"/>
          <w:sz w:val="22"/>
          <w:szCs w:val="22"/>
        </w:rPr>
        <w:t>8</w:t>
      </w:r>
      <w:r w:rsidRPr="1074910E" w:rsidR="00270739">
        <w:rPr>
          <w:rFonts w:ascii="Arial" w:hAnsi="Arial" w:eastAsia="Arial" w:cs="Arial" w:asciiTheme="minorAscii" w:hAnsiTheme="minorAscii" w:eastAsiaTheme="minorAscii" w:cstheme="minorAscii"/>
          <w:color w:val="000000" w:themeColor="text1" w:themeTint="FF" w:themeShade="FF"/>
          <w:sz w:val="22"/>
          <w:szCs w:val="22"/>
        </w:rPr>
        <w:t xml:space="preserve"> J</w:t>
      </w:r>
      <w:r w:rsidRPr="1074910E" w:rsidR="007D38B0">
        <w:rPr>
          <w:rFonts w:ascii="Arial" w:hAnsi="Arial" w:eastAsia="Arial" w:cs="Arial" w:asciiTheme="minorAscii" w:hAnsiTheme="minorAscii" w:eastAsiaTheme="minorAscii" w:cstheme="minorAscii"/>
          <w:color w:val="000000" w:themeColor="text1" w:themeTint="FF" w:themeShade="FF"/>
          <w:sz w:val="22"/>
          <w:szCs w:val="22"/>
        </w:rPr>
        <w:t>uly</w:t>
      </w:r>
      <w:r w:rsidRPr="1074910E" w:rsidR="00270739">
        <w:rPr>
          <w:rFonts w:ascii="Arial" w:hAnsi="Arial" w:eastAsia="Arial" w:cs="Arial" w:asciiTheme="minorAscii" w:hAnsiTheme="minorAscii" w:eastAsiaTheme="minorAscii" w:cstheme="minorAscii"/>
          <w:color w:val="000000" w:themeColor="text1" w:themeTint="FF" w:themeShade="FF"/>
          <w:sz w:val="22"/>
          <w:szCs w:val="22"/>
        </w:rPr>
        <w:t xml:space="preserve"> 2026). </w:t>
      </w:r>
    </w:p>
    <w:p w:rsidRPr="00441462" w:rsidR="00174842" w:rsidP="1074910E" w:rsidRDefault="00174842" w14:paraId="69EF9957" w14:textId="6C6B433D">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Kennedy, I. (2001)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The Report of the Public Inquiry into Children's Heart Surgery at the Bristol Royal Infirmary 1984–1995:</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Learning from Bristol. London: The Stationery Office. Available at: </w:t>
      </w:r>
      <w:hyperlink r:id="R83bd7805fd9b4afd">
        <w:r w:rsidRPr="1074910E" w:rsidR="00270739">
          <w:rPr>
            <w:rStyle w:val="Hyperlink"/>
            <w:rFonts w:ascii="Arial" w:hAnsi="Arial" w:eastAsia="Arial" w:cs="Arial" w:asciiTheme="minorAscii" w:hAnsiTheme="minorAscii" w:eastAsiaTheme="minorAscii" w:cstheme="minorAscii"/>
            <w:color w:val="000000" w:themeColor="text1" w:themeTint="FF" w:themeShade="FF"/>
            <w:sz w:val="22"/>
            <w:szCs w:val="22"/>
          </w:rPr>
          <w:t>https://www.bristol-inquiry.org.uk/final_report/the_report.pdf?utm_source=chatgpt.com</w:t>
        </w:r>
      </w:hyperlink>
      <w:r w:rsidRPr="1074910E" w:rsidR="00270739">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(Accessed: </w:t>
      </w:r>
      <w:r w:rsidRPr="1074910E" w:rsidR="007D38B0">
        <w:rPr>
          <w:rFonts w:ascii="Arial" w:hAnsi="Arial" w:eastAsia="Arial" w:cs="Arial" w:asciiTheme="minorAscii" w:hAnsiTheme="minorAscii" w:eastAsiaTheme="minorAscii" w:cstheme="minorAscii"/>
          <w:color w:val="000000" w:themeColor="text1" w:themeTint="FF" w:themeShade="FF"/>
          <w:sz w:val="22"/>
          <w:szCs w:val="22"/>
        </w:rPr>
        <w:t>28</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June 2026).</w:t>
      </w:r>
    </w:p>
    <w:p w:rsidRPr="00441462" w:rsidR="00174842" w:rsidP="1074910E" w:rsidRDefault="00174842" w14:paraId="27DA9B4A"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Kotter, J.P. (2012)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Leading Change</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Revised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edn</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Boston, MA: Harvard Business Review Press.</w:t>
      </w:r>
    </w:p>
    <w:p w:rsidRPr="00441462" w:rsidR="00174842" w:rsidP="1074910E" w:rsidRDefault="00174842" w14:paraId="088422F4" w14:textId="715CCEE4">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Mannion, R. and Davies, H. (2018) ‘Understanding organisational culture for healthcare quality improvement’,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BMJ</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Available at: </w:t>
      </w:r>
      <w:hyperlink r:id="R94661e3011c44a35">
        <w:r w:rsidRPr="1074910E" w:rsidR="00270739">
          <w:rPr>
            <w:rStyle w:val="Hyperlink"/>
            <w:rFonts w:ascii="Arial" w:hAnsi="Arial" w:eastAsia="Arial" w:cs="Arial" w:asciiTheme="minorAscii" w:hAnsiTheme="minorAscii" w:eastAsiaTheme="minorAscii" w:cstheme="minorAscii"/>
            <w:color w:val="000000" w:themeColor="text1" w:themeTint="FF" w:themeShade="FF"/>
            <w:sz w:val="22"/>
            <w:szCs w:val="22"/>
          </w:rPr>
          <w:t>https://www.bmj.com/content/363/bmj.k4907?utm_source=chatgpt.com</w:t>
        </w:r>
      </w:hyperlink>
      <w:r w:rsidRPr="1074910E" w:rsidR="00270739">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Accessed: </w:t>
      </w:r>
      <w:r w:rsidRPr="1074910E" w:rsidR="007D38B0">
        <w:rPr>
          <w:rFonts w:ascii="Arial" w:hAnsi="Arial" w:eastAsia="Arial" w:cs="Arial" w:asciiTheme="minorAscii" w:hAnsiTheme="minorAscii" w:eastAsiaTheme="minorAscii" w:cstheme="minorAscii"/>
          <w:color w:val="000000" w:themeColor="text1" w:themeTint="FF" w:themeShade="FF"/>
          <w:sz w:val="22"/>
          <w:szCs w:val="22"/>
        </w:rPr>
        <w:t>6 July</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2026).</w:t>
      </w:r>
    </w:p>
    <w:p w:rsidRPr="00441462" w:rsidR="0068759B" w:rsidP="1074910E" w:rsidRDefault="0068759B" w14:paraId="230D5082" w14:textId="3DD9A5C8">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68759B">
        <w:rPr>
          <w:rFonts w:ascii="Arial" w:hAnsi="Arial" w:eastAsia="Arial" w:cs="Arial" w:asciiTheme="minorAscii" w:hAnsiTheme="minorAscii" w:eastAsiaTheme="minorAscii" w:cstheme="minorAscii"/>
          <w:color w:val="000000" w:themeColor="text1"/>
          <w:sz w:val="22"/>
          <w:szCs w:val="22"/>
        </w:rPr>
        <w:t xml:space="preserve">Mayor, S. (2001) ‘Mortality for paediatric cardiac surgery at Bristol was twice that at other centres’, </w:t>
      </w:r>
      <w:r w:rsidRPr="1074910E" w:rsidR="0068759B">
        <w:rPr>
          <w:rStyle w:val="Emphasis"/>
          <w:rFonts w:ascii="Arial" w:hAnsi="Arial" w:eastAsia="Arial" w:cs="Arial" w:asciiTheme="minorAscii" w:hAnsiTheme="minorAscii" w:eastAsiaTheme="minorAscii" w:cstheme="minorAscii"/>
          <w:color w:val="000000" w:themeColor="text1"/>
          <w:sz w:val="22"/>
          <w:szCs w:val="22"/>
        </w:rPr>
        <w:t>BMJ</w:t>
      </w:r>
      <w:r w:rsidRPr="1074910E" w:rsidR="0068759B">
        <w:rPr>
          <w:rFonts w:ascii="Arial" w:hAnsi="Arial" w:eastAsia="Arial" w:cs="Arial" w:asciiTheme="minorAscii" w:hAnsiTheme="minorAscii" w:eastAsiaTheme="minorAscii" w:cstheme="minorAscii"/>
          <w:color w:val="000000" w:themeColor="text1"/>
          <w:sz w:val="22"/>
          <w:szCs w:val="22"/>
        </w:rPr>
        <w:t xml:space="preserve">, 323(7305), p. 125. Available at: </w:t>
      </w:r>
      <w:r>
        <w:fldChar w:fldCharType="begin"/>
      </w:r>
      <w:r>
        <w:instrText xml:space="preserve">HYPERLINK "https://doi.org/10.1136/bmj.323.7305.125/a"</w:instrText>
      </w:r>
      <w:r>
        <w:fldChar w:fldCharType="separate"/>
      </w:r>
      <w:r w:rsidRPr="1074910E" w:rsidR="0068759B">
        <w:rPr>
          <w:rStyle w:val="Hyperlink"/>
          <w:rFonts w:ascii="Arial" w:hAnsi="Arial" w:eastAsia="Arial" w:cs="Arial" w:asciiTheme="minorAscii" w:hAnsiTheme="minorAscii" w:eastAsiaTheme="minorAscii" w:cstheme="minorAscii"/>
          <w:color w:val="000000" w:themeColor="text1"/>
          <w:sz w:val="22"/>
          <w:szCs w:val="22"/>
          <w:u w:val="none"/>
          <w:bdr w:val="none" w:color="auto" w:sz="0" w:space="0" w:frame="1"/>
        </w:rPr>
        <w:t>https://doi.org/10.1136/bmj.323.7305.125/a</w:t>
      </w:r>
      <w:r>
        <w:fldChar w:fldCharType="end"/>
      </w:r>
      <w:r w:rsidRPr="1074910E" w:rsidR="0068759B">
        <w:rPr>
          <w:rFonts w:ascii="Arial" w:hAnsi="Arial" w:eastAsia="Arial" w:cs="Arial" w:asciiTheme="minorAscii" w:hAnsiTheme="minorAscii" w:eastAsiaTheme="minorAscii" w:cstheme="minorAscii"/>
          <w:color w:val="000000" w:themeColor="text1"/>
          <w:sz w:val="22"/>
          <w:szCs w:val="22"/>
          <w:shd w:val="clear" w:color="auto" w:fill="FFFFFF"/>
        </w:rPr>
        <w:t xml:space="preserve"> </w:t>
      </w:r>
      <w:r w:rsidRPr="1074910E" w:rsidR="0068759B">
        <w:rPr>
          <w:rFonts w:ascii="Arial" w:hAnsi="Arial" w:eastAsia="Arial" w:cs="Arial" w:asciiTheme="minorAscii" w:hAnsiTheme="minorAscii" w:eastAsiaTheme="minorAscii" w:cstheme="minorAscii"/>
          <w:color w:val="000000" w:themeColor="text1"/>
          <w:sz w:val="22"/>
          <w:szCs w:val="22"/>
        </w:rPr>
        <w:t xml:space="preserve">(Accessed: </w:t>
      </w:r>
      <w:r w:rsidRPr="1074910E" w:rsidR="007D38B0">
        <w:rPr>
          <w:rFonts w:ascii="Arial" w:hAnsi="Arial" w:eastAsia="Arial" w:cs="Arial" w:asciiTheme="minorAscii" w:hAnsiTheme="minorAscii" w:eastAsiaTheme="minorAscii" w:cstheme="minorAscii"/>
          <w:color w:val="000000" w:themeColor="text1"/>
          <w:sz w:val="22"/>
          <w:szCs w:val="22"/>
        </w:rPr>
        <w:t>3 July</w:t>
      </w:r>
      <w:r w:rsidRPr="1074910E" w:rsidR="0068759B">
        <w:rPr>
          <w:rFonts w:ascii="Arial" w:hAnsi="Arial" w:eastAsia="Arial" w:cs="Arial" w:asciiTheme="minorAscii" w:hAnsiTheme="minorAscii" w:eastAsiaTheme="minorAscii" w:cstheme="minorAscii"/>
          <w:color w:val="000000" w:themeColor="text1"/>
          <w:sz w:val="22"/>
          <w:szCs w:val="22"/>
        </w:rPr>
        <w:t xml:space="preserve"> 2026).</w:t>
      </w:r>
    </w:p>
    <w:p w:rsidRPr="00441462" w:rsidR="00174842" w:rsidP="1074910E" w:rsidRDefault="00174842" w14:paraId="671E541C" w14:textId="68F59D81">
      <w:pPr>
        <w:pStyle w:val="NoSpacing"/>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National Institute for Health and Care Excellence (</w:t>
      </w:r>
      <w:r w:rsidRPr="1074910E" w:rsidR="00CA4E58">
        <w:rPr>
          <w:rFonts w:ascii="Arial" w:hAnsi="Arial" w:eastAsia="Arial" w:cs="Arial" w:asciiTheme="minorAscii" w:hAnsiTheme="minorAscii" w:eastAsiaTheme="minorAscii" w:cstheme="minorAscii"/>
          <w:color w:val="000000" w:themeColor="text1" w:themeTint="FF" w:themeShade="FF"/>
          <w:sz w:val="22"/>
          <w:szCs w:val="22"/>
        </w:rPr>
        <w:t>no date</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Standards and indicators</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Available at: </w:t>
      </w:r>
      <w:hyperlink r:id="Rada61de39b074d57">
        <w:r w:rsidRPr="1074910E" w:rsidR="00CA4E58">
          <w:rPr>
            <w:rStyle w:val="Hyperlink"/>
            <w:rFonts w:ascii="Arial" w:hAnsi="Arial" w:eastAsia="Arial" w:cs="Arial" w:asciiTheme="minorAscii" w:hAnsiTheme="minorAscii" w:eastAsiaTheme="minorAscii" w:cstheme="minorAscii"/>
            <w:color w:val="000000" w:themeColor="text1" w:themeTint="FF" w:themeShade="FF"/>
            <w:sz w:val="22"/>
            <w:szCs w:val="22"/>
          </w:rPr>
          <w:t>https://www.nice.org.uk/what-nice-does/standards-and-indicators</w:t>
        </w:r>
      </w:hyperlink>
      <w:r w:rsidRPr="1074910E" w:rsidR="00CA4E58">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(Accessed: </w:t>
      </w:r>
      <w:r w:rsidRPr="1074910E" w:rsidR="007D38B0">
        <w:rPr>
          <w:rFonts w:ascii="Arial" w:hAnsi="Arial" w:eastAsia="Arial" w:cs="Arial" w:asciiTheme="minorAscii" w:hAnsiTheme="minorAscii" w:eastAsiaTheme="minorAscii" w:cstheme="minorAscii"/>
          <w:color w:val="000000" w:themeColor="text1" w:themeTint="FF" w:themeShade="FF"/>
          <w:sz w:val="22"/>
          <w:szCs w:val="22"/>
        </w:rPr>
        <w:t>10 July</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2026).</w:t>
      </w:r>
    </w:p>
    <w:p w:rsidRPr="00441462" w:rsidR="00174842" w:rsidP="1074910E" w:rsidRDefault="00174842" w14:paraId="118DB45B" w14:textId="7F42C608">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NHS England (2022)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Patient Safety Incident Response Framework</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Available at:</w:t>
      </w:r>
      <w:r w:rsidRPr="1074910E" w:rsidR="003859CC">
        <w:rPr>
          <w:rFonts w:ascii="Arial" w:hAnsi="Arial" w:eastAsia="Arial" w:cs="Arial" w:asciiTheme="minorAscii" w:hAnsiTheme="minorAscii" w:eastAsiaTheme="minorAscii" w:cstheme="minorAscii"/>
          <w:color w:val="000000" w:themeColor="text1" w:themeTint="FF" w:themeShade="FF"/>
          <w:sz w:val="22"/>
          <w:szCs w:val="22"/>
        </w:rPr>
        <w:t xml:space="preserve"> </w:t>
      </w:r>
      <w:hyperlink r:id="R6695cf3a389b4dd8">
        <w:r w:rsidRPr="1074910E" w:rsidR="003859CC">
          <w:rPr>
            <w:rStyle w:val="Hyperlink"/>
            <w:rFonts w:ascii="Arial" w:hAnsi="Arial" w:eastAsia="Arial" w:cs="Arial" w:asciiTheme="minorAscii" w:hAnsiTheme="minorAscii" w:eastAsiaTheme="minorAscii" w:cstheme="minorAscii"/>
            <w:color w:val="000000" w:themeColor="text1" w:themeTint="FF" w:themeShade="FF"/>
            <w:sz w:val="22"/>
            <w:szCs w:val="22"/>
          </w:rPr>
          <w:t>https://www.england.nhs.uk/long-read/patient-safety-incident-response-framework/?utm_source=chatgpt.com</w:t>
        </w:r>
      </w:hyperlink>
      <w:r w:rsidRPr="1074910E" w:rsidR="003859CC">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(Accessed: </w:t>
      </w:r>
      <w:r w:rsidRPr="1074910E" w:rsidR="00AF6E35">
        <w:rPr>
          <w:rFonts w:ascii="Arial" w:hAnsi="Arial" w:eastAsia="Arial" w:cs="Arial" w:asciiTheme="minorAscii" w:hAnsiTheme="minorAscii" w:eastAsiaTheme="minorAscii" w:cstheme="minorAscii"/>
          <w:color w:val="000000" w:themeColor="text1" w:themeTint="FF" w:themeShade="FF"/>
          <w:sz w:val="22"/>
          <w:szCs w:val="22"/>
        </w:rPr>
        <w:t xml:space="preserve">3 July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2026).</w:t>
      </w:r>
    </w:p>
    <w:p w:rsidRPr="00441462" w:rsidR="00174842" w:rsidP="1074910E" w:rsidRDefault="00174842" w14:paraId="044CB60B" w14:textId="4FB2B4A9">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NHS England (2023)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The NHS Patient Safety Strategy: Safer Culture, Safer Systems, Safer Patients</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Available at: </w:t>
      </w:r>
      <w:hyperlink r:id="R311aced005b24f28">
        <w:r w:rsidRPr="1074910E" w:rsidR="00110001">
          <w:rPr>
            <w:rStyle w:val="Hyperlink"/>
            <w:rFonts w:ascii="Arial" w:hAnsi="Arial" w:eastAsia="Arial" w:cs="Arial" w:asciiTheme="minorAscii" w:hAnsiTheme="minorAscii" w:eastAsiaTheme="minorAscii" w:cstheme="minorAscii"/>
            <w:color w:val="000000" w:themeColor="text1" w:themeTint="FF" w:themeShade="FF"/>
            <w:sz w:val="22"/>
            <w:szCs w:val="22"/>
          </w:rPr>
          <w:t>https://www.england.nhs.uk/patient-safety/the-nhs-patient-safety-strategy/?utm_source=chatgpt.com</w:t>
        </w:r>
      </w:hyperlink>
      <w:r w:rsidRPr="1074910E" w:rsidR="00110001">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(Accessed: </w:t>
      </w:r>
      <w:r w:rsidRPr="1074910E" w:rsidR="00AF6E35">
        <w:rPr>
          <w:rFonts w:ascii="Arial" w:hAnsi="Arial" w:eastAsia="Arial" w:cs="Arial" w:asciiTheme="minorAscii" w:hAnsiTheme="minorAscii" w:eastAsiaTheme="minorAscii" w:cstheme="minorAscii"/>
          <w:color w:val="000000" w:themeColor="text1" w:themeTint="FF" w:themeShade="FF"/>
          <w:sz w:val="22"/>
          <w:szCs w:val="22"/>
        </w:rPr>
        <w:t>8 July</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2026).</w:t>
      </w:r>
    </w:p>
    <w:p w:rsidRPr="00441462" w:rsidR="00174842" w:rsidP="1074910E" w:rsidRDefault="00174842" w14:paraId="0DF07334" w14:textId="37C33926">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Ocloo</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J., Garfield, S., Franklin, B.D. and Dawson, S. (2021) ‘Exploring the theory, barriers and enablers for patient and public involvement across health, social care and patient safety: a systematic review of reviews’,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Health Research Policy and Systems</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19, article 8. Available at: </w:t>
      </w:r>
      <w:hyperlink r:id="Ra8a9eedf6b574192">
        <w:r w:rsidRPr="1074910E" w:rsidR="00110001">
          <w:rPr>
            <w:rStyle w:val="Hyperlink"/>
            <w:rFonts w:ascii="Arial" w:hAnsi="Arial" w:eastAsia="Arial" w:cs="Arial" w:asciiTheme="minorAscii" w:hAnsiTheme="minorAscii" w:eastAsiaTheme="minorAscii" w:cstheme="minorAscii"/>
            <w:color w:val="000000" w:themeColor="text1" w:themeTint="FF" w:themeShade="FF"/>
            <w:sz w:val="22"/>
            <w:szCs w:val="22"/>
          </w:rPr>
          <w:t>https://link.springer.com/article/10.1186/s12961-020-00644-3?utm_source=chatgpt.com</w:t>
        </w:r>
      </w:hyperlink>
      <w:r w:rsidRPr="1074910E" w:rsidR="00110001">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(Accessed: </w:t>
      </w:r>
      <w:r w:rsidRPr="1074910E" w:rsidR="00AF6E35">
        <w:rPr>
          <w:rFonts w:ascii="Arial" w:hAnsi="Arial" w:eastAsia="Arial" w:cs="Arial" w:asciiTheme="minorAscii" w:hAnsiTheme="minorAscii" w:eastAsiaTheme="minorAscii" w:cstheme="minorAscii"/>
          <w:color w:val="000000" w:themeColor="text1" w:themeTint="FF" w:themeShade="FF"/>
          <w:sz w:val="22"/>
          <w:szCs w:val="22"/>
        </w:rPr>
        <w:t>30</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June 2026).</w:t>
      </w:r>
    </w:p>
    <w:p w:rsidRPr="00441462" w:rsidR="00174842" w:rsidP="1074910E" w:rsidRDefault="00174842" w14:paraId="5C805600"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Øvretveit, J. (2018)</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 xml:space="preserve"> Improving Quality in Health Services</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London: Routledge.</w:t>
      </w:r>
    </w:p>
    <w:p w:rsidRPr="00441462" w:rsidR="00174842" w:rsidP="1074910E" w:rsidRDefault="00174842" w14:paraId="42701C1C" w14:textId="1F8C0DC3">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Reason, J. (2000) ‘Human error: Models and management’,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BMJ,</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320(7237), pp. 768–770. Available at: </w:t>
      </w:r>
      <w:hyperlink r:id="R87c6d220c47d4511">
        <w:r w:rsidRPr="1074910E" w:rsidR="00110001">
          <w:rPr>
            <w:rStyle w:val="Hyperlink"/>
            <w:rFonts w:ascii="Arial" w:hAnsi="Arial" w:eastAsia="Arial" w:cs="Arial" w:asciiTheme="minorAscii" w:hAnsiTheme="minorAscii" w:eastAsiaTheme="minorAscii" w:cstheme="minorAscii"/>
            <w:color w:val="000000" w:themeColor="text1" w:themeTint="FF" w:themeShade="FF"/>
            <w:sz w:val="22"/>
            <w:szCs w:val="22"/>
          </w:rPr>
          <w:t>https://www.bmj.com/content/320/7237/768?utm_source=chatgpt.com</w:t>
        </w:r>
      </w:hyperlink>
      <w:r w:rsidRPr="1074910E" w:rsidR="00110001">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(Accessed: </w:t>
      </w:r>
      <w:r w:rsidRPr="1074910E" w:rsidR="009206BB">
        <w:rPr>
          <w:rFonts w:ascii="Arial" w:hAnsi="Arial" w:eastAsia="Arial" w:cs="Arial" w:asciiTheme="minorAscii" w:hAnsiTheme="minorAscii" w:eastAsiaTheme="minorAscii" w:cstheme="minorAscii"/>
          <w:color w:val="000000" w:themeColor="text1" w:themeTint="FF" w:themeShade="FF"/>
          <w:sz w:val="22"/>
          <w:szCs w:val="22"/>
        </w:rPr>
        <w:t>10 July</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2026).</w:t>
      </w:r>
    </w:p>
    <w:p w:rsidRPr="00441462" w:rsidR="00174842" w:rsidP="1074910E" w:rsidRDefault="00174842" w14:paraId="61F33D67" w14:textId="5C565FF0">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Reed, J.E. and Card, A.J. (2016) ‘The problem with Plan-Do-Study-Act cycles’,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BMJ Quality &amp; Safety</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25(3), pp. 147–152. Available at: </w:t>
      </w:r>
      <w:hyperlink r:id="R18af584c22d54cc5">
        <w:r w:rsidRPr="1074910E" w:rsidR="00A500EF">
          <w:rPr>
            <w:rStyle w:val="Hyperlink"/>
            <w:rFonts w:ascii="Arial" w:hAnsi="Arial" w:eastAsia="Arial" w:cs="Arial" w:asciiTheme="minorAscii" w:hAnsiTheme="minorAscii" w:eastAsiaTheme="minorAscii" w:cstheme="minorAscii"/>
            <w:color w:val="000000" w:themeColor="text1" w:themeTint="FF" w:themeShade="FF"/>
            <w:sz w:val="22"/>
            <w:szCs w:val="22"/>
          </w:rPr>
          <w:t>https://qualitysafety.bmj.com/content/25/3/147?utm_source=chatgpt.com</w:t>
        </w:r>
      </w:hyperlink>
      <w:r w:rsidRPr="1074910E" w:rsidR="00A500EF">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(Accessed: 16 June 2026).</w:t>
      </w:r>
    </w:p>
    <w:p w:rsidRPr="00441462" w:rsidR="00174842" w:rsidP="1074910E" w:rsidRDefault="00B94A1A" w14:paraId="4B879373" w14:textId="717796B0">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B94A1A">
        <w:rPr>
          <w:rFonts w:ascii="Arial" w:hAnsi="Arial" w:eastAsia="Arial" w:cs="Arial" w:asciiTheme="minorAscii" w:hAnsiTheme="minorAscii" w:eastAsiaTheme="minorAscii" w:cstheme="minorAscii"/>
          <w:color w:val="000000" w:themeColor="text1" w:themeTint="FF" w:themeShade="FF"/>
          <w:sz w:val="22"/>
          <w:szCs w:val="22"/>
        </w:rPr>
        <w:t>Spiegelhalter, D.J. (2002) ‘Mortality and volume of cases in paediatric cardiac surgery: retrospective study based on routinely collected data’</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BMJ</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324(7332), pp. 261–263. Available at: </w:t>
      </w:r>
      <w:hyperlink r:id="R9122ebef167e41c6">
        <w:r w:rsidRPr="1074910E" w:rsidR="00CA4E58">
          <w:rPr>
            <w:rStyle w:val="Hyperlink"/>
            <w:rFonts w:ascii="Arial" w:hAnsi="Arial" w:eastAsia="Arial" w:cs="Arial" w:asciiTheme="minorAscii" w:hAnsiTheme="minorAscii" w:eastAsiaTheme="minorAscii" w:cstheme="minorAscii"/>
            <w:color w:val="000000" w:themeColor="text1" w:themeTint="FF" w:themeShade="FF"/>
            <w:sz w:val="22"/>
            <w:szCs w:val="22"/>
          </w:rPr>
          <w:t>https://pmc.ncbi.nlm.nih.gov/articles/PMC65055/?utm_source=chatgpt.com</w:t>
        </w:r>
      </w:hyperlink>
      <w:r w:rsidRPr="1074910E" w:rsidR="00CA4E58">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(Accessed: </w:t>
      </w:r>
      <w:r w:rsidRPr="1074910E" w:rsidR="009206BB">
        <w:rPr>
          <w:rFonts w:ascii="Arial" w:hAnsi="Arial" w:eastAsia="Arial" w:cs="Arial" w:asciiTheme="minorAscii" w:hAnsiTheme="minorAscii" w:eastAsiaTheme="minorAscii" w:cstheme="minorAscii"/>
          <w:color w:val="000000" w:themeColor="text1" w:themeTint="FF" w:themeShade="FF"/>
          <w:sz w:val="22"/>
          <w:szCs w:val="22"/>
        </w:rPr>
        <w:t xml:space="preserve">1 July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2026).</w:t>
      </w:r>
    </w:p>
    <w:p w:rsidRPr="00441462" w:rsidR="00174842" w:rsidP="1074910E" w:rsidRDefault="00174842" w14:paraId="7F9F3A41" w14:textId="77777777">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Vincent, C. and Amalberti, R. (2016)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Safer Healthcare: Strategies for the Real World</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Cham: Springer International Publishing.</w:t>
      </w:r>
    </w:p>
    <w:p w:rsidRPr="00441462" w:rsidR="00174842" w:rsidP="1074910E" w:rsidRDefault="00174842" w14:paraId="1A8AD0B8" w14:textId="0B6A86FD">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Walshe, K. and Smith, J. (eds.) (2016)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 xml:space="preserve">Healthcare Management. 3rd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edn</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Maidenhead: Open University Press. </w:t>
      </w:r>
    </w:p>
    <w:p w:rsidRPr="00441462" w:rsidR="00174842" w:rsidP="1074910E" w:rsidRDefault="00174842" w14:paraId="5A75D51F" w14:textId="04FE561B">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West, M., Eckert, R., Collins, B. and Chowla, R. (2017)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Caring to Change: How Compassionate Leadership Can Stimulate Innovation in Health Care</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London: The King’s Fund. Available at: </w:t>
      </w:r>
      <w:hyperlink r:id="Rce0eec76b316478c">
        <w:r w:rsidRPr="1074910E" w:rsidR="00A500EF">
          <w:rPr>
            <w:rStyle w:val="Hyperlink"/>
            <w:rFonts w:ascii="Arial" w:hAnsi="Arial" w:eastAsia="Arial" w:cs="Arial" w:asciiTheme="minorAscii" w:hAnsiTheme="minorAscii" w:eastAsiaTheme="minorAscii" w:cstheme="minorAscii"/>
            <w:color w:val="000000" w:themeColor="text1" w:themeTint="FF" w:themeShade="FF"/>
            <w:sz w:val="22"/>
            <w:szCs w:val="22"/>
          </w:rPr>
          <w:t>https://www.kingsfund.org.uk/insight-and-analysis/reports/caring-change</w:t>
        </w:r>
      </w:hyperlink>
      <w:r w:rsidRPr="1074910E" w:rsidR="00A500EF">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(Accessed: </w:t>
      </w:r>
      <w:r w:rsidRPr="1074910E" w:rsidR="009206BB">
        <w:rPr>
          <w:rFonts w:ascii="Arial" w:hAnsi="Arial" w:eastAsia="Arial" w:cs="Arial" w:asciiTheme="minorAscii" w:hAnsiTheme="minorAscii" w:eastAsiaTheme="minorAscii" w:cstheme="minorAscii"/>
          <w:color w:val="000000" w:themeColor="text1" w:themeTint="FF" w:themeShade="FF"/>
          <w:sz w:val="22"/>
          <w:szCs w:val="22"/>
        </w:rPr>
        <w:t xml:space="preserve">6 July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2026).</w:t>
      </w:r>
    </w:p>
    <w:p w:rsidRPr="00441462" w:rsidR="00257BAB" w:rsidP="1074910E" w:rsidRDefault="00257BAB" w14:paraId="05A480E0" w14:textId="3CBE823C">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257BAB">
        <w:rPr>
          <w:rFonts w:ascii="Arial" w:hAnsi="Arial" w:eastAsia="Arial" w:cs="Arial" w:asciiTheme="minorAscii" w:hAnsiTheme="minorAscii" w:eastAsiaTheme="minorAscii" w:cstheme="minorAscii"/>
          <w:color w:val="000000" w:themeColor="text1" w:themeTint="FF" w:themeShade="FF"/>
          <w:sz w:val="22"/>
          <w:szCs w:val="22"/>
        </w:rPr>
        <w:t>Willmington</w:t>
      </w:r>
      <w:r w:rsidRPr="1074910E" w:rsidR="00257BAB">
        <w:rPr>
          <w:rFonts w:ascii="Arial" w:hAnsi="Arial" w:eastAsia="Arial" w:cs="Arial" w:asciiTheme="minorAscii" w:hAnsiTheme="minorAscii" w:eastAsiaTheme="minorAscii" w:cstheme="minorAscii"/>
          <w:color w:val="000000" w:themeColor="text1" w:themeTint="FF" w:themeShade="FF"/>
          <w:sz w:val="22"/>
          <w:szCs w:val="22"/>
        </w:rPr>
        <w:t xml:space="preserve">, C., Belardi, P., Murante, A.M. and </w:t>
      </w:r>
      <w:r w:rsidRPr="1074910E" w:rsidR="00257BAB">
        <w:rPr>
          <w:rFonts w:ascii="Arial" w:hAnsi="Arial" w:eastAsia="Arial" w:cs="Arial" w:asciiTheme="minorAscii" w:hAnsiTheme="minorAscii" w:eastAsiaTheme="minorAscii" w:cstheme="minorAscii"/>
          <w:color w:val="000000" w:themeColor="text1" w:themeTint="FF" w:themeShade="FF"/>
          <w:sz w:val="22"/>
          <w:szCs w:val="22"/>
        </w:rPr>
        <w:t>Vainieri</w:t>
      </w:r>
      <w:r w:rsidRPr="1074910E" w:rsidR="00257BAB">
        <w:rPr>
          <w:rFonts w:ascii="Arial" w:hAnsi="Arial" w:eastAsia="Arial" w:cs="Arial" w:asciiTheme="minorAscii" w:hAnsiTheme="minorAscii" w:eastAsiaTheme="minorAscii" w:cstheme="minorAscii"/>
          <w:color w:val="000000" w:themeColor="text1" w:themeTint="FF" w:themeShade="FF"/>
          <w:sz w:val="22"/>
          <w:szCs w:val="22"/>
        </w:rPr>
        <w:t xml:space="preserve">, M. (2022) ‘The contribution of benchmarking to quality improvement in healthcare: A systematic literature review’, </w:t>
      </w:r>
      <w:r w:rsidRPr="1074910E" w:rsidR="00257BAB">
        <w:rPr>
          <w:rStyle w:val="Emphasis"/>
          <w:rFonts w:ascii="Arial" w:hAnsi="Arial" w:eastAsia="Arial" w:cs="Arial" w:asciiTheme="minorAscii" w:hAnsiTheme="minorAscii" w:eastAsiaTheme="minorAscii" w:cstheme="minorAscii"/>
          <w:color w:val="000000" w:themeColor="text1" w:themeTint="FF" w:themeShade="FF"/>
          <w:sz w:val="22"/>
          <w:szCs w:val="22"/>
        </w:rPr>
        <w:t xml:space="preserve">BMC Health </w:t>
      </w:r>
      <w:r w:rsidRPr="1074910E" w:rsidR="00257BAB">
        <w:rPr>
          <w:rStyle w:val="Emphasis"/>
          <w:rFonts w:ascii="Arial" w:hAnsi="Arial" w:eastAsia="Arial" w:cs="Arial" w:asciiTheme="minorAscii" w:hAnsiTheme="minorAscii" w:eastAsiaTheme="minorAscii" w:cstheme="minorAscii"/>
          <w:color w:val="000000" w:themeColor="text1" w:themeTint="FF" w:themeShade="FF"/>
          <w:sz w:val="22"/>
          <w:szCs w:val="22"/>
        </w:rPr>
        <w:t>Services Research</w:t>
      </w:r>
      <w:r w:rsidRPr="1074910E" w:rsidR="00257BAB">
        <w:rPr>
          <w:rFonts w:ascii="Arial" w:hAnsi="Arial" w:eastAsia="Arial" w:cs="Arial" w:asciiTheme="minorAscii" w:hAnsiTheme="minorAscii" w:eastAsiaTheme="minorAscii" w:cstheme="minorAscii"/>
          <w:color w:val="000000" w:themeColor="text1" w:themeTint="FF" w:themeShade="FF"/>
          <w:sz w:val="22"/>
          <w:szCs w:val="22"/>
        </w:rPr>
        <w:t xml:space="preserve">, 22, article 139. Available at: </w:t>
      </w:r>
      <w:hyperlink r:id="R506280a68e4f45cc">
        <w:r w:rsidRPr="1074910E" w:rsidR="00257BAB">
          <w:rPr>
            <w:rStyle w:val="Hyperlink"/>
            <w:rFonts w:ascii="Arial" w:hAnsi="Arial" w:eastAsia="Arial" w:cs="Arial" w:asciiTheme="minorAscii" w:hAnsiTheme="minorAscii" w:eastAsiaTheme="minorAscii" w:cstheme="minorAscii"/>
            <w:color w:val="000000" w:themeColor="text1" w:themeTint="FF" w:themeShade="FF"/>
            <w:sz w:val="22"/>
            <w:szCs w:val="22"/>
          </w:rPr>
          <w:t>https://pmc.ncbi.nlm.nih.gov/articles/PMC8812166/</w:t>
        </w:r>
      </w:hyperlink>
      <w:r w:rsidRPr="1074910E" w:rsidR="00257BAB">
        <w:rPr>
          <w:rFonts w:ascii="Arial" w:hAnsi="Arial" w:eastAsia="Arial" w:cs="Arial" w:asciiTheme="minorAscii" w:hAnsiTheme="minorAscii" w:eastAsiaTheme="minorAscii" w:cstheme="minorAscii"/>
          <w:color w:val="000000" w:themeColor="text1" w:themeTint="FF" w:themeShade="FF"/>
          <w:sz w:val="22"/>
          <w:szCs w:val="22"/>
        </w:rPr>
        <w:t xml:space="preserve"> (Accessed: 1</w:t>
      </w:r>
      <w:r w:rsidRPr="1074910E" w:rsidR="009206BB">
        <w:rPr>
          <w:rFonts w:ascii="Arial" w:hAnsi="Arial" w:eastAsia="Arial" w:cs="Arial" w:asciiTheme="minorAscii" w:hAnsiTheme="minorAscii" w:eastAsiaTheme="minorAscii" w:cstheme="minorAscii"/>
          <w:color w:val="000000" w:themeColor="text1" w:themeTint="FF" w:themeShade="FF"/>
          <w:sz w:val="22"/>
          <w:szCs w:val="22"/>
        </w:rPr>
        <w:t>1</w:t>
      </w:r>
      <w:r w:rsidRPr="1074910E" w:rsidR="00257BAB">
        <w:rPr>
          <w:rFonts w:ascii="Arial" w:hAnsi="Arial" w:eastAsia="Arial" w:cs="Arial" w:asciiTheme="minorAscii" w:hAnsiTheme="minorAscii" w:eastAsiaTheme="minorAscii" w:cstheme="minorAscii"/>
          <w:color w:val="000000" w:themeColor="text1" w:themeTint="FF" w:themeShade="FF"/>
          <w:sz w:val="22"/>
          <w:szCs w:val="22"/>
        </w:rPr>
        <w:t xml:space="preserve"> Ju</w:t>
      </w:r>
      <w:r w:rsidRPr="1074910E" w:rsidR="004658AA">
        <w:rPr>
          <w:rFonts w:ascii="Arial" w:hAnsi="Arial" w:eastAsia="Arial" w:cs="Arial" w:asciiTheme="minorAscii" w:hAnsiTheme="minorAscii" w:eastAsiaTheme="minorAscii" w:cstheme="minorAscii"/>
          <w:color w:val="000000" w:themeColor="text1" w:themeTint="FF" w:themeShade="FF"/>
          <w:sz w:val="22"/>
          <w:szCs w:val="22"/>
        </w:rPr>
        <w:t>ly</w:t>
      </w:r>
      <w:r w:rsidRPr="1074910E" w:rsidR="00257BAB">
        <w:rPr>
          <w:rFonts w:ascii="Arial" w:hAnsi="Arial" w:eastAsia="Arial" w:cs="Arial" w:asciiTheme="minorAscii" w:hAnsiTheme="minorAscii" w:eastAsiaTheme="minorAscii" w:cstheme="minorAscii"/>
          <w:color w:val="000000" w:themeColor="text1" w:themeTint="FF" w:themeShade="FF"/>
          <w:sz w:val="22"/>
          <w:szCs w:val="22"/>
        </w:rPr>
        <w:t xml:space="preserve"> 2026).</w:t>
      </w:r>
    </w:p>
    <w:p w:rsidRPr="00441462" w:rsidR="00174842" w:rsidP="1074910E" w:rsidRDefault="00174842" w14:paraId="757DDB87" w14:textId="4774BA5B">
      <w:pPr>
        <w:pStyle w:val="NormalWeb"/>
        <w:spacing w:line="360" w:lineRule="auto"/>
        <w:rPr>
          <w:rFonts w:ascii="Arial" w:hAnsi="Arial" w:eastAsia="Arial" w:cs="Arial" w:asciiTheme="minorAscii" w:hAnsiTheme="minorAscii" w:eastAsiaTheme="minorAscii" w:cstheme="minorAscii"/>
          <w:color w:val="000000" w:themeColor="text1"/>
          <w:sz w:val="22"/>
          <w:szCs w:val="22"/>
        </w:rPr>
      </w:pP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World Health Organization (2021) </w:t>
      </w:r>
      <w:r w:rsidRPr="1074910E" w:rsidR="00174842">
        <w:rPr>
          <w:rFonts w:ascii="Arial" w:hAnsi="Arial" w:eastAsia="Arial" w:cs="Arial" w:asciiTheme="minorAscii" w:hAnsiTheme="minorAscii" w:eastAsiaTheme="minorAscii" w:cstheme="minorAscii"/>
          <w:i w:val="1"/>
          <w:iCs w:val="1"/>
          <w:color w:val="000000" w:themeColor="text1" w:themeTint="FF" w:themeShade="FF"/>
          <w:sz w:val="22"/>
          <w:szCs w:val="22"/>
        </w:rPr>
        <w:t>Global Patient Safety Action Plan 2021–2030. Geneva: World Health Organization</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Available at: </w:t>
      </w:r>
      <w:hyperlink r:id="Rac9cc912a1994c6c">
        <w:r w:rsidRPr="1074910E" w:rsidR="00A500EF">
          <w:rPr>
            <w:rStyle w:val="Hyperlink"/>
            <w:rFonts w:ascii="Arial" w:hAnsi="Arial" w:eastAsia="Arial" w:cs="Arial" w:asciiTheme="minorAscii" w:hAnsiTheme="minorAscii" w:eastAsiaTheme="minorAscii" w:cstheme="minorAscii"/>
            <w:color w:val="000000" w:themeColor="text1" w:themeTint="FF" w:themeShade="FF"/>
            <w:sz w:val="22"/>
            <w:szCs w:val="22"/>
          </w:rPr>
          <w:t>https://www.who.int/publications/i/item/9789240032705?utm_source=chatgpt.com</w:t>
        </w:r>
      </w:hyperlink>
      <w:r w:rsidRPr="1074910E" w:rsidR="00A500EF">
        <w:rPr>
          <w:rFonts w:ascii="Arial" w:hAnsi="Arial" w:eastAsia="Arial" w:cs="Arial" w:asciiTheme="minorAscii" w:hAnsiTheme="minorAscii" w:eastAsiaTheme="minorAscii" w:cstheme="minorAscii"/>
          <w:color w:val="000000" w:themeColor="text1" w:themeTint="FF" w:themeShade="FF"/>
          <w:sz w:val="22"/>
          <w:szCs w:val="22"/>
        </w:rPr>
        <w:t xml:space="preserve"> </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(Accessed: </w:t>
      </w:r>
      <w:r w:rsidRPr="1074910E" w:rsidR="004658AA">
        <w:rPr>
          <w:rFonts w:ascii="Arial" w:hAnsi="Arial" w:eastAsia="Arial" w:cs="Arial" w:asciiTheme="minorAscii" w:hAnsiTheme="minorAscii" w:eastAsiaTheme="minorAscii" w:cstheme="minorAscii"/>
          <w:color w:val="000000" w:themeColor="text1" w:themeTint="FF" w:themeShade="FF"/>
          <w:sz w:val="22"/>
          <w:szCs w:val="22"/>
        </w:rPr>
        <w:t>2 July</w:t>
      </w:r>
      <w:r w:rsidRPr="1074910E" w:rsidR="00174842">
        <w:rPr>
          <w:rFonts w:ascii="Arial" w:hAnsi="Arial" w:eastAsia="Arial" w:cs="Arial" w:asciiTheme="minorAscii" w:hAnsiTheme="minorAscii" w:eastAsiaTheme="minorAscii" w:cstheme="minorAscii"/>
          <w:color w:val="000000" w:themeColor="text1" w:themeTint="FF" w:themeShade="FF"/>
          <w:sz w:val="22"/>
          <w:szCs w:val="22"/>
        </w:rPr>
        <w:t xml:space="preserve"> 2026).</w:t>
      </w:r>
    </w:p>
    <w:p w:rsidRPr="00441462" w:rsidR="0062352B" w:rsidP="1074910E" w:rsidRDefault="0062352B" w14:paraId="004239DD" w14:textId="785BBF01">
      <w:pPr>
        <w:pStyle w:val="NormalWeb"/>
        <w:spacing w:line="360" w:lineRule="auto"/>
        <w:rPr>
          <w:rFonts w:ascii="Arial" w:hAnsi="Arial" w:eastAsia="Arial" w:cs="Arial" w:asciiTheme="minorAscii" w:hAnsiTheme="minorAscii" w:eastAsiaTheme="minorAscii" w:cstheme="minorAscii"/>
          <w:color w:val="000000" w:themeColor="text1"/>
          <w:sz w:val="22"/>
          <w:szCs w:val="22"/>
        </w:rPr>
      </w:pPr>
    </w:p>
    <w:p w:rsidRPr="00441462" w:rsidR="169FC110" w:rsidP="1074910E" w:rsidRDefault="169FC110" w14:paraId="0F6162DD" w14:textId="2D0CBC3C">
      <w:pPr>
        <w:spacing w:line="360" w:lineRule="auto"/>
        <w:rPr>
          <w:rFonts w:ascii="Arial" w:hAnsi="Arial" w:eastAsia="Arial" w:cs="Arial" w:asciiTheme="minorAscii" w:hAnsiTheme="minorAscii" w:eastAsiaTheme="minorAscii" w:cstheme="minorAscii"/>
          <w:color w:val="000000" w:themeColor="text1"/>
          <w:sz w:val="22"/>
          <w:szCs w:val="22"/>
        </w:rPr>
      </w:pPr>
    </w:p>
    <w:sectPr w:rsidRPr="00441462" w:rsidR="169FC110">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C95949"/>
    <w:rsid w:val="00016FC4"/>
    <w:rsid w:val="0005385F"/>
    <w:rsid w:val="000F104C"/>
    <w:rsid w:val="00110001"/>
    <w:rsid w:val="00174842"/>
    <w:rsid w:val="002107B9"/>
    <w:rsid w:val="00257BAB"/>
    <w:rsid w:val="00270739"/>
    <w:rsid w:val="002F5FCB"/>
    <w:rsid w:val="003859CC"/>
    <w:rsid w:val="003932BA"/>
    <w:rsid w:val="00441462"/>
    <w:rsid w:val="004658AA"/>
    <w:rsid w:val="00505EC9"/>
    <w:rsid w:val="00545F48"/>
    <w:rsid w:val="0062352B"/>
    <w:rsid w:val="0068759B"/>
    <w:rsid w:val="007169C5"/>
    <w:rsid w:val="00777C76"/>
    <w:rsid w:val="007861BA"/>
    <w:rsid w:val="007D38B0"/>
    <w:rsid w:val="0084102B"/>
    <w:rsid w:val="0087029A"/>
    <w:rsid w:val="008E3924"/>
    <w:rsid w:val="008F2363"/>
    <w:rsid w:val="00905572"/>
    <w:rsid w:val="009206BB"/>
    <w:rsid w:val="009A2349"/>
    <w:rsid w:val="009B54B3"/>
    <w:rsid w:val="009D402D"/>
    <w:rsid w:val="009F06C9"/>
    <w:rsid w:val="00A20182"/>
    <w:rsid w:val="00A500EF"/>
    <w:rsid w:val="00A609E6"/>
    <w:rsid w:val="00AA74FE"/>
    <w:rsid w:val="00AF6E35"/>
    <w:rsid w:val="00B422F0"/>
    <w:rsid w:val="00B94A1A"/>
    <w:rsid w:val="00C811C9"/>
    <w:rsid w:val="00CA4E58"/>
    <w:rsid w:val="00CA52EB"/>
    <w:rsid w:val="00D275FF"/>
    <w:rsid w:val="00D779E1"/>
    <w:rsid w:val="00DF5F18"/>
    <w:rsid w:val="00DF7018"/>
    <w:rsid w:val="00EB7B96"/>
    <w:rsid w:val="00ED0CA0"/>
    <w:rsid w:val="00ED1CCA"/>
    <w:rsid w:val="00FA3F98"/>
    <w:rsid w:val="031E51C9"/>
    <w:rsid w:val="03FF9D49"/>
    <w:rsid w:val="07EDCEB6"/>
    <w:rsid w:val="08F20F26"/>
    <w:rsid w:val="093D66F0"/>
    <w:rsid w:val="0A49FEF7"/>
    <w:rsid w:val="0BE4329E"/>
    <w:rsid w:val="0D0C0FB0"/>
    <w:rsid w:val="0D38DAED"/>
    <w:rsid w:val="0EF590F1"/>
    <w:rsid w:val="0FF13143"/>
    <w:rsid w:val="1074910E"/>
    <w:rsid w:val="1246CAD5"/>
    <w:rsid w:val="13EE20D9"/>
    <w:rsid w:val="1438BF14"/>
    <w:rsid w:val="14D1873B"/>
    <w:rsid w:val="14E9E697"/>
    <w:rsid w:val="1549DB3F"/>
    <w:rsid w:val="166013B0"/>
    <w:rsid w:val="169FC110"/>
    <w:rsid w:val="18E44A66"/>
    <w:rsid w:val="1997DB85"/>
    <w:rsid w:val="1A4C7761"/>
    <w:rsid w:val="1AD65FF7"/>
    <w:rsid w:val="1CADB66D"/>
    <w:rsid w:val="1CB6C19A"/>
    <w:rsid w:val="1D43890D"/>
    <w:rsid w:val="1DD952C8"/>
    <w:rsid w:val="22EE5E25"/>
    <w:rsid w:val="23F2D539"/>
    <w:rsid w:val="26E9662B"/>
    <w:rsid w:val="29775151"/>
    <w:rsid w:val="2996C86A"/>
    <w:rsid w:val="2A3DAA49"/>
    <w:rsid w:val="317817D3"/>
    <w:rsid w:val="32557AAB"/>
    <w:rsid w:val="32808367"/>
    <w:rsid w:val="33C9A384"/>
    <w:rsid w:val="3567D71C"/>
    <w:rsid w:val="35E28F0B"/>
    <w:rsid w:val="37C95949"/>
    <w:rsid w:val="38E1414A"/>
    <w:rsid w:val="39C4D593"/>
    <w:rsid w:val="3C4FF647"/>
    <w:rsid w:val="3D4020D2"/>
    <w:rsid w:val="3DC13CCD"/>
    <w:rsid w:val="3F851194"/>
    <w:rsid w:val="3FAEEE2A"/>
    <w:rsid w:val="43185103"/>
    <w:rsid w:val="43E5D6BB"/>
    <w:rsid w:val="471C69A4"/>
    <w:rsid w:val="47B08A67"/>
    <w:rsid w:val="482F41BE"/>
    <w:rsid w:val="4B883C28"/>
    <w:rsid w:val="4E9B1BFE"/>
    <w:rsid w:val="52F29BEB"/>
    <w:rsid w:val="56D97856"/>
    <w:rsid w:val="56E444CA"/>
    <w:rsid w:val="5A9F7530"/>
    <w:rsid w:val="5B0AD601"/>
    <w:rsid w:val="5B74D9F5"/>
    <w:rsid w:val="5E547613"/>
    <w:rsid w:val="5E9DD846"/>
    <w:rsid w:val="6082C51B"/>
    <w:rsid w:val="60FE187E"/>
    <w:rsid w:val="6314F0E9"/>
    <w:rsid w:val="631A6754"/>
    <w:rsid w:val="6375D5E5"/>
    <w:rsid w:val="637E1583"/>
    <w:rsid w:val="65D65BB9"/>
    <w:rsid w:val="68074525"/>
    <w:rsid w:val="68EFB474"/>
    <w:rsid w:val="69506D30"/>
    <w:rsid w:val="6D910EC8"/>
    <w:rsid w:val="6DD3DFDE"/>
    <w:rsid w:val="6E82C47D"/>
    <w:rsid w:val="709288D7"/>
    <w:rsid w:val="724A2DF6"/>
    <w:rsid w:val="741D7A22"/>
    <w:rsid w:val="7443D099"/>
    <w:rsid w:val="74A77E42"/>
    <w:rsid w:val="74F1C8EB"/>
    <w:rsid w:val="7BE71BE4"/>
    <w:rsid w:val="7E62D470"/>
    <w:rsid w:val="7F6101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EA0AD"/>
  <w15:chartTrackingRefBased/>
  <w15:docId w15:val="{4F81232B-0B68-4934-8230-4C5A37C87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169FC11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4842"/>
    <w:pPr>
      <w:keepNext/>
      <w:keepLines/>
      <w:spacing w:before="40" w:after="0"/>
      <w:outlineLvl w:val="1"/>
    </w:pPr>
    <w:rPr>
      <w:rFonts w:asciiTheme="majorHAnsi" w:hAnsiTheme="majorHAnsi" w:eastAsiaTheme="majorEastAsia"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174842"/>
    <w:pPr>
      <w:keepNext/>
      <w:keepLines/>
      <w:spacing w:before="40" w:after="0"/>
      <w:outlineLvl w:val="2"/>
    </w:pPr>
    <w:rPr>
      <w:rFonts w:asciiTheme="majorHAnsi" w:hAnsiTheme="majorHAnsi" w:eastAsiaTheme="majorEastAsia" w:cstheme="majorBidi"/>
      <w:color w:val="0A2F40"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169FC110"/>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pdq2pgselectionanchorcontainer" w:customStyle="1">
    <w:name w:val="pdq2pg_selectionanchorcontainer"/>
    <w:basedOn w:val="Normal"/>
    <w:rsid w:val="00DF5F18"/>
    <w:pPr>
      <w:spacing w:before="100" w:beforeAutospacing="1" w:after="100" w:afterAutospacing="1" w:line="240" w:lineRule="auto"/>
    </w:pPr>
    <w:rPr>
      <w:rFonts w:ascii="Times New Roman" w:hAnsi="Times New Roman" w:eastAsia="Times New Roman" w:cs="Times New Roman"/>
      <w:lang w:val="en-GB" w:eastAsia="en-GB"/>
    </w:rPr>
  </w:style>
  <w:style w:type="character" w:styleId="Emphasis">
    <w:name w:val="Emphasis"/>
    <w:basedOn w:val="DefaultParagraphFont"/>
    <w:uiPriority w:val="20"/>
    <w:qFormat/>
    <w:rsid w:val="00DF5F18"/>
    <w:rPr>
      <w:i/>
      <w:iCs/>
    </w:rPr>
  </w:style>
  <w:style w:type="paragraph" w:styleId="NormalWeb">
    <w:name w:val="Normal (Web)"/>
    <w:basedOn w:val="Normal"/>
    <w:uiPriority w:val="99"/>
    <w:semiHidden/>
    <w:unhideWhenUsed/>
    <w:rsid w:val="00DF5F18"/>
    <w:pPr>
      <w:spacing w:before="100" w:beforeAutospacing="1" w:after="100" w:afterAutospacing="1" w:line="240" w:lineRule="auto"/>
    </w:pPr>
    <w:rPr>
      <w:rFonts w:ascii="Times New Roman" w:hAnsi="Times New Roman" w:eastAsia="Times New Roman" w:cs="Times New Roman"/>
      <w:lang w:val="en-GB" w:eastAsia="en-GB"/>
    </w:rPr>
  </w:style>
  <w:style w:type="character" w:styleId="Strong">
    <w:name w:val="Strong"/>
    <w:basedOn w:val="DefaultParagraphFont"/>
    <w:uiPriority w:val="22"/>
    <w:qFormat/>
    <w:rsid w:val="008F2363"/>
    <w:rPr>
      <w:b/>
      <w:bCs/>
    </w:rPr>
  </w:style>
  <w:style w:type="character" w:styleId="Heading2Char" w:customStyle="1">
    <w:name w:val="Heading 2 Char"/>
    <w:basedOn w:val="DefaultParagraphFont"/>
    <w:link w:val="Heading2"/>
    <w:uiPriority w:val="9"/>
    <w:semiHidden/>
    <w:rsid w:val="00174842"/>
    <w:rPr>
      <w:rFonts w:asciiTheme="majorHAnsi" w:hAnsiTheme="majorHAnsi" w:eastAsiaTheme="majorEastAsia" w:cstheme="majorBidi"/>
      <w:color w:val="0F4761" w:themeColor="accent1" w:themeShade="BF"/>
      <w:sz w:val="26"/>
      <w:szCs w:val="26"/>
    </w:rPr>
  </w:style>
  <w:style w:type="character" w:styleId="Heading3Char" w:customStyle="1">
    <w:name w:val="Heading 3 Char"/>
    <w:basedOn w:val="DefaultParagraphFont"/>
    <w:link w:val="Heading3"/>
    <w:uiPriority w:val="9"/>
    <w:semiHidden/>
    <w:rsid w:val="00174842"/>
    <w:rPr>
      <w:rFonts w:asciiTheme="majorHAnsi" w:hAnsiTheme="majorHAnsi" w:eastAsiaTheme="majorEastAsia" w:cstheme="majorBidi"/>
      <w:color w:val="0A2F40" w:themeColor="accent1" w:themeShade="7F"/>
    </w:rPr>
  </w:style>
  <w:style w:type="character" w:styleId="FollowedHyperlink">
    <w:name w:val="FollowedHyperlink"/>
    <w:basedOn w:val="DefaultParagraphFont"/>
    <w:uiPriority w:val="99"/>
    <w:semiHidden/>
    <w:unhideWhenUsed/>
    <w:rsid w:val="00ED1CCA"/>
    <w:rPr>
      <w:color w:val="96607D" w:themeColor="followedHyperlink"/>
      <w:u w:val="single"/>
    </w:rPr>
  </w:style>
  <w:style w:type="character" w:styleId="UnresolvedMention">
    <w:name w:val="Unresolved Mention"/>
    <w:basedOn w:val="DefaultParagraphFont"/>
    <w:uiPriority w:val="99"/>
    <w:semiHidden/>
    <w:unhideWhenUsed/>
    <w:rsid w:val="00ED1CCA"/>
    <w:rPr>
      <w:color w:val="605E5C"/>
      <w:shd w:val="clear" w:color="auto" w:fill="E1DFDD"/>
    </w:rPr>
  </w:style>
  <w:style w:type="character" w:styleId="highwire-cite-doi" w:customStyle="1">
    <w:name w:val="highwire-cite-doi"/>
    <w:basedOn w:val="DefaultParagraphFont"/>
    <w:rsid w:val="0068759B"/>
  </w:style>
  <w:style w:type="paragraph" w:styleId="NoSpacing">
    <w:name w:val="No Spacing"/>
    <w:uiPriority w:val="1"/>
    <w:qFormat/>
    <w:rsid w:val="00AF6E3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31" /><Relationship Type="http://schemas.openxmlformats.org/officeDocument/2006/relationships/image" Target="media/image1.png" Id="rId4" /><Relationship Type="http://schemas.openxmlformats.org/officeDocument/2006/relationships/fontTable" Target="fontTable.xml" Id="rId30" /><Relationship Type="http://schemas.openxmlformats.org/officeDocument/2006/relationships/hyperlink" Target="https://www.kingsfund.org.uk/insight-and-analysis/long-reads/what-is-compassionate-leadership?utm_source=chatgpt.com" TargetMode="External" Id="R77fd9fe417944879" /><Relationship Type="http://schemas.openxmlformats.org/officeDocument/2006/relationships/hyperlink" Target="https://bmjopen.bmj.com/content/7/11/e017708?utm_source=chatgpt.com" TargetMode="External" Id="R990935bc0cec4353" /><Relationship Type="http://schemas.openxmlformats.org/officeDocument/2006/relationships/hyperlink" Target="https://www.cqc.org.uk/publications/major-report/state-care/2022-2023/workforce?utm_source=chatgpt.com" TargetMode="External" Id="Rbbbb19f0dbfe4de4" /><Relationship Type="http://schemas.openxmlformats.org/officeDocument/2006/relationships/hyperlink" Target="https://qualitysafety.bmj.com/content/23/2/106?utm_source=chatgpt.com" TargetMode="External" Id="Re085324d321341cb" /><Relationship Type="http://schemas.openxmlformats.org/officeDocument/2006/relationships/hyperlink" Target="https://jamanetwork.com/journals/jama/article-abstract/374139?utm_source=chatgpt.com" TargetMode="External" Id="R81ca33820c584d54" /><Relationship Type="http://schemas.openxmlformats.org/officeDocument/2006/relationships/hyperlink" Target="https://pmc.ncbi.nlm.nih.gov/articles/PMC11031995/?utm_source=chatgpt.com" TargetMode="External" Id="R490e8d23e6e54d6b" /><Relationship Type="http://schemas.openxmlformats.org/officeDocument/2006/relationships/hyperlink" Target="https://assets.publishing.service.gov.uk/media/5a7c9bec40f0b65b3de09fde/0898_i.pdf?utm_source=chatgpt.com" TargetMode="External" Id="Rb215a1c6d82b442f" /><Relationship Type="http://schemas.openxmlformats.org/officeDocument/2006/relationships/hyperlink" Target="https://www.legislation.gov.uk/ukpga/2022/31/contents?utm_source=chatgpt.com" TargetMode="External" Id="Rcba2ccdbc53149a6" /><Relationship Type="http://schemas.openxmlformats.org/officeDocument/2006/relationships/hyperlink" Target="https://www.health.org.uk/resources-and-toolkits/quick-guides/quality-improvement-made-simple?utm_source=chatgpt.com" TargetMode="External" Id="Rd6de61b272274af3" /><Relationship Type="http://schemas.openxmlformats.org/officeDocument/2006/relationships/hyperlink" Target="https://www.kingsfund.org.uk/insight-and-analysis/reports/leading-across-health-care-system-lessons-experience?utm_source=chatgpt.com" TargetMode="External" Id="R0f2f972cd3f344a2" /><Relationship Type="http://schemas.openxmlformats.org/officeDocument/2006/relationships/hyperlink" Target="https://www.ihi.org/library/model-for-improvement" TargetMode="External" Id="R4c47db26727a4a83" /><Relationship Type="http://schemas.openxmlformats.org/officeDocument/2006/relationships/hyperlink" Target="https://www.bmj.com/content/364/bmj.k5437?utm_source=chatgpt.com" TargetMode="External" Id="Rd5dc47ff59194cbf" /><Relationship Type="http://schemas.openxmlformats.org/officeDocument/2006/relationships/hyperlink" Target="https://www.bristol-inquiry.org.uk/final_report/the_report.pdf?utm_source=chatgpt.com" TargetMode="External" Id="R83bd7805fd9b4afd" /><Relationship Type="http://schemas.openxmlformats.org/officeDocument/2006/relationships/hyperlink" Target="https://www.bmj.com/content/363/bmj.k4907?utm_source=chatgpt.com" TargetMode="External" Id="R94661e3011c44a35" /><Relationship Type="http://schemas.openxmlformats.org/officeDocument/2006/relationships/hyperlink" Target="https://www.nice.org.uk/what-nice-does/standards-and-indicators" TargetMode="External" Id="Rada61de39b074d57" /><Relationship Type="http://schemas.openxmlformats.org/officeDocument/2006/relationships/hyperlink" Target="https://www.england.nhs.uk/long-read/patient-safety-incident-response-framework/?utm_source=chatgpt.com" TargetMode="External" Id="R6695cf3a389b4dd8" /><Relationship Type="http://schemas.openxmlformats.org/officeDocument/2006/relationships/hyperlink" Target="https://www.england.nhs.uk/patient-safety/the-nhs-patient-safety-strategy/?utm_source=chatgpt.com" TargetMode="External" Id="R311aced005b24f28" /><Relationship Type="http://schemas.openxmlformats.org/officeDocument/2006/relationships/hyperlink" Target="https://link.springer.com/article/10.1186/s12961-020-00644-3?utm_source=chatgpt.com" TargetMode="External" Id="Ra8a9eedf6b574192" /><Relationship Type="http://schemas.openxmlformats.org/officeDocument/2006/relationships/hyperlink" Target="https://www.bmj.com/content/320/7237/768?utm_source=chatgpt.com" TargetMode="External" Id="R87c6d220c47d4511" /><Relationship Type="http://schemas.openxmlformats.org/officeDocument/2006/relationships/hyperlink" Target="https://qualitysafety.bmj.com/content/25/3/147?utm_source=chatgpt.com" TargetMode="External" Id="R18af584c22d54cc5" /><Relationship Type="http://schemas.openxmlformats.org/officeDocument/2006/relationships/hyperlink" Target="https://pmc.ncbi.nlm.nih.gov/articles/PMC65055/?utm_source=chatgpt.com" TargetMode="External" Id="R9122ebef167e41c6" /><Relationship Type="http://schemas.openxmlformats.org/officeDocument/2006/relationships/hyperlink" Target="https://www.kingsfund.org.uk/insight-and-analysis/reports/caring-change" TargetMode="External" Id="Rce0eec76b316478c" /><Relationship Type="http://schemas.openxmlformats.org/officeDocument/2006/relationships/hyperlink" Target="https://pmc.ncbi.nlm.nih.gov/articles/PMC8812166/?utm_source=chatgpt.com" TargetMode="External" Id="R506280a68e4f45cc" /><Relationship Type="http://schemas.openxmlformats.org/officeDocument/2006/relationships/hyperlink" Target="https://www.who.int/publications/i/item/9789240032705?utm_source=chatgpt.com" TargetMode="External" Id="Rac9cc912a1994c6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Desislava Markova (2512936)</dc:creator>
  <keywords/>
  <dc:description/>
  <lastModifiedBy>Desislava Markova (2512936)</lastModifiedBy>
  <revision>14</revision>
  <dcterms:created xsi:type="dcterms:W3CDTF">2026-07-07T14:10:00.0000000Z</dcterms:created>
  <dcterms:modified xsi:type="dcterms:W3CDTF">2026-07-15T13:21:44.9690666Z</dcterms:modified>
</coreProperties>
</file>