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CA"/>
          <w14:ligatures w14:val="standardContextual"/>
        </w:rPr>
        <w:id w:val="275830016"/>
        <w:docPartObj>
          <w:docPartGallery w:val="Cover Pages"/>
          <w:docPartUnique/>
        </w:docPartObj>
      </w:sdtPr>
      <w:sdtEndPr>
        <w:rPr>
          <w:rFonts w:ascii="Arial" w:hAnsi="Arial" w:cs="Arial"/>
          <w:sz w:val="24"/>
          <w:szCs w:val="24"/>
          <w:lang w:val="en-GB"/>
        </w:rPr>
      </w:sdtEndPr>
      <w:sdtContent>
        <w:p w14:paraId="42399BCD" w14:textId="13BB3E95" w:rsidR="00A33107" w:rsidRDefault="00A33107">
          <w:pPr>
            <w:pStyle w:val="NoSpacing"/>
          </w:pPr>
          <w:r>
            <w:rPr>
              <w:noProof/>
            </w:rPr>
            <mc:AlternateContent>
              <mc:Choice Requires="wpg">
                <w:drawing>
                  <wp:anchor distT="0" distB="0" distL="114300" distR="114300" simplePos="0" relativeHeight="251658240" behindDoc="1" locked="0" layoutInCell="1" allowOverlap="1" wp14:anchorId="371AD52D" wp14:editId="1B70E0B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88053C9" w14:textId="42231331" w:rsidR="00A33107" w:rsidRDefault="00F3200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1AD52D"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88053C9" w14:textId="42231331" w:rsidR="00A33107" w:rsidRDefault="00F3200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4688266" wp14:editId="485F6150">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49479F" w14:textId="571FACC0" w:rsidR="00A33107"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10C1C">
                                      <w:rPr>
                                        <w:color w:val="156082" w:themeColor="accent1"/>
                                        <w:sz w:val="26"/>
                                        <w:szCs w:val="26"/>
                                      </w:rPr>
                                      <w:t>Rana Ibrahim</w:t>
                                    </w:r>
                                    <w:r w:rsidR="00A33107">
                                      <w:rPr>
                                        <w:color w:val="156082" w:themeColor="accent1"/>
                                        <w:sz w:val="26"/>
                                        <w:szCs w:val="26"/>
                                      </w:rPr>
                                      <w:t xml:space="preserve"> (</w:t>
                                    </w:r>
                                    <w:r w:rsidR="00D559C2">
                                      <w:rPr>
                                        <w:color w:val="156082" w:themeColor="accent1"/>
                                        <w:sz w:val="26"/>
                                        <w:szCs w:val="26"/>
                                      </w:rPr>
                                      <w:t>15506</w:t>
                                    </w:r>
                                    <w:r w:rsidR="00F32006">
                                      <w:rPr>
                                        <w:color w:val="156082" w:themeColor="accent1"/>
                                        <w:sz w:val="26"/>
                                        <w:szCs w:val="26"/>
                                      </w:rPr>
                                      <w:t>48</w:t>
                                    </w:r>
                                    <w:r w:rsidR="00A33107">
                                      <w:rPr>
                                        <w:color w:val="156082" w:themeColor="accent1"/>
                                        <w:sz w:val="26"/>
                                        <w:szCs w:val="26"/>
                                      </w:rPr>
                                      <w:t>)</w:t>
                                    </w:r>
                                  </w:sdtContent>
                                </w:sdt>
                              </w:p>
                              <w:p w14:paraId="694D8988" w14:textId="03B14DAC" w:rsidR="00A3310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32006">
                                      <w:rPr>
                                        <w:caps/>
                                        <w:color w:val="595959" w:themeColor="text1" w:themeTint="A6"/>
                                        <w:sz w:val="20"/>
                                        <w:szCs w:val="20"/>
                                      </w:rPr>
                                      <w:t>3</w:t>
                                    </w:r>
                                    <w:r w:rsidR="001A6F1B">
                                      <w:rPr>
                                        <w:caps/>
                                        <w:color w:val="595959" w:themeColor="text1" w:themeTint="A6"/>
                                        <w:sz w:val="20"/>
                                        <w:szCs w:val="20"/>
                                      </w:rPr>
                                      <w:t>297</w:t>
                                    </w:r>
                                    <w:r w:rsidR="00F32006">
                                      <w:rPr>
                                        <w:caps/>
                                        <w:color w:val="595959" w:themeColor="text1" w:themeTint="A6"/>
                                        <w:sz w:val="20"/>
                                        <w:szCs w:val="20"/>
                                      </w:rPr>
                                      <w:t xml:space="preserve"> words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688266"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F49479F" w14:textId="571FACC0" w:rsidR="00A33107" w:rsidRDefault="005427E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10C1C">
                                <w:rPr>
                                  <w:color w:val="156082" w:themeColor="accent1"/>
                                  <w:sz w:val="26"/>
                                  <w:szCs w:val="26"/>
                                </w:rPr>
                                <w:t>Rana Ibrahim</w:t>
                              </w:r>
                              <w:r w:rsidR="00A33107">
                                <w:rPr>
                                  <w:color w:val="156082" w:themeColor="accent1"/>
                                  <w:sz w:val="26"/>
                                  <w:szCs w:val="26"/>
                                </w:rPr>
                                <w:t xml:space="preserve"> (</w:t>
                              </w:r>
                              <w:r w:rsidR="00D559C2">
                                <w:rPr>
                                  <w:color w:val="156082" w:themeColor="accent1"/>
                                  <w:sz w:val="26"/>
                                  <w:szCs w:val="26"/>
                                </w:rPr>
                                <w:t>15506</w:t>
                              </w:r>
                              <w:r w:rsidR="00F32006">
                                <w:rPr>
                                  <w:color w:val="156082" w:themeColor="accent1"/>
                                  <w:sz w:val="26"/>
                                  <w:szCs w:val="26"/>
                                </w:rPr>
                                <w:t>48</w:t>
                              </w:r>
                              <w:r w:rsidR="00A33107">
                                <w:rPr>
                                  <w:color w:val="156082" w:themeColor="accent1"/>
                                  <w:sz w:val="26"/>
                                  <w:szCs w:val="26"/>
                                </w:rPr>
                                <w:t>)</w:t>
                              </w:r>
                            </w:sdtContent>
                          </w:sdt>
                        </w:p>
                        <w:p w14:paraId="694D8988" w14:textId="03B14DAC" w:rsidR="00A33107" w:rsidRDefault="005427E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2006">
                                <w:rPr>
                                  <w:caps/>
                                  <w:color w:val="595959" w:themeColor="text1" w:themeTint="A6"/>
                                  <w:sz w:val="20"/>
                                  <w:szCs w:val="20"/>
                                </w:rPr>
                                <w:t>3</w:t>
                              </w:r>
                              <w:r w:rsidR="001A6F1B">
                                <w:rPr>
                                  <w:caps/>
                                  <w:color w:val="595959" w:themeColor="text1" w:themeTint="A6"/>
                                  <w:sz w:val="20"/>
                                  <w:szCs w:val="20"/>
                                </w:rPr>
                                <w:t>297</w:t>
                              </w:r>
                              <w:r w:rsidR="00F32006">
                                <w:rPr>
                                  <w:caps/>
                                  <w:color w:val="595959" w:themeColor="text1" w:themeTint="A6"/>
                                  <w:sz w:val="20"/>
                                  <w:szCs w:val="20"/>
                                </w:rPr>
                                <w:t xml:space="preserve"> words</w:t>
                              </w:r>
                            </w:sdtContent>
                          </w:sdt>
                        </w:p>
                      </w:txbxContent>
                    </v:textbox>
                    <w10:wrap anchorx="page" anchory="page"/>
                  </v:shape>
                </w:pict>
              </mc:Fallback>
            </mc:AlternateContent>
          </w:r>
        </w:p>
        <w:p w14:paraId="3C39F930" w14:textId="115C8C2F" w:rsidR="00A33107" w:rsidRDefault="0084156C">
          <w:pPr>
            <w:rPr>
              <w:rFonts w:ascii="Arial" w:hAnsi="Arial" w:cs="Arial"/>
              <w:sz w:val="24"/>
              <w:szCs w:val="24"/>
              <w:lang w:val="en-GB"/>
            </w:rPr>
          </w:pPr>
          <w:r>
            <w:rPr>
              <w:noProof/>
            </w:rPr>
            <mc:AlternateContent>
              <mc:Choice Requires="wps">
                <w:drawing>
                  <wp:anchor distT="0" distB="0" distL="114300" distR="114300" simplePos="0" relativeHeight="251658241" behindDoc="0" locked="0" layoutInCell="1" allowOverlap="1" wp14:anchorId="0E25273D" wp14:editId="78A691FF">
                    <wp:simplePos x="0" y="0"/>
                    <wp:positionH relativeFrom="page">
                      <wp:posOffset>723900</wp:posOffset>
                    </wp:positionH>
                    <wp:positionV relativeFrom="page">
                      <wp:posOffset>2657475</wp:posOffset>
                    </wp:positionV>
                    <wp:extent cx="6286500" cy="105727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6286500" cy="1057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229389697"/>
                              <w:p w14:paraId="0CC44AF4" w14:textId="367A754D" w:rsidR="00A33107" w:rsidRPr="001B7CD4" w:rsidRDefault="00000000" w:rsidP="001B7CD4">
                                <w:pPr>
                                  <w:pStyle w:val="Heading1"/>
                                  <w:numPr>
                                    <w:ilvl w:val="0"/>
                                    <w:numId w:val="0"/>
                                  </w:numPr>
                                  <w:ind w:left="432"/>
                                </w:pPr>
                                <w:sdt>
                                  <w:sdtPr>
                                    <w:rPr>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156C" w:rsidRPr="001B7CD4">
                                      <w:rPr>
                                        <w:lang w:val="en-GB"/>
                                      </w:rPr>
                                      <w:t>Employment Law Risk and Employee Relations Strategy Report for Elmbridge Electronics Ltd</w:t>
                                    </w:r>
                                  </w:sdtContent>
                                </w:sdt>
                                <w:bookmarkEnd w:id="0"/>
                              </w:p>
                              <w:p w14:paraId="617C1E52" w14:textId="0676D9A4" w:rsidR="00A33107" w:rsidRDefault="00000000" w:rsidP="0084156C">
                                <w:pPr>
                                  <w:pStyle w:val="Heading1"/>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4156C">
                                      <w:rPr>
                                        <w:color w:val="404040" w:themeColor="text1" w:themeTint="BF"/>
                                        <w:sz w:val="36"/>
                                        <w:szCs w:val="36"/>
                                      </w:rPr>
                                      <w:t xml:space="preserve">     </w:t>
                                    </w:r>
                                  </w:sdtContent>
                                </w:sdt>
                                <w:bookmarkStart w:id="1" w:name="_Toc229389698"/>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E25273D" id="_x0000_t202" coordsize="21600,21600" o:spt="202" path="m,l,21600r21600,l21600,xe">
                    <v:stroke joinstyle="miter"/>
                    <v:path gradientshapeok="t" o:connecttype="rect"/>
                  </v:shapetype>
                  <v:shape id="Text Box 30" o:spid="_x0000_s1056" type="#_x0000_t202" style="position:absolute;margin-left:57pt;margin-top:209.25pt;width:495pt;height:83.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" filled="f" stroked="f" strokeweight=".5pt">
                    <v:textbox inset="0,0,0,0">
                      <w:txbxContent>
                        <w:bookmarkStart w:id="2" w:name="_Toc229389697"/>
                        <w:p w14:paraId="0CC44AF4" w14:textId="367A754D" w:rsidR="00A33107" w:rsidRPr="001B7CD4" w:rsidRDefault="00000000" w:rsidP="001B7CD4">
                          <w:pPr>
                            <w:pStyle w:val="Heading1"/>
                            <w:numPr>
                              <w:ilvl w:val="0"/>
                              <w:numId w:val="0"/>
                            </w:numPr>
                            <w:ind w:left="432"/>
                          </w:pPr>
                          <w:sdt>
                            <w:sdtPr>
                              <w:rPr>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156C" w:rsidRPr="001B7CD4">
                                <w:rPr>
                                  <w:lang w:val="en-GB"/>
                                </w:rPr>
                                <w:t>Employment Law Risk and Employee Relations Strategy Report for Elmbridge Electronics Ltd</w:t>
                              </w:r>
                            </w:sdtContent>
                          </w:sdt>
                          <w:bookmarkEnd w:id="2"/>
                        </w:p>
                        <w:p w14:paraId="617C1E52" w14:textId="0676D9A4" w:rsidR="00A33107" w:rsidRDefault="00000000" w:rsidP="0084156C">
                          <w:pPr>
                            <w:pStyle w:val="Heading1"/>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4156C">
                                <w:rPr>
                                  <w:color w:val="404040" w:themeColor="text1" w:themeTint="BF"/>
                                  <w:sz w:val="36"/>
                                  <w:szCs w:val="36"/>
                                </w:rPr>
                                <w:t xml:space="preserve">     </w:t>
                              </w:r>
                            </w:sdtContent>
                          </w:sdt>
                          <w:bookmarkStart w:id="3" w:name="_Toc229389698"/>
                          <w:bookmarkEnd w:id="3"/>
                        </w:p>
                      </w:txbxContent>
                    </v:textbox>
                    <w10:wrap anchorx="page" anchory="page"/>
                  </v:shape>
                </w:pict>
              </mc:Fallback>
            </mc:AlternateContent>
          </w:r>
          <w:r w:rsidR="00A33107">
            <w:rPr>
              <w:rFonts w:ascii="Arial" w:hAnsi="Arial" w:cs="Arial"/>
              <w:sz w:val="24"/>
              <w:szCs w:val="24"/>
              <w:lang w:val="en-GB"/>
            </w:rPr>
            <w:br w:type="page"/>
          </w:r>
        </w:p>
      </w:sdtContent>
    </w:sdt>
    <w:sdt>
      <w:sdtPr>
        <w:rPr>
          <w:rFonts w:asciiTheme="minorHAnsi" w:eastAsiaTheme="minorHAnsi" w:hAnsiTheme="minorHAnsi" w:cstheme="minorBidi"/>
          <w:color w:val="auto"/>
          <w:kern w:val="2"/>
          <w:sz w:val="22"/>
          <w:szCs w:val="22"/>
          <w:lang w:val="en-CA"/>
          <w14:ligatures w14:val="standardContextual"/>
        </w:rPr>
        <w:id w:val="-73976836"/>
        <w:docPartObj>
          <w:docPartGallery w:val="Table of Contents"/>
          <w:docPartUnique/>
        </w:docPartObj>
      </w:sdtPr>
      <w:sdtEndPr>
        <w:rPr>
          <w:b/>
          <w:bCs/>
          <w:noProof/>
        </w:rPr>
      </w:sdtEndPr>
      <w:sdtContent>
        <w:p w14:paraId="110BF434" w14:textId="5917E690" w:rsidR="001B7CD4" w:rsidRPr="009D744E" w:rsidRDefault="006559D5" w:rsidP="009D744E">
          <w:pPr>
            <w:pStyle w:val="TOCHeading"/>
          </w:pPr>
          <w:r>
            <w:t>Contents</w:t>
          </w:r>
          <w:r>
            <w:fldChar w:fldCharType="begin"/>
          </w:r>
          <w:r>
            <w:instrText xml:space="preserve"> TOC \o "1-3" \h \z \u </w:instrText>
          </w:r>
          <w:r>
            <w:fldChar w:fldCharType="separate"/>
          </w:r>
        </w:p>
        <w:p w14:paraId="12A42D89" w14:textId="0919B454" w:rsidR="001B7CD4" w:rsidRDefault="001B7CD4">
          <w:pPr>
            <w:pStyle w:val="TOC1"/>
            <w:tabs>
              <w:tab w:val="left" w:pos="440"/>
              <w:tab w:val="right" w:leader="dot" w:pos="9350"/>
            </w:tabs>
            <w:rPr>
              <w:rFonts w:eastAsiaTheme="minorEastAsia"/>
              <w:noProof/>
              <w:sz w:val="24"/>
              <w:szCs w:val="24"/>
              <w:lang w:val="en-GB" w:eastAsia="en-GB"/>
            </w:rPr>
          </w:pPr>
          <w:hyperlink w:anchor="_Toc229389699" w:history="1">
            <w:r w:rsidRPr="00727105">
              <w:rPr>
                <w:rStyle w:val="Hyperlink"/>
                <w:noProof/>
              </w:rPr>
              <w:t>2</w:t>
            </w:r>
            <w:r>
              <w:rPr>
                <w:rFonts w:eastAsiaTheme="minorEastAsia"/>
                <w:noProof/>
                <w:sz w:val="24"/>
                <w:szCs w:val="24"/>
                <w:lang w:val="en-GB" w:eastAsia="en-GB"/>
              </w:rPr>
              <w:tab/>
            </w:r>
            <w:r w:rsidRPr="00727105">
              <w:rPr>
                <w:rStyle w:val="Hyperlink"/>
                <w:rFonts w:eastAsia="Times New Roman"/>
                <w:noProof/>
                <w:lang w:eastAsia="en-CA"/>
              </w:rPr>
              <w:t>Executive Summary</w:t>
            </w:r>
            <w:r>
              <w:rPr>
                <w:noProof/>
                <w:webHidden/>
              </w:rPr>
              <w:tab/>
            </w:r>
            <w:r>
              <w:rPr>
                <w:noProof/>
                <w:webHidden/>
              </w:rPr>
              <w:fldChar w:fldCharType="begin"/>
            </w:r>
            <w:r>
              <w:rPr>
                <w:noProof/>
                <w:webHidden/>
              </w:rPr>
              <w:instrText xml:space="preserve"> PAGEREF _Toc229389699 \h </w:instrText>
            </w:r>
            <w:r>
              <w:rPr>
                <w:noProof/>
                <w:webHidden/>
              </w:rPr>
            </w:r>
            <w:r>
              <w:rPr>
                <w:noProof/>
                <w:webHidden/>
              </w:rPr>
              <w:fldChar w:fldCharType="separate"/>
            </w:r>
            <w:r w:rsidR="00600D64">
              <w:rPr>
                <w:noProof/>
                <w:webHidden/>
              </w:rPr>
              <w:t>2</w:t>
            </w:r>
            <w:r>
              <w:rPr>
                <w:noProof/>
                <w:webHidden/>
              </w:rPr>
              <w:fldChar w:fldCharType="end"/>
            </w:r>
          </w:hyperlink>
        </w:p>
        <w:p w14:paraId="3F738E8D" w14:textId="1D95CE9B" w:rsidR="001B7CD4" w:rsidRDefault="001B7CD4">
          <w:pPr>
            <w:pStyle w:val="TOC1"/>
            <w:tabs>
              <w:tab w:val="left" w:pos="440"/>
              <w:tab w:val="right" w:leader="dot" w:pos="9350"/>
            </w:tabs>
            <w:rPr>
              <w:rFonts w:eastAsiaTheme="minorEastAsia"/>
              <w:noProof/>
              <w:sz w:val="24"/>
              <w:szCs w:val="24"/>
              <w:lang w:val="en-GB" w:eastAsia="en-GB"/>
            </w:rPr>
          </w:pPr>
          <w:hyperlink w:anchor="_Toc229389700" w:history="1">
            <w:r w:rsidRPr="00727105">
              <w:rPr>
                <w:rStyle w:val="Hyperlink"/>
                <w:noProof/>
                <w:lang w:val="en-GB"/>
              </w:rPr>
              <w:t>3</w:t>
            </w:r>
            <w:r>
              <w:rPr>
                <w:rFonts w:eastAsiaTheme="minorEastAsia"/>
                <w:noProof/>
                <w:sz w:val="24"/>
                <w:szCs w:val="24"/>
                <w:lang w:val="en-GB" w:eastAsia="en-GB"/>
              </w:rPr>
              <w:tab/>
            </w:r>
            <w:r w:rsidRPr="00727105">
              <w:rPr>
                <w:rStyle w:val="Hyperlink"/>
                <w:noProof/>
                <w:lang w:val="en-GB"/>
              </w:rPr>
              <w:t>Introduction</w:t>
            </w:r>
            <w:r>
              <w:rPr>
                <w:noProof/>
                <w:webHidden/>
              </w:rPr>
              <w:tab/>
            </w:r>
            <w:r>
              <w:rPr>
                <w:noProof/>
                <w:webHidden/>
              </w:rPr>
              <w:fldChar w:fldCharType="begin"/>
            </w:r>
            <w:r>
              <w:rPr>
                <w:noProof/>
                <w:webHidden/>
              </w:rPr>
              <w:instrText xml:space="preserve"> PAGEREF _Toc229389700 \h </w:instrText>
            </w:r>
            <w:r>
              <w:rPr>
                <w:noProof/>
                <w:webHidden/>
              </w:rPr>
            </w:r>
            <w:r>
              <w:rPr>
                <w:noProof/>
                <w:webHidden/>
              </w:rPr>
              <w:fldChar w:fldCharType="separate"/>
            </w:r>
            <w:r w:rsidR="00600D64">
              <w:rPr>
                <w:noProof/>
                <w:webHidden/>
              </w:rPr>
              <w:t>3</w:t>
            </w:r>
            <w:r>
              <w:rPr>
                <w:noProof/>
                <w:webHidden/>
              </w:rPr>
              <w:fldChar w:fldCharType="end"/>
            </w:r>
          </w:hyperlink>
        </w:p>
        <w:p w14:paraId="4F309063" w14:textId="53EC72BD" w:rsidR="001B7CD4" w:rsidRDefault="001B7CD4">
          <w:pPr>
            <w:pStyle w:val="TOC1"/>
            <w:tabs>
              <w:tab w:val="left" w:pos="440"/>
              <w:tab w:val="right" w:leader="dot" w:pos="9350"/>
            </w:tabs>
            <w:rPr>
              <w:rFonts w:eastAsiaTheme="minorEastAsia"/>
              <w:noProof/>
              <w:sz w:val="24"/>
              <w:szCs w:val="24"/>
              <w:lang w:val="en-GB" w:eastAsia="en-GB"/>
            </w:rPr>
          </w:pPr>
          <w:hyperlink w:anchor="_Toc229389701" w:history="1">
            <w:r w:rsidRPr="00727105">
              <w:rPr>
                <w:rStyle w:val="Hyperlink"/>
                <w:noProof/>
              </w:rPr>
              <w:t>4</w:t>
            </w:r>
            <w:r>
              <w:rPr>
                <w:rFonts w:eastAsiaTheme="minorEastAsia"/>
                <w:noProof/>
                <w:sz w:val="24"/>
                <w:szCs w:val="24"/>
                <w:lang w:val="en-GB" w:eastAsia="en-GB"/>
              </w:rPr>
              <w:tab/>
            </w:r>
            <w:r w:rsidRPr="00727105">
              <w:rPr>
                <w:rStyle w:val="Hyperlink"/>
                <w:noProof/>
              </w:rPr>
              <w:t>Immediate Employment Law Risks to Elmbridge Electronics Ltd</w:t>
            </w:r>
            <w:r>
              <w:rPr>
                <w:noProof/>
                <w:webHidden/>
              </w:rPr>
              <w:tab/>
            </w:r>
            <w:r>
              <w:rPr>
                <w:noProof/>
                <w:webHidden/>
              </w:rPr>
              <w:fldChar w:fldCharType="begin"/>
            </w:r>
            <w:r>
              <w:rPr>
                <w:noProof/>
                <w:webHidden/>
              </w:rPr>
              <w:instrText xml:space="preserve"> PAGEREF _Toc229389701 \h </w:instrText>
            </w:r>
            <w:r>
              <w:rPr>
                <w:noProof/>
                <w:webHidden/>
              </w:rPr>
            </w:r>
            <w:r>
              <w:rPr>
                <w:noProof/>
                <w:webHidden/>
              </w:rPr>
              <w:fldChar w:fldCharType="separate"/>
            </w:r>
            <w:r w:rsidR="00600D64">
              <w:rPr>
                <w:noProof/>
                <w:webHidden/>
              </w:rPr>
              <w:t>4</w:t>
            </w:r>
            <w:r>
              <w:rPr>
                <w:noProof/>
                <w:webHidden/>
              </w:rPr>
              <w:fldChar w:fldCharType="end"/>
            </w:r>
          </w:hyperlink>
        </w:p>
        <w:p w14:paraId="152005A7" w14:textId="1BCAD760" w:rsidR="001B7CD4" w:rsidRDefault="001B7CD4">
          <w:pPr>
            <w:pStyle w:val="TOC2"/>
            <w:tabs>
              <w:tab w:val="left" w:pos="960"/>
              <w:tab w:val="right" w:leader="dot" w:pos="9350"/>
            </w:tabs>
            <w:rPr>
              <w:rFonts w:eastAsiaTheme="minorEastAsia"/>
              <w:noProof/>
              <w:sz w:val="24"/>
              <w:szCs w:val="24"/>
              <w:lang w:val="en-GB" w:eastAsia="en-GB"/>
            </w:rPr>
          </w:pPr>
          <w:hyperlink w:anchor="_Toc229389702" w:history="1">
            <w:r w:rsidRPr="00727105">
              <w:rPr>
                <w:rStyle w:val="Hyperlink"/>
                <w:noProof/>
                <w:lang w:val="en-GB"/>
              </w:rPr>
              <w:t>4.1</w:t>
            </w:r>
            <w:r>
              <w:rPr>
                <w:rFonts w:eastAsiaTheme="minorEastAsia"/>
                <w:noProof/>
                <w:sz w:val="24"/>
                <w:szCs w:val="24"/>
                <w:lang w:val="en-GB" w:eastAsia="en-GB"/>
              </w:rPr>
              <w:tab/>
            </w:r>
            <w:r w:rsidRPr="00727105">
              <w:rPr>
                <w:rStyle w:val="Hyperlink"/>
                <w:noProof/>
                <w:lang w:val="en-GB"/>
              </w:rPr>
              <w:t>Harassment and bullying</w:t>
            </w:r>
            <w:r>
              <w:rPr>
                <w:noProof/>
                <w:webHidden/>
              </w:rPr>
              <w:tab/>
            </w:r>
            <w:r>
              <w:rPr>
                <w:noProof/>
                <w:webHidden/>
              </w:rPr>
              <w:fldChar w:fldCharType="begin"/>
            </w:r>
            <w:r>
              <w:rPr>
                <w:noProof/>
                <w:webHidden/>
              </w:rPr>
              <w:instrText xml:space="preserve"> PAGEREF _Toc229389702 \h </w:instrText>
            </w:r>
            <w:r>
              <w:rPr>
                <w:noProof/>
                <w:webHidden/>
              </w:rPr>
            </w:r>
            <w:r>
              <w:rPr>
                <w:noProof/>
                <w:webHidden/>
              </w:rPr>
              <w:fldChar w:fldCharType="separate"/>
            </w:r>
            <w:r w:rsidR="00600D64">
              <w:rPr>
                <w:noProof/>
                <w:webHidden/>
              </w:rPr>
              <w:t>4</w:t>
            </w:r>
            <w:r>
              <w:rPr>
                <w:noProof/>
                <w:webHidden/>
              </w:rPr>
              <w:fldChar w:fldCharType="end"/>
            </w:r>
          </w:hyperlink>
        </w:p>
        <w:p w14:paraId="0885896D" w14:textId="799428ED" w:rsidR="001B7CD4" w:rsidRDefault="001B7CD4">
          <w:pPr>
            <w:pStyle w:val="TOC2"/>
            <w:tabs>
              <w:tab w:val="left" w:pos="960"/>
              <w:tab w:val="right" w:leader="dot" w:pos="9350"/>
            </w:tabs>
            <w:rPr>
              <w:rFonts w:eastAsiaTheme="minorEastAsia"/>
              <w:noProof/>
              <w:sz w:val="24"/>
              <w:szCs w:val="24"/>
              <w:lang w:val="en-GB" w:eastAsia="en-GB"/>
            </w:rPr>
          </w:pPr>
          <w:hyperlink w:anchor="_Toc229389703" w:history="1">
            <w:r w:rsidRPr="00727105">
              <w:rPr>
                <w:rStyle w:val="Hyperlink"/>
                <w:noProof/>
                <w:lang w:val="en-GB"/>
              </w:rPr>
              <w:t>4.2</w:t>
            </w:r>
            <w:r>
              <w:rPr>
                <w:rFonts w:eastAsiaTheme="minorEastAsia"/>
                <w:noProof/>
                <w:sz w:val="24"/>
                <w:szCs w:val="24"/>
                <w:lang w:val="en-GB" w:eastAsia="en-GB"/>
              </w:rPr>
              <w:tab/>
            </w:r>
            <w:r w:rsidRPr="00727105">
              <w:rPr>
                <w:rStyle w:val="Hyperlink"/>
                <w:noProof/>
                <w:lang w:val="en-GB"/>
              </w:rPr>
              <w:t>Failure to consult under TUPE</w:t>
            </w:r>
            <w:r>
              <w:rPr>
                <w:noProof/>
                <w:webHidden/>
              </w:rPr>
              <w:tab/>
            </w:r>
            <w:r>
              <w:rPr>
                <w:noProof/>
                <w:webHidden/>
              </w:rPr>
              <w:fldChar w:fldCharType="begin"/>
            </w:r>
            <w:r>
              <w:rPr>
                <w:noProof/>
                <w:webHidden/>
              </w:rPr>
              <w:instrText xml:space="preserve"> PAGEREF _Toc229389703 \h </w:instrText>
            </w:r>
            <w:r>
              <w:rPr>
                <w:noProof/>
                <w:webHidden/>
              </w:rPr>
            </w:r>
            <w:r>
              <w:rPr>
                <w:noProof/>
                <w:webHidden/>
              </w:rPr>
              <w:fldChar w:fldCharType="separate"/>
            </w:r>
            <w:r w:rsidR="00600D64">
              <w:rPr>
                <w:noProof/>
                <w:webHidden/>
              </w:rPr>
              <w:t>5</w:t>
            </w:r>
            <w:r>
              <w:rPr>
                <w:noProof/>
                <w:webHidden/>
              </w:rPr>
              <w:fldChar w:fldCharType="end"/>
            </w:r>
          </w:hyperlink>
        </w:p>
        <w:p w14:paraId="05F5BF17" w14:textId="5EB5B183" w:rsidR="001B7CD4" w:rsidRDefault="001B7CD4">
          <w:pPr>
            <w:pStyle w:val="TOC2"/>
            <w:tabs>
              <w:tab w:val="left" w:pos="960"/>
              <w:tab w:val="right" w:leader="dot" w:pos="9350"/>
            </w:tabs>
            <w:rPr>
              <w:rFonts w:eastAsiaTheme="minorEastAsia"/>
              <w:noProof/>
              <w:sz w:val="24"/>
              <w:szCs w:val="24"/>
              <w:lang w:val="en-GB" w:eastAsia="en-GB"/>
            </w:rPr>
          </w:pPr>
          <w:hyperlink w:anchor="_Toc229389704" w:history="1">
            <w:r w:rsidRPr="00727105">
              <w:rPr>
                <w:rStyle w:val="Hyperlink"/>
                <w:noProof/>
              </w:rPr>
              <w:t>4.3</w:t>
            </w:r>
            <w:r>
              <w:rPr>
                <w:rFonts w:eastAsiaTheme="minorEastAsia"/>
                <w:noProof/>
                <w:sz w:val="24"/>
                <w:szCs w:val="24"/>
                <w:lang w:val="en-GB" w:eastAsia="en-GB"/>
              </w:rPr>
              <w:tab/>
            </w:r>
            <w:r w:rsidRPr="00727105">
              <w:rPr>
                <w:rStyle w:val="Hyperlink"/>
                <w:noProof/>
              </w:rPr>
              <w:t>Insecure Work Practices and Zero-Hours Contracts</w:t>
            </w:r>
            <w:r>
              <w:rPr>
                <w:noProof/>
                <w:webHidden/>
              </w:rPr>
              <w:tab/>
            </w:r>
            <w:r>
              <w:rPr>
                <w:noProof/>
                <w:webHidden/>
              </w:rPr>
              <w:fldChar w:fldCharType="begin"/>
            </w:r>
            <w:r>
              <w:rPr>
                <w:noProof/>
                <w:webHidden/>
              </w:rPr>
              <w:instrText xml:space="preserve"> PAGEREF _Toc229389704 \h </w:instrText>
            </w:r>
            <w:r>
              <w:rPr>
                <w:noProof/>
                <w:webHidden/>
              </w:rPr>
            </w:r>
            <w:r>
              <w:rPr>
                <w:noProof/>
                <w:webHidden/>
              </w:rPr>
              <w:fldChar w:fldCharType="separate"/>
            </w:r>
            <w:r w:rsidR="00600D64">
              <w:rPr>
                <w:noProof/>
                <w:webHidden/>
              </w:rPr>
              <w:t>5</w:t>
            </w:r>
            <w:r>
              <w:rPr>
                <w:noProof/>
                <w:webHidden/>
              </w:rPr>
              <w:fldChar w:fldCharType="end"/>
            </w:r>
          </w:hyperlink>
        </w:p>
        <w:p w14:paraId="3FB09A71" w14:textId="579514BA" w:rsidR="001B7CD4" w:rsidRDefault="001B7CD4">
          <w:pPr>
            <w:pStyle w:val="TOC2"/>
            <w:tabs>
              <w:tab w:val="left" w:pos="960"/>
              <w:tab w:val="right" w:leader="dot" w:pos="9350"/>
            </w:tabs>
            <w:rPr>
              <w:rFonts w:eastAsiaTheme="minorEastAsia"/>
              <w:noProof/>
              <w:sz w:val="24"/>
              <w:szCs w:val="24"/>
              <w:lang w:val="en-GB" w:eastAsia="en-GB"/>
            </w:rPr>
          </w:pPr>
          <w:hyperlink w:anchor="_Toc229389705" w:history="1">
            <w:r w:rsidRPr="00727105">
              <w:rPr>
                <w:rStyle w:val="Hyperlink"/>
                <w:noProof/>
              </w:rPr>
              <w:t>4.4</w:t>
            </w:r>
            <w:r>
              <w:rPr>
                <w:rFonts w:eastAsiaTheme="minorEastAsia"/>
                <w:noProof/>
                <w:sz w:val="24"/>
                <w:szCs w:val="24"/>
                <w:lang w:val="en-GB" w:eastAsia="en-GB"/>
              </w:rPr>
              <w:tab/>
            </w:r>
            <w:r w:rsidRPr="00727105">
              <w:rPr>
                <w:rStyle w:val="Hyperlink"/>
                <w:noProof/>
              </w:rPr>
              <w:t>Trade Union Recognition and Employee Voice Risk</w:t>
            </w:r>
            <w:r>
              <w:rPr>
                <w:noProof/>
                <w:webHidden/>
              </w:rPr>
              <w:tab/>
            </w:r>
            <w:r>
              <w:rPr>
                <w:noProof/>
                <w:webHidden/>
              </w:rPr>
              <w:fldChar w:fldCharType="begin"/>
            </w:r>
            <w:r>
              <w:rPr>
                <w:noProof/>
                <w:webHidden/>
              </w:rPr>
              <w:instrText xml:space="preserve"> PAGEREF _Toc229389705 \h </w:instrText>
            </w:r>
            <w:r>
              <w:rPr>
                <w:noProof/>
                <w:webHidden/>
              </w:rPr>
            </w:r>
            <w:r>
              <w:rPr>
                <w:noProof/>
                <w:webHidden/>
              </w:rPr>
              <w:fldChar w:fldCharType="separate"/>
            </w:r>
            <w:r w:rsidR="00600D64">
              <w:rPr>
                <w:noProof/>
                <w:webHidden/>
              </w:rPr>
              <w:t>6</w:t>
            </w:r>
            <w:r>
              <w:rPr>
                <w:noProof/>
                <w:webHidden/>
              </w:rPr>
              <w:fldChar w:fldCharType="end"/>
            </w:r>
          </w:hyperlink>
        </w:p>
        <w:p w14:paraId="7521A6A8" w14:textId="458D270A" w:rsidR="001B7CD4" w:rsidRDefault="001B7CD4">
          <w:pPr>
            <w:pStyle w:val="TOC2"/>
            <w:tabs>
              <w:tab w:val="left" w:pos="960"/>
              <w:tab w:val="right" w:leader="dot" w:pos="9350"/>
            </w:tabs>
            <w:rPr>
              <w:rFonts w:eastAsiaTheme="minorEastAsia"/>
              <w:noProof/>
              <w:sz w:val="24"/>
              <w:szCs w:val="24"/>
              <w:lang w:val="en-GB" w:eastAsia="en-GB"/>
            </w:rPr>
          </w:pPr>
          <w:hyperlink w:anchor="_Toc229389706" w:history="1">
            <w:r w:rsidRPr="00727105">
              <w:rPr>
                <w:rStyle w:val="Hyperlink"/>
                <w:noProof/>
                <w:lang w:val="en-GB"/>
              </w:rPr>
              <w:t>4.5</w:t>
            </w:r>
            <w:r>
              <w:rPr>
                <w:rFonts w:eastAsiaTheme="minorEastAsia"/>
                <w:noProof/>
                <w:sz w:val="24"/>
                <w:szCs w:val="24"/>
                <w:lang w:val="en-GB" w:eastAsia="en-GB"/>
              </w:rPr>
              <w:tab/>
            </w:r>
            <w:r w:rsidRPr="00727105">
              <w:rPr>
                <w:rStyle w:val="Hyperlink"/>
                <w:noProof/>
                <w:lang w:val="en-GB"/>
              </w:rPr>
              <w:t>Date Protection and Confidentiality Governance Risk</w:t>
            </w:r>
            <w:r>
              <w:rPr>
                <w:noProof/>
                <w:webHidden/>
              </w:rPr>
              <w:tab/>
            </w:r>
            <w:r>
              <w:rPr>
                <w:noProof/>
                <w:webHidden/>
              </w:rPr>
              <w:fldChar w:fldCharType="begin"/>
            </w:r>
            <w:r>
              <w:rPr>
                <w:noProof/>
                <w:webHidden/>
              </w:rPr>
              <w:instrText xml:space="preserve"> PAGEREF _Toc229389706 \h </w:instrText>
            </w:r>
            <w:r>
              <w:rPr>
                <w:noProof/>
                <w:webHidden/>
              </w:rPr>
            </w:r>
            <w:r>
              <w:rPr>
                <w:noProof/>
                <w:webHidden/>
              </w:rPr>
              <w:fldChar w:fldCharType="separate"/>
            </w:r>
            <w:r w:rsidR="00600D64">
              <w:rPr>
                <w:noProof/>
                <w:webHidden/>
              </w:rPr>
              <w:t>7</w:t>
            </w:r>
            <w:r>
              <w:rPr>
                <w:noProof/>
                <w:webHidden/>
              </w:rPr>
              <w:fldChar w:fldCharType="end"/>
            </w:r>
          </w:hyperlink>
        </w:p>
        <w:p w14:paraId="2703716B" w14:textId="7A7D6F63" w:rsidR="001B7CD4" w:rsidRDefault="001B7CD4">
          <w:pPr>
            <w:pStyle w:val="TOC2"/>
            <w:tabs>
              <w:tab w:val="left" w:pos="960"/>
              <w:tab w:val="right" w:leader="dot" w:pos="9350"/>
            </w:tabs>
            <w:rPr>
              <w:rFonts w:eastAsiaTheme="minorEastAsia"/>
              <w:noProof/>
              <w:sz w:val="24"/>
              <w:szCs w:val="24"/>
              <w:lang w:val="en-GB" w:eastAsia="en-GB"/>
            </w:rPr>
          </w:pPr>
          <w:hyperlink w:anchor="_Toc229389707" w:history="1">
            <w:r w:rsidRPr="00727105">
              <w:rPr>
                <w:rStyle w:val="Hyperlink"/>
                <w:noProof/>
                <w:lang w:val="en-GB"/>
              </w:rPr>
              <w:t>4.6</w:t>
            </w:r>
            <w:r>
              <w:rPr>
                <w:rFonts w:eastAsiaTheme="minorEastAsia"/>
                <w:noProof/>
                <w:sz w:val="24"/>
                <w:szCs w:val="24"/>
                <w:lang w:val="en-GB" w:eastAsia="en-GB"/>
              </w:rPr>
              <w:tab/>
            </w:r>
            <w:r w:rsidRPr="00727105">
              <w:rPr>
                <w:rStyle w:val="Hyperlink"/>
                <w:noProof/>
                <w:lang w:val="en-GB"/>
              </w:rPr>
              <w:t>Disability Discrimination and Reasonable Adjustments Risk</w:t>
            </w:r>
            <w:r>
              <w:rPr>
                <w:noProof/>
                <w:webHidden/>
              </w:rPr>
              <w:tab/>
            </w:r>
            <w:r>
              <w:rPr>
                <w:noProof/>
                <w:webHidden/>
              </w:rPr>
              <w:fldChar w:fldCharType="begin"/>
            </w:r>
            <w:r>
              <w:rPr>
                <w:noProof/>
                <w:webHidden/>
              </w:rPr>
              <w:instrText xml:space="preserve"> PAGEREF _Toc229389707 \h </w:instrText>
            </w:r>
            <w:r>
              <w:rPr>
                <w:noProof/>
                <w:webHidden/>
              </w:rPr>
            </w:r>
            <w:r>
              <w:rPr>
                <w:noProof/>
                <w:webHidden/>
              </w:rPr>
              <w:fldChar w:fldCharType="separate"/>
            </w:r>
            <w:r w:rsidR="00600D64">
              <w:rPr>
                <w:noProof/>
                <w:webHidden/>
              </w:rPr>
              <w:t>7</w:t>
            </w:r>
            <w:r>
              <w:rPr>
                <w:noProof/>
                <w:webHidden/>
              </w:rPr>
              <w:fldChar w:fldCharType="end"/>
            </w:r>
          </w:hyperlink>
        </w:p>
        <w:p w14:paraId="4A22EF69" w14:textId="2B218DE0" w:rsidR="001B7CD4" w:rsidRDefault="001B7CD4">
          <w:pPr>
            <w:pStyle w:val="TOC1"/>
            <w:tabs>
              <w:tab w:val="left" w:pos="440"/>
              <w:tab w:val="right" w:leader="dot" w:pos="9350"/>
            </w:tabs>
            <w:rPr>
              <w:rFonts w:eastAsiaTheme="minorEastAsia"/>
              <w:noProof/>
              <w:sz w:val="24"/>
              <w:szCs w:val="24"/>
              <w:lang w:val="en-GB" w:eastAsia="en-GB"/>
            </w:rPr>
          </w:pPr>
          <w:hyperlink w:anchor="_Toc229389708" w:history="1">
            <w:r w:rsidRPr="00727105">
              <w:rPr>
                <w:rStyle w:val="Hyperlink"/>
                <w:noProof/>
                <w:lang w:val="en-GB"/>
              </w:rPr>
              <w:t>5</w:t>
            </w:r>
            <w:r>
              <w:rPr>
                <w:rFonts w:eastAsiaTheme="minorEastAsia"/>
                <w:noProof/>
                <w:sz w:val="24"/>
                <w:szCs w:val="24"/>
                <w:lang w:val="en-GB" w:eastAsia="en-GB"/>
              </w:rPr>
              <w:tab/>
            </w:r>
            <w:r w:rsidRPr="00727105">
              <w:rPr>
                <w:rStyle w:val="Hyperlink"/>
                <w:noProof/>
                <w:lang w:val="en-GB"/>
              </w:rPr>
              <w:t>Business Case for Moving from Near-Compliance to Prevention</w:t>
            </w:r>
            <w:r>
              <w:rPr>
                <w:noProof/>
                <w:webHidden/>
              </w:rPr>
              <w:tab/>
            </w:r>
            <w:r>
              <w:rPr>
                <w:noProof/>
                <w:webHidden/>
              </w:rPr>
              <w:fldChar w:fldCharType="begin"/>
            </w:r>
            <w:r>
              <w:rPr>
                <w:noProof/>
                <w:webHidden/>
              </w:rPr>
              <w:instrText xml:space="preserve"> PAGEREF _Toc229389708 \h </w:instrText>
            </w:r>
            <w:r>
              <w:rPr>
                <w:noProof/>
                <w:webHidden/>
              </w:rPr>
            </w:r>
            <w:r>
              <w:rPr>
                <w:noProof/>
                <w:webHidden/>
              </w:rPr>
              <w:fldChar w:fldCharType="separate"/>
            </w:r>
            <w:r w:rsidR="00600D64">
              <w:rPr>
                <w:noProof/>
                <w:webHidden/>
              </w:rPr>
              <w:t>9</w:t>
            </w:r>
            <w:r>
              <w:rPr>
                <w:noProof/>
                <w:webHidden/>
              </w:rPr>
              <w:fldChar w:fldCharType="end"/>
            </w:r>
          </w:hyperlink>
        </w:p>
        <w:p w14:paraId="39476B4F" w14:textId="305F3088" w:rsidR="001B7CD4" w:rsidRDefault="001B7CD4">
          <w:pPr>
            <w:pStyle w:val="TOC1"/>
            <w:tabs>
              <w:tab w:val="left" w:pos="440"/>
              <w:tab w:val="right" w:leader="dot" w:pos="9350"/>
            </w:tabs>
            <w:rPr>
              <w:rFonts w:eastAsiaTheme="minorEastAsia"/>
              <w:noProof/>
              <w:sz w:val="24"/>
              <w:szCs w:val="24"/>
              <w:lang w:val="en-GB" w:eastAsia="en-GB"/>
            </w:rPr>
          </w:pPr>
          <w:hyperlink w:anchor="_Toc229389709" w:history="1">
            <w:r w:rsidRPr="00727105">
              <w:rPr>
                <w:rStyle w:val="Hyperlink"/>
                <w:noProof/>
              </w:rPr>
              <w:t>6</w:t>
            </w:r>
            <w:r>
              <w:rPr>
                <w:rFonts w:eastAsiaTheme="minorEastAsia"/>
                <w:noProof/>
                <w:sz w:val="24"/>
                <w:szCs w:val="24"/>
                <w:lang w:val="en-GB" w:eastAsia="en-GB"/>
              </w:rPr>
              <w:tab/>
            </w:r>
            <w:r w:rsidRPr="00727105">
              <w:rPr>
                <w:rStyle w:val="Hyperlink"/>
                <w:noProof/>
              </w:rPr>
              <w:t>Recommendations for Compliance Improvement and conflict Prevention</w:t>
            </w:r>
            <w:r>
              <w:rPr>
                <w:noProof/>
                <w:webHidden/>
              </w:rPr>
              <w:tab/>
            </w:r>
            <w:r>
              <w:rPr>
                <w:noProof/>
                <w:webHidden/>
              </w:rPr>
              <w:fldChar w:fldCharType="begin"/>
            </w:r>
            <w:r>
              <w:rPr>
                <w:noProof/>
                <w:webHidden/>
              </w:rPr>
              <w:instrText xml:space="preserve"> PAGEREF _Toc229389709 \h </w:instrText>
            </w:r>
            <w:r>
              <w:rPr>
                <w:noProof/>
                <w:webHidden/>
              </w:rPr>
            </w:r>
            <w:r>
              <w:rPr>
                <w:noProof/>
                <w:webHidden/>
              </w:rPr>
              <w:fldChar w:fldCharType="separate"/>
            </w:r>
            <w:r w:rsidR="00600D64">
              <w:rPr>
                <w:noProof/>
                <w:webHidden/>
              </w:rPr>
              <w:t>10</w:t>
            </w:r>
            <w:r>
              <w:rPr>
                <w:noProof/>
                <w:webHidden/>
              </w:rPr>
              <w:fldChar w:fldCharType="end"/>
            </w:r>
          </w:hyperlink>
        </w:p>
        <w:p w14:paraId="03EC7937" w14:textId="71DBB250" w:rsidR="001B7CD4" w:rsidRDefault="001B7CD4">
          <w:pPr>
            <w:pStyle w:val="TOC2"/>
            <w:tabs>
              <w:tab w:val="left" w:pos="960"/>
              <w:tab w:val="right" w:leader="dot" w:pos="9350"/>
            </w:tabs>
            <w:rPr>
              <w:rFonts w:eastAsiaTheme="minorEastAsia"/>
              <w:noProof/>
              <w:sz w:val="24"/>
              <w:szCs w:val="24"/>
              <w:lang w:val="en-GB" w:eastAsia="en-GB"/>
            </w:rPr>
          </w:pPr>
          <w:hyperlink w:anchor="_Toc229389710" w:history="1">
            <w:r w:rsidRPr="00727105">
              <w:rPr>
                <w:rStyle w:val="Hyperlink"/>
                <w:noProof/>
              </w:rPr>
              <w:t>6.1</w:t>
            </w:r>
            <w:r>
              <w:rPr>
                <w:rFonts w:eastAsiaTheme="minorEastAsia"/>
                <w:noProof/>
                <w:sz w:val="24"/>
                <w:szCs w:val="24"/>
                <w:lang w:val="en-GB" w:eastAsia="en-GB"/>
              </w:rPr>
              <w:tab/>
            </w:r>
            <w:r w:rsidRPr="00727105">
              <w:rPr>
                <w:rStyle w:val="Hyperlink"/>
                <w:noProof/>
              </w:rPr>
              <w:t>Rebuild Respect at Work: Harassment Prevention Framework</w:t>
            </w:r>
            <w:r>
              <w:rPr>
                <w:noProof/>
                <w:webHidden/>
              </w:rPr>
              <w:tab/>
            </w:r>
            <w:r>
              <w:rPr>
                <w:noProof/>
                <w:webHidden/>
              </w:rPr>
              <w:fldChar w:fldCharType="begin"/>
            </w:r>
            <w:r>
              <w:rPr>
                <w:noProof/>
                <w:webHidden/>
              </w:rPr>
              <w:instrText xml:space="preserve"> PAGEREF _Toc229389710 \h </w:instrText>
            </w:r>
            <w:r>
              <w:rPr>
                <w:noProof/>
                <w:webHidden/>
              </w:rPr>
            </w:r>
            <w:r>
              <w:rPr>
                <w:noProof/>
                <w:webHidden/>
              </w:rPr>
              <w:fldChar w:fldCharType="separate"/>
            </w:r>
            <w:r w:rsidR="00600D64">
              <w:rPr>
                <w:noProof/>
                <w:webHidden/>
              </w:rPr>
              <w:t>10</w:t>
            </w:r>
            <w:r>
              <w:rPr>
                <w:noProof/>
                <w:webHidden/>
              </w:rPr>
              <w:fldChar w:fldCharType="end"/>
            </w:r>
          </w:hyperlink>
        </w:p>
        <w:p w14:paraId="21F2D959" w14:textId="0BADAF64" w:rsidR="001B7CD4" w:rsidRDefault="001B7CD4">
          <w:pPr>
            <w:pStyle w:val="TOC3"/>
            <w:tabs>
              <w:tab w:val="left" w:pos="1200"/>
              <w:tab w:val="right" w:leader="dot" w:pos="9350"/>
            </w:tabs>
            <w:rPr>
              <w:rFonts w:eastAsiaTheme="minorEastAsia"/>
              <w:noProof/>
              <w:sz w:val="24"/>
              <w:szCs w:val="24"/>
              <w:lang w:val="en-GB" w:eastAsia="en-GB"/>
            </w:rPr>
          </w:pPr>
          <w:hyperlink w:anchor="_Toc229389711" w:history="1">
            <w:r w:rsidRPr="00727105">
              <w:rPr>
                <w:rStyle w:val="Hyperlink"/>
                <w:noProof/>
                <w:lang w:val="en-GB"/>
              </w:rPr>
              <w:t>6.1.1</w:t>
            </w:r>
            <w:r>
              <w:rPr>
                <w:rFonts w:eastAsiaTheme="minorEastAsia"/>
                <w:noProof/>
                <w:sz w:val="24"/>
                <w:szCs w:val="24"/>
                <w:lang w:val="en-GB" w:eastAsia="en-GB"/>
              </w:rPr>
              <w:tab/>
            </w:r>
            <w:r w:rsidRPr="00727105">
              <w:rPr>
                <w:rStyle w:val="Hyperlink"/>
                <w:noProof/>
                <w:lang w:val="en-GB"/>
              </w:rPr>
              <w:t>Implementation timetable</w:t>
            </w:r>
            <w:r>
              <w:rPr>
                <w:noProof/>
                <w:webHidden/>
              </w:rPr>
              <w:tab/>
            </w:r>
            <w:r>
              <w:rPr>
                <w:noProof/>
                <w:webHidden/>
              </w:rPr>
              <w:fldChar w:fldCharType="begin"/>
            </w:r>
            <w:r>
              <w:rPr>
                <w:noProof/>
                <w:webHidden/>
              </w:rPr>
              <w:instrText xml:space="preserve"> PAGEREF _Toc229389711 \h </w:instrText>
            </w:r>
            <w:r>
              <w:rPr>
                <w:noProof/>
                <w:webHidden/>
              </w:rPr>
            </w:r>
            <w:r>
              <w:rPr>
                <w:noProof/>
                <w:webHidden/>
              </w:rPr>
              <w:fldChar w:fldCharType="separate"/>
            </w:r>
            <w:r w:rsidR="00600D64">
              <w:rPr>
                <w:noProof/>
                <w:webHidden/>
              </w:rPr>
              <w:t>10</w:t>
            </w:r>
            <w:r>
              <w:rPr>
                <w:noProof/>
                <w:webHidden/>
              </w:rPr>
              <w:fldChar w:fldCharType="end"/>
            </w:r>
          </w:hyperlink>
        </w:p>
        <w:p w14:paraId="7C88DECE" w14:textId="08273A9B" w:rsidR="001B7CD4" w:rsidRDefault="001B7CD4">
          <w:pPr>
            <w:pStyle w:val="TOC3"/>
            <w:tabs>
              <w:tab w:val="left" w:pos="1200"/>
              <w:tab w:val="right" w:leader="dot" w:pos="9350"/>
            </w:tabs>
            <w:rPr>
              <w:rFonts w:eastAsiaTheme="minorEastAsia"/>
              <w:noProof/>
              <w:sz w:val="24"/>
              <w:szCs w:val="24"/>
              <w:lang w:val="en-GB" w:eastAsia="en-GB"/>
            </w:rPr>
          </w:pPr>
          <w:hyperlink w:anchor="_Toc229389712" w:history="1">
            <w:r w:rsidRPr="00727105">
              <w:rPr>
                <w:rStyle w:val="Hyperlink"/>
                <w:noProof/>
                <w:lang w:val="en-GB"/>
              </w:rPr>
              <w:t>6.1.2</w:t>
            </w:r>
            <w:r>
              <w:rPr>
                <w:rFonts w:eastAsiaTheme="minorEastAsia"/>
                <w:noProof/>
                <w:sz w:val="24"/>
                <w:szCs w:val="24"/>
                <w:lang w:val="en-GB" w:eastAsia="en-GB"/>
              </w:rPr>
              <w:tab/>
            </w:r>
            <w:r w:rsidRPr="00727105">
              <w:rPr>
                <w:rStyle w:val="Hyperlink"/>
                <w:noProof/>
                <w:lang w:val="en-GB"/>
              </w:rPr>
              <w:t>Indicative first year cost</w:t>
            </w:r>
            <w:r>
              <w:rPr>
                <w:noProof/>
                <w:webHidden/>
              </w:rPr>
              <w:tab/>
            </w:r>
            <w:r>
              <w:rPr>
                <w:noProof/>
                <w:webHidden/>
              </w:rPr>
              <w:fldChar w:fldCharType="begin"/>
            </w:r>
            <w:r>
              <w:rPr>
                <w:noProof/>
                <w:webHidden/>
              </w:rPr>
              <w:instrText xml:space="preserve"> PAGEREF _Toc229389712 \h </w:instrText>
            </w:r>
            <w:r>
              <w:rPr>
                <w:noProof/>
                <w:webHidden/>
              </w:rPr>
            </w:r>
            <w:r>
              <w:rPr>
                <w:noProof/>
                <w:webHidden/>
              </w:rPr>
              <w:fldChar w:fldCharType="separate"/>
            </w:r>
            <w:r w:rsidR="00600D64">
              <w:rPr>
                <w:noProof/>
                <w:webHidden/>
              </w:rPr>
              <w:t>10</w:t>
            </w:r>
            <w:r>
              <w:rPr>
                <w:noProof/>
                <w:webHidden/>
              </w:rPr>
              <w:fldChar w:fldCharType="end"/>
            </w:r>
          </w:hyperlink>
        </w:p>
        <w:p w14:paraId="29D87CDF" w14:textId="6DBA0290" w:rsidR="001B7CD4" w:rsidRDefault="001B7CD4">
          <w:pPr>
            <w:pStyle w:val="TOC3"/>
            <w:tabs>
              <w:tab w:val="left" w:pos="1200"/>
              <w:tab w:val="right" w:leader="dot" w:pos="9350"/>
            </w:tabs>
            <w:rPr>
              <w:rFonts w:eastAsiaTheme="minorEastAsia"/>
              <w:noProof/>
              <w:sz w:val="24"/>
              <w:szCs w:val="24"/>
              <w:lang w:val="en-GB" w:eastAsia="en-GB"/>
            </w:rPr>
          </w:pPr>
          <w:hyperlink w:anchor="_Toc229389713" w:history="1">
            <w:r w:rsidRPr="00727105">
              <w:rPr>
                <w:rStyle w:val="Hyperlink"/>
                <w:noProof/>
                <w:lang w:val="en-GB"/>
              </w:rPr>
              <w:t>6.1.3</w:t>
            </w:r>
            <w:r>
              <w:rPr>
                <w:rFonts w:eastAsiaTheme="minorEastAsia"/>
                <w:noProof/>
                <w:sz w:val="24"/>
                <w:szCs w:val="24"/>
                <w:lang w:val="en-GB" w:eastAsia="en-GB"/>
              </w:rPr>
              <w:tab/>
            </w:r>
            <w:r w:rsidRPr="00727105">
              <w:rPr>
                <w:rStyle w:val="Hyperlink"/>
                <w:noProof/>
                <w:lang w:val="en-GB"/>
              </w:rPr>
              <w:t>Success measures</w:t>
            </w:r>
            <w:r>
              <w:rPr>
                <w:noProof/>
                <w:webHidden/>
              </w:rPr>
              <w:tab/>
            </w:r>
            <w:r>
              <w:rPr>
                <w:noProof/>
                <w:webHidden/>
              </w:rPr>
              <w:fldChar w:fldCharType="begin"/>
            </w:r>
            <w:r>
              <w:rPr>
                <w:noProof/>
                <w:webHidden/>
              </w:rPr>
              <w:instrText xml:space="preserve"> PAGEREF _Toc229389713 \h </w:instrText>
            </w:r>
            <w:r>
              <w:rPr>
                <w:noProof/>
                <w:webHidden/>
              </w:rPr>
            </w:r>
            <w:r>
              <w:rPr>
                <w:noProof/>
                <w:webHidden/>
              </w:rPr>
              <w:fldChar w:fldCharType="separate"/>
            </w:r>
            <w:r w:rsidR="00600D64">
              <w:rPr>
                <w:noProof/>
                <w:webHidden/>
              </w:rPr>
              <w:t>10</w:t>
            </w:r>
            <w:r>
              <w:rPr>
                <w:noProof/>
                <w:webHidden/>
              </w:rPr>
              <w:fldChar w:fldCharType="end"/>
            </w:r>
          </w:hyperlink>
        </w:p>
        <w:p w14:paraId="713B508C" w14:textId="0D653B5C" w:rsidR="001B7CD4" w:rsidRDefault="001B7CD4">
          <w:pPr>
            <w:pStyle w:val="TOC2"/>
            <w:tabs>
              <w:tab w:val="left" w:pos="960"/>
              <w:tab w:val="right" w:leader="dot" w:pos="9350"/>
            </w:tabs>
            <w:rPr>
              <w:rFonts w:eastAsiaTheme="minorEastAsia"/>
              <w:noProof/>
              <w:sz w:val="24"/>
              <w:szCs w:val="24"/>
              <w:lang w:val="en-GB" w:eastAsia="en-GB"/>
            </w:rPr>
          </w:pPr>
          <w:hyperlink w:anchor="_Toc229389714" w:history="1">
            <w:r w:rsidRPr="00727105">
              <w:rPr>
                <w:rStyle w:val="Hyperlink"/>
                <w:noProof/>
                <w:lang w:val="en-GB"/>
              </w:rPr>
              <w:t>6.2</w:t>
            </w:r>
            <w:r>
              <w:rPr>
                <w:rFonts w:eastAsiaTheme="minorEastAsia"/>
                <w:noProof/>
                <w:sz w:val="24"/>
                <w:szCs w:val="24"/>
                <w:lang w:val="en-GB" w:eastAsia="en-GB"/>
              </w:rPr>
              <w:tab/>
            </w:r>
            <w:r w:rsidRPr="00727105">
              <w:rPr>
                <w:rStyle w:val="Hyperlink"/>
                <w:noProof/>
                <w:lang w:val="en-GB"/>
              </w:rPr>
              <w:t>Secure Work and Workforce Planning Reform</w:t>
            </w:r>
            <w:r>
              <w:rPr>
                <w:noProof/>
                <w:webHidden/>
              </w:rPr>
              <w:tab/>
            </w:r>
            <w:r>
              <w:rPr>
                <w:noProof/>
                <w:webHidden/>
              </w:rPr>
              <w:fldChar w:fldCharType="begin"/>
            </w:r>
            <w:r>
              <w:rPr>
                <w:noProof/>
                <w:webHidden/>
              </w:rPr>
              <w:instrText xml:space="preserve"> PAGEREF _Toc229389714 \h </w:instrText>
            </w:r>
            <w:r>
              <w:rPr>
                <w:noProof/>
                <w:webHidden/>
              </w:rPr>
            </w:r>
            <w:r>
              <w:rPr>
                <w:noProof/>
                <w:webHidden/>
              </w:rPr>
              <w:fldChar w:fldCharType="separate"/>
            </w:r>
            <w:r w:rsidR="00600D64">
              <w:rPr>
                <w:noProof/>
                <w:webHidden/>
              </w:rPr>
              <w:t>11</w:t>
            </w:r>
            <w:r>
              <w:rPr>
                <w:noProof/>
                <w:webHidden/>
              </w:rPr>
              <w:fldChar w:fldCharType="end"/>
            </w:r>
          </w:hyperlink>
        </w:p>
        <w:p w14:paraId="0B8E0D63" w14:textId="2B6E23A1" w:rsidR="001B7CD4" w:rsidRDefault="001B7CD4">
          <w:pPr>
            <w:pStyle w:val="TOC3"/>
            <w:tabs>
              <w:tab w:val="left" w:pos="1200"/>
              <w:tab w:val="right" w:leader="dot" w:pos="9350"/>
            </w:tabs>
            <w:rPr>
              <w:rFonts w:eastAsiaTheme="minorEastAsia"/>
              <w:noProof/>
              <w:sz w:val="24"/>
              <w:szCs w:val="24"/>
              <w:lang w:val="en-GB" w:eastAsia="en-GB"/>
            </w:rPr>
          </w:pPr>
          <w:hyperlink w:anchor="_Toc229389715" w:history="1">
            <w:r w:rsidRPr="00727105">
              <w:rPr>
                <w:rStyle w:val="Hyperlink"/>
                <w:noProof/>
                <w:lang w:val="en-GB"/>
              </w:rPr>
              <w:t>6.2.1</w:t>
            </w:r>
            <w:r>
              <w:rPr>
                <w:rFonts w:eastAsiaTheme="minorEastAsia"/>
                <w:noProof/>
                <w:sz w:val="24"/>
                <w:szCs w:val="24"/>
                <w:lang w:val="en-GB" w:eastAsia="en-GB"/>
              </w:rPr>
              <w:tab/>
            </w:r>
            <w:r w:rsidRPr="00727105">
              <w:rPr>
                <w:rStyle w:val="Hyperlink"/>
                <w:noProof/>
                <w:lang w:val="en-GB"/>
              </w:rPr>
              <w:t>Implementation timetable</w:t>
            </w:r>
            <w:r>
              <w:rPr>
                <w:noProof/>
                <w:webHidden/>
              </w:rPr>
              <w:tab/>
            </w:r>
            <w:r>
              <w:rPr>
                <w:noProof/>
                <w:webHidden/>
              </w:rPr>
              <w:fldChar w:fldCharType="begin"/>
            </w:r>
            <w:r>
              <w:rPr>
                <w:noProof/>
                <w:webHidden/>
              </w:rPr>
              <w:instrText xml:space="preserve"> PAGEREF _Toc229389715 \h </w:instrText>
            </w:r>
            <w:r>
              <w:rPr>
                <w:noProof/>
                <w:webHidden/>
              </w:rPr>
            </w:r>
            <w:r>
              <w:rPr>
                <w:noProof/>
                <w:webHidden/>
              </w:rPr>
              <w:fldChar w:fldCharType="separate"/>
            </w:r>
            <w:r w:rsidR="00600D64">
              <w:rPr>
                <w:noProof/>
                <w:webHidden/>
              </w:rPr>
              <w:t>11</w:t>
            </w:r>
            <w:r>
              <w:rPr>
                <w:noProof/>
                <w:webHidden/>
              </w:rPr>
              <w:fldChar w:fldCharType="end"/>
            </w:r>
          </w:hyperlink>
        </w:p>
        <w:p w14:paraId="63A452A0" w14:textId="78991058" w:rsidR="001B7CD4" w:rsidRDefault="001B7CD4">
          <w:pPr>
            <w:pStyle w:val="TOC3"/>
            <w:tabs>
              <w:tab w:val="left" w:pos="1200"/>
              <w:tab w:val="right" w:leader="dot" w:pos="9350"/>
            </w:tabs>
            <w:rPr>
              <w:rFonts w:eastAsiaTheme="minorEastAsia"/>
              <w:noProof/>
              <w:sz w:val="24"/>
              <w:szCs w:val="24"/>
              <w:lang w:val="en-GB" w:eastAsia="en-GB"/>
            </w:rPr>
          </w:pPr>
          <w:hyperlink w:anchor="_Toc229389716" w:history="1">
            <w:r w:rsidRPr="00727105">
              <w:rPr>
                <w:rStyle w:val="Hyperlink"/>
                <w:noProof/>
                <w:lang w:val="en-GB"/>
              </w:rPr>
              <w:t>6.2.2</w:t>
            </w:r>
            <w:r>
              <w:rPr>
                <w:rFonts w:eastAsiaTheme="minorEastAsia"/>
                <w:noProof/>
                <w:sz w:val="24"/>
                <w:szCs w:val="24"/>
                <w:lang w:val="en-GB" w:eastAsia="en-GB"/>
              </w:rPr>
              <w:tab/>
            </w:r>
            <w:r w:rsidRPr="00727105">
              <w:rPr>
                <w:rStyle w:val="Hyperlink"/>
                <w:noProof/>
                <w:lang w:val="en-GB"/>
              </w:rPr>
              <w:t>Indicative first year cost</w:t>
            </w:r>
            <w:r>
              <w:rPr>
                <w:noProof/>
                <w:webHidden/>
              </w:rPr>
              <w:tab/>
            </w:r>
            <w:r>
              <w:rPr>
                <w:noProof/>
                <w:webHidden/>
              </w:rPr>
              <w:fldChar w:fldCharType="begin"/>
            </w:r>
            <w:r>
              <w:rPr>
                <w:noProof/>
                <w:webHidden/>
              </w:rPr>
              <w:instrText xml:space="preserve"> PAGEREF _Toc229389716 \h </w:instrText>
            </w:r>
            <w:r>
              <w:rPr>
                <w:noProof/>
                <w:webHidden/>
              </w:rPr>
            </w:r>
            <w:r>
              <w:rPr>
                <w:noProof/>
                <w:webHidden/>
              </w:rPr>
              <w:fldChar w:fldCharType="separate"/>
            </w:r>
            <w:r w:rsidR="00600D64">
              <w:rPr>
                <w:noProof/>
                <w:webHidden/>
              </w:rPr>
              <w:t>11</w:t>
            </w:r>
            <w:r>
              <w:rPr>
                <w:noProof/>
                <w:webHidden/>
              </w:rPr>
              <w:fldChar w:fldCharType="end"/>
            </w:r>
          </w:hyperlink>
        </w:p>
        <w:p w14:paraId="32029ECA" w14:textId="751987BB" w:rsidR="001B7CD4" w:rsidRDefault="001B7CD4">
          <w:pPr>
            <w:pStyle w:val="TOC3"/>
            <w:tabs>
              <w:tab w:val="left" w:pos="1200"/>
              <w:tab w:val="right" w:leader="dot" w:pos="9350"/>
            </w:tabs>
            <w:rPr>
              <w:rFonts w:eastAsiaTheme="minorEastAsia"/>
              <w:noProof/>
              <w:sz w:val="24"/>
              <w:szCs w:val="24"/>
              <w:lang w:val="en-GB" w:eastAsia="en-GB"/>
            </w:rPr>
          </w:pPr>
          <w:hyperlink w:anchor="_Toc229389717" w:history="1">
            <w:r w:rsidRPr="00727105">
              <w:rPr>
                <w:rStyle w:val="Hyperlink"/>
                <w:noProof/>
                <w:lang w:val="en-GB"/>
              </w:rPr>
              <w:t>6.2.3</w:t>
            </w:r>
            <w:r>
              <w:rPr>
                <w:rFonts w:eastAsiaTheme="minorEastAsia"/>
                <w:noProof/>
                <w:sz w:val="24"/>
                <w:szCs w:val="24"/>
                <w:lang w:val="en-GB" w:eastAsia="en-GB"/>
              </w:rPr>
              <w:tab/>
            </w:r>
            <w:r w:rsidRPr="00727105">
              <w:rPr>
                <w:rStyle w:val="Hyperlink"/>
                <w:noProof/>
                <w:lang w:val="en-GB"/>
              </w:rPr>
              <w:t>Success measures</w:t>
            </w:r>
            <w:r>
              <w:rPr>
                <w:noProof/>
                <w:webHidden/>
              </w:rPr>
              <w:tab/>
            </w:r>
            <w:r>
              <w:rPr>
                <w:noProof/>
                <w:webHidden/>
              </w:rPr>
              <w:fldChar w:fldCharType="begin"/>
            </w:r>
            <w:r>
              <w:rPr>
                <w:noProof/>
                <w:webHidden/>
              </w:rPr>
              <w:instrText xml:space="preserve"> PAGEREF _Toc229389717 \h </w:instrText>
            </w:r>
            <w:r>
              <w:rPr>
                <w:noProof/>
                <w:webHidden/>
              </w:rPr>
            </w:r>
            <w:r>
              <w:rPr>
                <w:noProof/>
                <w:webHidden/>
              </w:rPr>
              <w:fldChar w:fldCharType="separate"/>
            </w:r>
            <w:r w:rsidR="00600D64">
              <w:rPr>
                <w:noProof/>
                <w:webHidden/>
              </w:rPr>
              <w:t>11</w:t>
            </w:r>
            <w:r>
              <w:rPr>
                <w:noProof/>
                <w:webHidden/>
              </w:rPr>
              <w:fldChar w:fldCharType="end"/>
            </w:r>
          </w:hyperlink>
        </w:p>
        <w:p w14:paraId="29927CFB" w14:textId="131A5776" w:rsidR="001B7CD4" w:rsidRDefault="001B7CD4">
          <w:pPr>
            <w:pStyle w:val="TOC2"/>
            <w:tabs>
              <w:tab w:val="left" w:pos="960"/>
              <w:tab w:val="right" w:leader="dot" w:pos="9350"/>
            </w:tabs>
            <w:rPr>
              <w:rFonts w:eastAsiaTheme="minorEastAsia"/>
              <w:noProof/>
              <w:sz w:val="24"/>
              <w:szCs w:val="24"/>
              <w:lang w:val="en-GB" w:eastAsia="en-GB"/>
            </w:rPr>
          </w:pPr>
          <w:hyperlink w:anchor="_Toc229389718" w:history="1">
            <w:r w:rsidRPr="00727105">
              <w:rPr>
                <w:rStyle w:val="Hyperlink"/>
                <w:noProof/>
                <w:lang w:val="en-GB"/>
              </w:rPr>
              <w:t>6.3</w:t>
            </w:r>
            <w:r>
              <w:rPr>
                <w:rFonts w:eastAsiaTheme="minorEastAsia"/>
                <w:noProof/>
                <w:sz w:val="24"/>
                <w:szCs w:val="24"/>
                <w:lang w:val="en-GB" w:eastAsia="en-GB"/>
              </w:rPr>
              <w:tab/>
            </w:r>
            <w:r w:rsidRPr="00727105">
              <w:rPr>
                <w:rStyle w:val="Hyperlink"/>
                <w:noProof/>
                <w:lang w:val="en-GB"/>
              </w:rPr>
              <w:t>Strategic Consultation, TUPE Compliance and Employee Voice Framework</w:t>
            </w:r>
            <w:r>
              <w:rPr>
                <w:noProof/>
                <w:webHidden/>
              </w:rPr>
              <w:tab/>
            </w:r>
            <w:r>
              <w:rPr>
                <w:noProof/>
                <w:webHidden/>
              </w:rPr>
              <w:fldChar w:fldCharType="begin"/>
            </w:r>
            <w:r>
              <w:rPr>
                <w:noProof/>
                <w:webHidden/>
              </w:rPr>
              <w:instrText xml:space="preserve"> PAGEREF _Toc229389718 \h </w:instrText>
            </w:r>
            <w:r>
              <w:rPr>
                <w:noProof/>
                <w:webHidden/>
              </w:rPr>
            </w:r>
            <w:r>
              <w:rPr>
                <w:noProof/>
                <w:webHidden/>
              </w:rPr>
              <w:fldChar w:fldCharType="separate"/>
            </w:r>
            <w:r w:rsidR="00600D64">
              <w:rPr>
                <w:noProof/>
                <w:webHidden/>
              </w:rPr>
              <w:t>12</w:t>
            </w:r>
            <w:r>
              <w:rPr>
                <w:noProof/>
                <w:webHidden/>
              </w:rPr>
              <w:fldChar w:fldCharType="end"/>
            </w:r>
          </w:hyperlink>
        </w:p>
        <w:p w14:paraId="73D17B9A" w14:textId="54595677" w:rsidR="001B7CD4" w:rsidRDefault="001B7CD4">
          <w:pPr>
            <w:pStyle w:val="TOC3"/>
            <w:tabs>
              <w:tab w:val="left" w:pos="1200"/>
              <w:tab w:val="right" w:leader="dot" w:pos="9350"/>
            </w:tabs>
            <w:rPr>
              <w:rFonts w:eastAsiaTheme="minorEastAsia"/>
              <w:noProof/>
              <w:sz w:val="24"/>
              <w:szCs w:val="24"/>
              <w:lang w:val="en-GB" w:eastAsia="en-GB"/>
            </w:rPr>
          </w:pPr>
          <w:hyperlink w:anchor="_Toc229389719" w:history="1">
            <w:r w:rsidRPr="00727105">
              <w:rPr>
                <w:rStyle w:val="Hyperlink"/>
                <w:noProof/>
                <w:lang w:val="en-GB"/>
              </w:rPr>
              <w:t>6.3.1</w:t>
            </w:r>
            <w:r>
              <w:rPr>
                <w:rFonts w:eastAsiaTheme="minorEastAsia"/>
                <w:noProof/>
                <w:sz w:val="24"/>
                <w:szCs w:val="24"/>
                <w:lang w:val="en-GB" w:eastAsia="en-GB"/>
              </w:rPr>
              <w:tab/>
            </w:r>
            <w:r w:rsidRPr="00727105">
              <w:rPr>
                <w:rStyle w:val="Hyperlink"/>
                <w:noProof/>
                <w:lang w:val="en-GB"/>
              </w:rPr>
              <w:t>Implementation timetable</w:t>
            </w:r>
            <w:r>
              <w:rPr>
                <w:noProof/>
                <w:webHidden/>
              </w:rPr>
              <w:tab/>
            </w:r>
            <w:r>
              <w:rPr>
                <w:noProof/>
                <w:webHidden/>
              </w:rPr>
              <w:fldChar w:fldCharType="begin"/>
            </w:r>
            <w:r>
              <w:rPr>
                <w:noProof/>
                <w:webHidden/>
              </w:rPr>
              <w:instrText xml:space="preserve"> PAGEREF _Toc229389719 \h </w:instrText>
            </w:r>
            <w:r>
              <w:rPr>
                <w:noProof/>
                <w:webHidden/>
              </w:rPr>
            </w:r>
            <w:r>
              <w:rPr>
                <w:noProof/>
                <w:webHidden/>
              </w:rPr>
              <w:fldChar w:fldCharType="separate"/>
            </w:r>
            <w:r w:rsidR="00600D64">
              <w:rPr>
                <w:noProof/>
                <w:webHidden/>
              </w:rPr>
              <w:t>12</w:t>
            </w:r>
            <w:r>
              <w:rPr>
                <w:noProof/>
                <w:webHidden/>
              </w:rPr>
              <w:fldChar w:fldCharType="end"/>
            </w:r>
          </w:hyperlink>
        </w:p>
        <w:p w14:paraId="467FBBA8" w14:textId="5D2A8DB1" w:rsidR="001B7CD4" w:rsidRDefault="001B7CD4">
          <w:pPr>
            <w:pStyle w:val="TOC3"/>
            <w:tabs>
              <w:tab w:val="left" w:pos="1200"/>
              <w:tab w:val="right" w:leader="dot" w:pos="9350"/>
            </w:tabs>
            <w:rPr>
              <w:rFonts w:eastAsiaTheme="minorEastAsia"/>
              <w:noProof/>
              <w:sz w:val="24"/>
              <w:szCs w:val="24"/>
              <w:lang w:val="en-GB" w:eastAsia="en-GB"/>
            </w:rPr>
          </w:pPr>
          <w:hyperlink w:anchor="_Toc229389720" w:history="1">
            <w:r w:rsidRPr="00727105">
              <w:rPr>
                <w:rStyle w:val="Hyperlink"/>
                <w:noProof/>
                <w:lang w:val="en-GB"/>
              </w:rPr>
              <w:t>6.3.2</w:t>
            </w:r>
            <w:r>
              <w:rPr>
                <w:rFonts w:eastAsiaTheme="minorEastAsia"/>
                <w:noProof/>
                <w:sz w:val="24"/>
                <w:szCs w:val="24"/>
                <w:lang w:val="en-GB" w:eastAsia="en-GB"/>
              </w:rPr>
              <w:tab/>
            </w:r>
            <w:r w:rsidRPr="00727105">
              <w:rPr>
                <w:rStyle w:val="Hyperlink"/>
                <w:noProof/>
                <w:lang w:val="en-GB"/>
              </w:rPr>
              <w:t>Indicative First year cost</w:t>
            </w:r>
            <w:r>
              <w:rPr>
                <w:noProof/>
                <w:webHidden/>
              </w:rPr>
              <w:tab/>
            </w:r>
            <w:r>
              <w:rPr>
                <w:noProof/>
                <w:webHidden/>
              </w:rPr>
              <w:fldChar w:fldCharType="begin"/>
            </w:r>
            <w:r>
              <w:rPr>
                <w:noProof/>
                <w:webHidden/>
              </w:rPr>
              <w:instrText xml:space="preserve"> PAGEREF _Toc229389720 \h </w:instrText>
            </w:r>
            <w:r>
              <w:rPr>
                <w:noProof/>
                <w:webHidden/>
              </w:rPr>
            </w:r>
            <w:r>
              <w:rPr>
                <w:noProof/>
                <w:webHidden/>
              </w:rPr>
              <w:fldChar w:fldCharType="separate"/>
            </w:r>
            <w:r w:rsidR="00600D64">
              <w:rPr>
                <w:noProof/>
                <w:webHidden/>
              </w:rPr>
              <w:t>12</w:t>
            </w:r>
            <w:r>
              <w:rPr>
                <w:noProof/>
                <w:webHidden/>
              </w:rPr>
              <w:fldChar w:fldCharType="end"/>
            </w:r>
          </w:hyperlink>
        </w:p>
        <w:p w14:paraId="2D4EE77C" w14:textId="14B19C4A" w:rsidR="001B7CD4" w:rsidRDefault="001B7CD4">
          <w:pPr>
            <w:pStyle w:val="TOC3"/>
            <w:tabs>
              <w:tab w:val="left" w:pos="1200"/>
              <w:tab w:val="right" w:leader="dot" w:pos="9350"/>
            </w:tabs>
            <w:rPr>
              <w:rFonts w:eastAsiaTheme="minorEastAsia"/>
              <w:noProof/>
              <w:sz w:val="24"/>
              <w:szCs w:val="24"/>
              <w:lang w:val="en-GB" w:eastAsia="en-GB"/>
            </w:rPr>
          </w:pPr>
          <w:hyperlink w:anchor="_Toc229389721" w:history="1">
            <w:r w:rsidRPr="00727105">
              <w:rPr>
                <w:rStyle w:val="Hyperlink"/>
                <w:noProof/>
                <w:lang w:val="en-GB"/>
              </w:rPr>
              <w:t>6.3.3</w:t>
            </w:r>
            <w:r>
              <w:rPr>
                <w:rFonts w:eastAsiaTheme="minorEastAsia"/>
                <w:noProof/>
                <w:sz w:val="24"/>
                <w:szCs w:val="24"/>
                <w:lang w:val="en-GB" w:eastAsia="en-GB"/>
              </w:rPr>
              <w:tab/>
            </w:r>
            <w:r w:rsidRPr="00727105">
              <w:rPr>
                <w:rStyle w:val="Hyperlink"/>
                <w:noProof/>
                <w:lang w:val="en-GB"/>
              </w:rPr>
              <w:t>Success measures</w:t>
            </w:r>
            <w:r>
              <w:rPr>
                <w:noProof/>
                <w:webHidden/>
              </w:rPr>
              <w:tab/>
            </w:r>
            <w:r>
              <w:rPr>
                <w:noProof/>
                <w:webHidden/>
              </w:rPr>
              <w:fldChar w:fldCharType="begin"/>
            </w:r>
            <w:r>
              <w:rPr>
                <w:noProof/>
                <w:webHidden/>
              </w:rPr>
              <w:instrText xml:space="preserve"> PAGEREF _Toc229389721 \h </w:instrText>
            </w:r>
            <w:r>
              <w:rPr>
                <w:noProof/>
                <w:webHidden/>
              </w:rPr>
            </w:r>
            <w:r>
              <w:rPr>
                <w:noProof/>
                <w:webHidden/>
              </w:rPr>
              <w:fldChar w:fldCharType="separate"/>
            </w:r>
            <w:r w:rsidR="00600D64">
              <w:rPr>
                <w:noProof/>
                <w:webHidden/>
              </w:rPr>
              <w:t>12</w:t>
            </w:r>
            <w:r>
              <w:rPr>
                <w:noProof/>
                <w:webHidden/>
              </w:rPr>
              <w:fldChar w:fldCharType="end"/>
            </w:r>
          </w:hyperlink>
        </w:p>
        <w:p w14:paraId="47135684" w14:textId="408AFFE0" w:rsidR="001B7CD4" w:rsidRDefault="001B7CD4">
          <w:pPr>
            <w:pStyle w:val="TOC2"/>
            <w:tabs>
              <w:tab w:val="left" w:pos="960"/>
              <w:tab w:val="right" w:leader="dot" w:pos="9350"/>
            </w:tabs>
            <w:rPr>
              <w:rFonts w:eastAsiaTheme="minorEastAsia"/>
              <w:noProof/>
              <w:sz w:val="24"/>
              <w:szCs w:val="24"/>
              <w:lang w:val="en-GB" w:eastAsia="en-GB"/>
            </w:rPr>
          </w:pPr>
          <w:hyperlink w:anchor="_Toc229389722" w:history="1">
            <w:r w:rsidRPr="00727105">
              <w:rPr>
                <w:rStyle w:val="Hyperlink"/>
                <w:noProof/>
                <w:lang w:val="en-GB"/>
              </w:rPr>
              <w:t>6.4</w:t>
            </w:r>
            <w:r>
              <w:rPr>
                <w:rFonts w:eastAsiaTheme="minorEastAsia"/>
                <w:noProof/>
                <w:sz w:val="24"/>
                <w:szCs w:val="24"/>
                <w:lang w:val="en-GB" w:eastAsia="en-GB"/>
              </w:rPr>
              <w:tab/>
            </w:r>
            <w:r w:rsidRPr="00727105">
              <w:rPr>
                <w:rStyle w:val="Hyperlink"/>
                <w:noProof/>
                <w:lang w:val="en-GB"/>
              </w:rPr>
              <w:t>Overall Investments Case</w:t>
            </w:r>
            <w:r>
              <w:rPr>
                <w:noProof/>
                <w:webHidden/>
              </w:rPr>
              <w:tab/>
            </w:r>
            <w:r>
              <w:rPr>
                <w:noProof/>
                <w:webHidden/>
              </w:rPr>
              <w:fldChar w:fldCharType="begin"/>
            </w:r>
            <w:r>
              <w:rPr>
                <w:noProof/>
                <w:webHidden/>
              </w:rPr>
              <w:instrText xml:space="preserve"> PAGEREF _Toc229389722 \h </w:instrText>
            </w:r>
            <w:r>
              <w:rPr>
                <w:noProof/>
                <w:webHidden/>
              </w:rPr>
            </w:r>
            <w:r>
              <w:rPr>
                <w:noProof/>
                <w:webHidden/>
              </w:rPr>
              <w:fldChar w:fldCharType="separate"/>
            </w:r>
            <w:r w:rsidR="00600D64">
              <w:rPr>
                <w:noProof/>
                <w:webHidden/>
              </w:rPr>
              <w:t>13</w:t>
            </w:r>
            <w:r>
              <w:rPr>
                <w:noProof/>
                <w:webHidden/>
              </w:rPr>
              <w:fldChar w:fldCharType="end"/>
            </w:r>
          </w:hyperlink>
        </w:p>
        <w:p w14:paraId="4BEAD0F5" w14:textId="6B7862CE" w:rsidR="001B7CD4" w:rsidRDefault="001B7CD4">
          <w:pPr>
            <w:pStyle w:val="TOC1"/>
            <w:tabs>
              <w:tab w:val="left" w:pos="440"/>
              <w:tab w:val="right" w:leader="dot" w:pos="9350"/>
            </w:tabs>
            <w:rPr>
              <w:rFonts w:eastAsiaTheme="minorEastAsia"/>
              <w:noProof/>
              <w:sz w:val="24"/>
              <w:szCs w:val="24"/>
              <w:lang w:val="en-GB" w:eastAsia="en-GB"/>
            </w:rPr>
          </w:pPr>
          <w:hyperlink w:anchor="_Toc229389723" w:history="1">
            <w:r w:rsidRPr="00727105">
              <w:rPr>
                <w:rStyle w:val="Hyperlink"/>
                <w:noProof/>
              </w:rPr>
              <w:t>7</w:t>
            </w:r>
            <w:r>
              <w:rPr>
                <w:rFonts w:eastAsiaTheme="minorEastAsia"/>
                <w:noProof/>
                <w:sz w:val="24"/>
                <w:szCs w:val="24"/>
                <w:lang w:val="en-GB" w:eastAsia="en-GB"/>
              </w:rPr>
              <w:tab/>
            </w:r>
            <w:r w:rsidRPr="00727105">
              <w:rPr>
                <w:rStyle w:val="Hyperlink"/>
                <w:noProof/>
              </w:rPr>
              <w:t>Conclusions</w:t>
            </w:r>
            <w:r>
              <w:rPr>
                <w:noProof/>
                <w:webHidden/>
              </w:rPr>
              <w:tab/>
            </w:r>
            <w:r>
              <w:rPr>
                <w:noProof/>
                <w:webHidden/>
              </w:rPr>
              <w:fldChar w:fldCharType="begin"/>
            </w:r>
            <w:r>
              <w:rPr>
                <w:noProof/>
                <w:webHidden/>
              </w:rPr>
              <w:instrText xml:space="preserve"> PAGEREF _Toc229389723 \h </w:instrText>
            </w:r>
            <w:r>
              <w:rPr>
                <w:noProof/>
                <w:webHidden/>
              </w:rPr>
            </w:r>
            <w:r>
              <w:rPr>
                <w:noProof/>
                <w:webHidden/>
              </w:rPr>
              <w:fldChar w:fldCharType="separate"/>
            </w:r>
            <w:r w:rsidR="00600D64">
              <w:rPr>
                <w:noProof/>
                <w:webHidden/>
              </w:rPr>
              <w:t>14</w:t>
            </w:r>
            <w:r>
              <w:rPr>
                <w:noProof/>
                <w:webHidden/>
              </w:rPr>
              <w:fldChar w:fldCharType="end"/>
            </w:r>
          </w:hyperlink>
        </w:p>
        <w:p w14:paraId="0A5F1A07" w14:textId="5ACF5F35" w:rsidR="001B7CD4" w:rsidRDefault="001B7CD4">
          <w:pPr>
            <w:pStyle w:val="TOC1"/>
            <w:tabs>
              <w:tab w:val="left" w:pos="440"/>
              <w:tab w:val="right" w:leader="dot" w:pos="9350"/>
            </w:tabs>
            <w:rPr>
              <w:rFonts w:eastAsiaTheme="minorEastAsia"/>
              <w:noProof/>
              <w:sz w:val="24"/>
              <w:szCs w:val="24"/>
              <w:lang w:val="en-GB" w:eastAsia="en-GB"/>
            </w:rPr>
          </w:pPr>
          <w:hyperlink w:anchor="_Toc229389724" w:history="1">
            <w:r w:rsidRPr="00727105">
              <w:rPr>
                <w:rStyle w:val="Hyperlink"/>
                <w:noProof/>
              </w:rPr>
              <w:t>8</w:t>
            </w:r>
            <w:r>
              <w:rPr>
                <w:rFonts w:eastAsiaTheme="minorEastAsia"/>
                <w:noProof/>
                <w:sz w:val="24"/>
                <w:szCs w:val="24"/>
                <w:lang w:val="en-GB" w:eastAsia="en-GB"/>
              </w:rPr>
              <w:tab/>
            </w:r>
            <w:r w:rsidRPr="00727105">
              <w:rPr>
                <w:rStyle w:val="Hyperlink"/>
                <w:noProof/>
              </w:rPr>
              <w:t>References</w:t>
            </w:r>
            <w:r>
              <w:rPr>
                <w:noProof/>
                <w:webHidden/>
              </w:rPr>
              <w:tab/>
            </w:r>
            <w:r>
              <w:rPr>
                <w:noProof/>
                <w:webHidden/>
              </w:rPr>
              <w:fldChar w:fldCharType="begin"/>
            </w:r>
            <w:r>
              <w:rPr>
                <w:noProof/>
                <w:webHidden/>
              </w:rPr>
              <w:instrText xml:space="preserve"> PAGEREF _Toc229389724 \h </w:instrText>
            </w:r>
            <w:r>
              <w:rPr>
                <w:noProof/>
                <w:webHidden/>
              </w:rPr>
            </w:r>
            <w:r>
              <w:rPr>
                <w:noProof/>
                <w:webHidden/>
              </w:rPr>
              <w:fldChar w:fldCharType="separate"/>
            </w:r>
            <w:r w:rsidR="00600D64">
              <w:rPr>
                <w:noProof/>
                <w:webHidden/>
              </w:rPr>
              <w:t>15</w:t>
            </w:r>
            <w:r>
              <w:rPr>
                <w:noProof/>
                <w:webHidden/>
              </w:rPr>
              <w:fldChar w:fldCharType="end"/>
            </w:r>
          </w:hyperlink>
        </w:p>
        <w:p w14:paraId="3D9D59E3" w14:textId="7D763BE8" w:rsidR="006559D5" w:rsidRDefault="006559D5" w:rsidP="006559D5">
          <w:pPr>
            <w:rPr>
              <w:b/>
              <w:bCs/>
              <w:noProof/>
            </w:rPr>
          </w:pPr>
          <w:r>
            <w:rPr>
              <w:b/>
              <w:bCs/>
              <w:noProof/>
            </w:rPr>
            <w:fldChar w:fldCharType="end"/>
          </w:r>
        </w:p>
        <w:p w14:paraId="2211CAD9" w14:textId="77777777" w:rsidR="00B47CD3" w:rsidRDefault="00B47CD3" w:rsidP="00B47CD3">
          <w:pPr>
            <w:rPr>
              <w:b/>
              <w:bCs/>
              <w:noProof/>
            </w:rPr>
          </w:pPr>
        </w:p>
        <w:p w14:paraId="4AC70529" w14:textId="77777777" w:rsidR="00B47CD3" w:rsidRDefault="00B47CD3" w:rsidP="00B47CD3">
          <w:pPr>
            <w:rPr>
              <w:b/>
              <w:bCs/>
              <w:noProof/>
            </w:rPr>
          </w:pPr>
        </w:p>
        <w:p w14:paraId="24D95866" w14:textId="77777777" w:rsidR="00B47CD3" w:rsidRDefault="00B47CD3" w:rsidP="00B47CD3">
          <w:pPr>
            <w:rPr>
              <w:b/>
              <w:bCs/>
              <w:noProof/>
            </w:rPr>
          </w:pPr>
        </w:p>
        <w:p w14:paraId="5CECA317" w14:textId="501DDDF8" w:rsidR="00B47CD3" w:rsidRDefault="00000000" w:rsidP="00B47CD3">
          <w:pPr>
            <w:rPr>
              <w:b/>
              <w:bCs/>
              <w:noProof/>
            </w:rPr>
          </w:pPr>
        </w:p>
      </w:sdtContent>
    </w:sdt>
    <w:p w14:paraId="1F2B95CD" w14:textId="13EF4311" w:rsidR="00CB3D77" w:rsidRPr="00B47CD3" w:rsidRDefault="00CB3D77" w:rsidP="006E5161">
      <w:pPr>
        <w:pStyle w:val="Heading1"/>
        <w:rPr>
          <w:rFonts w:eastAsiaTheme="minorHAnsi"/>
        </w:rPr>
      </w:pPr>
      <w:bookmarkStart w:id="4" w:name="_Toc229389699"/>
      <w:r w:rsidRPr="00CB3D77">
        <w:rPr>
          <w:rFonts w:eastAsia="Times New Roman"/>
          <w:lang w:eastAsia="en-CA"/>
        </w:rPr>
        <w:lastRenderedPageBreak/>
        <w:t>Executive Summary</w:t>
      </w:r>
      <w:bookmarkEnd w:id="4"/>
      <w:r w:rsidRPr="00CB3D77">
        <w:rPr>
          <w:rFonts w:eastAsia="Times New Roman"/>
          <w:lang w:eastAsia="en-CA"/>
        </w:rPr>
        <w:t xml:space="preserve"> </w:t>
      </w:r>
    </w:p>
    <w:p w14:paraId="661EA17A" w14:textId="77777777" w:rsidR="00CB3D77" w:rsidRPr="00E73DD9" w:rsidRDefault="00CB3D77" w:rsidP="00CB3D77">
      <w:pPr>
        <w:spacing w:before="100" w:beforeAutospacing="1" w:after="100" w:afterAutospacing="1" w:line="240" w:lineRule="auto"/>
        <w:rPr>
          <w:rFonts w:ascii="Arial" w:eastAsia="Times New Roman" w:hAnsi="Arial" w:cs="Arial"/>
          <w:kern w:val="0"/>
          <w:sz w:val="24"/>
          <w:szCs w:val="24"/>
          <w:lang w:eastAsia="en-CA"/>
          <w14:ligatures w14:val="none"/>
        </w:rPr>
      </w:pPr>
      <w:r w:rsidRPr="00E73DD9">
        <w:rPr>
          <w:rFonts w:ascii="Arial" w:eastAsia="Times New Roman" w:hAnsi="Arial" w:cs="Arial"/>
          <w:kern w:val="0"/>
          <w:sz w:val="24"/>
          <w:szCs w:val="24"/>
          <w:lang w:eastAsia="en-CA"/>
          <w14:ligatures w14:val="none"/>
        </w:rPr>
        <w:t>Elmbridge Electronics Ltd is experiencing a growing range of employment law and employee relations risks. The increasing number of tribunal claims and settlement agreements, high levels of stress-related absence, rising staff turnover, and unresolved workplace disputes suggest that the HR function is largely reactive rather than preventative. As a result, it is no longer effectively supporting legal compliance, employee trust, or sustainable operational performance. Elmbridge could significantly reduce legal and financial exposure by adopting a preventative employment relations strategy. Such an approach would address conflict earlier, strengthen managerial accountability, improve employee consultation, and support more stable forms of employment. In turn, this would enhance job quality, trust, morale, and productivity.</w:t>
      </w:r>
    </w:p>
    <w:p w14:paraId="4025B484" w14:textId="77777777" w:rsidR="00CB3D77" w:rsidRPr="00E73DD9" w:rsidRDefault="00CB3D77" w:rsidP="00CB3D77">
      <w:pPr>
        <w:spacing w:before="100" w:beforeAutospacing="1" w:after="100" w:afterAutospacing="1" w:line="240" w:lineRule="auto"/>
        <w:rPr>
          <w:rFonts w:ascii="Arial" w:eastAsia="Times New Roman" w:hAnsi="Arial" w:cs="Arial"/>
          <w:kern w:val="0"/>
          <w:sz w:val="24"/>
          <w:szCs w:val="24"/>
          <w:lang w:eastAsia="en-CA"/>
        </w:rPr>
      </w:pPr>
      <w:r w:rsidRPr="00E73DD9">
        <w:rPr>
          <w:rFonts w:ascii="Arial" w:eastAsia="Times New Roman" w:hAnsi="Arial" w:cs="Arial"/>
          <w:kern w:val="0"/>
          <w:sz w:val="24"/>
          <w:szCs w:val="24"/>
          <w:lang w:eastAsia="en-CA"/>
        </w:rPr>
        <w:t>This report identifies key areas of employment law risk: harassment and bullying, TUPE consultation failures, insecure zero-hours working practices, weak employee voice and trade union relations, data protection breaches, and inadequate provision of reasonable adjustments for disabled employees. These are not isolated compliance issues; collectively, they point to deeper weaknesses in managerial practice, organisational culture, and the absence of effective preventative HR systems.</w:t>
      </w:r>
    </w:p>
    <w:p w14:paraId="018AF4B6" w14:textId="77777777" w:rsidR="00CB3D77" w:rsidRPr="00E73DD9" w:rsidRDefault="00CB3D77" w:rsidP="00CB3D77">
      <w:pPr>
        <w:spacing w:before="100" w:beforeAutospacing="1" w:after="100" w:afterAutospacing="1" w:line="240" w:lineRule="auto"/>
        <w:rPr>
          <w:rFonts w:ascii="Arial" w:eastAsia="Times New Roman" w:hAnsi="Arial" w:cs="Arial"/>
          <w:kern w:val="0"/>
          <w:sz w:val="24"/>
          <w:szCs w:val="24"/>
          <w:lang w:eastAsia="en-CA"/>
        </w:rPr>
      </w:pPr>
      <w:r w:rsidRPr="00E73DD9">
        <w:rPr>
          <w:rFonts w:ascii="Arial" w:eastAsia="Times New Roman" w:hAnsi="Arial" w:cs="Arial"/>
          <w:kern w:val="0"/>
          <w:sz w:val="24"/>
          <w:szCs w:val="24"/>
          <w:lang w:eastAsia="en-CA"/>
        </w:rPr>
        <w:t>Building on this analysis, three priority recommendations are proposed. First, Elmbridge should implement a “Respect at Work” and harassment prevention framework to improve dignity at work, supported by manager training, confidential reporting channels, and early dispute resolution mechanisms. Second, Elmbridge should introduce a secure work and workforce planning strategy to prepare for forthcoming changes under the Employment Rights Act 2025 and provide more stable scheduling for its approximately 900 zero-hours workers. Third, Elmbridge should establish a strategic consultation, TUPE compliance, and employee voice framework to strengthen change management processes, improve consultation practices, and rebuild employee relations.</w:t>
      </w:r>
    </w:p>
    <w:p w14:paraId="1E4B43F6" w14:textId="369127A7" w:rsidR="00E175CC" w:rsidRDefault="00CB3D77" w:rsidP="00274EBE">
      <w:pPr>
        <w:spacing w:before="100" w:beforeAutospacing="1" w:after="100" w:afterAutospacing="1" w:line="240" w:lineRule="auto"/>
        <w:rPr>
          <w:rFonts w:ascii="Arial" w:eastAsia="Times New Roman" w:hAnsi="Arial" w:cs="Arial"/>
          <w:kern w:val="0"/>
          <w:sz w:val="24"/>
          <w:szCs w:val="24"/>
          <w:lang w:eastAsia="en-CA"/>
        </w:rPr>
      </w:pPr>
      <w:r w:rsidRPr="00E73DD9">
        <w:rPr>
          <w:rFonts w:ascii="Arial" w:eastAsia="Times New Roman" w:hAnsi="Arial" w:cs="Arial"/>
          <w:kern w:val="0"/>
          <w:sz w:val="24"/>
          <w:szCs w:val="24"/>
          <w:lang w:eastAsia="en-CA"/>
        </w:rPr>
        <w:t>The estimated combined cost of implementing these three strategies is approximately £185,000–£260,000. Success will be measured through reduced grievances, lower stress-related absence, fewer tribunal claims, improved TUPE compliance, reduced voluntary turnover, and stronger employee voice scores. Overall, the report concludes that investment in fair treatment, secure work, and meaningful consultation provides Elmbridge with the most effective route to reducing legal risk while improving long-term organisational performance.</w:t>
      </w:r>
    </w:p>
    <w:p w14:paraId="2FA385E5" w14:textId="77777777" w:rsidR="00274EBE" w:rsidRDefault="00274EBE" w:rsidP="00274EBE">
      <w:pPr>
        <w:spacing w:before="100" w:beforeAutospacing="1" w:after="100" w:afterAutospacing="1" w:line="240" w:lineRule="auto"/>
        <w:rPr>
          <w:rFonts w:ascii="Arial" w:eastAsia="Times New Roman" w:hAnsi="Arial" w:cs="Arial"/>
          <w:kern w:val="0"/>
          <w:sz w:val="24"/>
          <w:szCs w:val="24"/>
          <w:lang w:eastAsia="en-CA"/>
        </w:rPr>
      </w:pPr>
    </w:p>
    <w:p w14:paraId="54BFEC41" w14:textId="77777777" w:rsidR="00274EBE" w:rsidRPr="00274EBE" w:rsidRDefault="00274EBE" w:rsidP="00274EBE">
      <w:pPr>
        <w:spacing w:before="100" w:beforeAutospacing="1" w:after="100" w:afterAutospacing="1" w:line="240" w:lineRule="auto"/>
        <w:rPr>
          <w:rFonts w:ascii="Arial" w:eastAsia="Times New Roman" w:hAnsi="Arial" w:cs="Arial"/>
          <w:kern w:val="0"/>
          <w:sz w:val="24"/>
          <w:szCs w:val="24"/>
          <w:lang w:eastAsia="en-CA"/>
        </w:rPr>
      </w:pPr>
    </w:p>
    <w:p w14:paraId="67261276" w14:textId="62B40BA6" w:rsidR="00523484" w:rsidRPr="0048366A" w:rsidRDefault="00523484" w:rsidP="00B36421">
      <w:pPr>
        <w:pStyle w:val="Heading1"/>
        <w:rPr>
          <w:lang w:val="en-GB"/>
        </w:rPr>
      </w:pPr>
      <w:bookmarkStart w:id="5" w:name="_Toc229389700"/>
      <w:r w:rsidRPr="0048366A">
        <w:rPr>
          <w:lang w:val="en-GB"/>
        </w:rPr>
        <w:lastRenderedPageBreak/>
        <w:t>Introduction</w:t>
      </w:r>
      <w:bookmarkEnd w:id="5"/>
    </w:p>
    <w:p w14:paraId="687EAAC1" w14:textId="77777777" w:rsidR="00327272" w:rsidRPr="00E73DD9" w:rsidRDefault="00523484" w:rsidP="00E175CC">
      <w:pPr>
        <w:rPr>
          <w:rFonts w:ascii="Arial" w:hAnsi="Arial" w:cs="Arial"/>
          <w:sz w:val="24"/>
          <w:szCs w:val="24"/>
        </w:rPr>
      </w:pPr>
      <w:r w:rsidRPr="00E73DD9">
        <w:rPr>
          <w:rFonts w:ascii="Arial" w:hAnsi="Arial" w:cs="Arial"/>
          <w:sz w:val="24"/>
          <w:szCs w:val="24"/>
          <w:lang w:val="en-GB"/>
        </w:rPr>
        <w:t xml:space="preserve">Elmbridge Electronics Ltd is a large UK-based manufacturer employing over 15,000 people across numerous locations throughout England and Wales. Despite its size, Elmbridge is experiencing significant employee relations problems, characterised by ongoing workplace disputes, a rise in employment tribunal cases, and an increased reliance on settlements agreements. These issues have resulted in high rates of stress-related absenteeism and employee turnover. Consequently, the company is under considerable pressure to improve both operational performance and the overall employment experience. The challenges faced by Elmbridge do not appear to be isolated incidents but rather may indicate deeper structural or cultural issues within the organisation. </w:t>
      </w:r>
      <w:r w:rsidR="00327272" w:rsidRPr="00E73DD9">
        <w:rPr>
          <w:rFonts w:ascii="Arial" w:hAnsi="Arial" w:cs="Arial"/>
          <w:sz w:val="24"/>
          <w:szCs w:val="24"/>
        </w:rPr>
        <w:t>The current HR department operates largely in a reactive manner, which may reduce legal risk in future disputes but has also contributed to growing distrust among employees and weakened relationships between management and staff, further damaging the employment relationship.</w:t>
      </w:r>
    </w:p>
    <w:p w14:paraId="085D3093" w14:textId="07C6963F" w:rsidR="00523484"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This report provides a strategic analysis of the current employment law risks faced by Elmbridge and recommends measures to improve compliance with relevant legislation to minimise potential conflict. It also presents a business case for moving from a position of “near-compliance” to a proactive dispute-prevention model, highlighting the benefits of the psychological contract, job quality, and organisational performance. Finally, the report proposes indicative costings, metrics, and targets to support effective implementation and evaluation of these recommendations. </w:t>
      </w:r>
    </w:p>
    <w:p w14:paraId="513ABC27" w14:textId="77777777" w:rsidR="00E175CC" w:rsidRPr="00E73DD9" w:rsidRDefault="00E175CC" w:rsidP="00E175CC">
      <w:pPr>
        <w:rPr>
          <w:rFonts w:ascii="Arial" w:hAnsi="Arial" w:cs="Arial"/>
          <w:sz w:val="24"/>
          <w:szCs w:val="24"/>
          <w:lang w:val="en-GB"/>
        </w:rPr>
      </w:pPr>
    </w:p>
    <w:p w14:paraId="399534FC" w14:textId="77777777" w:rsidR="00274EBE" w:rsidRDefault="00274EBE" w:rsidP="00E175CC">
      <w:pPr>
        <w:rPr>
          <w:rFonts w:ascii="Arial" w:hAnsi="Arial" w:cs="Arial"/>
          <w:sz w:val="24"/>
          <w:szCs w:val="24"/>
          <w:lang w:val="en-GB"/>
        </w:rPr>
      </w:pPr>
    </w:p>
    <w:p w14:paraId="29B8403E" w14:textId="77777777" w:rsidR="00274EBE" w:rsidRDefault="00274EBE" w:rsidP="00E175CC">
      <w:pPr>
        <w:rPr>
          <w:rFonts w:ascii="Arial" w:hAnsi="Arial" w:cs="Arial"/>
          <w:sz w:val="24"/>
          <w:szCs w:val="24"/>
          <w:lang w:val="en-GB"/>
        </w:rPr>
      </w:pPr>
    </w:p>
    <w:p w14:paraId="4096C16E" w14:textId="77777777" w:rsidR="00274EBE" w:rsidRDefault="00274EBE" w:rsidP="00E175CC">
      <w:pPr>
        <w:rPr>
          <w:rFonts w:ascii="Arial" w:hAnsi="Arial" w:cs="Arial"/>
          <w:sz w:val="24"/>
          <w:szCs w:val="24"/>
          <w:lang w:val="en-GB"/>
        </w:rPr>
      </w:pPr>
    </w:p>
    <w:p w14:paraId="4E7D547A" w14:textId="77777777" w:rsidR="00274EBE" w:rsidRDefault="00274EBE" w:rsidP="00E175CC">
      <w:pPr>
        <w:rPr>
          <w:rFonts w:ascii="Arial" w:hAnsi="Arial" w:cs="Arial"/>
          <w:sz w:val="24"/>
          <w:szCs w:val="24"/>
          <w:lang w:val="en-GB"/>
        </w:rPr>
      </w:pPr>
    </w:p>
    <w:p w14:paraId="66F34EE9" w14:textId="77777777" w:rsidR="00274EBE" w:rsidRDefault="00274EBE" w:rsidP="00E175CC">
      <w:pPr>
        <w:rPr>
          <w:rFonts w:ascii="Arial" w:hAnsi="Arial" w:cs="Arial"/>
          <w:sz w:val="24"/>
          <w:szCs w:val="24"/>
          <w:lang w:val="en-GB"/>
        </w:rPr>
      </w:pPr>
    </w:p>
    <w:p w14:paraId="227F2367" w14:textId="77777777" w:rsidR="004077E7" w:rsidRDefault="004077E7" w:rsidP="00E175CC">
      <w:pPr>
        <w:rPr>
          <w:rFonts w:ascii="Arial" w:hAnsi="Arial" w:cs="Arial"/>
          <w:sz w:val="24"/>
          <w:szCs w:val="24"/>
          <w:lang w:val="en-GB"/>
        </w:rPr>
      </w:pPr>
    </w:p>
    <w:p w14:paraId="339B1B27" w14:textId="77777777" w:rsidR="004077E7" w:rsidRDefault="004077E7" w:rsidP="00E175CC">
      <w:pPr>
        <w:rPr>
          <w:rFonts w:ascii="Arial" w:hAnsi="Arial" w:cs="Arial"/>
          <w:sz w:val="24"/>
          <w:szCs w:val="24"/>
          <w:lang w:val="en-GB"/>
        </w:rPr>
      </w:pPr>
    </w:p>
    <w:p w14:paraId="64CA0917" w14:textId="77777777" w:rsidR="004077E7" w:rsidRDefault="004077E7" w:rsidP="00E175CC">
      <w:pPr>
        <w:rPr>
          <w:rFonts w:ascii="Arial" w:hAnsi="Arial" w:cs="Arial"/>
          <w:sz w:val="24"/>
          <w:szCs w:val="24"/>
          <w:lang w:val="en-GB"/>
        </w:rPr>
      </w:pPr>
    </w:p>
    <w:p w14:paraId="3D88722E" w14:textId="77777777" w:rsidR="00274EBE" w:rsidRPr="00327272" w:rsidRDefault="00274EBE" w:rsidP="00E175CC">
      <w:pPr>
        <w:rPr>
          <w:rFonts w:ascii="Times New Roman" w:hAnsi="Times New Roman" w:cs="Times New Roman"/>
          <w:sz w:val="24"/>
          <w:szCs w:val="24"/>
          <w:lang w:val="en-GB"/>
        </w:rPr>
      </w:pPr>
    </w:p>
    <w:p w14:paraId="7A1D2DB9" w14:textId="77777777" w:rsidR="00523484" w:rsidRPr="004077E7" w:rsidRDefault="00523484" w:rsidP="00B47CD3">
      <w:pPr>
        <w:pStyle w:val="Heading1"/>
      </w:pPr>
      <w:bookmarkStart w:id="6" w:name="_Toc229389701"/>
      <w:r w:rsidRPr="004077E7">
        <w:lastRenderedPageBreak/>
        <w:t>Immediate Employment Law Risks to Elmbridge Electronics Ltd</w:t>
      </w:r>
      <w:bookmarkEnd w:id="6"/>
      <w:r w:rsidRPr="004077E7">
        <w:t xml:space="preserve"> </w:t>
      </w:r>
    </w:p>
    <w:p w14:paraId="66AD5A41" w14:textId="3633CF24" w:rsidR="00760615" w:rsidRPr="00E73DD9" w:rsidRDefault="00523484" w:rsidP="00E175CC">
      <w:pPr>
        <w:rPr>
          <w:rFonts w:ascii="Arial" w:hAnsi="Arial" w:cs="Arial"/>
          <w:sz w:val="24"/>
          <w:szCs w:val="24"/>
        </w:rPr>
      </w:pPr>
      <w:r w:rsidRPr="00E73DD9">
        <w:rPr>
          <w:rFonts w:ascii="Arial" w:hAnsi="Arial" w:cs="Arial"/>
          <w:sz w:val="24"/>
          <w:szCs w:val="24"/>
        </w:rPr>
        <w:t xml:space="preserve">Elmbridge Electronics Ltd is facing </w:t>
      </w:r>
      <w:r w:rsidR="00DC6A29" w:rsidRPr="00E73DD9">
        <w:rPr>
          <w:rFonts w:ascii="Arial" w:hAnsi="Arial" w:cs="Arial"/>
          <w:sz w:val="24"/>
          <w:szCs w:val="24"/>
        </w:rPr>
        <w:t xml:space="preserve">significant </w:t>
      </w:r>
      <w:r w:rsidRPr="00E73DD9">
        <w:rPr>
          <w:rFonts w:ascii="Arial" w:hAnsi="Arial" w:cs="Arial"/>
          <w:sz w:val="24"/>
          <w:szCs w:val="24"/>
        </w:rPr>
        <w:t>employment law risks</w:t>
      </w:r>
      <w:r w:rsidR="0012007F" w:rsidRPr="00E73DD9">
        <w:rPr>
          <w:rFonts w:ascii="Arial" w:hAnsi="Arial" w:cs="Arial"/>
          <w:sz w:val="24"/>
          <w:szCs w:val="24"/>
        </w:rPr>
        <w:t>, including</w:t>
      </w:r>
      <w:r w:rsidR="00327272" w:rsidRPr="00E73DD9">
        <w:rPr>
          <w:rFonts w:ascii="Arial" w:hAnsi="Arial" w:cs="Arial"/>
          <w:sz w:val="24"/>
          <w:szCs w:val="24"/>
        </w:rPr>
        <w:t xml:space="preserve"> </w:t>
      </w:r>
      <w:r w:rsidRPr="00E73DD9">
        <w:rPr>
          <w:rFonts w:ascii="Arial" w:hAnsi="Arial" w:cs="Arial"/>
          <w:sz w:val="24"/>
          <w:szCs w:val="24"/>
        </w:rPr>
        <w:t xml:space="preserve">data protection breaches, failures to manage harassment and bullying, </w:t>
      </w:r>
      <w:r w:rsidR="0012007F" w:rsidRPr="00E73DD9">
        <w:rPr>
          <w:rFonts w:ascii="Arial" w:hAnsi="Arial" w:cs="Arial"/>
          <w:sz w:val="24"/>
          <w:szCs w:val="24"/>
        </w:rPr>
        <w:t>non-compliance</w:t>
      </w:r>
      <w:r w:rsidRPr="00E73DD9">
        <w:rPr>
          <w:rFonts w:ascii="Arial" w:hAnsi="Arial" w:cs="Arial"/>
          <w:sz w:val="24"/>
          <w:szCs w:val="24"/>
        </w:rPr>
        <w:t xml:space="preserve"> with TUPE consultation obligations, </w:t>
      </w:r>
      <w:r w:rsidR="00DC6A29" w:rsidRPr="00E73DD9">
        <w:rPr>
          <w:rFonts w:ascii="Arial" w:hAnsi="Arial" w:cs="Arial"/>
          <w:sz w:val="24"/>
          <w:szCs w:val="24"/>
        </w:rPr>
        <w:t xml:space="preserve">and </w:t>
      </w:r>
      <w:r w:rsidRPr="00E73DD9">
        <w:rPr>
          <w:rFonts w:ascii="Arial" w:hAnsi="Arial" w:cs="Arial"/>
          <w:sz w:val="24"/>
          <w:szCs w:val="24"/>
        </w:rPr>
        <w:t xml:space="preserve">failures to make reasonable adjustments for disabled workers. </w:t>
      </w:r>
      <w:r w:rsidR="00DC6A29" w:rsidRPr="00E73DD9">
        <w:rPr>
          <w:rFonts w:ascii="Arial" w:hAnsi="Arial" w:cs="Arial"/>
          <w:sz w:val="24"/>
          <w:szCs w:val="24"/>
        </w:rPr>
        <w:t xml:space="preserve">Also, </w:t>
      </w:r>
      <w:r w:rsidR="0012007F" w:rsidRPr="00E73DD9">
        <w:rPr>
          <w:rFonts w:ascii="Arial" w:hAnsi="Arial" w:cs="Arial"/>
          <w:sz w:val="24"/>
          <w:szCs w:val="24"/>
        </w:rPr>
        <w:t xml:space="preserve">its </w:t>
      </w:r>
      <w:r w:rsidRPr="00E73DD9">
        <w:rPr>
          <w:rFonts w:ascii="Arial" w:hAnsi="Arial" w:cs="Arial"/>
          <w:sz w:val="24"/>
          <w:szCs w:val="24"/>
        </w:rPr>
        <w:t xml:space="preserve">reliance on zero-hours contracts may create both legal and operational risks </w:t>
      </w:r>
      <w:r w:rsidR="00DC6A29" w:rsidRPr="00E73DD9">
        <w:rPr>
          <w:rFonts w:ascii="Arial" w:hAnsi="Arial" w:cs="Arial"/>
          <w:sz w:val="24"/>
          <w:szCs w:val="24"/>
        </w:rPr>
        <w:t>considering</w:t>
      </w:r>
      <w:r w:rsidRPr="00E73DD9">
        <w:rPr>
          <w:rFonts w:ascii="Arial" w:hAnsi="Arial" w:cs="Arial"/>
          <w:sz w:val="24"/>
          <w:szCs w:val="24"/>
        </w:rPr>
        <w:t xml:space="preserve"> the new Employment Rights Act 2025. In addition, the absence of trade union recognition within the organisation is likely to exacerbate employee relations problems and limit opportunities for employee voice and representation. </w:t>
      </w:r>
      <w:r w:rsidR="00760615" w:rsidRPr="00E73DD9">
        <w:rPr>
          <w:rFonts w:ascii="Arial" w:hAnsi="Arial" w:cs="Arial"/>
          <w:sz w:val="24"/>
          <w:szCs w:val="24"/>
        </w:rPr>
        <w:t>Overall, these issues reflect a broader failure to embed preventative practices, with limited emphasis on employee voice, trust, and engagement.</w:t>
      </w:r>
    </w:p>
    <w:p w14:paraId="302A5D4D" w14:textId="6FE20537" w:rsidR="00760615" w:rsidRPr="00E73DD9" w:rsidRDefault="00523484" w:rsidP="00E175CC">
      <w:pPr>
        <w:rPr>
          <w:rFonts w:ascii="Arial" w:hAnsi="Arial" w:cs="Arial"/>
          <w:sz w:val="24"/>
          <w:szCs w:val="24"/>
        </w:rPr>
      </w:pPr>
      <w:r w:rsidRPr="00E73DD9">
        <w:rPr>
          <w:rFonts w:ascii="Arial" w:hAnsi="Arial" w:cs="Arial"/>
          <w:sz w:val="24"/>
          <w:szCs w:val="24"/>
        </w:rPr>
        <w:t xml:space="preserve">According to Neal and Cooper (2025), excessive reliance on formal disciplinary and grievance procedures can </w:t>
      </w:r>
      <w:r w:rsidR="00DC6A29" w:rsidRPr="00E73DD9">
        <w:rPr>
          <w:rFonts w:ascii="Arial" w:hAnsi="Arial" w:cs="Arial"/>
          <w:sz w:val="24"/>
          <w:szCs w:val="24"/>
        </w:rPr>
        <w:t>foster a</w:t>
      </w:r>
      <w:r w:rsidR="00327272" w:rsidRPr="00E73DD9">
        <w:rPr>
          <w:rFonts w:ascii="Arial" w:hAnsi="Arial" w:cs="Arial"/>
          <w:sz w:val="24"/>
          <w:szCs w:val="24"/>
        </w:rPr>
        <w:t>n environment</w:t>
      </w:r>
      <w:r w:rsidRPr="00E73DD9">
        <w:rPr>
          <w:rFonts w:ascii="Arial" w:hAnsi="Arial" w:cs="Arial"/>
          <w:sz w:val="24"/>
          <w:szCs w:val="24"/>
        </w:rPr>
        <w:t xml:space="preserve"> of conflict while increasing exposure to legal risk and</w:t>
      </w:r>
      <w:r w:rsidR="00DC6A29" w:rsidRPr="00E73DD9">
        <w:rPr>
          <w:rFonts w:ascii="Arial" w:hAnsi="Arial" w:cs="Arial"/>
          <w:sz w:val="24"/>
          <w:szCs w:val="24"/>
        </w:rPr>
        <w:t xml:space="preserve"> financial</w:t>
      </w:r>
      <w:r w:rsidRPr="00E73DD9">
        <w:rPr>
          <w:rFonts w:ascii="Arial" w:hAnsi="Arial" w:cs="Arial"/>
          <w:sz w:val="24"/>
          <w:szCs w:val="24"/>
        </w:rPr>
        <w:t xml:space="preserve"> cost. </w:t>
      </w:r>
      <w:r w:rsidR="00473E67" w:rsidRPr="00E73DD9">
        <w:rPr>
          <w:rFonts w:ascii="Arial" w:hAnsi="Arial" w:cs="Arial"/>
          <w:sz w:val="24"/>
          <w:szCs w:val="24"/>
        </w:rPr>
        <w:t>Accordingly</w:t>
      </w:r>
      <w:r w:rsidR="00327272" w:rsidRPr="00E73DD9">
        <w:rPr>
          <w:rFonts w:ascii="Arial" w:hAnsi="Arial" w:cs="Arial"/>
          <w:sz w:val="24"/>
          <w:szCs w:val="24"/>
        </w:rPr>
        <w:t xml:space="preserve">, </w:t>
      </w:r>
      <w:r w:rsidRPr="00E73DD9">
        <w:rPr>
          <w:rFonts w:ascii="Arial" w:hAnsi="Arial" w:cs="Arial"/>
          <w:sz w:val="24"/>
          <w:szCs w:val="24"/>
        </w:rPr>
        <w:t>Elmbridge’s current approach appears legally and structurally unsustainable, contributing to a cycle of conflict, declining job quality</w:t>
      </w:r>
      <w:r w:rsidR="00760615" w:rsidRPr="00E73DD9">
        <w:rPr>
          <w:rFonts w:ascii="Arial" w:hAnsi="Arial" w:cs="Arial"/>
          <w:sz w:val="24"/>
          <w:szCs w:val="24"/>
        </w:rPr>
        <w:t>,</w:t>
      </w:r>
      <w:r w:rsidRPr="00E73DD9">
        <w:rPr>
          <w:rFonts w:ascii="Arial" w:hAnsi="Arial" w:cs="Arial"/>
          <w:sz w:val="24"/>
          <w:szCs w:val="24"/>
        </w:rPr>
        <w:t xml:space="preserve"> and reduced organisational performance. </w:t>
      </w:r>
      <w:r w:rsidR="00760615" w:rsidRPr="00E73DD9">
        <w:rPr>
          <w:rFonts w:ascii="Arial" w:hAnsi="Arial" w:cs="Arial"/>
          <w:sz w:val="24"/>
          <w:szCs w:val="24"/>
        </w:rPr>
        <w:t xml:space="preserve">While </w:t>
      </w:r>
      <w:r w:rsidRPr="00E73DD9">
        <w:rPr>
          <w:rFonts w:ascii="Arial" w:hAnsi="Arial" w:cs="Arial"/>
          <w:sz w:val="24"/>
          <w:szCs w:val="24"/>
        </w:rPr>
        <w:t xml:space="preserve">each </w:t>
      </w:r>
      <w:r w:rsidR="00760615" w:rsidRPr="00E73DD9">
        <w:rPr>
          <w:rFonts w:ascii="Arial" w:hAnsi="Arial" w:cs="Arial"/>
          <w:sz w:val="24"/>
          <w:szCs w:val="24"/>
        </w:rPr>
        <w:t>issue</w:t>
      </w:r>
      <w:r w:rsidRPr="00E73DD9">
        <w:rPr>
          <w:rFonts w:ascii="Arial" w:hAnsi="Arial" w:cs="Arial"/>
          <w:sz w:val="24"/>
          <w:szCs w:val="24"/>
        </w:rPr>
        <w:t xml:space="preserve"> carries important legal implications, some present more immediate strategic concerns due to their financial, operational, and cultural </w:t>
      </w:r>
      <w:r w:rsidR="00760615" w:rsidRPr="00E73DD9">
        <w:rPr>
          <w:rFonts w:ascii="Arial" w:hAnsi="Arial" w:cs="Arial"/>
          <w:sz w:val="24"/>
          <w:szCs w:val="24"/>
        </w:rPr>
        <w:t>impact</w:t>
      </w:r>
      <w:r w:rsidRPr="00E73DD9">
        <w:rPr>
          <w:rFonts w:ascii="Arial" w:hAnsi="Arial" w:cs="Arial"/>
          <w:sz w:val="24"/>
          <w:szCs w:val="24"/>
        </w:rPr>
        <w:t xml:space="preserve">. </w:t>
      </w:r>
      <w:r w:rsidR="00760615" w:rsidRPr="00E73DD9">
        <w:rPr>
          <w:rFonts w:ascii="Arial" w:hAnsi="Arial" w:cs="Arial"/>
          <w:sz w:val="24"/>
          <w:szCs w:val="24"/>
        </w:rPr>
        <w:t>The following</w:t>
      </w:r>
      <w:r w:rsidRPr="00E73DD9">
        <w:rPr>
          <w:rFonts w:ascii="Arial" w:hAnsi="Arial" w:cs="Arial"/>
          <w:sz w:val="24"/>
          <w:szCs w:val="24"/>
        </w:rPr>
        <w:t xml:space="preserve"> sections</w:t>
      </w:r>
      <w:r w:rsidR="00760615" w:rsidRPr="00E73DD9">
        <w:rPr>
          <w:rFonts w:ascii="Arial" w:hAnsi="Arial" w:cs="Arial"/>
          <w:sz w:val="24"/>
          <w:szCs w:val="24"/>
        </w:rPr>
        <w:t xml:space="preserve"> therefore</w:t>
      </w:r>
      <w:r w:rsidRPr="00E73DD9">
        <w:rPr>
          <w:rFonts w:ascii="Arial" w:hAnsi="Arial" w:cs="Arial"/>
          <w:sz w:val="24"/>
          <w:szCs w:val="24"/>
        </w:rPr>
        <w:t xml:space="preserve"> focus on the most pressing </w:t>
      </w:r>
      <w:r w:rsidR="00760615" w:rsidRPr="00E73DD9">
        <w:rPr>
          <w:rFonts w:ascii="Arial" w:hAnsi="Arial" w:cs="Arial"/>
          <w:sz w:val="24"/>
          <w:szCs w:val="24"/>
        </w:rPr>
        <w:t>areas</w:t>
      </w:r>
      <w:r w:rsidRPr="00E73DD9">
        <w:rPr>
          <w:rFonts w:ascii="Arial" w:hAnsi="Arial" w:cs="Arial"/>
          <w:sz w:val="24"/>
          <w:szCs w:val="24"/>
        </w:rPr>
        <w:t xml:space="preserve">: harassment and bullying, TUPE compliance, insecure work practices under the Employment Rights Act 2025, trade union recognition, data protection, and disability discrimination.  </w:t>
      </w:r>
    </w:p>
    <w:p w14:paraId="6EE4CF69" w14:textId="62BB6D43" w:rsidR="00523484" w:rsidRPr="007131DB" w:rsidRDefault="00523484" w:rsidP="009B696A">
      <w:pPr>
        <w:pStyle w:val="Heading2"/>
        <w:rPr>
          <w:lang w:val="en-GB"/>
        </w:rPr>
      </w:pPr>
      <w:bookmarkStart w:id="7" w:name="_Toc229389702"/>
      <w:r w:rsidRPr="007131DB">
        <w:rPr>
          <w:lang w:val="en-GB"/>
        </w:rPr>
        <w:t>Harassment and bullying</w:t>
      </w:r>
      <w:bookmarkEnd w:id="7"/>
      <w:r w:rsidRPr="007131DB">
        <w:rPr>
          <w:lang w:val="en-GB"/>
        </w:rPr>
        <w:t xml:space="preserve"> </w:t>
      </w:r>
    </w:p>
    <w:p w14:paraId="5D255585" w14:textId="77777777" w:rsidR="00E175CC"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Harassment and bullying present a significant legal and organisational risks to Elmbridge Electronics Ltd. The Equality Act 2010 defines harassment as unwanted conduct related to a relevant protected characteristic that has the purpose or effect of violating an individual’s dignity, or creating an intimidating, hostile, degrading, or offensive environment (ACAS, 2025a; EHRC, 2019). This principle was reinforced in </w:t>
      </w:r>
      <w:proofErr w:type="spellStart"/>
      <w:r w:rsidRPr="00E73DD9">
        <w:rPr>
          <w:rFonts w:ascii="Arial" w:hAnsi="Arial" w:cs="Arial"/>
          <w:i/>
          <w:iCs/>
          <w:sz w:val="24"/>
          <w:szCs w:val="24"/>
          <w:lang w:val="en-GB"/>
        </w:rPr>
        <w:t>Majrowski</w:t>
      </w:r>
      <w:proofErr w:type="spellEnd"/>
      <w:r w:rsidRPr="00E73DD9">
        <w:rPr>
          <w:rFonts w:ascii="Arial" w:hAnsi="Arial" w:cs="Arial"/>
          <w:i/>
          <w:iCs/>
          <w:sz w:val="24"/>
          <w:szCs w:val="24"/>
          <w:lang w:val="en-GB"/>
        </w:rPr>
        <w:t xml:space="preserve"> v. Guy’s and St. Thomas’ NHS Trust (2006)</w:t>
      </w:r>
      <w:r w:rsidRPr="00E73DD9">
        <w:rPr>
          <w:rFonts w:ascii="Arial" w:hAnsi="Arial" w:cs="Arial"/>
          <w:sz w:val="24"/>
          <w:szCs w:val="24"/>
          <w:lang w:val="en-GB"/>
        </w:rPr>
        <w:t xml:space="preserve">, where the House of Lords confirmed that employers may be held vicariously liable for workplace harassment. For Elmbridge, where bullying allegations and management inaction already exist, </w:t>
      </w:r>
      <w:r w:rsidR="0010107A" w:rsidRPr="00E73DD9">
        <w:rPr>
          <w:rFonts w:ascii="Arial" w:hAnsi="Arial" w:cs="Arial"/>
          <w:sz w:val="24"/>
          <w:szCs w:val="24"/>
          <w:lang w:val="en-GB"/>
        </w:rPr>
        <w:t>this creates a heightened risk of compensation claims where preventative measures are lacking</w:t>
      </w:r>
      <w:r w:rsidRPr="00E73DD9">
        <w:rPr>
          <w:rFonts w:ascii="Arial" w:hAnsi="Arial" w:cs="Arial"/>
          <w:sz w:val="24"/>
          <w:szCs w:val="24"/>
          <w:lang w:val="en-GB"/>
        </w:rPr>
        <w:t>. Consequently, Elmbridge cannot rely solely on responding to complaints after they escalate; it must demonstrate that managers are taking reasonable steps to prevent harassment, respond promptly to concerns, and enforce appropriate standards of behaviour.</w:t>
      </w:r>
    </w:p>
    <w:p w14:paraId="2D35B920" w14:textId="7533BEA2" w:rsidR="00473E67"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Although bullying </w:t>
      </w:r>
      <w:r w:rsidR="00D062C0" w:rsidRPr="00E73DD9">
        <w:rPr>
          <w:rFonts w:ascii="Arial" w:hAnsi="Arial" w:cs="Arial"/>
          <w:sz w:val="24"/>
          <w:szCs w:val="24"/>
          <w:lang w:val="en-GB"/>
        </w:rPr>
        <w:t>has no</w:t>
      </w:r>
      <w:r w:rsidRPr="00E73DD9">
        <w:rPr>
          <w:rFonts w:ascii="Arial" w:hAnsi="Arial" w:cs="Arial"/>
          <w:sz w:val="24"/>
          <w:szCs w:val="24"/>
          <w:lang w:val="en-GB"/>
        </w:rPr>
        <w:t xml:space="preserve"> specific statutory definition, liability may </w:t>
      </w:r>
      <w:r w:rsidR="00473E67" w:rsidRPr="00E73DD9">
        <w:rPr>
          <w:rFonts w:ascii="Arial" w:hAnsi="Arial" w:cs="Arial"/>
          <w:sz w:val="24"/>
          <w:szCs w:val="24"/>
          <w:lang w:val="en-GB"/>
        </w:rPr>
        <w:t xml:space="preserve">still </w:t>
      </w:r>
      <w:r w:rsidRPr="00E73DD9">
        <w:rPr>
          <w:rFonts w:ascii="Arial" w:hAnsi="Arial" w:cs="Arial"/>
          <w:sz w:val="24"/>
          <w:szCs w:val="24"/>
          <w:lang w:val="en-GB"/>
        </w:rPr>
        <w:t xml:space="preserve">arise through breaches of contract, health and safety </w:t>
      </w:r>
      <w:r w:rsidR="00D062C0" w:rsidRPr="00E73DD9">
        <w:rPr>
          <w:rFonts w:ascii="Arial" w:hAnsi="Arial" w:cs="Arial"/>
          <w:sz w:val="24"/>
          <w:szCs w:val="24"/>
          <w:lang w:val="en-GB"/>
        </w:rPr>
        <w:t>duties</w:t>
      </w:r>
      <w:r w:rsidRPr="00E73DD9">
        <w:rPr>
          <w:rFonts w:ascii="Arial" w:hAnsi="Arial" w:cs="Arial"/>
          <w:sz w:val="24"/>
          <w:szCs w:val="24"/>
          <w:lang w:val="en-GB"/>
        </w:rPr>
        <w:t xml:space="preserve">, constructive dismissal, and the </w:t>
      </w:r>
      <w:r w:rsidR="00D062C0" w:rsidRPr="00E73DD9">
        <w:rPr>
          <w:rFonts w:ascii="Arial" w:hAnsi="Arial" w:cs="Arial"/>
          <w:sz w:val="24"/>
          <w:szCs w:val="24"/>
          <w:lang w:val="en-GB"/>
        </w:rPr>
        <w:t xml:space="preserve">Protection </w:t>
      </w:r>
      <w:r w:rsidRPr="00E73DD9">
        <w:rPr>
          <w:rFonts w:ascii="Arial" w:hAnsi="Arial" w:cs="Arial"/>
          <w:sz w:val="24"/>
          <w:szCs w:val="24"/>
          <w:lang w:val="en-GB"/>
        </w:rPr>
        <w:t xml:space="preserve">from </w:t>
      </w:r>
      <w:r w:rsidR="00D062C0" w:rsidRPr="00E73DD9">
        <w:rPr>
          <w:rFonts w:ascii="Arial" w:hAnsi="Arial" w:cs="Arial"/>
          <w:sz w:val="24"/>
          <w:szCs w:val="24"/>
          <w:lang w:val="en-GB"/>
        </w:rPr>
        <w:t>H</w:t>
      </w:r>
      <w:r w:rsidRPr="00E73DD9">
        <w:rPr>
          <w:rFonts w:ascii="Arial" w:hAnsi="Arial" w:cs="Arial"/>
          <w:sz w:val="24"/>
          <w:szCs w:val="24"/>
          <w:lang w:val="en-GB"/>
        </w:rPr>
        <w:t>arassment Act 1997 (</w:t>
      </w:r>
      <w:proofErr w:type="spellStart"/>
      <w:r w:rsidRPr="00E73DD9">
        <w:rPr>
          <w:rFonts w:ascii="Arial" w:hAnsi="Arial" w:cs="Arial"/>
          <w:sz w:val="24"/>
          <w:szCs w:val="24"/>
          <w:lang w:val="en-GB"/>
        </w:rPr>
        <w:t>Suff</w:t>
      </w:r>
      <w:proofErr w:type="spellEnd"/>
      <w:r w:rsidRPr="00E73DD9">
        <w:rPr>
          <w:rFonts w:ascii="Arial" w:hAnsi="Arial" w:cs="Arial"/>
          <w:sz w:val="24"/>
          <w:szCs w:val="24"/>
          <w:lang w:val="en-GB"/>
        </w:rPr>
        <w:t xml:space="preserve"> and Ayling, 2026). </w:t>
      </w:r>
      <w:r w:rsidR="00473E67" w:rsidRPr="00E73DD9">
        <w:rPr>
          <w:rFonts w:ascii="Arial" w:hAnsi="Arial" w:cs="Arial"/>
          <w:sz w:val="24"/>
          <w:szCs w:val="24"/>
          <w:lang w:val="en-GB"/>
        </w:rPr>
        <w:t>In addition</w:t>
      </w:r>
      <w:r w:rsidRPr="00E73DD9">
        <w:rPr>
          <w:rFonts w:ascii="Arial" w:hAnsi="Arial" w:cs="Arial"/>
          <w:sz w:val="24"/>
          <w:szCs w:val="24"/>
          <w:lang w:val="en-GB"/>
        </w:rPr>
        <w:t xml:space="preserve">, the Worker Protection Act 2023 places a positive </w:t>
      </w:r>
      <w:r w:rsidR="00473E67" w:rsidRPr="00E73DD9">
        <w:rPr>
          <w:rFonts w:ascii="Arial" w:hAnsi="Arial" w:cs="Arial"/>
          <w:sz w:val="24"/>
          <w:szCs w:val="24"/>
          <w:lang w:val="en-GB"/>
        </w:rPr>
        <w:t xml:space="preserve">duty </w:t>
      </w:r>
      <w:r w:rsidRPr="00E73DD9">
        <w:rPr>
          <w:rFonts w:ascii="Arial" w:hAnsi="Arial" w:cs="Arial"/>
          <w:sz w:val="24"/>
          <w:szCs w:val="24"/>
          <w:lang w:val="en-GB"/>
        </w:rPr>
        <w:t xml:space="preserve">on employers to take reasonable steps to </w:t>
      </w:r>
      <w:r w:rsidRPr="00E73DD9">
        <w:rPr>
          <w:rFonts w:ascii="Arial" w:hAnsi="Arial" w:cs="Arial"/>
          <w:sz w:val="24"/>
          <w:szCs w:val="24"/>
          <w:lang w:val="en-GB"/>
        </w:rPr>
        <w:lastRenderedPageBreak/>
        <w:t xml:space="preserve">prevent sexual harassment, </w:t>
      </w:r>
      <w:r w:rsidR="00473E67" w:rsidRPr="00E73DD9">
        <w:rPr>
          <w:rFonts w:ascii="Arial" w:hAnsi="Arial" w:cs="Arial"/>
          <w:sz w:val="24"/>
          <w:szCs w:val="24"/>
          <w:lang w:val="en-GB"/>
        </w:rPr>
        <w:t xml:space="preserve">further strengthening the need for </w:t>
      </w:r>
      <w:r w:rsidRPr="00E73DD9">
        <w:rPr>
          <w:rFonts w:ascii="Arial" w:hAnsi="Arial" w:cs="Arial"/>
          <w:sz w:val="24"/>
          <w:szCs w:val="24"/>
          <w:lang w:val="en-GB"/>
        </w:rPr>
        <w:t xml:space="preserve">proactive </w:t>
      </w:r>
      <w:r w:rsidR="00D062C0" w:rsidRPr="00E73DD9">
        <w:rPr>
          <w:rFonts w:ascii="Arial" w:hAnsi="Arial" w:cs="Arial"/>
          <w:sz w:val="24"/>
          <w:szCs w:val="24"/>
          <w:lang w:val="en-GB"/>
        </w:rPr>
        <w:t xml:space="preserve">rather than reactive approaches </w:t>
      </w:r>
      <w:r w:rsidRPr="00E73DD9">
        <w:rPr>
          <w:rFonts w:ascii="Arial" w:hAnsi="Arial" w:cs="Arial"/>
          <w:sz w:val="24"/>
          <w:szCs w:val="24"/>
          <w:lang w:val="en-GB"/>
        </w:rPr>
        <w:t xml:space="preserve">(ACAS, 2026a). </w:t>
      </w:r>
      <w:r w:rsidR="00D062C0" w:rsidRPr="00E73DD9">
        <w:rPr>
          <w:rFonts w:ascii="Arial" w:hAnsi="Arial" w:cs="Arial"/>
          <w:sz w:val="24"/>
          <w:szCs w:val="24"/>
        </w:rPr>
        <w:t>Elmbridge reports that stress is now the leading cause of absence, with HR teams overworked and employee relations cases continuing to rise, largely due to unresolved workplace conflict. In a large manufacturing environment, where operational pressure, hierarchy, and teamwork are central</w:t>
      </w:r>
      <w:r w:rsidR="00A910F3" w:rsidRPr="00E73DD9">
        <w:rPr>
          <w:rFonts w:ascii="Arial" w:hAnsi="Arial" w:cs="Arial"/>
          <w:sz w:val="24"/>
          <w:szCs w:val="24"/>
        </w:rPr>
        <w:t xml:space="preserve"> features</w:t>
      </w:r>
      <w:r w:rsidR="00D062C0" w:rsidRPr="00E73DD9">
        <w:rPr>
          <w:rFonts w:ascii="Arial" w:hAnsi="Arial" w:cs="Arial"/>
          <w:sz w:val="24"/>
          <w:szCs w:val="24"/>
        </w:rPr>
        <w:t>, unmanaged conflict can reduce morale, increase turnover, and lower productivity. Furthermore, overreliance on formal procedures may erode trust and undermine the psychological contract between employees and the organisation (Neal and Cooper, 2025; Rousseau, 1995). Therefore, continued reliance on reactive strategies is likely to increase the risk of harassment and bullying.</w:t>
      </w:r>
    </w:p>
    <w:p w14:paraId="647BF515" w14:textId="4B862650" w:rsidR="00523484" w:rsidRPr="00105270" w:rsidRDefault="00523484" w:rsidP="009B696A">
      <w:pPr>
        <w:pStyle w:val="Heading2"/>
        <w:rPr>
          <w:lang w:val="en-GB"/>
        </w:rPr>
      </w:pPr>
      <w:bookmarkStart w:id="8" w:name="_Toc229389703"/>
      <w:r w:rsidRPr="00105270">
        <w:rPr>
          <w:lang w:val="en-GB"/>
        </w:rPr>
        <w:t>Failure to consult under TUPE</w:t>
      </w:r>
      <w:bookmarkEnd w:id="8"/>
    </w:p>
    <w:p w14:paraId="6FC37C94" w14:textId="5FAB04AE" w:rsidR="008E0E93"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Failure to comply with consultation requirements under TUPE presents serious legal and organisational risks to Elmbridge Electronics Ltd. TUPE is designed to protect employees’ rights and ensure continuity of employment during transfer processes.  It requires employers to inform and consult with employees, or their representative(s), about the transfer and any proposed changes arising from it (Wynn-Evans, 2022). In </w:t>
      </w:r>
      <w:r w:rsidRPr="00E73DD9">
        <w:rPr>
          <w:rFonts w:ascii="Arial" w:hAnsi="Arial" w:cs="Arial"/>
          <w:i/>
          <w:iCs/>
          <w:sz w:val="24"/>
          <w:szCs w:val="24"/>
          <w:lang w:val="en-GB"/>
        </w:rPr>
        <w:t>McCarrick v Hunter (2012)</w:t>
      </w:r>
      <w:r w:rsidRPr="00E73DD9">
        <w:rPr>
          <w:rFonts w:ascii="Arial" w:hAnsi="Arial" w:cs="Arial"/>
          <w:sz w:val="24"/>
          <w:szCs w:val="24"/>
          <w:lang w:val="en-GB"/>
        </w:rPr>
        <w:t xml:space="preserve">, the Court of Appeal reaffirmed the protective purpose of TUPE while clarifying its application to business transfers and service provision changes. This is relevant to Elmbridge’s proposed outsourcing </w:t>
      </w:r>
      <w:r w:rsidR="008E0E93" w:rsidRPr="00E73DD9">
        <w:rPr>
          <w:rFonts w:ascii="Arial" w:hAnsi="Arial" w:cs="Arial"/>
          <w:sz w:val="24"/>
          <w:szCs w:val="24"/>
          <w:lang w:val="en-GB"/>
        </w:rPr>
        <w:t>to</w:t>
      </w:r>
      <w:r w:rsidRPr="00E73DD9">
        <w:rPr>
          <w:rFonts w:ascii="Arial" w:hAnsi="Arial" w:cs="Arial"/>
          <w:sz w:val="24"/>
          <w:szCs w:val="24"/>
          <w:lang w:val="en-GB"/>
        </w:rPr>
        <w:t xml:space="preserve"> </w:t>
      </w:r>
      <w:proofErr w:type="spellStart"/>
      <w:r w:rsidRPr="00E73DD9">
        <w:rPr>
          <w:rFonts w:ascii="Arial" w:hAnsi="Arial" w:cs="Arial"/>
          <w:sz w:val="24"/>
          <w:szCs w:val="24"/>
          <w:lang w:val="en-GB"/>
        </w:rPr>
        <w:t>FacCo</w:t>
      </w:r>
      <w:proofErr w:type="spellEnd"/>
      <w:r w:rsidRPr="00E73DD9">
        <w:rPr>
          <w:rFonts w:ascii="Arial" w:hAnsi="Arial" w:cs="Arial"/>
          <w:sz w:val="24"/>
          <w:szCs w:val="24"/>
          <w:lang w:val="en-GB"/>
        </w:rPr>
        <w:t xml:space="preserve">, where failure </w:t>
      </w:r>
      <w:r w:rsidR="00D062C0" w:rsidRPr="00E73DD9">
        <w:rPr>
          <w:rFonts w:ascii="Arial" w:hAnsi="Arial" w:cs="Arial"/>
          <w:sz w:val="24"/>
          <w:szCs w:val="24"/>
          <w:lang w:val="en-GB"/>
        </w:rPr>
        <w:t>to assess</w:t>
      </w:r>
      <w:r w:rsidRPr="00E73DD9">
        <w:rPr>
          <w:rFonts w:ascii="Arial" w:hAnsi="Arial" w:cs="Arial"/>
          <w:sz w:val="24"/>
          <w:szCs w:val="24"/>
          <w:lang w:val="en-GB"/>
        </w:rPr>
        <w:t xml:space="preserve"> TUPE obligations and consult affected employees could result in claims and protective awards of up to 13 weeks’ gross pay per affected employee.</w:t>
      </w:r>
    </w:p>
    <w:p w14:paraId="054A3E45" w14:textId="6328190F" w:rsidR="00523484"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Elmbridge has previously been found liable for inadequate consultations prior to the outsourcing of one of its manufacturing lines, which resulted in a substantial and costly protective award. This was not merely an isolated compliance failure, but rather an indication of a systemic flaw in the organisation’s approach to legally compliant change programmes (Wynn-Evans, 2022; CIPD, 2025b; McMullen, 2012). Furthermore, given Elmbridge intention to outsource facilities management services to </w:t>
      </w:r>
      <w:proofErr w:type="spellStart"/>
      <w:r w:rsidRPr="00E73DD9">
        <w:rPr>
          <w:rFonts w:ascii="Arial" w:hAnsi="Arial" w:cs="Arial"/>
          <w:sz w:val="24"/>
          <w:szCs w:val="24"/>
          <w:lang w:val="en-GB"/>
        </w:rPr>
        <w:t>FacCo</w:t>
      </w:r>
      <w:proofErr w:type="spellEnd"/>
      <w:r w:rsidRPr="00E73DD9">
        <w:rPr>
          <w:rFonts w:ascii="Arial" w:hAnsi="Arial" w:cs="Arial"/>
          <w:sz w:val="24"/>
          <w:szCs w:val="24"/>
          <w:lang w:val="en-GB"/>
        </w:rPr>
        <w:t xml:space="preserve">, there is a significant risk </w:t>
      </w:r>
      <w:r w:rsidR="005419CC" w:rsidRPr="00E73DD9">
        <w:rPr>
          <w:rFonts w:ascii="Arial" w:hAnsi="Arial" w:cs="Arial"/>
          <w:sz w:val="24"/>
          <w:szCs w:val="24"/>
          <w:lang w:val="en-GB"/>
        </w:rPr>
        <w:t xml:space="preserve">of </w:t>
      </w:r>
      <w:r w:rsidRPr="00E73DD9">
        <w:rPr>
          <w:rFonts w:ascii="Arial" w:hAnsi="Arial" w:cs="Arial"/>
          <w:sz w:val="24"/>
          <w:szCs w:val="24"/>
          <w:lang w:val="en-GB"/>
        </w:rPr>
        <w:t>further breaches if current practices are not improved. Therefore, Elmbridge’s approach to implementing TUPE procedures represents not only a legal compliance issue, but also a wider strategic organisational risk; continued failures are likely to contribute to ongoing conflict, increased costs, and negatively impact future operational success</w:t>
      </w:r>
      <w:r w:rsidR="00327272" w:rsidRPr="00E73DD9">
        <w:rPr>
          <w:rFonts w:ascii="Arial" w:hAnsi="Arial" w:cs="Arial"/>
          <w:sz w:val="24"/>
          <w:szCs w:val="24"/>
          <w:lang w:val="en-GB"/>
        </w:rPr>
        <w:t xml:space="preserve"> </w:t>
      </w:r>
      <w:r w:rsidRPr="00E73DD9">
        <w:rPr>
          <w:rFonts w:ascii="Arial" w:hAnsi="Arial" w:cs="Arial"/>
          <w:sz w:val="24"/>
          <w:szCs w:val="24"/>
          <w:lang w:val="en-GB"/>
        </w:rPr>
        <w:t>(McArdle, 1996).</w:t>
      </w:r>
    </w:p>
    <w:p w14:paraId="0C437E6A" w14:textId="77777777" w:rsidR="00523484" w:rsidRPr="009B696A" w:rsidRDefault="00523484" w:rsidP="009B696A">
      <w:pPr>
        <w:pStyle w:val="Heading2"/>
      </w:pPr>
      <w:bookmarkStart w:id="9" w:name="_Toc229389704"/>
      <w:r w:rsidRPr="009B696A">
        <w:t>Insecure Work Practices and Zero-Hours Contracts</w:t>
      </w:r>
      <w:bookmarkEnd w:id="9"/>
    </w:p>
    <w:p w14:paraId="14556C76" w14:textId="21341268" w:rsidR="00523484" w:rsidRPr="00E73DD9" w:rsidRDefault="00523484" w:rsidP="00E175CC">
      <w:pPr>
        <w:rPr>
          <w:rFonts w:ascii="Arial" w:hAnsi="Arial" w:cs="Arial"/>
          <w:sz w:val="24"/>
          <w:szCs w:val="24"/>
        </w:rPr>
      </w:pPr>
      <w:r w:rsidRPr="00E73DD9">
        <w:rPr>
          <w:rFonts w:ascii="Arial" w:hAnsi="Arial" w:cs="Arial"/>
          <w:sz w:val="24"/>
          <w:szCs w:val="24"/>
        </w:rPr>
        <w:t xml:space="preserve">Elmbridge’s use of more than 900 zero-hours contract workers creates both operational and regulatory concerns. Given the organisation’s size and production-based environment, Elmbridge may face additional challenges relating to employee classification and workers’ rights. Workers engaged on zero-hours contracts may still qualify for a range of statutory protections, including paid holidays, rest periods, notice requirements, and protection from adverse treatment where the working relationship demonstrates a level of predictability and continuity (Atkinson, 2022; ACAS, 2024). In </w:t>
      </w:r>
      <w:r w:rsidRPr="00E73DD9">
        <w:rPr>
          <w:rFonts w:ascii="Arial" w:hAnsi="Arial" w:cs="Arial"/>
          <w:i/>
          <w:iCs/>
          <w:sz w:val="24"/>
          <w:szCs w:val="24"/>
        </w:rPr>
        <w:lastRenderedPageBreak/>
        <w:t>Uber BV v Aslam (2021),</w:t>
      </w:r>
      <w:r w:rsidRPr="00E73DD9">
        <w:rPr>
          <w:rFonts w:ascii="Arial" w:hAnsi="Arial" w:cs="Arial"/>
          <w:sz w:val="24"/>
          <w:szCs w:val="24"/>
        </w:rPr>
        <w:t xml:space="preserve"> the Supreme Court confirmed that tribunals will assess the reality of the relationship rather than contractual labels</w:t>
      </w:r>
      <w:r w:rsidR="00404E1E" w:rsidRPr="00E73DD9">
        <w:rPr>
          <w:rFonts w:ascii="Arial" w:hAnsi="Arial" w:cs="Arial"/>
          <w:sz w:val="24"/>
          <w:szCs w:val="24"/>
        </w:rPr>
        <w:t xml:space="preserve"> alone</w:t>
      </w:r>
      <w:r w:rsidRPr="00E73DD9">
        <w:rPr>
          <w:rFonts w:ascii="Arial" w:hAnsi="Arial" w:cs="Arial"/>
          <w:sz w:val="24"/>
          <w:szCs w:val="24"/>
        </w:rPr>
        <w:t xml:space="preserve">. Elmbridge therefore cannot assume that the use of zero-hours contracts will prevents worker rights claims. </w:t>
      </w:r>
      <w:r w:rsidR="00404E1E" w:rsidRPr="00E73DD9">
        <w:rPr>
          <w:rFonts w:ascii="Arial" w:hAnsi="Arial" w:cs="Arial"/>
          <w:sz w:val="24"/>
          <w:szCs w:val="24"/>
        </w:rPr>
        <w:t xml:space="preserve">The proposed </w:t>
      </w:r>
      <w:r w:rsidR="00404E1E" w:rsidRPr="00E73DD9">
        <w:rPr>
          <w:rStyle w:val="whitespace-normal"/>
          <w:rFonts w:ascii="Arial" w:hAnsi="Arial" w:cs="Arial"/>
          <w:sz w:val="24"/>
          <w:szCs w:val="24"/>
        </w:rPr>
        <w:t>Employment Rights Bill 2025</w:t>
      </w:r>
      <w:r w:rsidR="00404E1E" w:rsidRPr="00E73DD9">
        <w:rPr>
          <w:rFonts w:ascii="Arial" w:hAnsi="Arial" w:cs="Arial"/>
          <w:sz w:val="24"/>
          <w:szCs w:val="24"/>
        </w:rPr>
        <w:t xml:space="preserve"> may also increase regulatory pressure by introducing new rights for zero-hours and low-hours workers, including guaranteed hours, reasonable notice of shifts, and compensation where shifts are cancelled, moved, or curtailed by the employer (</w:t>
      </w:r>
      <w:r w:rsidRPr="00E73DD9">
        <w:rPr>
          <w:rFonts w:ascii="Arial" w:hAnsi="Arial" w:cs="Arial"/>
          <w:sz w:val="24"/>
          <w:szCs w:val="24"/>
        </w:rPr>
        <w:t>GOV.UK, 2015a; CIPD, 2026b).</w:t>
      </w:r>
    </w:p>
    <w:p w14:paraId="2C2EABC9" w14:textId="5671ED86" w:rsidR="00523484" w:rsidRPr="00E73DD9" w:rsidRDefault="00523484" w:rsidP="00E175CC">
      <w:pPr>
        <w:rPr>
          <w:rFonts w:ascii="Arial" w:hAnsi="Arial" w:cs="Arial"/>
          <w:sz w:val="24"/>
          <w:szCs w:val="24"/>
        </w:rPr>
      </w:pPr>
      <w:r w:rsidRPr="00E73DD9">
        <w:rPr>
          <w:rFonts w:ascii="Arial" w:hAnsi="Arial" w:cs="Arial"/>
          <w:sz w:val="24"/>
          <w:szCs w:val="24"/>
        </w:rPr>
        <w:t xml:space="preserve">For Elmbridge, this means that its current reliance on 900 zero-hours workers will require stronger workforce planning, clearer scheduling controls, and a review of whether regular hours should be converted into more secure contractual arrangements (CIPD, 2025c). Without this, Elmbridge may face increased compliance costs, tribunal claims, and operational disruption once the reforms take effect (Peng and </w:t>
      </w:r>
      <w:proofErr w:type="spellStart"/>
      <w:r w:rsidRPr="00E73DD9">
        <w:rPr>
          <w:rFonts w:ascii="Arial" w:hAnsi="Arial" w:cs="Arial"/>
          <w:sz w:val="24"/>
          <w:szCs w:val="24"/>
        </w:rPr>
        <w:t>Potipiroon</w:t>
      </w:r>
      <w:proofErr w:type="spellEnd"/>
      <w:r w:rsidRPr="00E73DD9">
        <w:rPr>
          <w:rFonts w:ascii="Arial" w:hAnsi="Arial" w:cs="Arial"/>
          <w:sz w:val="24"/>
          <w:szCs w:val="24"/>
        </w:rPr>
        <w:t xml:space="preserve">, 2022; CIPD, 2025c). Moreover, as a company experiencing high levels of turnover, stress-related absences, and declining productivity, continued reliance on insecure working arrangements may increase organisational instability rather than improved outcomes (CIPD, 2025c). Therefore, Elmbridge’s dependency on zero-hours contracts should be regarded not only as a compliance issue, but also as a significant strategic workforce risk that affecting retention, job quality, and long-term productivity. </w:t>
      </w:r>
    </w:p>
    <w:p w14:paraId="15810474" w14:textId="77777777" w:rsidR="00523484" w:rsidRPr="009B696A" w:rsidRDefault="00523484" w:rsidP="009B696A">
      <w:pPr>
        <w:pStyle w:val="Heading2"/>
      </w:pPr>
      <w:bookmarkStart w:id="10" w:name="_Toc229389705"/>
      <w:r w:rsidRPr="009B696A">
        <w:t>Trade Union Recognition and Employee Voice Risk</w:t>
      </w:r>
      <w:bookmarkEnd w:id="10"/>
    </w:p>
    <w:p w14:paraId="1194A618" w14:textId="109BD181" w:rsidR="00523484" w:rsidRPr="00E73DD9" w:rsidRDefault="00523484" w:rsidP="00E175CC">
      <w:pPr>
        <w:pStyle w:val="NormalWeb"/>
        <w:rPr>
          <w:rFonts w:ascii="Arial" w:hAnsi="Arial" w:cs="Arial"/>
        </w:rPr>
      </w:pPr>
      <w:r w:rsidRPr="00E73DD9">
        <w:rPr>
          <w:rFonts w:ascii="Arial" w:hAnsi="Arial" w:cs="Arial"/>
        </w:rPr>
        <w:t xml:space="preserve">Elmbridge’s failure to recognise a trade union has created a significant employment relations and strategic risk. The AEU trade union sought voluntary recognition from Elmbridge and may now pursue statutory recognition through the Central Arbitration Committee (CAC). </w:t>
      </w:r>
      <w:r w:rsidR="001B512C" w:rsidRPr="00E73DD9">
        <w:rPr>
          <w:rFonts w:ascii="Arial" w:hAnsi="Arial" w:cs="Arial"/>
        </w:rPr>
        <w:t>Under UK law, an independent trade union may apply to the CAC where voluntary recognition has been refused, and if successful, Elmbridge could be required to recognise the union for collective bargaining purposes (GOV.UK, 2025b). As such, Elmbridge’s historic resistance to trade union recognition may not prevent unionisation but instead risks transferring control of the process to an external body (CIPD, 2026c).</w:t>
      </w:r>
      <w:r w:rsidR="001B512C" w:rsidRPr="00E73DD9">
        <w:rPr>
          <w:rFonts w:ascii="Arial" w:hAnsi="Arial" w:cs="Arial"/>
          <w14:ligatures w14:val="none"/>
        </w:rPr>
        <w:t xml:space="preserve"> </w:t>
      </w:r>
      <w:r w:rsidRPr="00E73DD9">
        <w:rPr>
          <w:rFonts w:ascii="Arial" w:hAnsi="Arial" w:cs="Arial"/>
        </w:rPr>
        <w:t xml:space="preserve">In </w:t>
      </w:r>
      <w:r w:rsidRPr="00E73DD9">
        <w:rPr>
          <w:rFonts w:ascii="Arial" w:hAnsi="Arial" w:cs="Arial"/>
          <w:i/>
          <w:iCs/>
        </w:rPr>
        <w:t>Kostal UK ltd v Dunkley (2021),</w:t>
      </w:r>
      <w:r w:rsidRPr="00E73DD9">
        <w:rPr>
          <w:rFonts w:ascii="Arial" w:hAnsi="Arial" w:cs="Arial"/>
        </w:rPr>
        <w:t xml:space="preserve"> the Supreme Court reinforced limits on employers bypassing collective bargaining structures. </w:t>
      </w:r>
      <w:r w:rsidR="00A21441" w:rsidRPr="00E73DD9">
        <w:rPr>
          <w:rFonts w:ascii="Arial" w:hAnsi="Arial" w:cs="Arial"/>
        </w:rPr>
        <w:t>For Elmbridge, continued resistance to trade union recognition may therefore intensify conflict, undermine trust, and reduce management influence over employee relations processes</w:t>
      </w:r>
      <w:r w:rsidRPr="00E73DD9">
        <w:rPr>
          <w:rFonts w:ascii="Arial" w:hAnsi="Arial" w:cs="Arial"/>
        </w:rPr>
        <w:t xml:space="preserve"> (Sørensen </w:t>
      </w:r>
      <w:r w:rsidRPr="00E73DD9">
        <w:rPr>
          <w:rFonts w:ascii="Arial" w:hAnsi="Arial" w:cs="Arial"/>
          <w:i/>
          <w:iCs/>
        </w:rPr>
        <w:t>et al</w:t>
      </w:r>
      <w:r w:rsidRPr="00E73DD9">
        <w:rPr>
          <w:rFonts w:ascii="Arial" w:hAnsi="Arial" w:cs="Arial"/>
        </w:rPr>
        <w:t>., 2011).</w:t>
      </w:r>
    </w:p>
    <w:p w14:paraId="5CA222AD" w14:textId="339F4482" w:rsidR="00277FCD" w:rsidRPr="00E73DD9" w:rsidRDefault="00A21441" w:rsidP="00E175CC">
      <w:pPr>
        <w:rPr>
          <w:rFonts w:ascii="Arial" w:hAnsi="Arial" w:cs="Arial"/>
          <w:sz w:val="24"/>
          <w:szCs w:val="24"/>
        </w:rPr>
      </w:pPr>
      <w:r w:rsidRPr="00E73DD9">
        <w:rPr>
          <w:rFonts w:ascii="Arial" w:hAnsi="Arial" w:cs="Arial"/>
          <w:sz w:val="24"/>
          <w:szCs w:val="24"/>
        </w:rPr>
        <w:t>There is also a strong business case for engaging constructively with trade union recognition, as formal recognition could provide Elmbridge with a structured consultation channel, facilitate earlier discussion of workplace concerns, and reduce reliance on individual disputes.</w:t>
      </w:r>
      <w:r w:rsidR="00523484" w:rsidRPr="00E73DD9">
        <w:rPr>
          <w:rFonts w:ascii="Arial" w:hAnsi="Arial" w:cs="Arial"/>
          <w:sz w:val="24"/>
          <w:szCs w:val="24"/>
        </w:rPr>
        <w:t xml:space="preserve"> This is particularly important in a large manufacturing environment where unresolved conflict is already contributing to tribunal claims, stress-related absence and turnover. ACAS guidance suggests consultation can improve decision-making and working relationships, while CIPD research links collective employee voice with increased trust, productivity, and organisational improvement </w:t>
      </w:r>
      <w:r w:rsidR="00523484" w:rsidRPr="00E73DD9">
        <w:rPr>
          <w:rFonts w:ascii="Arial" w:hAnsi="Arial" w:cs="Arial"/>
          <w:color w:val="000000" w:themeColor="text1"/>
          <w:sz w:val="24"/>
          <w:szCs w:val="24"/>
        </w:rPr>
        <w:t>(ACAS, 2026; CIPD, 2023).</w:t>
      </w:r>
      <w:r w:rsidR="00523484" w:rsidRPr="00E73DD9">
        <w:rPr>
          <w:rFonts w:ascii="Arial" w:hAnsi="Arial" w:cs="Arial"/>
          <w:sz w:val="24"/>
          <w:szCs w:val="24"/>
        </w:rPr>
        <w:t xml:space="preserve">The Employment Rights Act 2025 further strengthens employees’ rights to join </w:t>
      </w:r>
      <w:r w:rsidR="00523484" w:rsidRPr="00E73DD9">
        <w:rPr>
          <w:rFonts w:ascii="Arial" w:hAnsi="Arial" w:cs="Arial"/>
          <w:sz w:val="24"/>
          <w:szCs w:val="24"/>
        </w:rPr>
        <w:lastRenderedPageBreak/>
        <w:t>and form trade unions, removes existing barriers to statutory recognition</w:t>
      </w:r>
      <w:r w:rsidR="00F36254" w:rsidRPr="00E73DD9">
        <w:rPr>
          <w:rFonts w:ascii="Arial" w:hAnsi="Arial" w:cs="Arial"/>
          <w:sz w:val="24"/>
          <w:szCs w:val="24"/>
        </w:rPr>
        <w:t>,</w:t>
      </w:r>
      <w:r w:rsidR="00523484" w:rsidRPr="00E73DD9">
        <w:rPr>
          <w:rFonts w:ascii="Arial" w:hAnsi="Arial" w:cs="Arial"/>
          <w:sz w:val="24"/>
          <w:szCs w:val="24"/>
        </w:rPr>
        <w:t xml:space="preserve"> and places a duty on employers to communicate employees’ rights to join trade union (GOV.UK ,2026). Collectively, these measures point towards a legislative environment in which workers </w:t>
      </w:r>
      <w:r w:rsidR="00E37D9C" w:rsidRPr="00E73DD9">
        <w:rPr>
          <w:rFonts w:ascii="Arial" w:hAnsi="Arial" w:cs="Arial"/>
          <w:sz w:val="24"/>
          <w:szCs w:val="24"/>
        </w:rPr>
        <w:t>can</w:t>
      </w:r>
      <w:r w:rsidR="00523484" w:rsidRPr="00E73DD9">
        <w:rPr>
          <w:rFonts w:ascii="Arial" w:hAnsi="Arial" w:cs="Arial"/>
          <w:sz w:val="24"/>
          <w:szCs w:val="24"/>
        </w:rPr>
        <w:t xml:space="preserve"> organise and represent themselves more effectively. </w:t>
      </w:r>
    </w:p>
    <w:p w14:paraId="741868BC" w14:textId="1EB0AD10" w:rsidR="00523484" w:rsidRPr="00E73DD9" w:rsidRDefault="00523484" w:rsidP="00E175CC">
      <w:pPr>
        <w:rPr>
          <w:rFonts w:ascii="Arial" w:hAnsi="Arial" w:cs="Arial"/>
        </w:rPr>
      </w:pPr>
      <w:r w:rsidRPr="00E73DD9">
        <w:rPr>
          <w:rFonts w:ascii="Arial" w:hAnsi="Arial" w:cs="Arial"/>
          <w:sz w:val="24"/>
          <w:szCs w:val="24"/>
        </w:rPr>
        <w:t xml:space="preserve">For Elmbridge, </w:t>
      </w:r>
      <w:r w:rsidR="00E37D9C" w:rsidRPr="00E73DD9">
        <w:rPr>
          <w:rFonts w:ascii="Arial" w:hAnsi="Arial" w:cs="Arial"/>
          <w:sz w:val="24"/>
          <w:szCs w:val="24"/>
        </w:rPr>
        <w:t>continued attempt to avoid</w:t>
      </w:r>
      <w:r w:rsidR="00277FCD" w:rsidRPr="00E73DD9">
        <w:rPr>
          <w:rFonts w:ascii="Arial" w:hAnsi="Arial" w:cs="Arial"/>
          <w:sz w:val="24"/>
          <w:szCs w:val="24"/>
        </w:rPr>
        <w:t xml:space="preserve"> </w:t>
      </w:r>
      <w:r w:rsidRPr="00E73DD9">
        <w:rPr>
          <w:rFonts w:ascii="Arial" w:hAnsi="Arial" w:cs="Arial"/>
          <w:sz w:val="24"/>
          <w:szCs w:val="24"/>
        </w:rPr>
        <w:t xml:space="preserve">trade </w:t>
      </w:r>
      <w:r w:rsidR="00277FCD" w:rsidRPr="00E73DD9">
        <w:rPr>
          <w:rFonts w:ascii="Arial" w:hAnsi="Arial" w:cs="Arial"/>
          <w:sz w:val="24"/>
          <w:szCs w:val="24"/>
        </w:rPr>
        <w:t>unions may</w:t>
      </w:r>
      <w:r w:rsidR="00E37D9C" w:rsidRPr="00E73DD9">
        <w:rPr>
          <w:rFonts w:ascii="Arial" w:eastAsia="Times New Roman" w:hAnsi="Arial" w:cs="Arial"/>
          <w:kern w:val="0"/>
          <w:sz w:val="24"/>
          <w:szCs w:val="24"/>
          <w:lang w:eastAsia="en-CA"/>
          <w14:ligatures w14:val="none"/>
        </w:rPr>
        <w:t xml:space="preserve"> eventually prove unsustainable.</w:t>
      </w:r>
      <w:r w:rsidR="00277FCD" w:rsidRPr="00E73DD9">
        <w:rPr>
          <w:rFonts w:ascii="Arial" w:eastAsia="Times New Roman" w:hAnsi="Arial" w:cs="Arial"/>
          <w:kern w:val="0"/>
          <w:sz w:val="24"/>
          <w:szCs w:val="24"/>
          <w:lang w:eastAsia="en-CA"/>
          <w14:ligatures w14:val="none"/>
        </w:rPr>
        <w:t xml:space="preserve"> </w:t>
      </w:r>
      <w:r w:rsidRPr="00E73DD9">
        <w:rPr>
          <w:rFonts w:ascii="Arial" w:hAnsi="Arial" w:cs="Arial"/>
          <w:sz w:val="24"/>
          <w:szCs w:val="24"/>
        </w:rPr>
        <w:t xml:space="preserve">The absence of recognised employee voice mechanisms within Elmbridge may also contribute to its boarder cultural problems surrounding workplace conflict. Research consistently demonstrates that effective employee voice is associated with increased trust, stronger engagement, and more effective resolution of workplace issues (CIPD, 2024a; Zhang </w:t>
      </w:r>
      <w:r w:rsidRPr="00E73DD9">
        <w:rPr>
          <w:rFonts w:ascii="Arial" w:hAnsi="Arial" w:cs="Arial"/>
          <w:i/>
          <w:iCs/>
          <w:sz w:val="24"/>
          <w:szCs w:val="24"/>
        </w:rPr>
        <w:t>et al</w:t>
      </w:r>
      <w:r w:rsidRPr="00E73DD9">
        <w:rPr>
          <w:rFonts w:ascii="Arial" w:hAnsi="Arial" w:cs="Arial"/>
          <w:sz w:val="24"/>
          <w:szCs w:val="24"/>
        </w:rPr>
        <w:t>.,2022). Given the historical frequency of disputes, the financial cost associated with tribunal claims, and the reactive nature of Elmbridge’s HR function, the lack of employee representation appears indicative of poorly weak employment relations structures rather than strong organisational performance (Gordon, 2020; CIPD, 2026c; Heyworth, 2026).</w:t>
      </w:r>
    </w:p>
    <w:p w14:paraId="6776EAE8" w14:textId="77777777" w:rsidR="00523484" w:rsidRDefault="00523484" w:rsidP="00523484"/>
    <w:p w14:paraId="581EB4CD" w14:textId="77777777" w:rsidR="00523484" w:rsidRPr="00FA6697" w:rsidRDefault="00523484" w:rsidP="009B696A">
      <w:pPr>
        <w:pStyle w:val="Heading2"/>
        <w:rPr>
          <w:lang w:val="en-GB"/>
        </w:rPr>
      </w:pPr>
      <w:bookmarkStart w:id="11" w:name="_Toc229389706"/>
      <w:r w:rsidRPr="00FA6697">
        <w:rPr>
          <w:lang w:val="en-GB"/>
        </w:rPr>
        <w:t>Date Protection and Confidentiality Governance Risk</w:t>
      </w:r>
      <w:bookmarkEnd w:id="11"/>
    </w:p>
    <w:p w14:paraId="2D0AF33E" w14:textId="052216DB" w:rsidR="00523484" w:rsidRPr="00E73DD9" w:rsidRDefault="00523484" w:rsidP="00E175CC">
      <w:pPr>
        <w:spacing w:before="100" w:beforeAutospacing="1" w:after="100" w:afterAutospacing="1" w:line="240" w:lineRule="auto"/>
        <w:rPr>
          <w:rFonts w:ascii="Arial" w:eastAsia="Times New Roman" w:hAnsi="Arial" w:cs="Arial"/>
          <w:kern w:val="0"/>
          <w:sz w:val="24"/>
          <w:szCs w:val="24"/>
          <w:lang w:val="en-GB" w:eastAsia="en-CA"/>
          <w14:ligatures w14:val="none"/>
        </w:rPr>
      </w:pPr>
      <w:r w:rsidRPr="00E73DD9">
        <w:rPr>
          <w:rFonts w:ascii="Arial" w:hAnsi="Arial" w:cs="Arial"/>
          <w:sz w:val="24"/>
          <w:szCs w:val="24"/>
          <w:lang w:val="en-GB"/>
        </w:rPr>
        <w:t xml:space="preserve">Elmbridge faces additional risks arising from poor performance </w:t>
      </w:r>
      <w:r w:rsidR="00486151" w:rsidRPr="00E73DD9">
        <w:rPr>
          <w:rFonts w:ascii="Arial" w:hAnsi="Arial" w:cs="Arial"/>
          <w:sz w:val="24"/>
          <w:szCs w:val="24"/>
          <w:lang w:val="en-GB"/>
        </w:rPr>
        <w:t>in</w:t>
      </w:r>
      <w:r w:rsidRPr="00E73DD9">
        <w:rPr>
          <w:rFonts w:ascii="Arial" w:hAnsi="Arial" w:cs="Arial"/>
          <w:sz w:val="24"/>
          <w:szCs w:val="24"/>
          <w:lang w:val="en-GB"/>
        </w:rPr>
        <w:t xml:space="preserve"> data protection and disability discrimination. Employees’ confidential information has reportedly been shared without permission, creating </w:t>
      </w:r>
      <w:r w:rsidR="00486151" w:rsidRPr="00E73DD9">
        <w:rPr>
          <w:rFonts w:ascii="Arial" w:hAnsi="Arial" w:cs="Arial"/>
          <w:sz w:val="24"/>
          <w:szCs w:val="24"/>
          <w:lang w:val="en-GB"/>
        </w:rPr>
        <w:t>serious liability</w:t>
      </w:r>
      <w:r w:rsidRPr="00E73DD9">
        <w:rPr>
          <w:rFonts w:ascii="Arial" w:hAnsi="Arial" w:cs="Arial"/>
          <w:sz w:val="24"/>
          <w:szCs w:val="24"/>
          <w:lang w:val="en-GB"/>
        </w:rPr>
        <w:t xml:space="preserve"> under the Data Protection Act 2018 and UK General Data Protection Regulation (GDPR) (Beveridge, 2025). Both </w:t>
      </w:r>
      <w:r w:rsidR="00486151" w:rsidRPr="00E73DD9">
        <w:rPr>
          <w:rFonts w:ascii="Arial" w:hAnsi="Arial" w:cs="Arial"/>
          <w:sz w:val="24"/>
          <w:szCs w:val="24"/>
          <w:lang w:val="en-GB"/>
        </w:rPr>
        <w:t>require</w:t>
      </w:r>
      <w:r w:rsidRPr="00E73DD9">
        <w:rPr>
          <w:rFonts w:ascii="Arial" w:hAnsi="Arial" w:cs="Arial"/>
          <w:sz w:val="24"/>
          <w:szCs w:val="24"/>
          <w:lang w:val="en-GB"/>
        </w:rPr>
        <w:t xml:space="preserve"> employers to process employee’s personal date lawfully, fairly, and securely (Legislation.GOV.UK, 2016). Employers </w:t>
      </w:r>
      <w:r w:rsidR="00486151" w:rsidRPr="00E73DD9">
        <w:rPr>
          <w:rFonts w:ascii="Arial" w:hAnsi="Arial" w:cs="Arial"/>
          <w:sz w:val="24"/>
          <w:szCs w:val="24"/>
          <w:lang w:val="en-GB"/>
        </w:rPr>
        <w:t xml:space="preserve">must </w:t>
      </w:r>
      <w:r w:rsidRPr="00E73DD9">
        <w:rPr>
          <w:rFonts w:ascii="Arial" w:hAnsi="Arial" w:cs="Arial"/>
          <w:sz w:val="24"/>
          <w:szCs w:val="24"/>
          <w:lang w:val="en-GB"/>
        </w:rPr>
        <w:t xml:space="preserve">therefore implement adequate </w:t>
      </w:r>
      <w:r w:rsidR="00486151" w:rsidRPr="00E73DD9">
        <w:rPr>
          <w:rFonts w:ascii="Arial" w:hAnsi="Arial" w:cs="Arial"/>
          <w:sz w:val="24"/>
          <w:szCs w:val="24"/>
          <w:lang w:val="en-GB"/>
        </w:rPr>
        <w:t xml:space="preserve">controls </w:t>
      </w:r>
      <w:r w:rsidRPr="00E73DD9">
        <w:rPr>
          <w:rFonts w:ascii="Arial" w:hAnsi="Arial" w:cs="Arial"/>
          <w:sz w:val="24"/>
          <w:szCs w:val="24"/>
          <w:lang w:val="en-GB"/>
        </w:rPr>
        <w:t xml:space="preserve">to prevent unauthorised disclosure </w:t>
      </w:r>
      <w:r w:rsidR="00D062C0" w:rsidRPr="00E73DD9">
        <w:rPr>
          <w:rFonts w:ascii="Arial" w:hAnsi="Arial" w:cs="Arial"/>
          <w:sz w:val="24"/>
          <w:szCs w:val="24"/>
          <w:lang w:val="en-GB"/>
        </w:rPr>
        <w:t>of personal</w:t>
      </w:r>
      <w:r w:rsidRPr="00E73DD9">
        <w:rPr>
          <w:rFonts w:ascii="Arial" w:hAnsi="Arial" w:cs="Arial"/>
          <w:sz w:val="24"/>
          <w:szCs w:val="24"/>
          <w:lang w:val="en-GB"/>
        </w:rPr>
        <w:t xml:space="preserve"> </w:t>
      </w:r>
      <w:r w:rsidR="00486151" w:rsidRPr="00E73DD9">
        <w:rPr>
          <w:rFonts w:ascii="Arial" w:hAnsi="Arial" w:cs="Arial"/>
          <w:sz w:val="24"/>
          <w:szCs w:val="24"/>
          <w:lang w:val="en-GB"/>
        </w:rPr>
        <w:t>data</w:t>
      </w:r>
      <w:r w:rsidRPr="00E73DD9">
        <w:rPr>
          <w:rFonts w:ascii="Arial" w:hAnsi="Arial" w:cs="Arial"/>
          <w:sz w:val="24"/>
          <w:szCs w:val="24"/>
          <w:lang w:val="en-GB"/>
        </w:rPr>
        <w:t xml:space="preserve">. Failures to </w:t>
      </w:r>
      <w:r w:rsidR="00486151" w:rsidRPr="00E73DD9">
        <w:rPr>
          <w:rFonts w:ascii="Arial" w:hAnsi="Arial" w:cs="Arial"/>
          <w:sz w:val="24"/>
          <w:szCs w:val="24"/>
          <w:lang w:val="en-GB"/>
        </w:rPr>
        <w:t>comply</w:t>
      </w:r>
      <w:r w:rsidRPr="00E73DD9">
        <w:rPr>
          <w:rFonts w:ascii="Arial" w:hAnsi="Arial" w:cs="Arial"/>
          <w:sz w:val="24"/>
          <w:szCs w:val="24"/>
          <w:lang w:val="en-GB"/>
        </w:rPr>
        <w:t xml:space="preserve"> may result in Information Commissioner’s Office (ICO)</w:t>
      </w:r>
      <w:r w:rsidR="00922AE3" w:rsidRPr="00E73DD9">
        <w:rPr>
          <w:rFonts w:ascii="Arial" w:hAnsi="Arial" w:cs="Arial"/>
          <w:sz w:val="24"/>
          <w:szCs w:val="24"/>
          <w:lang w:val="en-GB"/>
        </w:rPr>
        <w:t xml:space="preserve"> </w:t>
      </w:r>
      <w:r w:rsidRPr="00E73DD9">
        <w:rPr>
          <w:rFonts w:ascii="Arial" w:hAnsi="Arial" w:cs="Arial"/>
          <w:sz w:val="24"/>
          <w:szCs w:val="24"/>
          <w:lang w:val="en-GB"/>
        </w:rPr>
        <w:t xml:space="preserve">sanctions and penalties </w:t>
      </w:r>
      <w:r w:rsidR="00486151" w:rsidRPr="00E73DD9">
        <w:rPr>
          <w:rFonts w:ascii="Arial" w:hAnsi="Arial" w:cs="Arial"/>
          <w:sz w:val="24"/>
          <w:szCs w:val="24"/>
          <w:lang w:val="en-GB"/>
        </w:rPr>
        <w:t xml:space="preserve">of </w:t>
      </w:r>
      <w:r w:rsidRPr="00E73DD9">
        <w:rPr>
          <w:rFonts w:ascii="Arial" w:hAnsi="Arial" w:cs="Arial"/>
          <w:sz w:val="24"/>
          <w:szCs w:val="24"/>
          <w:lang w:val="en-GB"/>
        </w:rPr>
        <w:t xml:space="preserve">up to £17.5 million (Beveridge, 2025). For Elmbridge, poor </w:t>
      </w:r>
      <w:r w:rsidR="00486151" w:rsidRPr="00E73DD9">
        <w:rPr>
          <w:rFonts w:ascii="Arial" w:hAnsi="Arial" w:cs="Arial"/>
          <w:sz w:val="24"/>
          <w:szCs w:val="24"/>
          <w:lang w:val="en-GB"/>
        </w:rPr>
        <w:t xml:space="preserve">data </w:t>
      </w:r>
      <w:r w:rsidRPr="00E73DD9">
        <w:rPr>
          <w:rFonts w:ascii="Arial" w:hAnsi="Arial" w:cs="Arial"/>
          <w:sz w:val="24"/>
          <w:szCs w:val="24"/>
          <w:lang w:val="en-GB"/>
        </w:rPr>
        <w:t xml:space="preserve">management is likely to undermine employee trust and discourage </w:t>
      </w:r>
      <w:r w:rsidR="00486151" w:rsidRPr="00E73DD9">
        <w:rPr>
          <w:rFonts w:ascii="Arial" w:hAnsi="Arial" w:cs="Arial"/>
          <w:sz w:val="24"/>
          <w:szCs w:val="24"/>
          <w:lang w:val="en-GB"/>
        </w:rPr>
        <w:t>internal reporting</w:t>
      </w:r>
      <w:r w:rsidRPr="00E73DD9">
        <w:rPr>
          <w:rFonts w:ascii="Arial" w:hAnsi="Arial" w:cs="Arial"/>
          <w:sz w:val="24"/>
          <w:szCs w:val="24"/>
          <w:lang w:val="en-GB"/>
        </w:rPr>
        <w:t xml:space="preserve">, increasing the likelihood </w:t>
      </w:r>
      <w:r w:rsidR="00486151" w:rsidRPr="00E73DD9">
        <w:rPr>
          <w:rFonts w:ascii="Arial" w:hAnsi="Arial" w:cs="Arial"/>
          <w:sz w:val="24"/>
          <w:szCs w:val="24"/>
          <w:lang w:val="en-GB"/>
        </w:rPr>
        <w:t>of external escalation</w:t>
      </w:r>
      <w:r w:rsidRPr="00E73DD9">
        <w:rPr>
          <w:rFonts w:ascii="Arial" w:hAnsi="Arial" w:cs="Arial"/>
          <w:sz w:val="24"/>
          <w:szCs w:val="24"/>
          <w:lang w:val="en-GB"/>
        </w:rPr>
        <w:t xml:space="preserve"> (NHS, 2026). This incident indicates </w:t>
      </w:r>
      <w:r w:rsidR="00486151" w:rsidRPr="00E73DD9">
        <w:rPr>
          <w:rFonts w:ascii="Arial" w:hAnsi="Arial" w:cs="Arial"/>
          <w:sz w:val="24"/>
          <w:szCs w:val="24"/>
          <w:lang w:val="en-GB"/>
        </w:rPr>
        <w:t>weakness in</w:t>
      </w:r>
      <w:r w:rsidRPr="00E73DD9">
        <w:rPr>
          <w:rFonts w:ascii="Arial" w:hAnsi="Arial" w:cs="Arial"/>
          <w:sz w:val="24"/>
          <w:szCs w:val="24"/>
          <w:lang w:val="en-GB"/>
        </w:rPr>
        <w:t xml:space="preserve"> governance, insufficient managerial training, </w:t>
      </w:r>
      <w:r w:rsidRPr="00E73DD9">
        <w:rPr>
          <w:rFonts w:ascii="Arial" w:eastAsia="Times New Roman" w:hAnsi="Arial" w:cs="Arial"/>
          <w:kern w:val="0"/>
          <w:sz w:val="24"/>
          <w:szCs w:val="24"/>
          <w:lang w:val="en-GB" w:eastAsia="en-CA"/>
          <w14:ligatures w14:val="none"/>
        </w:rPr>
        <w:t>a</w:t>
      </w:r>
      <w:r w:rsidR="00486151" w:rsidRPr="00E73DD9">
        <w:rPr>
          <w:rFonts w:ascii="Arial" w:eastAsia="Times New Roman" w:hAnsi="Arial" w:cs="Arial"/>
          <w:kern w:val="0"/>
          <w:sz w:val="24"/>
          <w:szCs w:val="24"/>
          <w:lang w:val="en-GB" w:eastAsia="en-CA"/>
          <w14:ligatures w14:val="none"/>
        </w:rPr>
        <w:t>nd a</w:t>
      </w:r>
      <w:r w:rsidRPr="00E73DD9">
        <w:rPr>
          <w:rFonts w:ascii="Arial" w:eastAsia="Times New Roman" w:hAnsi="Arial" w:cs="Arial"/>
          <w:kern w:val="0"/>
          <w:sz w:val="24"/>
          <w:szCs w:val="24"/>
          <w:lang w:val="en-GB" w:eastAsia="en-CA"/>
          <w14:ligatures w14:val="none"/>
        </w:rPr>
        <w:t xml:space="preserve"> lack of secure and confidential </w:t>
      </w:r>
      <w:r w:rsidR="00486151" w:rsidRPr="00E73DD9">
        <w:rPr>
          <w:rFonts w:ascii="Arial" w:eastAsia="Times New Roman" w:hAnsi="Arial" w:cs="Arial"/>
          <w:kern w:val="0"/>
          <w:sz w:val="24"/>
          <w:szCs w:val="24"/>
          <w:lang w:val="en-GB" w:eastAsia="en-CA"/>
          <w14:ligatures w14:val="none"/>
        </w:rPr>
        <w:t>channels for raising</w:t>
      </w:r>
      <w:r w:rsidRPr="00E73DD9">
        <w:rPr>
          <w:rFonts w:ascii="Arial" w:eastAsia="Times New Roman" w:hAnsi="Arial" w:cs="Arial"/>
          <w:kern w:val="0"/>
          <w:sz w:val="24"/>
          <w:szCs w:val="24"/>
          <w:lang w:val="en-GB" w:eastAsia="en-CA"/>
          <w14:ligatures w14:val="none"/>
        </w:rPr>
        <w:t xml:space="preserve"> complaints. </w:t>
      </w:r>
    </w:p>
    <w:p w14:paraId="1822520A" w14:textId="77777777" w:rsidR="00523484" w:rsidRDefault="00523484" w:rsidP="00523484"/>
    <w:p w14:paraId="77B20C2B" w14:textId="77777777" w:rsidR="00523484" w:rsidRPr="006E5382" w:rsidRDefault="00523484" w:rsidP="009B696A">
      <w:pPr>
        <w:pStyle w:val="Heading2"/>
        <w:rPr>
          <w:lang w:val="en-GB"/>
        </w:rPr>
      </w:pPr>
      <w:bookmarkStart w:id="12" w:name="_Toc229389707"/>
      <w:r w:rsidRPr="006E5382">
        <w:rPr>
          <w:lang w:val="en-GB"/>
        </w:rPr>
        <w:t>Disability Discrimination and Reasonable Adjustments Risk</w:t>
      </w:r>
      <w:bookmarkEnd w:id="12"/>
      <w:r w:rsidRPr="006E5382">
        <w:rPr>
          <w:lang w:val="en-GB"/>
        </w:rPr>
        <w:t xml:space="preserve">  </w:t>
      </w:r>
    </w:p>
    <w:p w14:paraId="0489B2DA" w14:textId="62D85C87" w:rsidR="00523484" w:rsidRDefault="00523484" w:rsidP="00E175CC">
      <w:pPr>
        <w:rPr>
          <w:rFonts w:ascii="Arial" w:hAnsi="Arial" w:cs="Arial"/>
          <w:sz w:val="24"/>
          <w:szCs w:val="24"/>
          <w:lang w:val="en-GB"/>
        </w:rPr>
      </w:pPr>
      <w:r w:rsidRPr="00E73DD9">
        <w:rPr>
          <w:rFonts w:ascii="Arial" w:hAnsi="Arial" w:cs="Arial"/>
          <w:sz w:val="24"/>
          <w:szCs w:val="24"/>
          <w:lang w:val="en-GB"/>
        </w:rPr>
        <w:t xml:space="preserve">Elmbridge also faces risks under the Equality Act 2010 when a manager failed to provide a reasonable adjustment for a disabled worker with a mobility impairment. </w:t>
      </w:r>
      <w:r w:rsidR="003C077E" w:rsidRPr="00E73DD9">
        <w:rPr>
          <w:rFonts w:ascii="Arial" w:eastAsia="Times New Roman" w:hAnsi="Arial" w:cs="Arial"/>
          <w:kern w:val="0"/>
          <w:sz w:val="24"/>
          <w:szCs w:val="24"/>
          <w:lang w:eastAsia="en-CA"/>
          <w14:ligatures w14:val="none"/>
        </w:rPr>
        <w:t xml:space="preserve">The Act imposes a positive duty on employers to make reasonable adjustments to prevent disabled employees being placed at a disadvantage </w:t>
      </w:r>
      <w:r w:rsidRPr="00E73DD9">
        <w:rPr>
          <w:rFonts w:ascii="Arial" w:hAnsi="Arial" w:cs="Arial"/>
          <w:sz w:val="24"/>
          <w:szCs w:val="24"/>
          <w:lang w:val="en-GB"/>
        </w:rPr>
        <w:t xml:space="preserve">(ACAS, 2025b). This </w:t>
      </w:r>
      <w:r w:rsidR="003C077E" w:rsidRPr="00E73DD9">
        <w:rPr>
          <w:rFonts w:ascii="Arial" w:hAnsi="Arial" w:cs="Arial"/>
          <w:sz w:val="24"/>
          <w:szCs w:val="24"/>
          <w:lang w:val="en-GB"/>
        </w:rPr>
        <w:t xml:space="preserve">duty </w:t>
      </w:r>
      <w:r w:rsidRPr="00E73DD9">
        <w:rPr>
          <w:rFonts w:ascii="Arial" w:hAnsi="Arial" w:cs="Arial"/>
          <w:sz w:val="24"/>
          <w:szCs w:val="24"/>
          <w:lang w:val="en-GB"/>
        </w:rPr>
        <w:t xml:space="preserve">applies when the employer either knows, or could reasonably be expected to know, that the employer has a disability (GOV.UK, 2024b). In </w:t>
      </w:r>
      <w:r w:rsidRPr="00E73DD9">
        <w:rPr>
          <w:rFonts w:ascii="Arial" w:hAnsi="Arial" w:cs="Arial"/>
          <w:i/>
          <w:iCs/>
          <w:sz w:val="24"/>
          <w:szCs w:val="24"/>
          <w:lang w:val="en-GB"/>
        </w:rPr>
        <w:t>Archibald v Fife Council (2004),</w:t>
      </w:r>
      <w:r w:rsidRPr="00E73DD9">
        <w:rPr>
          <w:rFonts w:ascii="Arial" w:hAnsi="Arial" w:cs="Arial"/>
          <w:sz w:val="24"/>
          <w:szCs w:val="24"/>
          <w:lang w:val="en-GB"/>
        </w:rPr>
        <w:t xml:space="preserve"> the House of Lords confirmed the </w:t>
      </w:r>
      <w:r w:rsidR="003C077E" w:rsidRPr="00E73DD9">
        <w:rPr>
          <w:rFonts w:ascii="Arial" w:hAnsi="Arial" w:cs="Arial"/>
          <w:sz w:val="24"/>
          <w:szCs w:val="24"/>
          <w:lang w:val="en-GB"/>
        </w:rPr>
        <w:t>breadth</w:t>
      </w:r>
      <w:r w:rsidRPr="00E73DD9">
        <w:rPr>
          <w:rFonts w:ascii="Arial" w:hAnsi="Arial" w:cs="Arial"/>
          <w:sz w:val="24"/>
          <w:szCs w:val="24"/>
          <w:lang w:val="en-GB"/>
        </w:rPr>
        <w:t xml:space="preserve"> of the positive obligation and that transferring a disabled worker to a more suitable role within the same employment, could constitute a reasonable adjustment. </w:t>
      </w:r>
      <w:r w:rsidR="003C077E" w:rsidRPr="00E73DD9">
        <w:rPr>
          <w:rFonts w:ascii="Arial" w:hAnsi="Arial" w:cs="Arial"/>
          <w:sz w:val="24"/>
          <w:szCs w:val="24"/>
          <w:lang w:val="en-GB"/>
        </w:rPr>
        <w:t xml:space="preserve">In </w:t>
      </w:r>
      <w:r w:rsidRPr="00E73DD9">
        <w:rPr>
          <w:rFonts w:ascii="Arial" w:hAnsi="Arial" w:cs="Arial"/>
          <w:sz w:val="24"/>
          <w:szCs w:val="24"/>
          <w:lang w:val="en-GB"/>
        </w:rPr>
        <w:t xml:space="preserve">a manufacturing environment, reasonable adjustments may </w:t>
      </w:r>
      <w:r w:rsidRPr="00E73DD9">
        <w:rPr>
          <w:rFonts w:ascii="Arial" w:hAnsi="Arial" w:cs="Arial"/>
          <w:sz w:val="24"/>
          <w:szCs w:val="24"/>
          <w:lang w:val="en-GB"/>
        </w:rPr>
        <w:lastRenderedPageBreak/>
        <w:t xml:space="preserve">include </w:t>
      </w:r>
      <w:r w:rsidR="003C077E" w:rsidRPr="00E73DD9">
        <w:rPr>
          <w:rFonts w:ascii="Arial" w:hAnsi="Arial" w:cs="Arial"/>
          <w:sz w:val="24"/>
          <w:szCs w:val="24"/>
          <w:lang w:val="en-GB"/>
        </w:rPr>
        <w:t>modified job duties</w:t>
      </w:r>
      <w:r w:rsidRPr="00E73DD9">
        <w:rPr>
          <w:rFonts w:ascii="Arial" w:hAnsi="Arial" w:cs="Arial"/>
          <w:sz w:val="24"/>
          <w:szCs w:val="24"/>
          <w:lang w:val="en-GB"/>
        </w:rPr>
        <w:t xml:space="preserve">, ergonomic equipment, amended working hours, phased re-employment or transfer to less arduous roles (McGrath and O’Sullivan, 2022). Failure to implement appropriate adjustments may results in tribunal claims, </w:t>
      </w:r>
      <w:r w:rsidR="003C077E" w:rsidRPr="00E73DD9">
        <w:rPr>
          <w:rFonts w:ascii="Arial" w:hAnsi="Arial" w:cs="Arial"/>
          <w:sz w:val="24"/>
          <w:szCs w:val="24"/>
          <w:lang w:val="en-GB"/>
        </w:rPr>
        <w:t>extended</w:t>
      </w:r>
      <w:r w:rsidRPr="00E73DD9">
        <w:rPr>
          <w:rFonts w:ascii="Arial" w:hAnsi="Arial" w:cs="Arial"/>
          <w:sz w:val="24"/>
          <w:szCs w:val="24"/>
          <w:lang w:val="en-GB"/>
        </w:rPr>
        <w:t xml:space="preserve"> absence, reduced morale, and the of valuable staff (ACAS, 2025b). </w:t>
      </w:r>
    </w:p>
    <w:p w14:paraId="705D083B" w14:textId="77777777" w:rsidR="00496529" w:rsidRDefault="00496529" w:rsidP="00E175CC">
      <w:pPr>
        <w:rPr>
          <w:rFonts w:ascii="Arial" w:hAnsi="Arial" w:cs="Arial"/>
          <w:sz w:val="24"/>
          <w:szCs w:val="24"/>
          <w:lang w:val="en-GB"/>
        </w:rPr>
      </w:pPr>
    </w:p>
    <w:p w14:paraId="10143757" w14:textId="77777777" w:rsidR="00496529" w:rsidRDefault="00496529" w:rsidP="00E175CC">
      <w:pPr>
        <w:rPr>
          <w:rFonts w:ascii="Arial" w:hAnsi="Arial" w:cs="Arial"/>
          <w:sz w:val="24"/>
          <w:szCs w:val="24"/>
          <w:lang w:val="en-GB"/>
        </w:rPr>
      </w:pPr>
    </w:p>
    <w:p w14:paraId="5D9B10A6" w14:textId="77777777" w:rsidR="00496529" w:rsidRDefault="00496529" w:rsidP="00E175CC">
      <w:pPr>
        <w:rPr>
          <w:rFonts w:ascii="Arial" w:hAnsi="Arial" w:cs="Arial"/>
          <w:sz w:val="24"/>
          <w:szCs w:val="24"/>
          <w:lang w:val="en-GB"/>
        </w:rPr>
      </w:pPr>
    </w:p>
    <w:p w14:paraId="7E005BEF" w14:textId="77777777" w:rsidR="00496529" w:rsidRDefault="00496529" w:rsidP="00E175CC">
      <w:pPr>
        <w:rPr>
          <w:rFonts w:ascii="Arial" w:hAnsi="Arial" w:cs="Arial"/>
          <w:sz w:val="24"/>
          <w:szCs w:val="24"/>
          <w:lang w:val="en-GB"/>
        </w:rPr>
      </w:pPr>
    </w:p>
    <w:p w14:paraId="4FF30D8D" w14:textId="77777777" w:rsidR="00496529" w:rsidRDefault="00496529" w:rsidP="00E175CC">
      <w:pPr>
        <w:rPr>
          <w:rFonts w:ascii="Arial" w:hAnsi="Arial" w:cs="Arial"/>
          <w:sz w:val="24"/>
          <w:szCs w:val="24"/>
          <w:lang w:val="en-GB"/>
        </w:rPr>
      </w:pPr>
    </w:p>
    <w:p w14:paraId="6A376592" w14:textId="77777777" w:rsidR="00496529" w:rsidRDefault="00496529" w:rsidP="00E175CC">
      <w:pPr>
        <w:rPr>
          <w:rFonts w:ascii="Arial" w:hAnsi="Arial" w:cs="Arial"/>
          <w:sz w:val="24"/>
          <w:szCs w:val="24"/>
          <w:lang w:val="en-GB"/>
        </w:rPr>
      </w:pPr>
    </w:p>
    <w:p w14:paraId="4693D019" w14:textId="77777777" w:rsidR="00496529" w:rsidRDefault="00496529" w:rsidP="00E175CC">
      <w:pPr>
        <w:rPr>
          <w:rFonts w:ascii="Arial" w:hAnsi="Arial" w:cs="Arial"/>
          <w:sz w:val="24"/>
          <w:szCs w:val="24"/>
          <w:lang w:val="en-GB"/>
        </w:rPr>
      </w:pPr>
    </w:p>
    <w:p w14:paraId="2035051E" w14:textId="77777777" w:rsidR="00496529" w:rsidRDefault="00496529" w:rsidP="00E175CC">
      <w:pPr>
        <w:rPr>
          <w:rFonts w:ascii="Arial" w:hAnsi="Arial" w:cs="Arial"/>
          <w:sz w:val="24"/>
          <w:szCs w:val="24"/>
          <w:lang w:val="en-GB"/>
        </w:rPr>
      </w:pPr>
    </w:p>
    <w:p w14:paraId="294032B8" w14:textId="77777777" w:rsidR="00496529" w:rsidRDefault="00496529" w:rsidP="00E175CC">
      <w:pPr>
        <w:rPr>
          <w:rFonts w:ascii="Arial" w:hAnsi="Arial" w:cs="Arial"/>
          <w:sz w:val="24"/>
          <w:szCs w:val="24"/>
          <w:lang w:val="en-GB"/>
        </w:rPr>
      </w:pPr>
    </w:p>
    <w:p w14:paraId="0B867369" w14:textId="77777777" w:rsidR="00496529" w:rsidRDefault="00496529" w:rsidP="00E175CC">
      <w:pPr>
        <w:rPr>
          <w:rFonts w:ascii="Arial" w:hAnsi="Arial" w:cs="Arial"/>
          <w:sz w:val="24"/>
          <w:szCs w:val="24"/>
          <w:lang w:val="en-GB"/>
        </w:rPr>
      </w:pPr>
    </w:p>
    <w:p w14:paraId="4975C2EA" w14:textId="77777777" w:rsidR="00496529" w:rsidRDefault="00496529" w:rsidP="00E175CC">
      <w:pPr>
        <w:rPr>
          <w:rFonts w:ascii="Arial" w:hAnsi="Arial" w:cs="Arial"/>
          <w:sz w:val="24"/>
          <w:szCs w:val="24"/>
          <w:lang w:val="en-GB"/>
        </w:rPr>
      </w:pPr>
    </w:p>
    <w:p w14:paraId="7736C583" w14:textId="77777777" w:rsidR="00496529" w:rsidRDefault="00496529" w:rsidP="00E175CC">
      <w:pPr>
        <w:rPr>
          <w:rFonts w:ascii="Arial" w:hAnsi="Arial" w:cs="Arial"/>
          <w:sz w:val="24"/>
          <w:szCs w:val="24"/>
          <w:lang w:val="en-GB"/>
        </w:rPr>
      </w:pPr>
    </w:p>
    <w:p w14:paraId="53E455E7" w14:textId="77777777" w:rsidR="00496529" w:rsidRDefault="00496529" w:rsidP="00E175CC">
      <w:pPr>
        <w:rPr>
          <w:rFonts w:ascii="Arial" w:hAnsi="Arial" w:cs="Arial"/>
          <w:sz w:val="24"/>
          <w:szCs w:val="24"/>
          <w:lang w:val="en-GB"/>
        </w:rPr>
      </w:pPr>
    </w:p>
    <w:p w14:paraId="6652D708" w14:textId="77777777" w:rsidR="00496529" w:rsidRDefault="00496529" w:rsidP="00E175CC">
      <w:pPr>
        <w:rPr>
          <w:rFonts w:ascii="Arial" w:hAnsi="Arial" w:cs="Arial"/>
          <w:sz w:val="24"/>
          <w:szCs w:val="24"/>
          <w:lang w:val="en-GB"/>
        </w:rPr>
      </w:pPr>
    </w:p>
    <w:p w14:paraId="6EBD5174" w14:textId="77777777" w:rsidR="00496529" w:rsidRDefault="00496529" w:rsidP="00E175CC">
      <w:pPr>
        <w:rPr>
          <w:rFonts w:ascii="Arial" w:hAnsi="Arial" w:cs="Arial"/>
          <w:sz w:val="24"/>
          <w:szCs w:val="24"/>
          <w:lang w:val="en-GB"/>
        </w:rPr>
      </w:pPr>
    </w:p>
    <w:p w14:paraId="1969EB09" w14:textId="77777777" w:rsidR="00496529" w:rsidRDefault="00496529" w:rsidP="00E175CC">
      <w:pPr>
        <w:rPr>
          <w:rFonts w:ascii="Arial" w:hAnsi="Arial" w:cs="Arial"/>
          <w:sz w:val="24"/>
          <w:szCs w:val="24"/>
          <w:lang w:val="en-GB"/>
        </w:rPr>
      </w:pPr>
    </w:p>
    <w:p w14:paraId="025DBCEC" w14:textId="77777777" w:rsidR="00496529" w:rsidRDefault="00496529" w:rsidP="00E175CC">
      <w:pPr>
        <w:rPr>
          <w:rFonts w:ascii="Arial" w:hAnsi="Arial" w:cs="Arial"/>
          <w:sz w:val="24"/>
          <w:szCs w:val="24"/>
          <w:lang w:val="en-GB"/>
        </w:rPr>
      </w:pPr>
    </w:p>
    <w:p w14:paraId="71F9EC57" w14:textId="77777777" w:rsidR="00496529" w:rsidRDefault="00496529" w:rsidP="00E175CC">
      <w:pPr>
        <w:rPr>
          <w:rFonts w:ascii="Arial" w:hAnsi="Arial" w:cs="Arial"/>
          <w:sz w:val="24"/>
          <w:szCs w:val="24"/>
          <w:lang w:val="en-GB"/>
        </w:rPr>
      </w:pPr>
    </w:p>
    <w:p w14:paraId="63651F6D" w14:textId="77777777" w:rsidR="00496529" w:rsidRDefault="00496529" w:rsidP="00E175CC">
      <w:pPr>
        <w:rPr>
          <w:rFonts w:ascii="Arial" w:hAnsi="Arial" w:cs="Arial"/>
          <w:sz w:val="24"/>
          <w:szCs w:val="24"/>
          <w:lang w:val="en-GB"/>
        </w:rPr>
      </w:pPr>
    </w:p>
    <w:p w14:paraId="218BEFBA" w14:textId="77777777" w:rsidR="00496529" w:rsidRPr="00E73DD9" w:rsidRDefault="00496529" w:rsidP="00E175CC">
      <w:pPr>
        <w:rPr>
          <w:rFonts w:ascii="Arial" w:hAnsi="Arial" w:cs="Arial"/>
          <w:sz w:val="24"/>
          <w:szCs w:val="24"/>
          <w:lang w:val="en-GB"/>
        </w:rPr>
      </w:pPr>
    </w:p>
    <w:p w14:paraId="41DE2D35" w14:textId="77777777" w:rsidR="00A77B8B" w:rsidRPr="00A7072B" w:rsidRDefault="00A77B8B" w:rsidP="00523484">
      <w:pPr>
        <w:rPr>
          <w:rFonts w:ascii="Times New Roman" w:hAnsi="Times New Roman" w:cs="Times New Roman"/>
          <w:sz w:val="24"/>
          <w:szCs w:val="24"/>
          <w:lang w:val="en-GB"/>
        </w:rPr>
      </w:pPr>
    </w:p>
    <w:p w14:paraId="3F66E5C6" w14:textId="77777777" w:rsidR="00523484" w:rsidRPr="00585E8A" w:rsidRDefault="00523484" w:rsidP="00496529">
      <w:pPr>
        <w:pStyle w:val="Heading1"/>
        <w:rPr>
          <w:lang w:val="en-GB"/>
        </w:rPr>
      </w:pPr>
      <w:bookmarkStart w:id="13" w:name="_Toc229389708"/>
      <w:r w:rsidRPr="00585E8A">
        <w:rPr>
          <w:lang w:val="en-GB"/>
        </w:rPr>
        <w:lastRenderedPageBreak/>
        <w:t>Business Case for Moving from Near-Compliance to Prevention</w:t>
      </w:r>
      <w:bookmarkEnd w:id="13"/>
      <w:r w:rsidRPr="00585E8A">
        <w:rPr>
          <w:lang w:val="en-GB"/>
        </w:rPr>
        <w:t xml:space="preserve"> </w:t>
      </w:r>
    </w:p>
    <w:p w14:paraId="63A23F2A" w14:textId="1C9FE4C7" w:rsidR="00B66FD2" w:rsidRPr="00E73DD9" w:rsidRDefault="00523484" w:rsidP="00E175CC">
      <w:pPr>
        <w:pStyle w:val="NormalWeb"/>
        <w:rPr>
          <w:rFonts w:ascii="Arial" w:hAnsi="Arial" w:cs="Arial"/>
          <w14:ligatures w14:val="none"/>
        </w:rPr>
      </w:pPr>
      <w:r w:rsidRPr="00E73DD9">
        <w:rPr>
          <w:rFonts w:ascii="Arial" w:hAnsi="Arial" w:cs="Arial"/>
          <w:lang w:val="en-GB"/>
        </w:rPr>
        <w:t xml:space="preserve">Currently Elmbridge </w:t>
      </w:r>
      <w:r w:rsidR="003A2D6A" w:rsidRPr="00E73DD9">
        <w:rPr>
          <w:rFonts w:ascii="Arial" w:hAnsi="Arial" w:cs="Arial"/>
          <w:lang w:val="en-GB"/>
        </w:rPr>
        <w:t xml:space="preserve">is </w:t>
      </w:r>
      <w:r w:rsidRPr="00E73DD9">
        <w:rPr>
          <w:rFonts w:ascii="Arial" w:hAnsi="Arial" w:cs="Arial"/>
          <w:lang w:val="en-GB"/>
        </w:rPr>
        <w:t>operat</w:t>
      </w:r>
      <w:r w:rsidR="003A2D6A" w:rsidRPr="00E73DD9">
        <w:rPr>
          <w:rFonts w:ascii="Arial" w:hAnsi="Arial" w:cs="Arial"/>
          <w:lang w:val="en-GB"/>
        </w:rPr>
        <w:t>ing</w:t>
      </w:r>
      <w:r w:rsidRPr="00E73DD9">
        <w:rPr>
          <w:rFonts w:ascii="Arial" w:hAnsi="Arial" w:cs="Arial"/>
          <w:lang w:val="en-GB"/>
        </w:rPr>
        <w:t xml:space="preserve"> with a reactive approach to employee relations, resulting in financial, legal and operational costs. Ongoing tribunals, settlement agreements, stress-related absenteeism, and employee turnover indicate that workplace conflict is addressed too late, when problems have escalated. </w:t>
      </w:r>
      <w:r w:rsidR="00B66FD2" w:rsidRPr="00E73DD9">
        <w:rPr>
          <w:rFonts w:ascii="Arial" w:hAnsi="Arial" w:cs="Arial"/>
          <w14:ligatures w14:val="none"/>
        </w:rPr>
        <w:t>This suggests the organisation’s current model is costly and increasingly unsustainable. There is a clear financial rationale for change. ACAS (2021b) found that resolving workplace issues through formal mechanisms such as dismissal, resignation, and sick leave creates substantially higher costs than early informal resolution. Therefore, continued reliance on reactive case management is likely to generate greater long-term costs than investment in preventative measures.</w:t>
      </w:r>
    </w:p>
    <w:p w14:paraId="7DE40628" w14:textId="532B2A10" w:rsidR="00C50D84" w:rsidRPr="00E73DD9" w:rsidRDefault="00523484" w:rsidP="00E175CC">
      <w:pPr>
        <w:spacing w:before="100" w:beforeAutospacing="1" w:after="100" w:afterAutospacing="1" w:line="240" w:lineRule="auto"/>
        <w:rPr>
          <w:rFonts w:ascii="Arial" w:eastAsia="Times New Roman" w:hAnsi="Arial" w:cs="Arial"/>
          <w:kern w:val="0"/>
          <w:sz w:val="24"/>
          <w:szCs w:val="24"/>
          <w:lang w:eastAsia="en-CA"/>
          <w14:ligatures w14:val="none"/>
        </w:rPr>
      </w:pPr>
      <w:r w:rsidRPr="00E73DD9">
        <w:rPr>
          <w:rFonts w:ascii="Arial" w:hAnsi="Arial" w:cs="Arial"/>
          <w:sz w:val="24"/>
          <w:szCs w:val="24"/>
          <w:lang w:val="en-GB"/>
        </w:rPr>
        <w:t xml:space="preserve">A preventative model would strengthen the psychological contract between Elmbridge and its employees (Rousseau, 1995). Allegations of bullying, poor behaviour management, </w:t>
      </w:r>
      <w:r w:rsidR="00D062C0" w:rsidRPr="00E73DD9">
        <w:rPr>
          <w:rFonts w:ascii="Arial" w:hAnsi="Arial" w:cs="Arial"/>
          <w:sz w:val="24"/>
          <w:szCs w:val="24"/>
          <w:lang w:val="en-GB"/>
        </w:rPr>
        <w:t>insecure</w:t>
      </w:r>
      <w:r w:rsidRPr="00E73DD9">
        <w:rPr>
          <w:rFonts w:ascii="Arial" w:hAnsi="Arial" w:cs="Arial"/>
          <w:sz w:val="24"/>
          <w:szCs w:val="24"/>
          <w:lang w:val="en-GB"/>
        </w:rPr>
        <w:t xml:space="preserve"> work arrangements, </w:t>
      </w:r>
      <w:r w:rsidR="00D062C0" w:rsidRPr="00E73DD9">
        <w:rPr>
          <w:rFonts w:ascii="Arial" w:eastAsia="Times New Roman" w:hAnsi="Arial" w:cs="Arial"/>
          <w:kern w:val="0"/>
          <w:sz w:val="24"/>
          <w:szCs w:val="24"/>
          <w:lang w:eastAsia="en-CA"/>
          <w14:ligatures w14:val="none"/>
        </w:rPr>
        <w:t xml:space="preserve">and stress-related absence indicate gaps in trust and mutual obligations. </w:t>
      </w:r>
      <w:r w:rsidR="00F410F5" w:rsidRPr="00E73DD9">
        <w:rPr>
          <w:rFonts w:ascii="Arial" w:hAnsi="Arial" w:cs="Arial"/>
          <w:sz w:val="24"/>
          <w:szCs w:val="24"/>
        </w:rPr>
        <w:t>If unresolved, there is a possibility of declining employee morale, engagement, and retention</w:t>
      </w:r>
      <w:r w:rsidR="00F410F5" w:rsidRPr="00E73DD9" w:rsidDel="00F410F5">
        <w:rPr>
          <w:rFonts w:ascii="Arial" w:eastAsia="Times New Roman" w:hAnsi="Arial" w:cs="Arial"/>
          <w:kern w:val="0"/>
          <w:sz w:val="24"/>
          <w:szCs w:val="24"/>
          <w:lang w:eastAsia="en-CA"/>
          <w14:ligatures w14:val="none"/>
        </w:rPr>
        <w:t xml:space="preserve"> </w:t>
      </w:r>
      <w:r w:rsidR="00D062C0" w:rsidRPr="00E73DD9">
        <w:rPr>
          <w:rFonts w:ascii="Arial" w:eastAsia="Times New Roman" w:hAnsi="Arial" w:cs="Arial"/>
          <w:kern w:val="0"/>
          <w:sz w:val="24"/>
          <w:szCs w:val="24"/>
          <w:lang w:eastAsia="en-CA"/>
          <w14:ligatures w14:val="none"/>
        </w:rPr>
        <w:t>(Rousseau, 1995). By contrast, a preventative strategy would reduce disputes before they escalate and promote fair treatment (Hietanen-</w:t>
      </w:r>
      <w:proofErr w:type="spellStart"/>
      <w:r w:rsidR="00D062C0" w:rsidRPr="00E73DD9">
        <w:rPr>
          <w:rFonts w:ascii="Arial" w:eastAsia="Times New Roman" w:hAnsi="Arial" w:cs="Arial"/>
          <w:kern w:val="0"/>
          <w:sz w:val="24"/>
          <w:szCs w:val="24"/>
          <w:lang w:eastAsia="en-CA"/>
          <w14:ligatures w14:val="none"/>
        </w:rPr>
        <w:t>Kunwald</w:t>
      </w:r>
      <w:proofErr w:type="spellEnd"/>
      <w:r w:rsidR="00D062C0" w:rsidRPr="00E73DD9">
        <w:rPr>
          <w:rFonts w:ascii="Arial" w:eastAsia="Times New Roman" w:hAnsi="Arial" w:cs="Arial"/>
          <w:kern w:val="0"/>
          <w:sz w:val="24"/>
          <w:szCs w:val="24"/>
          <w:lang w:eastAsia="en-CA"/>
          <w14:ligatures w14:val="none"/>
        </w:rPr>
        <w:t xml:space="preserve"> and </w:t>
      </w:r>
      <w:proofErr w:type="spellStart"/>
      <w:r w:rsidR="00D062C0" w:rsidRPr="00E73DD9">
        <w:rPr>
          <w:rFonts w:ascii="Arial" w:eastAsia="Times New Roman" w:hAnsi="Arial" w:cs="Arial"/>
          <w:kern w:val="0"/>
          <w:sz w:val="24"/>
          <w:szCs w:val="24"/>
          <w:lang w:eastAsia="en-CA"/>
          <w14:ligatures w14:val="none"/>
        </w:rPr>
        <w:t>Happio</w:t>
      </w:r>
      <w:proofErr w:type="spellEnd"/>
      <w:r w:rsidR="00D062C0" w:rsidRPr="00E73DD9">
        <w:rPr>
          <w:rFonts w:ascii="Arial" w:eastAsia="Times New Roman" w:hAnsi="Arial" w:cs="Arial"/>
          <w:kern w:val="0"/>
          <w:sz w:val="24"/>
          <w:szCs w:val="24"/>
          <w:lang w:eastAsia="en-CA"/>
          <w14:ligatures w14:val="none"/>
        </w:rPr>
        <w:t>, 2021), helping rebuild trust and enhance commitment</w:t>
      </w:r>
      <w:r w:rsidR="00F410F5" w:rsidRPr="00E73DD9">
        <w:rPr>
          <w:rFonts w:ascii="Arial" w:eastAsia="Times New Roman" w:hAnsi="Arial" w:cs="Arial"/>
          <w:kern w:val="0"/>
          <w:sz w:val="24"/>
          <w:szCs w:val="24"/>
          <w:lang w:eastAsia="en-CA"/>
          <w14:ligatures w14:val="none"/>
        </w:rPr>
        <w:t>, as well as improving</w:t>
      </w:r>
      <w:r w:rsidR="00D062C0" w:rsidRPr="00E73DD9">
        <w:rPr>
          <w:rFonts w:ascii="Arial" w:eastAsia="Times New Roman" w:hAnsi="Arial" w:cs="Arial"/>
          <w:kern w:val="0"/>
          <w:sz w:val="24"/>
          <w:szCs w:val="24"/>
          <w:lang w:eastAsia="en-CA"/>
          <w14:ligatures w14:val="none"/>
        </w:rPr>
        <w:t xml:space="preserve"> job quality. Continued use of zero-hours contracts, limited employee voice, and conflict-driven management may reduce perceptions of security, fairness, and participation (ACAS, 2024). </w:t>
      </w:r>
      <w:r w:rsidR="00C50D84" w:rsidRPr="00E73DD9">
        <w:rPr>
          <w:rFonts w:ascii="Arial" w:hAnsi="Arial" w:cs="Arial"/>
          <w:sz w:val="24"/>
          <w:szCs w:val="24"/>
        </w:rPr>
        <w:t>Improved management practices, stronger consultation, and greater workforce stability would support better jobs, a more positive employee experience, and wider operational and productivity benefits (Zhang et al., 2022).</w:t>
      </w:r>
    </w:p>
    <w:p w14:paraId="3115C0DF" w14:textId="1052561C" w:rsidR="00E175CC" w:rsidRPr="00E73DD9" w:rsidRDefault="00770148" w:rsidP="00E175CC">
      <w:pPr>
        <w:spacing w:before="100" w:beforeAutospacing="1" w:after="100" w:afterAutospacing="1" w:line="240" w:lineRule="auto"/>
        <w:rPr>
          <w:rFonts w:ascii="Arial" w:hAnsi="Arial" w:cs="Arial"/>
          <w:sz w:val="24"/>
          <w:szCs w:val="24"/>
        </w:rPr>
      </w:pPr>
      <w:r w:rsidRPr="00E73DD9">
        <w:rPr>
          <w:rFonts w:ascii="Arial" w:hAnsi="Arial" w:cs="Arial"/>
          <w:sz w:val="24"/>
          <w:szCs w:val="24"/>
          <w:lang w:val="en-GB"/>
        </w:rPr>
        <w:t xml:space="preserve">Many </w:t>
      </w:r>
      <w:r w:rsidR="00523484" w:rsidRPr="00E73DD9">
        <w:rPr>
          <w:rFonts w:ascii="Arial" w:hAnsi="Arial" w:cs="Arial"/>
          <w:sz w:val="24"/>
          <w:szCs w:val="24"/>
          <w:lang w:val="en-GB"/>
        </w:rPr>
        <w:t xml:space="preserve">managers </w:t>
      </w:r>
      <w:r w:rsidRPr="00E73DD9">
        <w:rPr>
          <w:rFonts w:ascii="Arial" w:hAnsi="Arial" w:cs="Arial"/>
          <w:sz w:val="24"/>
          <w:szCs w:val="24"/>
          <w:lang w:val="en-GB"/>
        </w:rPr>
        <w:t>currently spend time</w:t>
      </w:r>
      <w:r w:rsidR="00523484" w:rsidRPr="00E73DD9">
        <w:rPr>
          <w:rFonts w:ascii="Arial" w:hAnsi="Arial" w:cs="Arial"/>
          <w:sz w:val="24"/>
          <w:szCs w:val="24"/>
          <w:lang w:val="en-GB"/>
        </w:rPr>
        <w:t xml:space="preserve"> dealing with disputes, grievances, and litigation rather than </w:t>
      </w:r>
      <w:r w:rsidRPr="00E73DD9">
        <w:rPr>
          <w:rFonts w:ascii="Arial" w:hAnsi="Arial" w:cs="Arial"/>
          <w:sz w:val="24"/>
          <w:szCs w:val="24"/>
          <w:lang w:val="en-GB"/>
        </w:rPr>
        <w:t xml:space="preserve">focusing </w:t>
      </w:r>
      <w:r w:rsidR="00523484" w:rsidRPr="00E73DD9">
        <w:rPr>
          <w:rFonts w:ascii="Arial" w:hAnsi="Arial" w:cs="Arial"/>
          <w:sz w:val="24"/>
          <w:szCs w:val="24"/>
          <w:lang w:val="en-GB"/>
        </w:rPr>
        <w:t xml:space="preserve">on operational performance and workforce development (UKMJ, 2025), </w:t>
      </w:r>
      <w:r w:rsidRPr="00E73DD9">
        <w:rPr>
          <w:rFonts w:ascii="Arial" w:hAnsi="Arial" w:cs="Arial"/>
          <w:sz w:val="24"/>
          <w:szCs w:val="24"/>
          <w:lang w:val="en-GB"/>
        </w:rPr>
        <w:t>which may</w:t>
      </w:r>
      <w:r w:rsidR="00523484" w:rsidRPr="00E73DD9">
        <w:rPr>
          <w:rFonts w:ascii="Arial" w:hAnsi="Arial" w:cs="Arial"/>
          <w:sz w:val="24"/>
          <w:szCs w:val="24"/>
          <w:lang w:val="en-GB"/>
        </w:rPr>
        <w:t xml:space="preserve"> reduce efficiency </w:t>
      </w:r>
      <w:r w:rsidRPr="00E73DD9">
        <w:rPr>
          <w:rFonts w:ascii="Arial" w:hAnsi="Arial" w:cs="Arial"/>
          <w:sz w:val="24"/>
          <w:szCs w:val="24"/>
          <w:lang w:val="en-GB"/>
        </w:rPr>
        <w:t>in a manufacturing environment</w:t>
      </w:r>
      <w:r w:rsidR="00523484" w:rsidRPr="00E73DD9">
        <w:rPr>
          <w:rFonts w:ascii="Arial" w:hAnsi="Arial" w:cs="Arial"/>
          <w:sz w:val="24"/>
          <w:szCs w:val="24"/>
          <w:lang w:val="en-GB"/>
        </w:rPr>
        <w:t xml:space="preserve">. Earlier conflict resolution, </w:t>
      </w:r>
      <w:r w:rsidRPr="00E73DD9">
        <w:rPr>
          <w:rFonts w:ascii="Arial" w:hAnsi="Arial" w:cs="Arial"/>
          <w:sz w:val="24"/>
          <w:szCs w:val="24"/>
          <w:lang w:val="en-GB"/>
        </w:rPr>
        <w:t>alongside</w:t>
      </w:r>
      <w:r w:rsidR="00523484" w:rsidRPr="00E73DD9">
        <w:rPr>
          <w:rFonts w:ascii="Arial" w:hAnsi="Arial" w:cs="Arial"/>
          <w:sz w:val="24"/>
          <w:szCs w:val="24"/>
          <w:lang w:val="en-GB"/>
        </w:rPr>
        <w:t xml:space="preserve"> stronger people management capability, would </w:t>
      </w:r>
      <w:r w:rsidRPr="00E73DD9">
        <w:rPr>
          <w:rFonts w:ascii="Arial" w:hAnsi="Arial" w:cs="Arial"/>
          <w:sz w:val="24"/>
          <w:szCs w:val="24"/>
          <w:lang w:val="en-GB"/>
        </w:rPr>
        <w:t>allow greater focus</w:t>
      </w:r>
      <w:r w:rsidR="00523484" w:rsidRPr="00E73DD9">
        <w:rPr>
          <w:rFonts w:ascii="Arial" w:hAnsi="Arial" w:cs="Arial"/>
          <w:sz w:val="24"/>
          <w:szCs w:val="24"/>
          <w:lang w:val="en-GB"/>
        </w:rPr>
        <w:t xml:space="preserve"> on productivity and quality improvement (Hietanen-</w:t>
      </w:r>
      <w:proofErr w:type="spellStart"/>
      <w:r w:rsidR="00523484" w:rsidRPr="00E73DD9">
        <w:rPr>
          <w:rFonts w:ascii="Arial" w:hAnsi="Arial" w:cs="Arial"/>
          <w:sz w:val="24"/>
          <w:szCs w:val="24"/>
          <w:lang w:val="en-GB"/>
        </w:rPr>
        <w:t>Kunwald</w:t>
      </w:r>
      <w:proofErr w:type="spellEnd"/>
      <w:r w:rsidR="00523484" w:rsidRPr="00E73DD9">
        <w:rPr>
          <w:rFonts w:ascii="Arial" w:hAnsi="Arial" w:cs="Arial"/>
          <w:sz w:val="24"/>
          <w:szCs w:val="24"/>
          <w:lang w:val="en-GB"/>
        </w:rPr>
        <w:t xml:space="preserve"> and </w:t>
      </w:r>
      <w:proofErr w:type="spellStart"/>
      <w:r w:rsidR="00523484" w:rsidRPr="00E73DD9">
        <w:rPr>
          <w:rFonts w:ascii="Arial" w:hAnsi="Arial" w:cs="Arial"/>
          <w:sz w:val="24"/>
          <w:szCs w:val="24"/>
          <w:lang w:val="en-GB"/>
        </w:rPr>
        <w:t>Happio</w:t>
      </w:r>
      <w:proofErr w:type="spellEnd"/>
      <w:r w:rsidR="00523484" w:rsidRPr="00E73DD9">
        <w:rPr>
          <w:rFonts w:ascii="Arial" w:hAnsi="Arial" w:cs="Arial"/>
          <w:sz w:val="24"/>
          <w:szCs w:val="24"/>
          <w:lang w:val="en-GB"/>
        </w:rPr>
        <w:t xml:space="preserve">, 2021; Zhang </w:t>
      </w:r>
      <w:r w:rsidR="00523484" w:rsidRPr="00E73DD9">
        <w:rPr>
          <w:rFonts w:ascii="Arial" w:hAnsi="Arial" w:cs="Arial"/>
          <w:i/>
          <w:iCs/>
          <w:sz w:val="24"/>
          <w:szCs w:val="24"/>
          <w:lang w:val="en-GB"/>
        </w:rPr>
        <w:t>et el</w:t>
      </w:r>
      <w:r w:rsidR="00523484" w:rsidRPr="00E73DD9">
        <w:rPr>
          <w:rFonts w:ascii="Arial" w:hAnsi="Arial" w:cs="Arial"/>
          <w:sz w:val="24"/>
          <w:szCs w:val="24"/>
          <w:lang w:val="en-GB"/>
        </w:rPr>
        <w:t xml:space="preserve">., 2022). </w:t>
      </w:r>
      <w:r w:rsidRPr="00E73DD9">
        <w:rPr>
          <w:rFonts w:ascii="Arial" w:hAnsi="Arial" w:cs="Arial"/>
          <w:sz w:val="24"/>
          <w:szCs w:val="24"/>
        </w:rPr>
        <w:t>Overall, continued reliance on a near-compliance approach is likely to increase costs while reducing job quality and stability. Although legal compliance reduces immediate liability, it does not create trust, engagement, or sustainable performance. Elmbridge therefore requires a preventative people strategy that addresses the underlying causes of conflict.</w:t>
      </w:r>
    </w:p>
    <w:p w14:paraId="329BCF26" w14:textId="77777777" w:rsidR="00523484" w:rsidRPr="00556EB1" w:rsidRDefault="00523484" w:rsidP="00556EB1">
      <w:pPr>
        <w:pStyle w:val="Heading1"/>
      </w:pPr>
      <w:bookmarkStart w:id="14" w:name="_Toc229389709"/>
      <w:r w:rsidRPr="00556EB1">
        <w:lastRenderedPageBreak/>
        <w:t>Recommendations for Compliance Improvement and conflict Prevention</w:t>
      </w:r>
      <w:bookmarkEnd w:id="14"/>
    </w:p>
    <w:p w14:paraId="1278BC00" w14:textId="77777777"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 xml:space="preserve">To maximise legal risk reduction, operational stability, and return on investment, Elmbridge should adopt a phased implementation plan that prioritises the most urgent risks first. </w:t>
      </w:r>
    </w:p>
    <w:p w14:paraId="3CD1179A" w14:textId="77777777" w:rsidR="00523484" w:rsidRPr="00556EB1" w:rsidRDefault="00523484" w:rsidP="00556EB1">
      <w:pPr>
        <w:pStyle w:val="Heading2"/>
      </w:pPr>
      <w:bookmarkStart w:id="15" w:name="_Toc229389710"/>
      <w:r w:rsidRPr="00556EB1">
        <w:t>Rebuild Respect at Work: Harassment Prevention Framework</w:t>
      </w:r>
      <w:bookmarkEnd w:id="15"/>
      <w:r w:rsidRPr="00556EB1">
        <w:t xml:space="preserve"> </w:t>
      </w:r>
    </w:p>
    <w:p w14:paraId="3C83535A" w14:textId="2CCAB1CE"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Elmbridge should introduce a comprehensive Respect at Work framework to reduce legal exposure and workplace conflict. The company should continuously review and update their policies on dignity at work, grievance and disciplinary procedures to include clear definitions, behavioural standards, and use manufacturing-based examples such as abusive supervision or abuse of power (CIPD, 2024a).</w:t>
      </w:r>
    </w:p>
    <w:p w14:paraId="15216676" w14:textId="77777777"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All managers should complete mandatory training covering respectful leadership, complaint handling, early intervention strategies, and anti-retaliation responsibilities. Completion of this training should be linked to appraisals (CIPD, 2022). In addition, Elmbridge should establish confidential reporting mechanisms; trained advisors, mediation services, and early HR triage procedures for low-level disputes (Gurchiek, 2018). This initiative should be treated as the organisation’s highest priority due to the recent tribunal claim, rising stress-related absence, increasing grievance volumes, and potential liability under the Equality Act 2010.</w:t>
      </w:r>
    </w:p>
    <w:p w14:paraId="3D646A46" w14:textId="77777777" w:rsidR="00523484" w:rsidRPr="00E73DD9" w:rsidRDefault="00523484" w:rsidP="00556EB1">
      <w:pPr>
        <w:pStyle w:val="Heading3"/>
        <w:rPr>
          <w:lang w:val="en-GB"/>
        </w:rPr>
      </w:pPr>
      <w:bookmarkStart w:id="16" w:name="_Toc229389711"/>
      <w:r w:rsidRPr="00E73DD9">
        <w:rPr>
          <w:lang w:val="en-GB"/>
        </w:rPr>
        <w:t>Implementation timetable</w:t>
      </w:r>
      <w:bookmarkEnd w:id="16"/>
      <w:r w:rsidRPr="00E73DD9">
        <w:rPr>
          <w:lang w:val="en-GB"/>
        </w:rPr>
        <w:t xml:space="preserve"> </w:t>
      </w:r>
    </w:p>
    <w:p w14:paraId="504DDC1E"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 xml:space="preserve">Policy re-design completed within 60 days </w:t>
      </w:r>
    </w:p>
    <w:p w14:paraId="560238D3"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 xml:space="preserve">Confidential reporting hotline operational within 90 days </w:t>
      </w:r>
    </w:p>
    <w:p w14:paraId="2E4ACCE5"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Respect at work campaign launched within 6 months</w:t>
      </w:r>
    </w:p>
    <w:p w14:paraId="06A349A8"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Mediation capability embedded within 9 months</w:t>
      </w:r>
    </w:p>
    <w:p w14:paraId="414D6B0D" w14:textId="77777777" w:rsidR="00523484" w:rsidRPr="00E73DD9" w:rsidRDefault="00523484" w:rsidP="00523484">
      <w:pPr>
        <w:ind w:left="720"/>
        <w:contextualSpacing/>
        <w:rPr>
          <w:rFonts w:ascii="Arial" w:hAnsi="Arial" w:cs="Arial"/>
          <w:sz w:val="24"/>
          <w:szCs w:val="24"/>
          <w:lang w:val="en-GB"/>
        </w:rPr>
      </w:pPr>
    </w:p>
    <w:p w14:paraId="5210B454" w14:textId="77777777" w:rsidR="00523484" w:rsidRPr="00E73DD9" w:rsidRDefault="00523484" w:rsidP="00556EB1">
      <w:pPr>
        <w:pStyle w:val="Heading3"/>
        <w:rPr>
          <w:lang w:val="en-GB"/>
        </w:rPr>
      </w:pPr>
      <w:bookmarkStart w:id="17" w:name="_Toc229389712"/>
      <w:r w:rsidRPr="00E73DD9">
        <w:rPr>
          <w:lang w:val="en-GB"/>
        </w:rPr>
        <w:t>Indicative first year cost</w:t>
      </w:r>
      <w:bookmarkEnd w:id="17"/>
    </w:p>
    <w:p w14:paraId="65E2D5DA" w14:textId="77777777"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 xml:space="preserve">£75,000-£110,000 </w:t>
      </w:r>
    </w:p>
    <w:p w14:paraId="4A32F625" w14:textId="77777777" w:rsidR="00523484" w:rsidRPr="00E73DD9" w:rsidRDefault="00523484" w:rsidP="00556EB1">
      <w:pPr>
        <w:pStyle w:val="Heading3"/>
        <w:rPr>
          <w:lang w:val="en-GB"/>
        </w:rPr>
      </w:pPr>
      <w:bookmarkStart w:id="18" w:name="_Toc229389713"/>
      <w:r w:rsidRPr="00E73DD9">
        <w:rPr>
          <w:lang w:val="en-GB"/>
        </w:rPr>
        <w:t>Success measures</w:t>
      </w:r>
      <w:bookmarkEnd w:id="18"/>
      <w:r w:rsidRPr="00E73DD9">
        <w:rPr>
          <w:lang w:val="en-GB"/>
        </w:rPr>
        <w:t xml:space="preserve"> </w:t>
      </w:r>
    </w:p>
    <w:p w14:paraId="2019BD23"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100% training completion</w:t>
      </w:r>
    </w:p>
    <w:p w14:paraId="1679BD70"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 xml:space="preserve">25% reduction in formal grievances within 12 months </w:t>
      </w:r>
    </w:p>
    <w:p w14:paraId="57651D5F"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15% reduction in stress-related absence within 12 months</w:t>
      </w:r>
    </w:p>
    <w:p w14:paraId="5D249B61"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Faster average case resolution</w:t>
      </w:r>
    </w:p>
    <w:p w14:paraId="6069B838"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Reduction in tribunal claims and settlements</w:t>
      </w:r>
    </w:p>
    <w:p w14:paraId="52CD3055" w14:textId="77777777" w:rsidR="00523484"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Improved engagement and dignity at work scores</w:t>
      </w:r>
    </w:p>
    <w:p w14:paraId="03F798A7" w14:textId="77777777" w:rsidR="00DA5AA1" w:rsidRPr="00E73DD9" w:rsidRDefault="00DA5AA1" w:rsidP="00DA5AA1">
      <w:pPr>
        <w:ind w:left="720"/>
        <w:contextualSpacing/>
        <w:rPr>
          <w:rFonts w:ascii="Arial" w:hAnsi="Arial" w:cs="Arial"/>
          <w:sz w:val="24"/>
          <w:szCs w:val="24"/>
          <w:lang w:val="en-GB"/>
        </w:rPr>
      </w:pPr>
    </w:p>
    <w:p w14:paraId="24C40D9D" w14:textId="77777777" w:rsidR="00523484" w:rsidRPr="00E73DD9" w:rsidRDefault="00523484" w:rsidP="00523484">
      <w:pPr>
        <w:rPr>
          <w:rFonts w:ascii="Arial" w:hAnsi="Arial" w:cs="Arial"/>
          <w:color w:val="FF0000"/>
          <w:sz w:val="24"/>
          <w:szCs w:val="24"/>
          <w:lang w:val="en-GB"/>
        </w:rPr>
      </w:pPr>
      <w:r w:rsidRPr="00E73DD9">
        <w:rPr>
          <w:rFonts w:ascii="Arial" w:hAnsi="Arial" w:cs="Arial"/>
          <w:sz w:val="24"/>
          <w:szCs w:val="24"/>
          <w:lang w:val="en-GB"/>
        </w:rPr>
        <w:lastRenderedPageBreak/>
        <w:t xml:space="preserve">Indicative costs are broad market estimates based on HR policy implementation, training and employee relations benchmarking data </w:t>
      </w:r>
      <w:r w:rsidRPr="00E73DD9">
        <w:rPr>
          <w:rFonts w:ascii="Arial" w:hAnsi="Arial" w:cs="Arial"/>
          <w:color w:val="000000" w:themeColor="text1"/>
          <w:sz w:val="24"/>
          <w:szCs w:val="24"/>
          <w:lang w:val="en-GB"/>
        </w:rPr>
        <w:t>(CIPD, 2024a; ACAS, 2021a).</w:t>
      </w:r>
    </w:p>
    <w:p w14:paraId="104B069F" w14:textId="77777777" w:rsidR="00523484" w:rsidRPr="00E73DD9" w:rsidRDefault="00523484" w:rsidP="00523484">
      <w:pPr>
        <w:rPr>
          <w:rFonts w:ascii="Arial" w:hAnsi="Arial" w:cs="Arial"/>
          <w:sz w:val="24"/>
          <w:szCs w:val="24"/>
          <w:lang w:val="en-GB"/>
        </w:rPr>
      </w:pPr>
    </w:p>
    <w:p w14:paraId="2949B949" w14:textId="77777777" w:rsidR="00523484" w:rsidRPr="00477D08" w:rsidRDefault="00523484" w:rsidP="00523484">
      <w:pPr>
        <w:rPr>
          <w:rFonts w:ascii="Times New Roman" w:hAnsi="Times New Roman" w:cs="Times New Roman"/>
          <w:sz w:val="24"/>
          <w:szCs w:val="24"/>
        </w:rPr>
      </w:pPr>
    </w:p>
    <w:p w14:paraId="35319533" w14:textId="77777777" w:rsidR="0071072F" w:rsidRPr="00C50D84" w:rsidRDefault="0071072F" w:rsidP="00556EB1">
      <w:pPr>
        <w:pStyle w:val="Heading2"/>
        <w:rPr>
          <w:lang w:val="en-GB"/>
        </w:rPr>
      </w:pPr>
      <w:bookmarkStart w:id="19" w:name="_Toc229389714"/>
      <w:r w:rsidRPr="00C50D84">
        <w:rPr>
          <w:lang w:val="en-GB"/>
        </w:rPr>
        <w:t>Secure Work and Workforce Planning Reform</w:t>
      </w:r>
      <w:bookmarkEnd w:id="19"/>
    </w:p>
    <w:p w14:paraId="6936A2AC" w14:textId="4D82991C" w:rsidR="0071072F" w:rsidRPr="00E73DD9" w:rsidRDefault="0071072F" w:rsidP="009635B8">
      <w:pPr>
        <w:rPr>
          <w:rFonts w:ascii="Arial" w:eastAsia="Times New Roman" w:hAnsi="Arial" w:cs="Arial"/>
          <w:kern w:val="0"/>
          <w:sz w:val="24"/>
          <w:szCs w:val="24"/>
          <w:lang w:eastAsia="en-CA"/>
          <w14:ligatures w14:val="none"/>
        </w:rPr>
      </w:pPr>
      <w:r w:rsidRPr="00E73DD9">
        <w:rPr>
          <w:rFonts w:ascii="Arial" w:hAnsi="Arial" w:cs="Arial"/>
          <w:sz w:val="24"/>
          <w:szCs w:val="24"/>
          <w:lang w:val="en-GB"/>
        </w:rPr>
        <w:t xml:space="preserve">The second priority is the introduction of a Secure Work and Workforce Planning Strategy for Elmbridge’s approximately 900 zero-hours employees. This will also prepare the company for the Employment Rights Act 2025 changes (GOV.UK, 2024a). Unstable scheduling can weaken employees’ psychological contract and contribute to higher turnover and reduced productivity (Rousseau, 1995). </w:t>
      </w:r>
      <w:r w:rsidRPr="00E73DD9">
        <w:rPr>
          <w:rFonts w:ascii="Arial" w:eastAsia="Times New Roman" w:hAnsi="Arial" w:cs="Arial"/>
          <w:kern w:val="0"/>
          <w:sz w:val="24"/>
          <w:szCs w:val="24"/>
          <w:lang w:eastAsia="en-CA"/>
          <w14:ligatures w14:val="none"/>
        </w:rPr>
        <w:t>Elmbridge should therefore carry out an immediate workforce audit to categorise employees into:</w:t>
      </w:r>
    </w:p>
    <w:p w14:paraId="0F07219F" w14:textId="77777777" w:rsidR="0071072F" w:rsidRPr="00E73DD9" w:rsidRDefault="0071072F" w:rsidP="0071072F">
      <w:pPr>
        <w:numPr>
          <w:ilvl w:val="0"/>
          <w:numId w:val="6"/>
        </w:numPr>
        <w:contextualSpacing/>
        <w:rPr>
          <w:rFonts w:ascii="Arial" w:hAnsi="Arial" w:cs="Arial"/>
          <w:sz w:val="24"/>
          <w:szCs w:val="24"/>
          <w:lang w:val="en-GB"/>
        </w:rPr>
      </w:pPr>
      <w:r w:rsidRPr="00E73DD9">
        <w:rPr>
          <w:rFonts w:ascii="Arial" w:hAnsi="Arial" w:cs="Arial"/>
          <w:sz w:val="24"/>
          <w:szCs w:val="24"/>
          <w:lang w:val="en-GB"/>
        </w:rPr>
        <w:t>Casual ad-hoc workers</w:t>
      </w:r>
    </w:p>
    <w:p w14:paraId="1FA19B18" w14:textId="4D539AB3" w:rsidR="0071072F" w:rsidRPr="00E73DD9" w:rsidRDefault="0071072F" w:rsidP="0071072F">
      <w:pPr>
        <w:numPr>
          <w:ilvl w:val="0"/>
          <w:numId w:val="6"/>
        </w:numPr>
        <w:contextualSpacing/>
        <w:rPr>
          <w:rFonts w:ascii="Arial" w:hAnsi="Arial" w:cs="Arial"/>
          <w:sz w:val="24"/>
          <w:szCs w:val="24"/>
          <w:lang w:val="en-GB"/>
        </w:rPr>
      </w:pPr>
      <w:r w:rsidRPr="00E73DD9">
        <w:rPr>
          <w:rFonts w:ascii="Arial" w:hAnsi="Arial" w:cs="Arial"/>
          <w:sz w:val="24"/>
          <w:szCs w:val="24"/>
          <w:lang w:val="en-GB"/>
        </w:rPr>
        <w:t>Regular workers eligible for guaranteed-hours contracts</w:t>
      </w:r>
    </w:p>
    <w:p w14:paraId="7A8D5523" w14:textId="67CF24C6" w:rsidR="0071072F" w:rsidRPr="00E73DD9" w:rsidRDefault="0071072F" w:rsidP="0071072F">
      <w:pPr>
        <w:numPr>
          <w:ilvl w:val="0"/>
          <w:numId w:val="6"/>
        </w:numPr>
        <w:contextualSpacing/>
        <w:rPr>
          <w:rFonts w:ascii="Arial" w:hAnsi="Arial" w:cs="Arial"/>
          <w:sz w:val="24"/>
          <w:szCs w:val="24"/>
          <w:lang w:val="en-GB"/>
        </w:rPr>
      </w:pPr>
      <w:r w:rsidRPr="00E73DD9">
        <w:rPr>
          <w:rFonts w:ascii="Arial" w:hAnsi="Arial" w:cs="Arial"/>
          <w:sz w:val="24"/>
          <w:szCs w:val="24"/>
          <w:lang w:val="en-GB"/>
        </w:rPr>
        <w:t>Seasonal workers requiring annualised or fixed-term contracts</w:t>
      </w:r>
    </w:p>
    <w:p w14:paraId="0D4B4C19" w14:textId="77777777" w:rsidR="0071072F" w:rsidRPr="00E73DD9" w:rsidRDefault="0071072F" w:rsidP="0071072F">
      <w:pPr>
        <w:ind w:left="720"/>
        <w:contextualSpacing/>
        <w:rPr>
          <w:rFonts w:ascii="Arial" w:hAnsi="Arial" w:cs="Arial"/>
          <w:sz w:val="24"/>
          <w:szCs w:val="24"/>
          <w:lang w:val="en-GB"/>
        </w:rPr>
      </w:pPr>
    </w:p>
    <w:p w14:paraId="26AD926C" w14:textId="5A16FDB3" w:rsidR="0071072F" w:rsidRPr="00E73DD9" w:rsidRDefault="0071072F" w:rsidP="0071072F">
      <w:pPr>
        <w:rPr>
          <w:rFonts w:ascii="Arial" w:hAnsi="Arial" w:cs="Arial"/>
          <w:sz w:val="24"/>
          <w:szCs w:val="24"/>
          <w:lang w:val="en-GB"/>
        </w:rPr>
      </w:pPr>
      <w:r w:rsidRPr="00E73DD9">
        <w:rPr>
          <w:rFonts w:ascii="Arial" w:hAnsi="Arial" w:cs="Arial"/>
          <w:sz w:val="24"/>
          <w:szCs w:val="24"/>
          <w:lang w:val="en-GB"/>
        </w:rPr>
        <w:t xml:space="preserve">Employees with consistent working patterns should be offered contracts that reflect their actual hours worked. Elmbridge should also establish better workforce planning by using techniques such as forecasting employee demand and controlling overtimes </w:t>
      </w:r>
      <w:r w:rsidR="0061123E" w:rsidRPr="00E73DD9">
        <w:rPr>
          <w:rFonts w:ascii="Arial" w:hAnsi="Arial" w:cs="Arial"/>
          <w:sz w:val="24"/>
          <w:szCs w:val="24"/>
          <w:lang w:val="en-GB"/>
        </w:rPr>
        <w:t xml:space="preserve">levels. </w:t>
      </w:r>
      <w:r w:rsidRPr="00E73DD9">
        <w:rPr>
          <w:rFonts w:ascii="Arial" w:hAnsi="Arial" w:cs="Arial"/>
          <w:sz w:val="24"/>
          <w:szCs w:val="24"/>
          <w:lang w:val="en-GB"/>
        </w:rPr>
        <w:t xml:space="preserve"> </w:t>
      </w:r>
      <w:r w:rsidR="0061123E" w:rsidRPr="00E73DD9">
        <w:rPr>
          <w:rFonts w:ascii="Arial" w:hAnsi="Arial" w:cs="Arial"/>
          <w:sz w:val="24"/>
          <w:szCs w:val="24"/>
          <w:lang w:val="en-GB"/>
        </w:rPr>
        <w:t>This</w:t>
      </w:r>
      <w:r w:rsidRPr="00E73DD9">
        <w:rPr>
          <w:rFonts w:ascii="Arial" w:hAnsi="Arial" w:cs="Arial"/>
          <w:sz w:val="24"/>
          <w:szCs w:val="24"/>
          <w:lang w:val="en-GB"/>
        </w:rPr>
        <w:t xml:space="preserve"> will minimise cancellations, </w:t>
      </w:r>
      <w:r w:rsidR="0061123E" w:rsidRPr="00E73DD9">
        <w:rPr>
          <w:rFonts w:ascii="Arial" w:hAnsi="Arial" w:cs="Arial"/>
          <w:sz w:val="24"/>
          <w:szCs w:val="24"/>
          <w:lang w:val="en-GB"/>
        </w:rPr>
        <w:t xml:space="preserve">improve </w:t>
      </w:r>
      <w:r w:rsidRPr="00E73DD9">
        <w:rPr>
          <w:rFonts w:ascii="Arial" w:hAnsi="Arial" w:cs="Arial"/>
          <w:sz w:val="24"/>
          <w:szCs w:val="24"/>
          <w:lang w:val="en-GB"/>
        </w:rPr>
        <w:t>attendance reliability</w:t>
      </w:r>
      <w:r w:rsidR="0061123E" w:rsidRPr="00E73DD9">
        <w:rPr>
          <w:rFonts w:ascii="Arial" w:hAnsi="Arial" w:cs="Arial"/>
          <w:sz w:val="24"/>
          <w:szCs w:val="24"/>
          <w:lang w:val="en-GB"/>
        </w:rPr>
        <w:t>,</w:t>
      </w:r>
      <w:r w:rsidRPr="00E73DD9">
        <w:rPr>
          <w:rFonts w:ascii="Arial" w:hAnsi="Arial" w:cs="Arial"/>
          <w:sz w:val="24"/>
          <w:szCs w:val="24"/>
          <w:lang w:val="en-GB"/>
        </w:rPr>
        <w:t xml:space="preserve"> and </w:t>
      </w:r>
      <w:r w:rsidR="0061123E" w:rsidRPr="00E73DD9">
        <w:rPr>
          <w:rFonts w:ascii="Arial" w:hAnsi="Arial" w:cs="Arial"/>
          <w:sz w:val="24"/>
          <w:szCs w:val="24"/>
          <w:lang w:val="en-GB"/>
        </w:rPr>
        <w:t>lower reliance on external</w:t>
      </w:r>
      <w:r w:rsidRPr="00E73DD9">
        <w:rPr>
          <w:rFonts w:ascii="Arial" w:hAnsi="Arial" w:cs="Arial"/>
          <w:sz w:val="24"/>
          <w:szCs w:val="24"/>
          <w:lang w:val="en-GB"/>
        </w:rPr>
        <w:t xml:space="preserve"> agencies. </w:t>
      </w:r>
    </w:p>
    <w:p w14:paraId="6BD706A2" w14:textId="77777777" w:rsidR="0071072F" w:rsidRPr="00E73DD9" w:rsidRDefault="0071072F" w:rsidP="00556EB1">
      <w:pPr>
        <w:pStyle w:val="Heading3"/>
        <w:rPr>
          <w:lang w:val="en-GB"/>
        </w:rPr>
      </w:pPr>
      <w:bookmarkStart w:id="20" w:name="_Toc229389715"/>
      <w:r w:rsidRPr="00E73DD9">
        <w:rPr>
          <w:lang w:val="en-GB"/>
        </w:rPr>
        <w:t>Implementation timetable</w:t>
      </w:r>
      <w:bookmarkEnd w:id="20"/>
      <w:r w:rsidRPr="00E73DD9">
        <w:rPr>
          <w:lang w:val="en-GB"/>
        </w:rPr>
        <w:t xml:space="preserve"> </w:t>
      </w:r>
    </w:p>
    <w:p w14:paraId="3326670B"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Zero-hours workforce audit within 12 weeks</w:t>
      </w:r>
    </w:p>
    <w:p w14:paraId="634BE3F1"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Role categorisation within 16 weeks</w:t>
      </w:r>
    </w:p>
    <w:p w14:paraId="7174714F"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New contract templates within 6 months</w:t>
      </w:r>
    </w:p>
    <w:p w14:paraId="1B2BDEF5" w14:textId="6C386510" w:rsidR="0071072F" w:rsidRPr="00E73DD9" w:rsidRDefault="000025B7"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Conversion of e</w:t>
      </w:r>
      <w:r w:rsidR="0071072F" w:rsidRPr="00E73DD9">
        <w:rPr>
          <w:rFonts w:ascii="Arial" w:hAnsi="Arial" w:cs="Arial"/>
          <w:sz w:val="24"/>
          <w:szCs w:val="24"/>
          <w:lang w:val="en-GB"/>
        </w:rPr>
        <w:t xml:space="preserve">ligible workers within 9 months </w:t>
      </w:r>
    </w:p>
    <w:p w14:paraId="7D152F32"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Scheduling controls operational within 12 months</w:t>
      </w:r>
    </w:p>
    <w:p w14:paraId="146D9C2E" w14:textId="77777777" w:rsidR="000025B7" w:rsidRPr="00E73DD9" w:rsidRDefault="000025B7" w:rsidP="0071072F">
      <w:pPr>
        <w:keepNext/>
        <w:keepLines/>
        <w:spacing w:before="160" w:after="80"/>
        <w:outlineLvl w:val="2"/>
        <w:rPr>
          <w:rFonts w:ascii="Arial" w:eastAsia="Times New Roman" w:hAnsi="Arial" w:cs="Arial"/>
          <w:kern w:val="0"/>
          <w:sz w:val="24"/>
          <w:szCs w:val="24"/>
          <w:lang w:eastAsia="en-CA"/>
          <w14:ligatures w14:val="none"/>
        </w:rPr>
      </w:pPr>
    </w:p>
    <w:p w14:paraId="30C09B55" w14:textId="010ABFD2" w:rsidR="0071072F" w:rsidRPr="00E73DD9" w:rsidRDefault="0071072F" w:rsidP="00556EB1">
      <w:pPr>
        <w:pStyle w:val="Heading3"/>
        <w:rPr>
          <w:lang w:val="en-GB"/>
        </w:rPr>
      </w:pPr>
      <w:bookmarkStart w:id="21" w:name="_Toc229389716"/>
      <w:r w:rsidRPr="00E73DD9">
        <w:rPr>
          <w:lang w:val="en-GB"/>
        </w:rPr>
        <w:t>Indicative first year cost</w:t>
      </w:r>
      <w:bookmarkEnd w:id="21"/>
    </w:p>
    <w:p w14:paraId="6813E39E" w14:textId="77777777" w:rsidR="0071072F" w:rsidRPr="00E73DD9" w:rsidRDefault="0071072F" w:rsidP="0071072F">
      <w:pPr>
        <w:rPr>
          <w:rFonts w:ascii="Arial" w:hAnsi="Arial" w:cs="Arial"/>
          <w:sz w:val="24"/>
          <w:szCs w:val="24"/>
          <w:lang w:val="en-GB"/>
        </w:rPr>
      </w:pPr>
      <w:r w:rsidRPr="00E73DD9">
        <w:rPr>
          <w:rFonts w:ascii="Arial" w:hAnsi="Arial" w:cs="Arial"/>
          <w:sz w:val="24"/>
          <w:szCs w:val="24"/>
          <w:lang w:val="en-GB"/>
        </w:rPr>
        <w:t>£65,000 - £85,000</w:t>
      </w:r>
    </w:p>
    <w:p w14:paraId="5E101923" w14:textId="77777777" w:rsidR="0071072F" w:rsidRPr="00E73DD9" w:rsidRDefault="0071072F" w:rsidP="00556EB1">
      <w:pPr>
        <w:pStyle w:val="Heading3"/>
        <w:rPr>
          <w:lang w:val="en-GB"/>
        </w:rPr>
      </w:pPr>
      <w:bookmarkStart w:id="22" w:name="_Toc229389717"/>
      <w:r w:rsidRPr="00E73DD9">
        <w:rPr>
          <w:lang w:val="en-GB"/>
        </w:rPr>
        <w:t>Success measures</w:t>
      </w:r>
      <w:bookmarkEnd w:id="22"/>
      <w:r w:rsidRPr="00E73DD9">
        <w:rPr>
          <w:lang w:val="en-GB"/>
        </w:rPr>
        <w:t xml:space="preserve"> </w:t>
      </w:r>
    </w:p>
    <w:p w14:paraId="2AA12D68" w14:textId="06AF399A"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 xml:space="preserve">100% compliance with shift notice </w:t>
      </w:r>
      <w:r w:rsidR="004B0462" w:rsidRPr="00E73DD9">
        <w:rPr>
          <w:rFonts w:ascii="Arial" w:hAnsi="Arial" w:cs="Arial"/>
          <w:sz w:val="24"/>
          <w:szCs w:val="24"/>
          <w:lang w:val="en-GB"/>
        </w:rPr>
        <w:t>requirements</w:t>
      </w:r>
    </w:p>
    <w:p w14:paraId="0457B285"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60%+ eligible workers transferred to secure contracts</w:t>
      </w:r>
    </w:p>
    <w:p w14:paraId="33685396"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20% reductions in labour turnover within 12 months</w:t>
      </w:r>
    </w:p>
    <w:p w14:paraId="445B6EF8"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Reduction in short-notice cancellations</w:t>
      </w:r>
    </w:p>
    <w:p w14:paraId="02BCF2E5"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 xml:space="preserve">Improved attendance reliability and productivity </w:t>
      </w:r>
    </w:p>
    <w:p w14:paraId="32C0B2C9" w14:textId="77777777" w:rsidR="004B0462" w:rsidRPr="00E73DD9" w:rsidRDefault="004B0462" w:rsidP="004B0462">
      <w:pPr>
        <w:ind w:left="720"/>
        <w:contextualSpacing/>
        <w:rPr>
          <w:rFonts w:ascii="Arial" w:hAnsi="Arial" w:cs="Arial"/>
          <w:sz w:val="24"/>
          <w:szCs w:val="24"/>
          <w:lang w:val="en-GB"/>
        </w:rPr>
      </w:pPr>
    </w:p>
    <w:p w14:paraId="25BEE3A8" w14:textId="020A7471" w:rsidR="0071072F" w:rsidRPr="00E73DD9" w:rsidRDefault="0071072F" w:rsidP="0071072F">
      <w:pPr>
        <w:rPr>
          <w:rFonts w:ascii="Arial" w:hAnsi="Arial" w:cs="Arial"/>
          <w:sz w:val="24"/>
          <w:szCs w:val="24"/>
          <w:lang w:val="en-GB"/>
        </w:rPr>
      </w:pPr>
      <w:r w:rsidRPr="00E73DD9">
        <w:rPr>
          <w:rFonts w:ascii="Arial" w:hAnsi="Arial" w:cs="Arial"/>
          <w:sz w:val="24"/>
          <w:szCs w:val="24"/>
          <w:lang w:val="en-GB"/>
        </w:rPr>
        <w:lastRenderedPageBreak/>
        <w:t xml:space="preserve">The </w:t>
      </w:r>
      <w:r w:rsidR="00B77860" w:rsidRPr="00E73DD9">
        <w:rPr>
          <w:rFonts w:ascii="Arial" w:hAnsi="Arial" w:cs="Arial"/>
          <w:sz w:val="24"/>
          <w:szCs w:val="24"/>
          <w:lang w:val="en-GB"/>
        </w:rPr>
        <w:t xml:space="preserve">estimate is based on possible </w:t>
      </w:r>
      <w:r w:rsidRPr="00E73DD9">
        <w:rPr>
          <w:rFonts w:ascii="Arial" w:hAnsi="Arial" w:cs="Arial"/>
          <w:sz w:val="24"/>
          <w:szCs w:val="24"/>
          <w:lang w:val="en-GB"/>
        </w:rPr>
        <w:t>market costs for HR</w:t>
      </w:r>
      <w:r w:rsidR="004B0462" w:rsidRPr="00E73DD9">
        <w:rPr>
          <w:rFonts w:ascii="Arial" w:hAnsi="Arial" w:cs="Arial"/>
          <w:sz w:val="24"/>
          <w:szCs w:val="24"/>
          <w:lang w:val="en-GB"/>
        </w:rPr>
        <w:t xml:space="preserve"> and </w:t>
      </w:r>
      <w:r w:rsidRPr="00E73DD9">
        <w:rPr>
          <w:rFonts w:ascii="Arial" w:hAnsi="Arial" w:cs="Arial"/>
          <w:sz w:val="24"/>
          <w:szCs w:val="24"/>
          <w:lang w:val="en-GB"/>
        </w:rPr>
        <w:t xml:space="preserve">legal review, consultation </w:t>
      </w:r>
      <w:r w:rsidR="00B77860" w:rsidRPr="00E73DD9">
        <w:rPr>
          <w:rFonts w:ascii="Arial" w:hAnsi="Arial" w:cs="Arial"/>
          <w:sz w:val="24"/>
          <w:szCs w:val="24"/>
          <w:lang w:val="en-GB"/>
        </w:rPr>
        <w:t xml:space="preserve">processes, </w:t>
      </w:r>
      <w:r w:rsidRPr="00E73DD9">
        <w:rPr>
          <w:rFonts w:ascii="Arial" w:hAnsi="Arial" w:cs="Arial"/>
          <w:sz w:val="24"/>
          <w:szCs w:val="24"/>
          <w:lang w:val="en-GB"/>
        </w:rPr>
        <w:t>and scheduling systems, supported by CIPD and ACAS evidence on workforce planning and turnover costs (ACAS, 2026b; CIPD, 2025b).</w:t>
      </w:r>
    </w:p>
    <w:p w14:paraId="467AFBD3" w14:textId="77777777" w:rsidR="00223412" w:rsidRPr="00C50D84" w:rsidRDefault="00223412" w:rsidP="00D70B4C">
      <w:pPr>
        <w:pStyle w:val="Heading2"/>
        <w:rPr>
          <w:lang w:val="en-GB"/>
        </w:rPr>
      </w:pPr>
      <w:bookmarkStart w:id="23" w:name="_Toc229389718"/>
      <w:r w:rsidRPr="00C50D84">
        <w:rPr>
          <w:lang w:val="en-GB"/>
        </w:rPr>
        <w:t>Strategic Consultation, TUPE Compliance and Employee Voice Framework</w:t>
      </w:r>
      <w:bookmarkEnd w:id="23"/>
    </w:p>
    <w:p w14:paraId="6E62AF4C" w14:textId="5D3CDA2D" w:rsidR="0034714B" w:rsidRPr="00E73DD9" w:rsidRDefault="008E4144" w:rsidP="009635B8">
      <w:pPr>
        <w:rPr>
          <w:rFonts w:ascii="Arial" w:eastAsia="Times New Roman" w:hAnsi="Arial" w:cs="Arial"/>
          <w:kern w:val="0"/>
          <w:sz w:val="24"/>
          <w:szCs w:val="24"/>
          <w:lang w:eastAsia="en-CA"/>
          <w14:ligatures w14:val="none"/>
        </w:rPr>
      </w:pPr>
      <w:r w:rsidRPr="00E73DD9">
        <w:rPr>
          <w:rFonts w:ascii="Arial" w:hAnsi="Arial" w:cs="Arial"/>
          <w:sz w:val="24"/>
          <w:szCs w:val="24"/>
          <w:lang w:val="en-GB"/>
        </w:rPr>
        <w:t xml:space="preserve">A strengthened </w:t>
      </w:r>
      <w:r w:rsidR="00223412" w:rsidRPr="00E73DD9">
        <w:rPr>
          <w:rFonts w:ascii="Arial" w:hAnsi="Arial" w:cs="Arial"/>
          <w:sz w:val="24"/>
          <w:szCs w:val="24"/>
          <w:lang w:val="en-GB"/>
        </w:rPr>
        <w:t xml:space="preserve">TUPE </w:t>
      </w:r>
      <w:r w:rsidRPr="00E73DD9">
        <w:rPr>
          <w:rFonts w:ascii="Arial" w:hAnsi="Arial" w:cs="Arial"/>
          <w:sz w:val="24"/>
          <w:szCs w:val="24"/>
          <w:lang w:val="en-GB"/>
        </w:rPr>
        <w:t xml:space="preserve">compliance </w:t>
      </w:r>
      <w:r w:rsidR="00223412" w:rsidRPr="00E73DD9">
        <w:rPr>
          <w:rFonts w:ascii="Arial" w:hAnsi="Arial" w:cs="Arial"/>
          <w:sz w:val="24"/>
          <w:szCs w:val="24"/>
          <w:lang w:val="en-GB"/>
        </w:rPr>
        <w:t xml:space="preserve">and employee voice framework is </w:t>
      </w:r>
      <w:r w:rsidRPr="00E73DD9">
        <w:rPr>
          <w:rFonts w:ascii="Arial" w:hAnsi="Arial" w:cs="Arial"/>
          <w:sz w:val="24"/>
          <w:szCs w:val="24"/>
          <w:lang w:val="en-GB"/>
        </w:rPr>
        <w:t xml:space="preserve">required to improve </w:t>
      </w:r>
      <w:r w:rsidR="00223412" w:rsidRPr="00E73DD9">
        <w:rPr>
          <w:rFonts w:ascii="Arial" w:hAnsi="Arial" w:cs="Arial"/>
          <w:sz w:val="24"/>
          <w:szCs w:val="24"/>
          <w:lang w:val="en-GB"/>
        </w:rPr>
        <w:t xml:space="preserve">legal protection and </w:t>
      </w:r>
      <w:r w:rsidRPr="00E73DD9">
        <w:rPr>
          <w:rFonts w:ascii="Arial" w:hAnsi="Arial" w:cs="Arial"/>
          <w:sz w:val="24"/>
          <w:szCs w:val="24"/>
          <w:lang w:val="en-GB"/>
        </w:rPr>
        <w:t xml:space="preserve">employee </w:t>
      </w:r>
      <w:r w:rsidR="00223412" w:rsidRPr="00E73DD9">
        <w:rPr>
          <w:rFonts w:ascii="Arial" w:hAnsi="Arial" w:cs="Arial"/>
          <w:sz w:val="24"/>
          <w:szCs w:val="24"/>
          <w:lang w:val="en-GB"/>
        </w:rPr>
        <w:t xml:space="preserve">relations with at Elmbridge. </w:t>
      </w:r>
      <w:r w:rsidRPr="00E73DD9">
        <w:rPr>
          <w:rFonts w:ascii="Arial" w:eastAsia="Times New Roman" w:hAnsi="Arial" w:cs="Arial"/>
          <w:kern w:val="0"/>
          <w:sz w:val="24"/>
          <w:szCs w:val="24"/>
          <w:lang w:eastAsia="en-CA"/>
          <w14:ligatures w14:val="none"/>
        </w:rPr>
        <w:t xml:space="preserve">The organisation’s previous TUPE errors and limited trade union engagement indicate weaknesses in change management. Failure to comply with TUPE obligations can result in protective awards </w:t>
      </w:r>
      <w:r w:rsidR="00223412" w:rsidRPr="00E73DD9">
        <w:rPr>
          <w:rFonts w:ascii="Arial" w:hAnsi="Arial" w:cs="Arial"/>
          <w:sz w:val="24"/>
          <w:szCs w:val="24"/>
          <w:lang w:val="en-GB"/>
        </w:rPr>
        <w:t>(ACAS, 2025c).</w:t>
      </w:r>
      <w:r w:rsidR="003E6352" w:rsidRPr="00E73DD9">
        <w:rPr>
          <w:rFonts w:ascii="Arial" w:hAnsi="Arial" w:cs="Arial"/>
          <w:sz w:val="24"/>
          <w:szCs w:val="24"/>
          <w:lang w:val="en-GB"/>
        </w:rPr>
        <w:t xml:space="preserve"> </w:t>
      </w:r>
      <w:r w:rsidR="00223412" w:rsidRPr="00E73DD9">
        <w:rPr>
          <w:rFonts w:ascii="Arial" w:hAnsi="Arial" w:cs="Arial"/>
          <w:sz w:val="24"/>
          <w:szCs w:val="24"/>
          <w:lang w:val="en-GB"/>
        </w:rPr>
        <w:t xml:space="preserve">Consultation should be formally </w:t>
      </w:r>
      <w:r w:rsidRPr="00E73DD9">
        <w:rPr>
          <w:rFonts w:ascii="Arial" w:hAnsi="Arial" w:cs="Arial"/>
          <w:sz w:val="24"/>
          <w:szCs w:val="24"/>
          <w:lang w:val="en-GB"/>
        </w:rPr>
        <w:t xml:space="preserve">embedded </w:t>
      </w:r>
      <w:r w:rsidR="0034714B" w:rsidRPr="00E73DD9">
        <w:rPr>
          <w:rFonts w:ascii="Arial" w:hAnsi="Arial" w:cs="Arial"/>
          <w:sz w:val="24"/>
          <w:szCs w:val="24"/>
          <w:lang w:val="en-GB"/>
        </w:rPr>
        <w:t>into all</w:t>
      </w:r>
      <w:r w:rsidR="00223412" w:rsidRPr="00E73DD9">
        <w:rPr>
          <w:rFonts w:ascii="Arial" w:hAnsi="Arial" w:cs="Arial"/>
          <w:sz w:val="24"/>
          <w:szCs w:val="24"/>
          <w:lang w:val="en-GB"/>
        </w:rPr>
        <w:t xml:space="preserve"> TUPE transfers, restructur</w:t>
      </w:r>
      <w:r w:rsidRPr="00E73DD9">
        <w:rPr>
          <w:rFonts w:ascii="Arial" w:hAnsi="Arial" w:cs="Arial"/>
          <w:sz w:val="24"/>
          <w:szCs w:val="24"/>
          <w:lang w:val="en-GB"/>
        </w:rPr>
        <w:t>es,</w:t>
      </w:r>
      <w:r w:rsidR="00223412" w:rsidRPr="00E73DD9">
        <w:rPr>
          <w:rFonts w:ascii="Arial" w:hAnsi="Arial" w:cs="Arial"/>
          <w:sz w:val="24"/>
          <w:szCs w:val="24"/>
          <w:lang w:val="en-GB"/>
        </w:rPr>
        <w:t xml:space="preserve"> and outsourcing activ</w:t>
      </w:r>
      <w:r w:rsidR="0034714B" w:rsidRPr="00E73DD9">
        <w:rPr>
          <w:rFonts w:ascii="Arial" w:hAnsi="Arial" w:cs="Arial"/>
          <w:sz w:val="24"/>
          <w:szCs w:val="24"/>
          <w:lang w:val="en-GB"/>
        </w:rPr>
        <w:t>ity</w:t>
      </w:r>
      <w:r w:rsidR="00223412" w:rsidRPr="00E73DD9">
        <w:rPr>
          <w:rFonts w:ascii="Arial" w:hAnsi="Arial" w:cs="Arial"/>
          <w:sz w:val="24"/>
          <w:szCs w:val="24"/>
          <w:lang w:val="en-GB"/>
        </w:rPr>
        <w:t xml:space="preserve">. </w:t>
      </w:r>
      <w:r w:rsidR="0034714B" w:rsidRPr="00E73DD9">
        <w:rPr>
          <w:rFonts w:ascii="Arial" w:hAnsi="Arial" w:cs="Arial"/>
          <w:sz w:val="24"/>
          <w:szCs w:val="24"/>
          <w:lang w:val="en-GB"/>
        </w:rPr>
        <w:t>Also, c</w:t>
      </w:r>
      <w:r w:rsidR="00223412" w:rsidRPr="00E73DD9">
        <w:rPr>
          <w:rFonts w:ascii="Arial" w:hAnsi="Arial" w:cs="Arial"/>
          <w:sz w:val="24"/>
          <w:szCs w:val="24"/>
          <w:lang w:val="en-GB"/>
        </w:rPr>
        <w:t>onsultation checklists,</w:t>
      </w:r>
      <w:r w:rsidR="0034714B" w:rsidRPr="00E73DD9">
        <w:rPr>
          <w:rFonts w:ascii="Arial" w:hAnsi="Arial" w:cs="Arial"/>
          <w:sz w:val="24"/>
          <w:szCs w:val="24"/>
          <w:lang w:val="en-GB"/>
        </w:rPr>
        <w:t xml:space="preserve"> clear timelines</w:t>
      </w:r>
      <w:r w:rsidR="00223412" w:rsidRPr="00E73DD9">
        <w:rPr>
          <w:rFonts w:ascii="Arial" w:hAnsi="Arial" w:cs="Arial"/>
          <w:sz w:val="24"/>
          <w:szCs w:val="24"/>
          <w:lang w:val="en-GB"/>
        </w:rPr>
        <w:t xml:space="preserve">, guidance for managers, and </w:t>
      </w:r>
      <w:r w:rsidR="0034714B" w:rsidRPr="00E73DD9">
        <w:rPr>
          <w:rFonts w:ascii="Arial" w:hAnsi="Arial" w:cs="Arial"/>
          <w:sz w:val="24"/>
          <w:szCs w:val="24"/>
          <w:lang w:val="en-GB"/>
        </w:rPr>
        <w:t>HR legal</w:t>
      </w:r>
      <w:r w:rsidR="00223412" w:rsidRPr="00E73DD9">
        <w:rPr>
          <w:rFonts w:ascii="Arial" w:hAnsi="Arial" w:cs="Arial"/>
          <w:sz w:val="24"/>
          <w:szCs w:val="24"/>
          <w:lang w:val="en-GB"/>
        </w:rPr>
        <w:t xml:space="preserve"> </w:t>
      </w:r>
      <w:r w:rsidR="0034714B" w:rsidRPr="00E73DD9">
        <w:rPr>
          <w:rFonts w:ascii="Arial" w:hAnsi="Arial" w:cs="Arial"/>
          <w:sz w:val="24"/>
          <w:szCs w:val="24"/>
          <w:lang w:val="en-GB"/>
        </w:rPr>
        <w:t>approval</w:t>
      </w:r>
      <w:r w:rsidR="00223412" w:rsidRPr="00E73DD9">
        <w:rPr>
          <w:rFonts w:ascii="Arial" w:hAnsi="Arial" w:cs="Arial"/>
          <w:sz w:val="24"/>
          <w:szCs w:val="24"/>
          <w:lang w:val="en-GB"/>
        </w:rPr>
        <w:t xml:space="preserve"> prior to implementing significant organisational changes are recommended.</w:t>
      </w:r>
      <w:r w:rsidR="0034714B" w:rsidRPr="00E73DD9">
        <w:rPr>
          <w:rFonts w:ascii="Arial" w:hAnsi="Arial" w:cs="Arial"/>
          <w:sz w:val="24"/>
          <w:szCs w:val="24"/>
          <w:lang w:val="en-GB"/>
        </w:rPr>
        <w:t xml:space="preserve"> </w:t>
      </w:r>
      <w:r w:rsidR="00223412" w:rsidRPr="00E73DD9">
        <w:rPr>
          <w:rFonts w:ascii="Arial" w:hAnsi="Arial" w:cs="Arial"/>
          <w:sz w:val="24"/>
          <w:szCs w:val="24"/>
          <w:lang w:val="en-GB"/>
        </w:rPr>
        <w:t xml:space="preserve">Elmbridge should </w:t>
      </w:r>
      <w:r w:rsidR="0034714B" w:rsidRPr="00E73DD9">
        <w:rPr>
          <w:rFonts w:ascii="Arial" w:hAnsi="Arial" w:cs="Arial"/>
          <w:sz w:val="24"/>
          <w:szCs w:val="24"/>
          <w:lang w:val="en-GB"/>
        </w:rPr>
        <w:t xml:space="preserve">also strengthen </w:t>
      </w:r>
      <w:r w:rsidR="00223412" w:rsidRPr="00E73DD9">
        <w:rPr>
          <w:rFonts w:ascii="Arial" w:hAnsi="Arial" w:cs="Arial"/>
          <w:sz w:val="24"/>
          <w:szCs w:val="24"/>
          <w:lang w:val="en-GB"/>
        </w:rPr>
        <w:t>employee voice through regular for</w:t>
      </w:r>
      <w:r w:rsidR="0034714B" w:rsidRPr="00E73DD9">
        <w:rPr>
          <w:rFonts w:ascii="Arial" w:hAnsi="Arial" w:cs="Arial"/>
          <w:sz w:val="24"/>
          <w:szCs w:val="24"/>
          <w:lang w:val="en-GB"/>
        </w:rPr>
        <w:t>u</w:t>
      </w:r>
      <w:r w:rsidR="00223412" w:rsidRPr="00E73DD9">
        <w:rPr>
          <w:rFonts w:ascii="Arial" w:hAnsi="Arial" w:cs="Arial"/>
          <w:sz w:val="24"/>
          <w:szCs w:val="24"/>
          <w:lang w:val="en-GB"/>
        </w:rPr>
        <w:t>ms, listening groups</w:t>
      </w:r>
      <w:r w:rsidR="0034714B" w:rsidRPr="00E73DD9">
        <w:rPr>
          <w:rFonts w:ascii="Arial" w:hAnsi="Arial" w:cs="Arial"/>
          <w:sz w:val="24"/>
          <w:szCs w:val="24"/>
          <w:lang w:val="en-GB"/>
        </w:rPr>
        <w:t>,</w:t>
      </w:r>
      <w:r w:rsidR="00223412" w:rsidRPr="00E73DD9">
        <w:rPr>
          <w:rFonts w:ascii="Arial" w:hAnsi="Arial" w:cs="Arial"/>
          <w:sz w:val="24"/>
          <w:szCs w:val="24"/>
          <w:lang w:val="en-GB"/>
        </w:rPr>
        <w:t xml:space="preserve"> and suggestion</w:t>
      </w:r>
      <w:r w:rsidR="0034714B" w:rsidRPr="00E73DD9">
        <w:rPr>
          <w:rFonts w:ascii="Arial" w:hAnsi="Arial" w:cs="Arial"/>
          <w:sz w:val="24"/>
          <w:szCs w:val="24"/>
          <w:lang w:val="en-GB"/>
        </w:rPr>
        <w:t xml:space="preserve"> mechanisms, with</w:t>
      </w:r>
      <w:r w:rsidR="00223412" w:rsidRPr="00E73DD9">
        <w:rPr>
          <w:rFonts w:ascii="Arial" w:hAnsi="Arial" w:cs="Arial"/>
          <w:sz w:val="24"/>
          <w:szCs w:val="24"/>
          <w:lang w:val="en-GB"/>
        </w:rPr>
        <w:t xml:space="preserve"> visible</w:t>
      </w:r>
      <w:r w:rsidR="0034714B" w:rsidRPr="00E73DD9">
        <w:rPr>
          <w:rFonts w:ascii="Arial" w:hAnsi="Arial" w:cs="Arial"/>
          <w:sz w:val="24"/>
          <w:szCs w:val="24"/>
          <w:lang w:val="en-GB"/>
        </w:rPr>
        <w:t xml:space="preserve"> follow-up</w:t>
      </w:r>
      <w:r w:rsidR="00223412" w:rsidRPr="00E73DD9">
        <w:rPr>
          <w:rFonts w:ascii="Arial" w:hAnsi="Arial" w:cs="Arial"/>
          <w:sz w:val="24"/>
          <w:szCs w:val="24"/>
          <w:lang w:val="en-GB"/>
        </w:rPr>
        <w:t xml:space="preserve"> actions </w:t>
      </w:r>
      <w:r w:rsidR="0034714B" w:rsidRPr="00E73DD9">
        <w:rPr>
          <w:rFonts w:ascii="Arial" w:hAnsi="Arial" w:cs="Arial"/>
          <w:sz w:val="24"/>
          <w:szCs w:val="24"/>
          <w:lang w:val="en-GB"/>
        </w:rPr>
        <w:t xml:space="preserve">demonstrating responsiveness to </w:t>
      </w:r>
      <w:r w:rsidR="00223412" w:rsidRPr="00E73DD9">
        <w:rPr>
          <w:rFonts w:ascii="Arial" w:hAnsi="Arial" w:cs="Arial"/>
          <w:sz w:val="24"/>
          <w:szCs w:val="24"/>
          <w:lang w:val="en-GB"/>
        </w:rPr>
        <w:t xml:space="preserve">employee concerns (Rees </w:t>
      </w:r>
      <w:r w:rsidR="00223412" w:rsidRPr="00E73DD9">
        <w:rPr>
          <w:rFonts w:ascii="Arial" w:hAnsi="Arial" w:cs="Arial"/>
          <w:i/>
          <w:iCs/>
          <w:sz w:val="24"/>
          <w:szCs w:val="24"/>
          <w:lang w:val="en-GB"/>
        </w:rPr>
        <w:t>et al</w:t>
      </w:r>
      <w:r w:rsidR="00223412" w:rsidRPr="00E73DD9">
        <w:rPr>
          <w:rFonts w:ascii="Arial" w:hAnsi="Arial" w:cs="Arial"/>
          <w:sz w:val="24"/>
          <w:szCs w:val="24"/>
          <w:lang w:val="en-GB"/>
        </w:rPr>
        <w:t xml:space="preserve">., 2013; Mowbray </w:t>
      </w:r>
      <w:r w:rsidR="00223412" w:rsidRPr="00E73DD9">
        <w:rPr>
          <w:rFonts w:ascii="Arial" w:hAnsi="Arial" w:cs="Arial"/>
          <w:i/>
          <w:iCs/>
          <w:sz w:val="24"/>
          <w:szCs w:val="24"/>
          <w:lang w:val="en-GB"/>
        </w:rPr>
        <w:t>et al</w:t>
      </w:r>
      <w:r w:rsidR="00223412" w:rsidRPr="00E73DD9">
        <w:rPr>
          <w:rFonts w:ascii="Arial" w:hAnsi="Arial" w:cs="Arial"/>
          <w:sz w:val="24"/>
          <w:szCs w:val="24"/>
          <w:lang w:val="en-GB"/>
        </w:rPr>
        <w:t xml:space="preserve">., 2021). </w:t>
      </w:r>
      <w:r w:rsidR="0034714B" w:rsidRPr="00E73DD9">
        <w:rPr>
          <w:rFonts w:ascii="Arial" w:eastAsia="Times New Roman" w:hAnsi="Arial" w:cs="Arial"/>
          <w:kern w:val="0"/>
          <w:sz w:val="24"/>
          <w:szCs w:val="24"/>
          <w:lang w:eastAsia="en-CA"/>
          <w14:ligatures w14:val="none"/>
        </w:rPr>
        <w:t xml:space="preserve">In addition, Elmbridge should reopen discussions with the AEU regarding voluntary recognition or partnership arrangements. </w:t>
      </w:r>
      <w:r w:rsidR="0034714B" w:rsidRPr="00E73DD9">
        <w:rPr>
          <w:rFonts w:ascii="Arial" w:hAnsi="Arial" w:cs="Arial"/>
          <w:sz w:val="24"/>
          <w:szCs w:val="24"/>
        </w:rPr>
        <w:t>This should therefore be the third priority, supporting future outsourcing activity, reducing TUPE-related liability, and improving overall workplace relations.</w:t>
      </w:r>
    </w:p>
    <w:p w14:paraId="2ECBDF34" w14:textId="77777777" w:rsidR="00223412" w:rsidRPr="00E73DD9" w:rsidRDefault="00223412" w:rsidP="00D70B4C">
      <w:pPr>
        <w:pStyle w:val="Heading3"/>
        <w:rPr>
          <w:lang w:val="en-GB"/>
        </w:rPr>
      </w:pPr>
      <w:bookmarkStart w:id="24" w:name="_Toc229389719"/>
      <w:r w:rsidRPr="00E73DD9">
        <w:rPr>
          <w:lang w:val="en-GB"/>
        </w:rPr>
        <w:t>Implementation timetable</w:t>
      </w:r>
      <w:bookmarkEnd w:id="24"/>
      <w:r w:rsidRPr="00E73DD9">
        <w:rPr>
          <w:lang w:val="en-GB"/>
        </w:rPr>
        <w:t xml:space="preserve"> </w:t>
      </w:r>
    </w:p>
    <w:p w14:paraId="5E3E9B7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 xml:space="preserve">TUPE checklist introduced immediately </w:t>
      </w:r>
    </w:p>
    <w:p w14:paraId="22DE17D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Change approval process within 60 days</w:t>
      </w:r>
    </w:p>
    <w:p w14:paraId="3D4477A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Employee forums launched across all sites within 4 months</w:t>
      </w:r>
    </w:p>
    <w:p w14:paraId="06AE390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Quartey listening groups within 4 months</w:t>
      </w:r>
    </w:p>
    <w:p w14:paraId="64CD82D9"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AEU recognition review within 6 months</w:t>
      </w:r>
    </w:p>
    <w:p w14:paraId="4E6CE679" w14:textId="62A8D62E" w:rsidR="00B673DC" w:rsidRPr="00E73DD9" w:rsidRDefault="00223412" w:rsidP="00E175CC">
      <w:pPr>
        <w:numPr>
          <w:ilvl w:val="0"/>
          <w:numId w:val="11"/>
        </w:numPr>
        <w:contextualSpacing/>
        <w:rPr>
          <w:rFonts w:ascii="Arial" w:hAnsi="Arial" w:cs="Arial"/>
          <w:sz w:val="24"/>
          <w:szCs w:val="24"/>
          <w:lang w:val="en-GB"/>
        </w:rPr>
      </w:pPr>
      <w:r w:rsidRPr="00E73DD9">
        <w:rPr>
          <w:rFonts w:ascii="Arial" w:hAnsi="Arial" w:cs="Arial"/>
          <w:sz w:val="24"/>
          <w:szCs w:val="24"/>
          <w:lang w:val="en-GB"/>
        </w:rPr>
        <w:t>Full framework review after 12 months</w:t>
      </w:r>
    </w:p>
    <w:p w14:paraId="2643BC92" w14:textId="77777777" w:rsidR="00E175CC" w:rsidRPr="00E73DD9" w:rsidRDefault="00E175CC" w:rsidP="00E175CC">
      <w:pPr>
        <w:ind w:left="720"/>
        <w:contextualSpacing/>
        <w:rPr>
          <w:rFonts w:ascii="Arial" w:hAnsi="Arial" w:cs="Arial"/>
          <w:sz w:val="24"/>
          <w:szCs w:val="24"/>
          <w:lang w:val="en-GB"/>
        </w:rPr>
      </w:pPr>
    </w:p>
    <w:p w14:paraId="1715402E" w14:textId="1B16A2B6" w:rsidR="00223412" w:rsidRPr="00E73DD9" w:rsidRDefault="00223412" w:rsidP="00D70B4C">
      <w:pPr>
        <w:pStyle w:val="Heading3"/>
        <w:rPr>
          <w:lang w:val="en-GB"/>
        </w:rPr>
      </w:pPr>
      <w:bookmarkStart w:id="25" w:name="_Toc229389720"/>
      <w:r w:rsidRPr="00E73DD9">
        <w:rPr>
          <w:lang w:val="en-GB"/>
        </w:rPr>
        <w:t>Indicative First year cost</w:t>
      </w:r>
      <w:bookmarkEnd w:id="25"/>
      <w:r w:rsidRPr="00E73DD9">
        <w:rPr>
          <w:lang w:val="en-GB"/>
        </w:rPr>
        <w:t xml:space="preserve"> </w:t>
      </w:r>
    </w:p>
    <w:p w14:paraId="254BDD5C" w14:textId="77777777" w:rsidR="00223412" w:rsidRPr="00E73DD9" w:rsidRDefault="00223412" w:rsidP="00223412">
      <w:pPr>
        <w:rPr>
          <w:rFonts w:ascii="Arial" w:hAnsi="Arial" w:cs="Arial"/>
          <w:sz w:val="24"/>
          <w:szCs w:val="24"/>
          <w:lang w:val="en-GB"/>
        </w:rPr>
      </w:pPr>
      <w:r w:rsidRPr="00E73DD9">
        <w:rPr>
          <w:rFonts w:ascii="Arial" w:hAnsi="Arial" w:cs="Arial"/>
          <w:sz w:val="24"/>
          <w:szCs w:val="24"/>
          <w:lang w:val="en-GB"/>
        </w:rPr>
        <w:t>£45,000 – £65,000</w:t>
      </w:r>
    </w:p>
    <w:p w14:paraId="6A77D22F" w14:textId="77777777" w:rsidR="00223412" w:rsidRPr="00E73DD9" w:rsidRDefault="00223412" w:rsidP="00D70B4C">
      <w:pPr>
        <w:pStyle w:val="Heading3"/>
        <w:rPr>
          <w:lang w:val="en-GB"/>
        </w:rPr>
      </w:pPr>
      <w:bookmarkStart w:id="26" w:name="_Toc229389721"/>
      <w:r w:rsidRPr="00E73DD9">
        <w:rPr>
          <w:lang w:val="en-GB"/>
        </w:rPr>
        <w:t>Success measures</w:t>
      </w:r>
      <w:bookmarkEnd w:id="26"/>
      <w:r w:rsidRPr="00E73DD9">
        <w:rPr>
          <w:lang w:val="en-GB"/>
        </w:rPr>
        <w:t xml:space="preserve"> </w:t>
      </w:r>
    </w:p>
    <w:p w14:paraId="11C74505"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Zero TUPE consultation breaches</w:t>
      </w:r>
    </w:p>
    <w:p w14:paraId="24AF9288"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 xml:space="preserve">100% consultation compliance </w:t>
      </w:r>
    </w:p>
    <w:p w14:paraId="7E952A58"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10% improvement in engagement/ voice scores</w:t>
      </w:r>
    </w:p>
    <w:p w14:paraId="3B8661FD"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 xml:space="preserve">Reduction in grievance volumes </w:t>
      </w:r>
    </w:p>
    <w:p w14:paraId="2D69EFAB"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Employee forum attendance above 70%</w:t>
      </w:r>
    </w:p>
    <w:p w14:paraId="541C34E8"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Faster dispute resolution times</w:t>
      </w:r>
    </w:p>
    <w:p w14:paraId="5926948D" w14:textId="3102027C" w:rsidR="00223412" w:rsidRPr="00E73DD9" w:rsidRDefault="009635B8"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 xml:space="preserve">Fewer </w:t>
      </w:r>
      <w:r w:rsidR="00223412" w:rsidRPr="00E73DD9">
        <w:rPr>
          <w:rFonts w:ascii="Arial" w:hAnsi="Arial" w:cs="Arial"/>
          <w:sz w:val="24"/>
          <w:szCs w:val="24"/>
          <w:lang w:val="en-GB"/>
        </w:rPr>
        <w:t>tribunal claims linked to consultation failures</w:t>
      </w:r>
    </w:p>
    <w:p w14:paraId="796FBD82" w14:textId="77777777" w:rsidR="009635B8" w:rsidRPr="00E73DD9" w:rsidRDefault="009635B8" w:rsidP="00223412">
      <w:pPr>
        <w:rPr>
          <w:rFonts w:ascii="Arial" w:hAnsi="Arial" w:cs="Arial"/>
          <w:sz w:val="24"/>
          <w:szCs w:val="24"/>
          <w:lang w:val="en-GB"/>
        </w:rPr>
      </w:pPr>
    </w:p>
    <w:p w14:paraId="1D1FCE3D" w14:textId="0FA5E29E" w:rsidR="009635B8" w:rsidRPr="00E73DD9" w:rsidRDefault="009635B8" w:rsidP="00E175CC">
      <w:pPr>
        <w:rPr>
          <w:rFonts w:ascii="Arial" w:hAnsi="Arial" w:cs="Arial"/>
          <w:sz w:val="24"/>
          <w:szCs w:val="24"/>
          <w:lang w:val="en-GB"/>
        </w:rPr>
      </w:pPr>
      <w:r w:rsidRPr="00E73DD9">
        <w:rPr>
          <w:rFonts w:ascii="Arial" w:hAnsi="Arial" w:cs="Arial"/>
          <w:sz w:val="24"/>
          <w:szCs w:val="24"/>
          <w:lang w:val="en-GB"/>
        </w:rPr>
        <w:lastRenderedPageBreak/>
        <w:t xml:space="preserve">These </w:t>
      </w:r>
      <w:r w:rsidR="00223412" w:rsidRPr="00E73DD9">
        <w:rPr>
          <w:rFonts w:ascii="Arial" w:hAnsi="Arial" w:cs="Arial"/>
          <w:sz w:val="24"/>
          <w:szCs w:val="24"/>
          <w:lang w:val="en-GB"/>
        </w:rPr>
        <w:t xml:space="preserve">KPIs are </w:t>
      </w:r>
      <w:r w:rsidRPr="00E73DD9">
        <w:rPr>
          <w:rFonts w:ascii="Arial" w:hAnsi="Arial" w:cs="Arial"/>
          <w:sz w:val="24"/>
          <w:szCs w:val="24"/>
          <w:lang w:val="en-GB"/>
        </w:rPr>
        <w:t>informed</w:t>
      </w:r>
      <w:r w:rsidR="00223412" w:rsidRPr="00E73DD9">
        <w:rPr>
          <w:rFonts w:ascii="Arial" w:hAnsi="Arial" w:cs="Arial"/>
          <w:sz w:val="24"/>
          <w:szCs w:val="24"/>
          <w:lang w:val="en-GB"/>
        </w:rPr>
        <w:t xml:space="preserve"> by evidence linking effective consultation and employee voice with improved organisational outcomes (CIPD, 2024b; CIPD, 2026a). </w:t>
      </w:r>
    </w:p>
    <w:p w14:paraId="6AEC5B51" w14:textId="29C59CDF" w:rsidR="00223412" w:rsidRPr="00223412" w:rsidRDefault="00223412" w:rsidP="00D70B4C">
      <w:pPr>
        <w:pStyle w:val="Heading2"/>
        <w:rPr>
          <w:lang w:val="en-GB"/>
        </w:rPr>
      </w:pPr>
      <w:bookmarkStart w:id="27" w:name="_Toc229389722"/>
      <w:r w:rsidRPr="00223412">
        <w:rPr>
          <w:lang w:val="en-GB"/>
        </w:rPr>
        <w:t>Overall Investments Case</w:t>
      </w:r>
      <w:bookmarkEnd w:id="27"/>
    </w:p>
    <w:p w14:paraId="706F1F0D" w14:textId="6330E845" w:rsidR="000122E4" w:rsidRPr="00E73DD9" w:rsidRDefault="00DA353A">
      <w:pPr>
        <w:rPr>
          <w:rFonts w:ascii="Arial" w:hAnsi="Arial" w:cs="Arial"/>
          <w:sz w:val="24"/>
          <w:szCs w:val="24"/>
        </w:rPr>
      </w:pPr>
      <w:r w:rsidRPr="00E73DD9">
        <w:rPr>
          <w:rFonts w:ascii="Arial" w:hAnsi="Arial" w:cs="Arial"/>
          <w:sz w:val="24"/>
          <w:szCs w:val="24"/>
        </w:rPr>
        <w:t>A combined first-year investment of approximately £285,000–£260,000 is likely to be offset by reduced tribunal exposure, lower turnover, decreased sickness absence, reduced agency reliance, and improved managerial focus on productivity and quality.</w:t>
      </w:r>
    </w:p>
    <w:p w14:paraId="7B38DEDB" w14:textId="77777777" w:rsidR="00DA353A" w:rsidRPr="00E73DD9" w:rsidRDefault="00DA353A">
      <w:pPr>
        <w:rPr>
          <w:rFonts w:ascii="Arial" w:hAnsi="Arial" w:cs="Arial"/>
          <w:sz w:val="24"/>
          <w:szCs w:val="24"/>
        </w:rPr>
      </w:pPr>
    </w:p>
    <w:p w14:paraId="3F7555C0" w14:textId="77777777" w:rsidR="00E175CC" w:rsidRDefault="00E175CC">
      <w:pPr>
        <w:rPr>
          <w:rFonts w:ascii="Times New Roman" w:hAnsi="Times New Roman" w:cs="Times New Roman"/>
          <w:sz w:val="24"/>
          <w:szCs w:val="24"/>
        </w:rPr>
      </w:pPr>
    </w:p>
    <w:p w14:paraId="04B1730C" w14:textId="77777777" w:rsidR="00E175CC" w:rsidRDefault="00E175CC">
      <w:pPr>
        <w:rPr>
          <w:rFonts w:ascii="Times New Roman" w:hAnsi="Times New Roman" w:cs="Times New Roman"/>
          <w:sz w:val="24"/>
          <w:szCs w:val="24"/>
        </w:rPr>
      </w:pPr>
    </w:p>
    <w:p w14:paraId="16EC75BE" w14:textId="77777777" w:rsidR="00E175CC" w:rsidRDefault="00E175CC">
      <w:pPr>
        <w:rPr>
          <w:rFonts w:ascii="Times New Roman" w:hAnsi="Times New Roman" w:cs="Times New Roman"/>
          <w:sz w:val="24"/>
          <w:szCs w:val="24"/>
        </w:rPr>
      </w:pPr>
    </w:p>
    <w:p w14:paraId="72A5D92B" w14:textId="77777777" w:rsidR="00E175CC" w:rsidRDefault="00E175CC">
      <w:pPr>
        <w:rPr>
          <w:rFonts w:ascii="Times New Roman" w:hAnsi="Times New Roman" w:cs="Times New Roman"/>
          <w:sz w:val="24"/>
          <w:szCs w:val="24"/>
        </w:rPr>
      </w:pPr>
    </w:p>
    <w:p w14:paraId="305D9F2D" w14:textId="77777777" w:rsidR="00E175CC" w:rsidRDefault="00E175CC">
      <w:pPr>
        <w:rPr>
          <w:rFonts w:ascii="Times New Roman" w:hAnsi="Times New Roman" w:cs="Times New Roman"/>
          <w:sz w:val="24"/>
          <w:szCs w:val="24"/>
        </w:rPr>
      </w:pPr>
    </w:p>
    <w:p w14:paraId="1195FE66" w14:textId="77777777" w:rsidR="00E175CC" w:rsidRDefault="00E175CC">
      <w:pPr>
        <w:rPr>
          <w:rFonts w:ascii="Times New Roman" w:hAnsi="Times New Roman" w:cs="Times New Roman"/>
          <w:sz w:val="24"/>
          <w:szCs w:val="24"/>
        </w:rPr>
      </w:pPr>
    </w:p>
    <w:p w14:paraId="2A1AC047" w14:textId="77777777" w:rsidR="00E175CC" w:rsidRDefault="00E175CC">
      <w:pPr>
        <w:rPr>
          <w:rFonts w:ascii="Times New Roman" w:hAnsi="Times New Roman" w:cs="Times New Roman"/>
          <w:sz w:val="24"/>
          <w:szCs w:val="24"/>
        </w:rPr>
      </w:pPr>
    </w:p>
    <w:p w14:paraId="7A44CC54" w14:textId="77777777" w:rsidR="00E175CC" w:rsidRDefault="00E175CC">
      <w:pPr>
        <w:rPr>
          <w:rFonts w:ascii="Times New Roman" w:hAnsi="Times New Roman" w:cs="Times New Roman"/>
          <w:sz w:val="24"/>
          <w:szCs w:val="24"/>
        </w:rPr>
      </w:pPr>
    </w:p>
    <w:p w14:paraId="3BBA4CCD" w14:textId="77777777" w:rsidR="00E175CC" w:rsidRDefault="00E175CC">
      <w:pPr>
        <w:rPr>
          <w:rFonts w:ascii="Times New Roman" w:hAnsi="Times New Roman" w:cs="Times New Roman"/>
          <w:sz w:val="24"/>
          <w:szCs w:val="24"/>
        </w:rPr>
      </w:pPr>
    </w:p>
    <w:p w14:paraId="116B4DBC" w14:textId="77777777" w:rsidR="00E175CC" w:rsidRDefault="00E175CC">
      <w:pPr>
        <w:rPr>
          <w:rFonts w:ascii="Times New Roman" w:hAnsi="Times New Roman" w:cs="Times New Roman"/>
          <w:sz w:val="24"/>
          <w:szCs w:val="24"/>
        </w:rPr>
      </w:pPr>
    </w:p>
    <w:p w14:paraId="627532C1" w14:textId="77777777" w:rsidR="00E175CC" w:rsidRDefault="00E175CC">
      <w:pPr>
        <w:rPr>
          <w:rFonts w:ascii="Times New Roman" w:hAnsi="Times New Roman" w:cs="Times New Roman"/>
          <w:sz w:val="24"/>
          <w:szCs w:val="24"/>
        </w:rPr>
      </w:pPr>
    </w:p>
    <w:p w14:paraId="52220BED" w14:textId="77777777" w:rsidR="00E175CC" w:rsidRDefault="00E175CC">
      <w:pPr>
        <w:rPr>
          <w:rFonts w:ascii="Times New Roman" w:hAnsi="Times New Roman" w:cs="Times New Roman"/>
          <w:sz w:val="24"/>
          <w:szCs w:val="24"/>
        </w:rPr>
      </w:pPr>
    </w:p>
    <w:p w14:paraId="00F0CC41" w14:textId="77777777" w:rsidR="00E175CC" w:rsidRDefault="00E175CC">
      <w:pPr>
        <w:rPr>
          <w:rFonts w:ascii="Times New Roman" w:hAnsi="Times New Roman" w:cs="Times New Roman"/>
          <w:sz w:val="24"/>
          <w:szCs w:val="24"/>
        </w:rPr>
      </w:pPr>
    </w:p>
    <w:p w14:paraId="0024EBF6" w14:textId="77777777" w:rsidR="00E175CC" w:rsidRDefault="00E175CC">
      <w:pPr>
        <w:rPr>
          <w:rFonts w:ascii="Times New Roman" w:hAnsi="Times New Roman" w:cs="Times New Roman"/>
          <w:sz w:val="24"/>
          <w:szCs w:val="24"/>
        </w:rPr>
      </w:pPr>
    </w:p>
    <w:p w14:paraId="0BA98BF8" w14:textId="77777777" w:rsidR="00E175CC" w:rsidRDefault="00E175CC">
      <w:pPr>
        <w:rPr>
          <w:rFonts w:ascii="Times New Roman" w:hAnsi="Times New Roman" w:cs="Times New Roman"/>
          <w:sz w:val="24"/>
          <w:szCs w:val="24"/>
        </w:rPr>
      </w:pPr>
    </w:p>
    <w:p w14:paraId="6B39F53D" w14:textId="77777777" w:rsidR="00E175CC" w:rsidRDefault="00E175CC">
      <w:pPr>
        <w:rPr>
          <w:rFonts w:ascii="Times New Roman" w:hAnsi="Times New Roman" w:cs="Times New Roman"/>
          <w:sz w:val="24"/>
          <w:szCs w:val="24"/>
        </w:rPr>
      </w:pPr>
    </w:p>
    <w:p w14:paraId="00605F42" w14:textId="77777777" w:rsidR="00E175CC" w:rsidRDefault="00E175CC">
      <w:pPr>
        <w:rPr>
          <w:rFonts w:ascii="Times New Roman" w:hAnsi="Times New Roman" w:cs="Times New Roman"/>
          <w:sz w:val="24"/>
          <w:szCs w:val="24"/>
        </w:rPr>
      </w:pPr>
    </w:p>
    <w:p w14:paraId="1D5FDEC7" w14:textId="77777777" w:rsidR="00E175CC" w:rsidRDefault="00E175CC">
      <w:pPr>
        <w:rPr>
          <w:rFonts w:ascii="Times New Roman" w:hAnsi="Times New Roman" w:cs="Times New Roman"/>
          <w:sz w:val="24"/>
          <w:szCs w:val="24"/>
        </w:rPr>
      </w:pPr>
    </w:p>
    <w:p w14:paraId="317AB5C8" w14:textId="77777777" w:rsidR="00E175CC" w:rsidRDefault="00E175CC">
      <w:pPr>
        <w:rPr>
          <w:rFonts w:ascii="Times New Roman" w:hAnsi="Times New Roman" w:cs="Times New Roman"/>
          <w:sz w:val="24"/>
          <w:szCs w:val="24"/>
        </w:rPr>
      </w:pPr>
    </w:p>
    <w:p w14:paraId="431273ED" w14:textId="77777777" w:rsidR="00E175CC" w:rsidRDefault="00E175CC">
      <w:pPr>
        <w:rPr>
          <w:rFonts w:ascii="Times New Roman" w:hAnsi="Times New Roman" w:cs="Times New Roman"/>
          <w:sz w:val="24"/>
          <w:szCs w:val="24"/>
        </w:rPr>
      </w:pPr>
    </w:p>
    <w:p w14:paraId="4073B28F" w14:textId="77777777" w:rsidR="00E175CC" w:rsidRDefault="00E175CC">
      <w:pPr>
        <w:rPr>
          <w:rFonts w:ascii="Times New Roman" w:hAnsi="Times New Roman" w:cs="Times New Roman"/>
          <w:sz w:val="24"/>
          <w:szCs w:val="24"/>
        </w:rPr>
      </w:pPr>
    </w:p>
    <w:p w14:paraId="55480774" w14:textId="77777777" w:rsidR="00DA353A" w:rsidRPr="00D70B4C" w:rsidRDefault="00DA353A" w:rsidP="00D70B4C">
      <w:pPr>
        <w:pStyle w:val="Heading1"/>
      </w:pPr>
      <w:bookmarkStart w:id="28" w:name="_Toc229389723"/>
      <w:r w:rsidRPr="00D70B4C">
        <w:lastRenderedPageBreak/>
        <w:t>Conclusions</w:t>
      </w:r>
      <w:bookmarkEnd w:id="28"/>
      <w:r w:rsidRPr="00D70B4C">
        <w:t xml:space="preserve"> </w:t>
      </w:r>
    </w:p>
    <w:p w14:paraId="1F8F6D9A" w14:textId="79032FF6" w:rsidR="00CE4209" w:rsidRPr="00E73DD9" w:rsidRDefault="00DA353A" w:rsidP="00E175CC">
      <w:pPr>
        <w:rPr>
          <w:rFonts w:ascii="Arial" w:eastAsia="Times New Roman" w:hAnsi="Arial" w:cs="Arial"/>
          <w:kern w:val="0"/>
          <w:sz w:val="24"/>
          <w:szCs w:val="24"/>
          <w:lang w:eastAsia="en-CA"/>
          <w14:ligatures w14:val="none"/>
        </w:rPr>
      </w:pPr>
      <w:r w:rsidRPr="00E73DD9">
        <w:rPr>
          <w:rFonts w:ascii="Arial" w:hAnsi="Arial" w:cs="Arial"/>
          <w:sz w:val="24"/>
          <w:szCs w:val="24"/>
        </w:rPr>
        <w:t xml:space="preserve">Elmbridge Electronics Ltd faces significant employment law and employee relations risks arising from a reactive HR function. Inconsistent management practices and related </w:t>
      </w:r>
      <w:r w:rsidR="00CE4209" w:rsidRPr="00E73DD9">
        <w:rPr>
          <w:rFonts w:ascii="Arial" w:hAnsi="Arial" w:cs="Arial"/>
          <w:sz w:val="24"/>
          <w:szCs w:val="24"/>
        </w:rPr>
        <w:t>disputes, including</w:t>
      </w:r>
      <w:r w:rsidRPr="00E73DD9">
        <w:rPr>
          <w:rFonts w:ascii="Arial" w:hAnsi="Arial" w:cs="Arial"/>
          <w:sz w:val="24"/>
          <w:szCs w:val="24"/>
        </w:rPr>
        <w:t xml:space="preserve"> harassment, TUPE breaches, insecure working arrangements, and wider workplace </w:t>
      </w:r>
      <w:r w:rsidR="004B29AC" w:rsidRPr="00E73DD9">
        <w:rPr>
          <w:rFonts w:ascii="Arial" w:hAnsi="Arial" w:cs="Arial"/>
          <w:sz w:val="24"/>
          <w:szCs w:val="24"/>
        </w:rPr>
        <w:t>conflict, indicate</w:t>
      </w:r>
      <w:r w:rsidRPr="00E73DD9">
        <w:rPr>
          <w:rFonts w:ascii="Arial" w:hAnsi="Arial" w:cs="Arial"/>
          <w:sz w:val="24"/>
          <w:szCs w:val="24"/>
        </w:rPr>
        <w:t xml:space="preserve"> a strong </w:t>
      </w:r>
      <w:r w:rsidR="004B29AC" w:rsidRPr="00E73DD9">
        <w:rPr>
          <w:rFonts w:ascii="Arial" w:hAnsi="Arial" w:cs="Arial"/>
          <w:sz w:val="24"/>
          <w:szCs w:val="24"/>
        </w:rPr>
        <w:t>link between</w:t>
      </w:r>
      <w:r w:rsidRPr="00E73DD9">
        <w:rPr>
          <w:rFonts w:ascii="Arial" w:hAnsi="Arial" w:cs="Arial"/>
          <w:sz w:val="24"/>
          <w:szCs w:val="24"/>
        </w:rPr>
        <w:t xml:space="preserve"> legal risk and </w:t>
      </w:r>
      <w:r w:rsidR="00CE4209" w:rsidRPr="00E73DD9">
        <w:rPr>
          <w:rFonts w:ascii="Arial" w:hAnsi="Arial" w:cs="Arial"/>
          <w:sz w:val="24"/>
          <w:szCs w:val="24"/>
        </w:rPr>
        <w:t xml:space="preserve">underlying </w:t>
      </w:r>
      <w:r w:rsidRPr="00E73DD9">
        <w:rPr>
          <w:rFonts w:ascii="Arial" w:hAnsi="Arial" w:cs="Arial"/>
          <w:sz w:val="24"/>
          <w:szCs w:val="24"/>
        </w:rPr>
        <w:t>organisational weakness. Unless the</w:t>
      </w:r>
      <w:r w:rsidR="00CE4209" w:rsidRPr="00E73DD9">
        <w:rPr>
          <w:rFonts w:ascii="Arial" w:hAnsi="Arial" w:cs="Arial"/>
          <w:sz w:val="24"/>
          <w:szCs w:val="24"/>
        </w:rPr>
        <w:t>se</w:t>
      </w:r>
      <w:r w:rsidRPr="00E73DD9">
        <w:rPr>
          <w:rFonts w:ascii="Arial" w:hAnsi="Arial" w:cs="Arial"/>
          <w:sz w:val="24"/>
          <w:szCs w:val="24"/>
        </w:rPr>
        <w:t xml:space="preserve"> </w:t>
      </w:r>
      <w:r w:rsidR="00CE4209" w:rsidRPr="00E73DD9">
        <w:rPr>
          <w:rFonts w:ascii="Arial" w:hAnsi="Arial" w:cs="Arial"/>
          <w:sz w:val="24"/>
          <w:szCs w:val="24"/>
        </w:rPr>
        <w:t>issues are addressed,</w:t>
      </w:r>
      <w:r w:rsidRPr="00E73DD9">
        <w:rPr>
          <w:rFonts w:ascii="Arial" w:hAnsi="Arial" w:cs="Arial"/>
          <w:sz w:val="24"/>
          <w:szCs w:val="24"/>
        </w:rPr>
        <w:t xml:space="preserve"> Elmbridge </w:t>
      </w:r>
      <w:r w:rsidR="004B29AC" w:rsidRPr="00E73DD9">
        <w:rPr>
          <w:rFonts w:ascii="Arial" w:hAnsi="Arial" w:cs="Arial"/>
          <w:sz w:val="24"/>
          <w:szCs w:val="24"/>
        </w:rPr>
        <w:t>is likely</w:t>
      </w:r>
      <w:r w:rsidRPr="00E73DD9">
        <w:rPr>
          <w:rFonts w:ascii="Arial" w:hAnsi="Arial" w:cs="Arial"/>
          <w:sz w:val="24"/>
          <w:szCs w:val="24"/>
        </w:rPr>
        <w:t xml:space="preserve"> </w:t>
      </w:r>
      <w:r w:rsidR="00CE4209" w:rsidRPr="00E73DD9">
        <w:rPr>
          <w:rFonts w:ascii="Arial" w:hAnsi="Arial" w:cs="Arial"/>
          <w:sz w:val="24"/>
          <w:szCs w:val="24"/>
        </w:rPr>
        <w:t xml:space="preserve">to </w:t>
      </w:r>
      <w:r w:rsidRPr="00E73DD9">
        <w:rPr>
          <w:rFonts w:ascii="Arial" w:hAnsi="Arial" w:cs="Arial"/>
          <w:sz w:val="24"/>
          <w:szCs w:val="24"/>
        </w:rPr>
        <w:t xml:space="preserve">continue </w:t>
      </w:r>
      <w:r w:rsidR="00CE4209" w:rsidRPr="00E73DD9">
        <w:rPr>
          <w:rFonts w:ascii="Arial" w:hAnsi="Arial" w:cs="Arial"/>
          <w:sz w:val="24"/>
          <w:szCs w:val="24"/>
        </w:rPr>
        <w:t>experiencing</w:t>
      </w:r>
      <w:r w:rsidRPr="00E73DD9">
        <w:rPr>
          <w:rFonts w:ascii="Arial" w:hAnsi="Arial" w:cs="Arial"/>
          <w:sz w:val="24"/>
          <w:szCs w:val="24"/>
        </w:rPr>
        <w:t xml:space="preserve"> tribunal claims, </w:t>
      </w:r>
      <w:r w:rsidR="00CE4209" w:rsidRPr="00E73DD9">
        <w:rPr>
          <w:rFonts w:ascii="Arial" w:hAnsi="Arial" w:cs="Arial"/>
          <w:sz w:val="24"/>
          <w:szCs w:val="24"/>
        </w:rPr>
        <w:t xml:space="preserve">higher </w:t>
      </w:r>
      <w:r w:rsidRPr="00E73DD9">
        <w:rPr>
          <w:rFonts w:ascii="Arial" w:hAnsi="Arial" w:cs="Arial"/>
          <w:sz w:val="24"/>
          <w:szCs w:val="24"/>
        </w:rPr>
        <w:t xml:space="preserve">staff turnover, </w:t>
      </w:r>
      <w:r w:rsidR="004B29AC" w:rsidRPr="00E73DD9">
        <w:rPr>
          <w:rFonts w:ascii="Arial" w:hAnsi="Arial" w:cs="Arial"/>
          <w:sz w:val="24"/>
          <w:szCs w:val="24"/>
        </w:rPr>
        <w:t>increased stress</w:t>
      </w:r>
      <w:r w:rsidRPr="00E73DD9">
        <w:rPr>
          <w:rFonts w:ascii="Arial" w:hAnsi="Arial" w:cs="Arial"/>
          <w:sz w:val="24"/>
          <w:szCs w:val="24"/>
        </w:rPr>
        <w:t xml:space="preserve">-related absences, and </w:t>
      </w:r>
      <w:r w:rsidR="00CE4209" w:rsidRPr="00E73DD9">
        <w:rPr>
          <w:rFonts w:ascii="Arial" w:hAnsi="Arial" w:cs="Arial"/>
          <w:sz w:val="24"/>
          <w:szCs w:val="24"/>
        </w:rPr>
        <w:t>declining</w:t>
      </w:r>
      <w:r w:rsidRPr="00E73DD9">
        <w:rPr>
          <w:rFonts w:ascii="Arial" w:hAnsi="Arial" w:cs="Arial"/>
          <w:sz w:val="24"/>
          <w:szCs w:val="24"/>
        </w:rPr>
        <w:t xml:space="preserve"> organisational performance.</w:t>
      </w:r>
      <w:r w:rsidR="00F410F5" w:rsidRPr="00E73DD9">
        <w:rPr>
          <w:rFonts w:ascii="Arial" w:hAnsi="Arial" w:cs="Arial"/>
          <w:sz w:val="24"/>
          <w:szCs w:val="24"/>
        </w:rPr>
        <w:t xml:space="preserve"> </w:t>
      </w:r>
      <w:r w:rsidRPr="00E73DD9">
        <w:rPr>
          <w:rFonts w:ascii="Arial" w:hAnsi="Arial" w:cs="Arial"/>
          <w:sz w:val="24"/>
          <w:szCs w:val="24"/>
        </w:rPr>
        <w:t xml:space="preserve">The </w:t>
      </w:r>
      <w:r w:rsidR="00CE4209" w:rsidRPr="00E73DD9">
        <w:rPr>
          <w:rFonts w:ascii="Arial" w:hAnsi="Arial" w:cs="Arial"/>
          <w:sz w:val="24"/>
          <w:szCs w:val="24"/>
        </w:rPr>
        <w:t xml:space="preserve">recommendations in this report are grouped into three key areas: </w:t>
      </w:r>
      <w:r w:rsidR="00CE4209" w:rsidRPr="00E73DD9">
        <w:rPr>
          <w:rFonts w:ascii="Arial" w:eastAsia="Times New Roman" w:hAnsi="Arial" w:cs="Arial"/>
          <w:kern w:val="0"/>
          <w:sz w:val="24"/>
          <w:szCs w:val="24"/>
          <w:lang w:eastAsia="en-CA"/>
          <w14:ligatures w14:val="none"/>
        </w:rPr>
        <w:t xml:space="preserve">strengthening dignity at work arrangements; reforming zero-hours practices through improved workforce planning; and enhancing consultation, TUPE compliance, and employee voice processes. Together these measures should reduce workplace conflict, improve compliance with employment legislation, and provide a stronger foundation for operational effectiveness. </w:t>
      </w:r>
      <w:r w:rsidR="004B29AC" w:rsidRPr="00E73DD9">
        <w:rPr>
          <w:rFonts w:ascii="Arial" w:eastAsia="Times New Roman" w:hAnsi="Arial" w:cs="Arial"/>
          <w:kern w:val="0"/>
          <w:sz w:val="24"/>
          <w:szCs w:val="24"/>
          <w:lang w:eastAsia="en-CA"/>
          <w14:ligatures w14:val="none"/>
        </w:rPr>
        <w:t>Particularly</w:t>
      </w:r>
      <w:r w:rsidR="00CE4209" w:rsidRPr="00E73DD9">
        <w:rPr>
          <w:rFonts w:ascii="Arial" w:eastAsia="Times New Roman" w:hAnsi="Arial" w:cs="Arial"/>
          <w:kern w:val="0"/>
          <w:sz w:val="24"/>
          <w:szCs w:val="24"/>
          <w:lang w:eastAsia="en-CA"/>
          <w14:ligatures w14:val="none"/>
        </w:rPr>
        <w:t>, improvements in leadership behaviour, people management capability, and early conflict resolution offer the greatest potential for rapid and sustained benefits, including fewer claims, reduced absence, improved morale, stronger trust, and a more positive organisational culture to support wider change.</w:t>
      </w:r>
      <w:r w:rsidR="004B29AC" w:rsidRPr="00E73DD9">
        <w:rPr>
          <w:rFonts w:ascii="Arial" w:eastAsia="Times New Roman" w:hAnsi="Arial" w:cs="Arial"/>
          <w:kern w:val="0"/>
          <w:sz w:val="24"/>
          <w:szCs w:val="24"/>
          <w:lang w:eastAsia="en-CA"/>
          <w14:ligatures w14:val="none"/>
        </w:rPr>
        <w:t xml:space="preserve"> </w:t>
      </w:r>
      <w:r w:rsidR="00CE4209" w:rsidRPr="00E73DD9">
        <w:rPr>
          <w:rFonts w:ascii="Arial" w:eastAsia="Times New Roman" w:hAnsi="Arial" w:cs="Arial"/>
          <w:kern w:val="0"/>
          <w:sz w:val="24"/>
          <w:szCs w:val="24"/>
          <w:lang w:eastAsia="en-CA"/>
          <w14:ligatures w14:val="none"/>
        </w:rPr>
        <w:t>Overall, Elmbridge must move from a model of near compliance to a preventative approach to employee relations. By investing in fair treatment, secure work, and meaningful consultation, the organisation can rebuild the psychological contract, improve job quality, and achieve stronger long-term productivity and operational performance.</w:t>
      </w:r>
    </w:p>
    <w:p w14:paraId="4C612755" w14:textId="77777777" w:rsidR="00DA353A" w:rsidRDefault="00DA353A">
      <w:pPr>
        <w:rPr>
          <w:rFonts w:ascii="Times New Roman" w:hAnsi="Times New Roman" w:cs="Times New Roman"/>
          <w:sz w:val="24"/>
          <w:szCs w:val="24"/>
        </w:rPr>
      </w:pPr>
    </w:p>
    <w:p w14:paraId="6CE10318" w14:textId="77777777" w:rsidR="00E73DD9" w:rsidRDefault="00E73DD9">
      <w:pPr>
        <w:rPr>
          <w:rFonts w:ascii="Times New Roman" w:hAnsi="Times New Roman" w:cs="Times New Roman"/>
          <w:sz w:val="24"/>
          <w:szCs w:val="24"/>
        </w:rPr>
      </w:pPr>
    </w:p>
    <w:p w14:paraId="3E5691BE" w14:textId="77777777" w:rsidR="00E73DD9" w:rsidRDefault="00E73DD9">
      <w:pPr>
        <w:rPr>
          <w:rFonts w:ascii="Times New Roman" w:hAnsi="Times New Roman" w:cs="Times New Roman"/>
          <w:sz w:val="24"/>
          <w:szCs w:val="24"/>
        </w:rPr>
      </w:pPr>
    </w:p>
    <w:p w14:paraId="247E7D2D" w14:textId="77777777" w:rsidR="00E73DD9" w:rsidRDefault="00E73DD9">
      <w:pPr>
        <w:rPr>
          <w:rFonts w:ascii="Times New Roman" w:hAnsi="Times New Roman" w:cs="Times New Roman"/>
          <w:sz w:val="24"/>
          <w:szCs w:val="24"/>
        </w:rPr>
      </w:pPr>
    </w:p>
    <w:p w14:paraId="235622E6" w14:textId="77777777" w:rsidR="00E73DD9" w:rsidRDefault="00E73DD9">
      <w:pPr>
        <w:rPr>
          <w:rFonts w:ascii="Times New Roman" w:hAnsi="Times New Roman" w:cs="Times New Roman"/>
          <w:sz w:val="24"/>
          <w:szCs w:val="24"/>
        </w:rPr>
      </w:pPr>
    </w:p>
    <w:p w14:paraId="34637AFF" w14:textId="77777777" w:rsidR="00E73DD9" w:rsidRDefault="00E73DD9">
      <w:pPr>
        <w:rPr>
          <w:rFonts w:ascii="Times New Roman" w:hAnsi="Times New Roman" w:cs="Times New Roman"/>
          <w:sz w:val="24"/>
          <w:szCs w:val="24"/>
        </w:rPr>
      </w:pPr>
    </w:p>
    <w:p w14:paraId="2659009D" w14:textId="77777777" w:rsidR="00E73DD9" w:rsidRDefault="00E73DD9">
      <w:pPr>
        <w:rPr>
          <w:rFonts w:ascii="Times New Roman" w:hAnsi="Times New Roman" w:cs="Times New Roman"/>
          <w:sz w:val="24"/>
          <w:szCs w:val="24"/>
        </w:rPr>
      </w:pPr>
    </w:p>
    <w:p w14:paraId="290E6208" w14:textId="77777777" w:rsidR="00E73DD9" w:rsidRDefault="00E73DD9">
      <w:pPr>
        <w:rPr>
          <w:rFonts w:ascii="Times New Roman" w:hAnsi="Times New Roman" w:cs="Times New Roman"/>
          <w:sz w:val="24"/>
          <w:szCs w:val="24"/>
        </w:rPr>
      </w:pPr>
    </w:p>
    <w:p w14:paraId="79AE8D3A" w14:textId="77777777" w:rsidR="00E73DD9" w:rsidRDefault="00E73DD9">
      <w:pPr>
        <w:rPr>
          <w:rFonts w:ascii="Times New Roman" w:hAnsi="Times New Roman" w:cs="Times New Roman"/>
          <w:sz w:val="24"/>
          <w:szCs w:val="24"/>
        </w:rPr>
      </w:pPr>
    </w:p>
    <w:p w14:paraId="4195DCF1" w14:textId="77777777" w:rsidR="00E73DD9" w:rsidRDefault="00E73DD9">
      <w:pPr>
        <w:rPr>
          <w:rFonts w:ascii="Times New Roman" w:hAnsi="Times New Roman" w:cs="Times New Roman"/>
          <w:sz w:val="24"/>
          <w:szCs w:val="24"/>
        </w:rPr>
      </w:pPr>
    </w:p>
    <w:p w14:paraId="0A690238" w14:textId="77777777" w:rsidR="00E73DD9" w:rsidRDefault="00E73DD9">
      <w:pPr>
        <w:rPr>
          <w:rFonts w:ascii="Times New Roman" w:hAnsi="Times New Roman" w:cs="Times New Roman"/>
          <w:sz w:val="24"/>
          <w:szCs w:val="24"/>
        </w:rPr>
      </w:pPr>
    </w:p>
    <w:p w14:paraId="1E40F68B" w14:textId="77777777" w:rsidR="00E73DD9" w:rsidRPr="00D70B4C" w:rsidRDefault="00E73DD9" w:rsidP="00D70B4C">
      <w:pPr>
        <w:pStyle w:val="Heading1"/>
      </w:pPr>
      <w:bookmarkStart w:id="29" w:name="_Toc229389724"/>
      <w:r w:rsidRPr="00D70B4C">
        <w:lastRenderedPageBreak/>
        <w:t>References</w:t>
      </w:r>
      <w:bookmarkEnd w:id="29"/>
      <w:r w:rsidRPr="00D70B4C">
        <w:t xml:space="preserve"> </w:t>
      </w:r>
    </w:p>
    <w:p w14:paraId="3D3EF2C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(2014) </w:t>
      </w:r>
      <w:r w:rsidRPr="00E73DD9">
        <w:rPr>
          <w:rFonts w:ascii="Arial" w:hAnsi="Arial" w:cs="Arial"/>
          <w:i/>
          <w:iCs/>
          <w:sz w:val="24"/>
          <w:szCs w:val="24"/>
        </w:rPr>
        <w:t>Failure to consult – collective consultation for redundancy</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https://www.acas.org.uk/collective-consultation-redundancy/if-an-employer-does-not-collectively-consult (Accessed: 26 April 2026). </w:t>
      </w:r>
    </w:p>
    <w:p w14:paraId="32F4DD0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(2021a) </w:t>
      </w:r>
      <w:r w:rsidRPr="00E73DD9">
        <w:rPr>
          <w:rFonts w:ascii="Arial" w:hAnsi="Arial" w:cs="Arial"/>
          <w:i/>
          <w:iCs/>
          <w:sz w:val="24"/>
          <w:szCs w:val="24"/>
        </w:rPr>
        <w:t>Estimating the costs of workplace conflict</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https://www.acas.org.uk/research-and-commentary/estimating-the-costs-of-workplace-conflict/report (Accessed: 07 May 2026). </w:t>
      </w:r>
    </w:p>
    <w:p w14:paraId="76CFADA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(2021b) </w:t>
      </w:r>
      <w:r w:rsidRPr="00E73DD9">
        <w:rPr>
          <w:rFonts w:ascii="Arial" w:hAnsi="Arial" w:cs="Arial"/>
          <w:i/>
          <w:iCs/>
          <w:sz w:val="24"/>
          <w:szCs w:val="24"/>
        </w:rPr>
        <w:t>Estimating the costs of workplace conflict</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https://www.acas.org.uk/research-and-commentary/estimating-the-costs-of-workplace-conflict (Accessed: 25 April 2026). </w:t>
      </w:r>
    </w:p>
    <w:p w14:paraId="1846D42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(2024) </w:t>
      </w:r>
      <w:r w:rsidRPr="00E73DD9">
        <w:rPr>
          <w:rFonts w:ascii="Arial" w:hAnsi="Arial" w:cs="Arial"/>
          <w:i/>
          <w:iCs/>
          <w:sz w:val="24"/>
          <w:szCs w:val="24"/>
        </w:rPr>
        <w:t>Zero-hours contracts</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https://www.acas.org.uk/zero-hours-contracts (Accessed: 18 April 2026). </w:t>
      </w:r>
    </w:p>
    <w:p w14:paraId="70451A2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(2025a) </w:t>
      </w:r>
      <w:r w:rsidRPr="00E73DD9">
        <w:rPr>
          <w:rFonts w:ascii="Arial" w:hAnsi="Arial" w:cs="Arial"/>
          <w:i/>
          <w:iCs/>
          <w:sz w:val="24"/>
          <w:szCs w:val="24"/>
        </w:rPr>
        <w:t>Harassment – discrimination at work</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https://www.acas.org.uk/discrimination-and-the-law/harassment (Accessed: 14 April 2026). </w:t>
      </w:r>
    </w:p>
    <w:p w14:paraId="2609496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(2025b) </w:t>
      </w:r>
      <w:r w:rsidRPr="00E73DD9">
        <w:rPr>
          <w:rFonts w:ascii="Arial" w:hAnsi="Arial" w:cs="Arial"/>
          <w:i/>
          <w:iCs/>
          <w:sz w:val="24"/>
          <w:szCs w:val="24"/>
        </w:rPr>
        <w:t>What reasonable adjustments are – reasonable adjustments at work</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https://www.acas.org.uk/reasonable-adjustments (Accessed: 30 April 2026). </w:t>
      </w:r>
    </w:p>
    <w:p w14:paraId="4D51920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(2025c) </w:t>
      </w:r>
      <w:r w:rsidRPr="00E73DD9">
        <w:rPr>
          <w:rFonts w:ascii="Arial" w:hAnsi="Arial" w:cs="Arial"/>
          <w:i/>
          <w:iCs/>
          <w:sz w:val="24"/>
          <w:szCs w:val="24"/>
        </w:rPr>
        <w:t xml:space="preserve">What the law says – </w:t>
      </w:r>
      <w:proofErr w:type="spellStart"/>
      <w:r w:rsidRPr="00E73DD9">
        <w:rPr>
          <w:rFonts w:ascii="Arial" w:hAnsi="Arial" w:cs="Arial"/>
          <w:i/>
          <w:iCs/>
          <w:sz w:val="24"/>
          <w:szCs w:val="24"/>
        </w:rPr>
        <w:t>tupe</w:t>
      </w:r>
      <w:proofErr w:type="spellEnd"/>
      <w:r w:rsidRPr="00E73DD9">
        <w:rPr>
          <w:rFonts w:ascii="Arial" w:hAnsi="Arial" w:cs="Arial"/>
          <w:i/>
          <w:iCs/>
          <w:sz w:val="24"/>
          <w:szCs w:val="24"/>
        </w:rPr>
        <w:t>: Informing and consulting</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https://www.acas.org.uk/inform-and-consult-staff-in-a-tupe-transfer (Accessed: 26 April 2026). </w:t>
      </w:r>
    </w:p>
    <w:p w14:paraId="4D5B73A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(2026a) </w:t>
      </w:r>
      <w:r w:rsidRPr="00E73DD9">
        <w:rPr>
          <w:rFonts w:ascii="Arial" w:hAnsi="Arial" w:cs="Arial"/>
          <w:i/>
          <w:iCs/>
          <w:sz w:val="24"/>
          <w:szCs w:val="24"/>
        </w:rPr>
        <w:t>Consulting – changing your employees’ contracts</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https://www.acas.org.uk/changing-an-employment-contract/employer-responsibilities/consulting-about-employment-contract-changes (Accessed: 07 May 2026). </w:t>
      </w:r>
    </w:p>
    <w:p w14:paraId="486FA89A"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(2026b) </w:t>
      </w:r>
      <w:r w:rsidRPr="00E73DD9">
        <w:rPr>
          <w:rFonts w:ascii="Arial" w:hAnsi="Arial" w:cs="Arial"/>
          <w:i/>
          <w:iCs/>
          <w:sz w:val="24"/>
          <w:szCs w:val="24"/>
        </w:rPr>
        <w:t>Employment rights act 2025</w:t>
      </w:r>
      <w:r w:rsidRPr="00E73DD9">
        <w:rPr>
          <w:rFonts w:ascii="Arial" w:hAnsi="Arial" w:cs="Arial"/>
          <w:sz w:val="24"/>
          <w:szCs w:val="24"/>
        </w:rPr>
        <w:t xml:space="preserve">, </w:t>
      </w:r>
      <w:proofErr w:type="spellStart"/>
      <w:r w:rsidRPr="00E73DD9">
        <w:rPr>
          <w:rFonts w:ascii="Arial" w:hAnsi="Arial" w:cs="Arial"/>
          <w:i/>
          <w:iCs/>
          <w:sz w:val="24"/>
          <w:szCs w:val="24"/>
        </w:rPr>
        <w:t>Acas</w:t>
      </w:r>
      <w:proofErr w:type="spellEnd"/>
      <w:r w:rsidRPr="00E73DD9">
        <w:rPr>
          <w:rFonts w:ascii="Arial" w:hAnsi="Arial" w:cs="Arial"/>
          <w:sz w:val="24"/>
          <w:szCs w:val="24"/>
        </w:rPr>
        <w:t xml:space="preserve">. Available at: https://www.acas.org.uk/employment-rights-act-2025 (Accessed: 07 May 2026). </w:t>
      </w:r>
    </w:p>
    <w:p w14:paraId="7EA3EFDD" w14:textId="77777777" w:rsidR="00E73DD9" w:rsidRPr="00E73DD9" w:rsidRDefault="00E73DD9" w:rsidP="00E73DD9">
      <w:pPr>
        <w:rPr>
          <w:rFonts w:ascii="Arial" w:hAnsi="Arial" w:cs="Arial"/>
          <w:sz w:val="24"/>
          <w:szCs w:val="24"/>
        </w:rPr>
      </w:pPr>
      <w:r w:rsidRPr="00E73DD9">
        <w:rPr>
          <w:rFonts w:ascii="Arial" w:hAnsi="Arial" w:cs="Arial"/>
          <w:i/>
          <w:iCs/>
          <w:sz w:val="24"/>
          <w:szCs w:val="24"/>
        </w:rPr>
        <w:t>Archibald v. Fife Council</w:t>
      </w:r>
      <w:r w:rsidRPr="00E73DD9">
        <w:rPr>
          <w:rFonts w:ascii="Arial" w:hAnsi="Arial" w:cs="Arial"/>
          <w:sz w:val="24"/>
          <w:szCs w:val="24"/>
        </w:rPr>
        <w:t xml:space="preserve"> (2004). Available at: https://publications.parliament.uk/pa/ld200304/ldjudgmt/jd040701/arch-1.htm (Accessed: 7 May 2026).</w:t>
      </w:r>
    </w:p>
    <w:p w14:paraId="7235DBE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Atkinson, J. (2022) ‘Zero-hours contracts and English employment law: Developments and possibilities’, </w:t>
      </w:r>
      <w:r w:rsidRPr="00E73DD9">
        <w:rPr>
          <w:rFonts w:ascii="Arial" w:hAnsi="Arial" w:cs="Arial"/>
          <w:i/>
          <w:iCs/>
          <w:sz w:val="24"/>
          <w:szCs w:val="24"/>
        </w:rPr>
        <w:t>European Labour Law Journal</w:t>
      </w:r>
      <w:r w:rsidRPr="00E73DD9">
        <w:rPr>
          <w:rFonts w:ascii="Arial" w:hAnsi="Arial" w:cs="Arial"/>
          <w:sz w:val="24"/>
          <w:szCs w:val="24"/>
        </w:rPr>
        <w:t xml:space="preserve">, 13(3), pp. 347–374. doi:10.1177/20319525221104165. </w:t>
      </w:r>
    </w:p>
    <w:p w14:paraId="17423F6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Becton, J.B., Gilstrap, J.B. and Forsyth, M. (2017) ‘Preventing and correcting workplace harassment: Guidelines for employers’, </w:t>
      </w:r>
      <w:r w:rsidRPr="00E73DD9">
        <w:rPr>
          <w:rFonts w:ascii="Arial" w:hAnsi="Arial" w:cs="Arial"/>
          <w:i/>
          <w:iCs/>
          <w:sz w:val="24"/>
          <w:szCs w:val="24"/>
        </w:rPr>
        <w:t>Business Horizons</w:t>
      </w:r>
      <w:r w:rsidRPr="00E73DD9">
        <w:rPr>
          <w:rFonts w:ascii="Arial" w:hAnsi="Arial" w:cs="Arial"/>
          <w:sz w:val="24"/>
          <w:szCs w:val="24"/>
        </w:rPr>
        <w:t xml:space="preserve">, 60(1), pp. 101–111. </w:t>
      </w:r>
      <w:proofErr w:type="gramStart"/>
      <w:r w:rsidRPr="00E73DD9">
        <w:rPr>
          <w:rFonts w:ascii="Arial" w:hAnsi="Arial" w:cs="Arial"/>
          <w:sz w:val="24"/>
          <w:szCs w:val="24"/>
        </w:rPr>
        <w:t>doi:10.1016/j.bushor</w:t>
      </w:r>
      <w:proofErr w:type="gramEnd"/>
      <w:r w:rsidRPr="00E73DD9">
        <w:rPr>
          <w:rFonts w:ascii="Arial" w:hAnsi="Arial" w:cs="Arial"/>
          <w:sz w:val="24"/>
          <w:szCs w:val="24"/>
        </w:rPr>
        <w:t xml:space="preserve">.2016.09.005. </w:t>
      </w:r>
    </w:p>
    <w:p w14:paraId="63873073"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Beveridge, C. (2025) </w:t>
      </w:r>
      <w:r w:rsidRPr="00E73DD9">
        <w:rPr>
          <w:rFonts w:ascii="Arial" w:hAnsi="Arial" w:cs="Arial"/>
          <w:i/>
          <w:iCs/>
          <w:sz w:val="24"/>
          <w:szCs w:val="24"/>
        </w:rPr>
        <w:t>ICO enforcement actions: Latest trends and insights</w:t>
      </w:r>
      <w:r w:rsidRPr="00E73DD9">
        <w:rPr>
          <w:rFonts w:ascii="Arial" w:hAnsi="Arial" w:cs="Arial"/>
          <w:sz w:val="24"/>
          <w:szCs w:val="24"/>
        </w:rPr>
        <w:t xml:space="preserve">, </w:t>
      </w:r>
      <w:proofErr w:type="gramStart"/>
      <w:r w:rsidRPr="00E73DD9">
        <w:rPr>
          <w:rFonts w:ascii="Arial" w:hAnsi="Arial" w:cs="Arial"/>
          <w:i/>
          <w:iCs/>
          <w:sz w:val="24"/>
          <w:szCs w:val="24"/>
        </w:rPr>
        <w:t xml:space="preserve">LBDO </w:t>
      </w:r>
      <w:r w:rsidRPr="00E73DD9">
        <w:rPr>
          <w:rFonts w:ascii="Arial" w:hAnsi="Arial" w:cs="Arial"/>
          <w:sz w:val="24"/>
          <w:szCs w:val="24"/>
        </w:rPr>
        <w:t>.</w:t>
      </w:r>
      <w:proofErr w:type="gramEnd"/>
      <w:r w:rsidRPr="00E73DD9">
        <w:rPr>
          <w:rFonts w:ascii="Arial" w:hAnsi="Arial" w:cs="Arial"/>
          <w:sz w:val="24"/>
          <w:szCs w:val="24"/>
        </w:rPr>
        <w:t xml:space="preserve"> Available at: https://www.bdo.co.uk/en-gb/insights/advisory/risk-and-advisory-services/trends-in-recent-ico-enforcement-action (Accessed: 30 April 2026). </w:t>
      </w:r>
    </w:p>
    <w:p w14:paraId="545AAA6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(2023) </w:t>
      </w:r>
      <w:r w:rsidRPr="00E73DD9">
        <w:rPr>
          <w:rFonts w:ascii="Arial" w:hAnsi="Arial" w:cs="Arial"/>
          <w:i/>
          <w:iCs/>
          <w:sz w:val="24"/>
          <w:szCs w:val="24"/>
        </w:rPr>
        <w:t>Collective employee voice</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https://www.cipd.org/en/knowledge/reports/collective-employee-voice/ (Accessed: 07 May 2026). </w:t>
      </w:r>
    </w:p>
    <w:p w14:paraId="3548309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(2024a) </w:t>
      </w:r>
      <w:r w:rsidRPr="00E73DD9">
        <w:rPr>
          <w:rFonts w:ascii="Arial" w:hAnsi="Arial" w:cs="Arial"/>
          <w:i/>
          <w:iCs/>
          <w:sz w:val="24"/>
          <w:szCs w:val="24"/>
        </w:rPr>
        <w:t>How employers are tackling bullying and harassment at work report</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https://www.cipd.org/globalassets/media/knowledge/knowledge-hub/reports/2024-pdfs/2024-bullying-and-harassment-report-8660.pdf (Accessed: 07 May 2026). </w:t>
      </w:r>
    </w:p>
    <w:p w14:paraId="2D7C343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(2024b) </w:t>
      </w:r>
      <w:r w:rsidRPr="00E73DD9">
        <w:rPr>
          <w:rFonts w:ascii="Arial" w:hAnsi="Arial" w:cs="Arial"/>
          <w:i/>
          <w:iCs/>
          <w:sz w:val="24"/>
          <w:szCs w:val="24"/>
        </w:rPr>
        <w:t>Tupe transfers: Guide for People Professionals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https://www.cipd.org/uk/knowledge/guides/tupe-guide/ (Accessed: 07 May 2026). </w:t>
      </w:r>
    </w:p>
    <w:p w14:paraId="10ED1B3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(2025a) </w:t>
      </w:r>
      <w:r w:rsidRPr="00E73DD9">
        <w:rPr>
          <w:rFonts w:ascii="Arial" w:hAnsi="Arial" w:cs="Arial"/>
          <w:i/>
          <w:iCs/>
          <w:sz w:val="24"/>
          <w:szCs w:val="24"/>
        </w:rPr>
        <w:t>Survey report June 2025 CIPD good work index 2025</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https://www.cipd.org/globalassets/media/knowledge/knowledge-hub/reports/2025-pdfs/8868-good-work-index-2025-report-web1.pdf (Accessed: 25 April 2026). </w:t>
      </w:r>
    </w:p>
    <w:p w14:paraId="733B08DD"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(2025b) </w:t>
      </w:r>
      <w:r w:rsidRPr="00E73DD9">
        <w:rPr>
          <w:rFonts w:ascii="Arial" w:hAnsi="Arial" w:cs="Arial"/>
          <w:i/>
          <w:iCs/>
          <w:sz w:val="24"/>
          <w:szCs w:val="24"/>
        </w:rPr>
        <w:t>The Profession Map / Specialist Knowledge / Workforce Planning</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https://www.cipd.org/en/the-people-profession/the-profession-map/explore-the-profession-map/specialist-knowledge/workforce-planning (Accessed: 07 May 2026). </w:t>
      </w:r>
    </w:p>
    <w:p w14:paraId="3AD0035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(2025c) </w:t>
      </w:r>
      <w:r w:rsidRPr="00E73DD9">
        <w:rPr>
          <w:rFonts w:ascii="Arial" w:hAnsi="Arial" w:cs="Arial"/>
          <w:i/>
          <w:iCs/>
          <w:sz w:val="24"/>
          <w:szCs w:val="24"/>
        </w:rPr>
        <w:t>TUPE: UK employment law</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https://www.cipd.org/uk/knowledge/employment-law/tupe/ (Accessed: 16 April 2026). </w:t>
      </w:r>
    </w:p>
    <w:p w14:paraId="591D009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(2025d) </w:t>
      </w:r>
      <w:r w:rsidRPr="00E73DD9">
        <w:rPr>
          <w:rFonts w:ascii="Arial" w:hAnsi="Arial" w:cs="Arial"/>
          <w:i/>
          <w:iCs/>
          <w:sz w:val="24"/>
          <w:szCs w:val="24"/>
        </w:rPr>
        <w:t>Zero hours contracts: Factsheets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https://www.cipd.org/uk/knowledge/factsheets/zero-hours-factsheet/ (Accessed: 18 April 2026). </w:t>
      </w:r>
    </w:p>
    <w:p w14:paraId="48AC6E7B"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(2025e) </w:t>
      </w:r>
      <w:r w:rsidRPr="00E73DD9">
        <w:rPr>
          <w:rFonts w:ascii="Arial" w:hAnsi="Arial" w:cs="Arial"/>
          <w:i/>
          <w:iCs/>
          <w:sz w:val="24"/>
          <w:szCs w:val="24"/>
        </w:rPr>
        <w:t>Zero-hours contracts: Understanding the law</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https://www.cipd.org/uk/knowledge/guides/zero-hours-contracts-understanding-the-law/ (Accessed: 18 April 2026). </w:t>
      </w:r>
    </w:p>
    <w:p w14:paraId="1A17456B"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(2026a) </w:t>
      </w:r>
      <w:r w:rsidRPr="00E73DD9">
        <w:rPr>
          <w:rFonts w:ascii="Arial" w:hAnsi="Arial" w:cs="Arial"/>
          <w:i/>
          <w:iCs/>
          <w:sz w:val="24"/>
          <w:szCs w:val="24"/>
        </w:rPr>
        <w:t>Employee voice</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https://www.cipd.org/uk/knowledge/factsheets/voice-factsheet/ (Accessed: 07 May 2026). </w:t>
      </w:r>
    </w:p>
    <w:p w14:paraId="09CEE07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(2026b) </w:t>
      </w:r>
      <w:r w:rsidRPr="00E73DD9">
        <w:rPr>
          <w:rFonts w:ascii="Arial" w:hAnsi="Arial" w:cs="Arial"/>
          <w:i/>
          <w:iCs/>
          <w:sz w:val="24"/>
          <w:szCs w:val="24"/>
        </w:rPr>
        <w:t>Employment rights act 2025 and make work pay plan changes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https://www.cipd.org/uk/knowledge/employment-law/proposed-changes-under-labour-government/#zero-hours-contracts (Accessed: 18 April 2026). </w:t>
      </w:r>
    </w:p>
    <w:p w14:paraId="6085A00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(2026c) </w:t>
      </w:r>
      <w:r w:rsidRPr="00E73DD9">
        <w:rPr>
          <w:rFonts w:ascii="Arial" w:hAnsi="Arial" w:cs="Arial"/>
          <w:i/>
          <w:iCs/>
          <w:sz w:val="24"/>
          <w:szCs w:val="24"/>
        </w:rPr>
        <w:t>Trade Union and industrial action law in Great Britain</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https://www.cipd.org/uk/knowledge/employment-law/employee-relations/ (Accessed: 18 April 2026). </w:t>
      </w:r>
    </w:p>
    <w:p w14:paraId="0158F6E0"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CIPD (2026d) </w:t>
      </w:r>
      <w:r w:rsidRPr="00E73DD9">
        <w:rPr>
          <w:rFonts w:ascii="Arial" w:hAnsi="Arial" w:cs="Arial"/>
          <w:i/>
          <w:iCs/>
          <w:sz w:val="24"/>
          <w:szCs w:val="24"/>
        </w:rPr>
        <w:t>Working with Trade Unions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https://www.cipd.org/uk/knowledge/guides/working-trade-unions/ (Accessed: 26 April 2026). </w:t>
      </w:r>
    </w:p>
    <w:p w14:paraId="4D03AA0B"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R. (2022) </w:t>
      </w:r>
      <w:r w:rsidRPr="00E73DD9">
        <w:rPr>
          <w:rFonts w:ascii="Arial" w:hAnsi="Arial" w:cs="Arial"/>
          <w:i/>
          <w:iCs/>
          <w:sz w:val="24"/>
          <w:szCs w:val="24"/>
        </w:rPr>
        <w:t>Mediation at work Learn how mediation can resolve conflict in the workplace</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https://www.cipd.org/uk/knowledge/factsheets/mediation-factsheet/#Benefits (Accessed: 25 April 2026). </w:t>
      </w:r>
    </w:p>
    <w:p w14:paraId="209F4A7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R. (2024) </w:t>
      </w:r>
      <w:r w:rsidRPr="00E73DD9">
        <w:rPr>
          <w:rFonts w:ascii="Arial" w:hAnsi="Arial" w:cs="Arial"/>
          <w:i/>
          <w:iCs/>
          <w:sz w:val="24"/>
          <w:szCs w:val="24"/>
        </w:rPr>
        <w:t>How employers are tackling bullying and harassment at work report</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https://www.cipd.org/globalassets/media/knowledge/knowledge-hub/reports/2024-pdfs/2024-bullying-and-harassment-report-8660.pdf (Accessed: 25 April 2026). </w:t>
      </w:r>
    </w:p>
    <w:p w14:paraId="19F81D0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CIPP (2025) </w:t>
      </w:r>
      <w:r w:rsidRPr="00E73DD9">
        <w:rPr>
          <w:rFonts w:ascii="Arial" w:hAnsi="Arial" w:cs="Arial"/>
          <w:i/>
          <w:iCs/>
          <w:sz w:val="24"/>
          <w:szCs w:val="24"/>
        </w:rPr>
        <w:t>Dealing with flexible working requests: A guide for employers</w:t>
      </w:r>
      <w:r w:rsidRPr="00E73DD9">
        <w:rPr>
          <w:rFonts w:ascii="Arial" w:hAnsi="Arial" w:cs="Arial"/>
          <w:sz w:val="24"/>
          <w:szCs w:val="24"/>
        </w:rPr>
        <w:t xml:space="preserve">. Available at: https://www.cipp.org.uk/resources/beyondthepayslip/dealing-with-flexible-working-requests.html (Accessed: 18 April 2026). </w:t>
      </w:r>
    </w:p>
    <w:p w14:paraId="5E7D998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Cooper, A. and Neal, A. (2025) </w:t>
      </w:r>
      <w:r w:rsidRPr="00E73DD9">
        <w:rPr>
          <w:rFonts w:ascii="Arial" w:hAnsi="Arial" w:cs="Arial"/>
          <w:i/>
          <w:iCs/>
          <w:sz w:val="24"/>
          <w:szCs w:val="24"/>
        </w:rPr>
        <w:t>Under investigation: Transforming disciplinary practice in the Workplace</w:t>
      </w:r>
      <w:r w:rsidRPr="00E73DD9">
        <w:rPr>
          <w:rFonts w:ascii="Arial" w:hAnsi="Arial" w:cs="Arial"/>
          <w:sz w:val="24"/>
          <w:szCs w:val="24"/>
        </w:rPr>
        <w:t xml:space="preserve">. Bristol: Bristol University Press. </w:t>
      </w:r>
    </w:p>
    <w:p w14:paraId="1378055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Equality and Human Rights Commission (2019) </w:t>
      </w:r>
      <w:r w:rsidRPr="00E73DD9">
        <w:rPr>
          <w:rFonts w:ascii="Arial" w:hAnsi="Arial" w:cs="Arial"/>
          <w:i/>
          <w:iCs/>
          <w:sz w:val="24"/>
          <w:szCs w:val="24"/>
        </w:rPr>
        <w:t>What is harassment and victimisation? | Equality law: discrimination explained</w:t>
      </w:r>
      <w:r w:rsidRPr="00E73DD9">
        <w:rPr>
          <w:rFonts w:ascii="Arial" w:hAnsi="Arial" w:cs="Arial"/>
          <w:sz w:val="24"/>
          <w:szCs w:val="24"/>
        </w:rPr>
        <w:t xml:space="preserve">, </w:t>
      </w:r>
      <w:r w:rsidRPr="00E73DD9">
        <w:rPr>
          <w:rFonts w:ascii="Arial" w:hAnsi="Arial" w:cs="Arial"/>
          <w:i/>
          <w:iCs/>
          <w:sz w:val="24"/>
          <w:szCs w:val="24"/>
        </w:rPr>
        <w:t>YouTube</w:t>
      </w:r>
      <w:r w:rsidRPr="00E73DD9">
        <w:rPr>
          <w:rFonts w:ascii="Arial" w:hAnsi="Arial" w:cs="Arial"/>
          <w:sz w:val="24"/>
          <w:szCs w:val="24"/>
        </w:rPr>
        <w:t xml:space="preserve">. Available at: https://www.youtube.com/watch?v=PZOf92bIGM4&amp;t=111s (Accessed: 14 April 2026). </w:t>
      </w:r>
    </w:p>
    <w:p w14:paraId="7E72D6DD"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Featherstone, L. and May, T. (2012) </w:t>
      </w:r>
      <w:r w:rsidRPr="00E73DD9">
        <w:rPr>
          <w:rFonts w:ascii="Arial" w:hAnsi="Arial" w:cs="Arial"/>
          <w:i/>
          <w:iCs/>
          <w:sz w:val="24"/>
          <w:szCs w:val="24"/>
        </w:rPr>
        <w:t xml:space="preserve">Equality Act 2010 – employer </w:t>
      </w:r>
      <w:proofErr w:type="gramStart"/>
      <w:r w:rsidRPr="00E73DD9">
        <w:rPr>
          <w:rFonts w:ascii="Arial" w:hAnsi="Arial" w:cs="Arial"/>
          <w:i/>
          <w:iCs/>
          <w:sz w:val="24"/>
          <w:szCs w:val="24"/>
        </w:rPr>
        <w:t>liability  for</w:t>
      </w:r>
      <w:proofErr w:type="gramEnd"/>
      <w:r w:rsidRPr="00E73DD9">
        <w:rPr>
          <w:rFonts w:ascii="Arial" w:hAnsi="Arial" w:cs="Arial"/>
          <w:i/>
          <w:iCs/>
          <w:sz w:val="24"/>
          <w:szCs w:val="24"/>
        </w:rPr>
        <w:t xml:space="preserve"> harassment </w:t>
      </w:r>
      <w:proofErr w:type="gramStart"/>
      <w:r w:rsidRPr="00E73DD9">
        <w:rPr>
          <w:rFonts w:ascii="Arial" w:hAnsi="Arial" w:cs="Arial"/>
          <w:i/>
          <w:iCs/>
          <w:sz w:val="24"/>
          <w:szCs w:val="24"/>
        </w:rPr>
        <w:t>of  employees</w:t>
      </w:r>
      <w:proofErr w:type="gramEnd"/>
      <w:r w:rsidRPr="00E73DD9">
        <w:rPr>
          <w:rFonts w:ascii="Arial" w:hAnsi="Arial" w:cs="Arial"/>
          <w:i/>
          <w:iCs/>
          <w:sz w:val="24"/>
          <w:szCs w:val="24"/>
        </w:rPr>
        <w:t xml:space="preserve"> by </w:t>
      </w:r>
      <w:proofErr w:type="gramStart"/>
      <w:r w:rsidRPr="00E73DD9">
        <w:rPr>
          <w:rFonts w:ascii="Arial" w:hAnsi="Arial" w:cs="Arial"/>
          <w:i/>
          <w:iCs/>
          <w:sz w:val="24"/>
          <w:szCs w:val="24"/>
        </w:rPr>
        <w:t>third  parties</w:t>
      </w:r>
      <w:proofErr w:type="gramEnd"/>
      <w:r w:rsidRPr="00E73DD9">
        <w:rPr>
          <w:rFonts w:ascii="Arial" w:hAnsi="Arial" w:cs="Arial"/>
          <w:i/>
          <w:iCs/>
          <w:sz w:val="24"/>
          <w:szCs w:val="24"/>
        </w:rPr>
        <w:t xml:space="preserve">: </w:t>
      </w:r>
      <w:proofErr w:type="gramStart"/>
      <w:r w:rsidRPr="00E73DD9">
        <w:rPr>
          <w:rFonts w:ascii="Arial" w:hAnsi="Arial" w:cs="Arial"/>
          <w:i/>
          <w:iCs/>
          <w:sz w:val="24"/>
          <w:szCs w:val="24"/>
        </w:rPr>
        <w:t>A  consultation</w:t>
      </w:r>
      <w:proofErr w:type="gramEnd"/>
      <w:r w:rsidRPr="00E73DD9">
        <w:rPr>
          <w:rFonts w:ascii="Arial" w:hAnsi="Arial" w:cs="Arial"/>
          <w:sz w:val="24"/>
          <w:szCs w:val="24"/>
        </w:rPr>
        <w:t xml:space="preserve">, </w:t>
      </w:r>
      <w:r w:rsidRPr="00E73DD9">
        <w:rPr>
          <w:rFonts w:ascii="Arial" w:hAnsi="Arial" w:cs="Arial"/>
          <w:i/>
          <w:iCs/>
          <w:sz w:val="24"/>
          <w:szCs w:val="24"/>
        </w:rPr>
        <w:t>Government Equalities Office</w:t>
      </w:r>
      <w:r w:rsidRPr="00E73DD9">
        <w:rPr>
          <w:rFonts w:ascii="Arial" w:hAnsi="Arial" w:cs="Arial"/>
          <w:sz w:val="24"/>
          <w:szCs w:val="24"/>
        </w:rPr>
        <w:t xml:space="preserve">. Available at: https://assets.publishing.service.gov.uk/media/5a7b535fe5274a34770eaef4/consultation-document.pdf (Accessed: 25 April 2026). </w:t>
      </w:r>
    </w:p>
    <w:p w14:paraId="16A9D5D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Gordon, L. (2020) </w:t>
      </w:r>
      <w:r w:rsidRPr="00E73DD9">
        <w:rPr>
          <w:rFonts w:ascii="Arial" w:hAnsi="Arial" w:cs="Arial"/>
          <w:i/>
          <w:iCs/>
          <w:sz w:val="24"/>
          <w:szCs w:val="24"/>
        </w:rPr>
        <w:t>The legal consequences of getting employee relations wrong</w:t>
      </w:r>
      <w:r w:rsidRPr="00E73DD9">
        <w:rPr>
          <w:rFonts w:ascii="Arial" w:hAnsi="Arial" w:cs="Arial"/>
          <w:sz w:val="24"/>
          <w:szCs w:val="24"/>
        </w:rPr>
        <w:t xml:space="preserve">, </w:t>
      </w:r>
      <w:r w:rsidRPr="00E73DD9">
        <w:rPr>
          <w:rFonts w:ascii="Arial" w:hAnsi="Arial" w:cs="Arial"/>
          <w:i/>
          <w:iCs/>
          <w:sz w:val="24"/>
          <w:szCs w:val="24"/>
        </w:rPr>
        <w:t>70326</w:t>
      </w:r>
      <w:r w:rsidRPr="00E73DD9">
        <w:rPr>
          <w:rFonts w:ascii="Arial" w:hAnsi="Arial" w:cs="Arial"/>
          <w:sz w:val="24"/>
          <w:szCs w:val="24"/>
        </w:rPr>
        <w:t xml:space="preserve">. Available at: https://www.peoplemanagement.co.uk/article/1743472/legal-consequences-getting-employee-relations-wrong (Accessed: 18 April 2026). </w:t>
      </w:r>
    </w:p>
    <w:p w14:paraId="0C7CA4B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(2015) </w:t>
      </w:r>
      <w:r w:rsidRPr="00E73DD9">
        <w:rPr>
          <w:rFonts w:ascii="Arial" w:hAnsi="Arial" w:cs="Arial"/>
          <w:i/>
          <w:iCs/>
          <w:sz w:val="24"/>
          <w:szCs w:val="24"/>
        </w:rPr>
        <w:t>Zero hours contracts: Guidance for employers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https://www.gov.uk/government/publications/zero-hours-contracts-guidance-for-employers/zero-hours-contracts-guidance-for-employers (Accessed: 18 April 2026). </w:t>
      </w:r>
    </w:p>
    <w:p w14:paraId="24C8E37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(2016) </w:t>
      </w:r>
      <w:r w:rsidRPr="00E73DD9">
        <w:rPr>
          <w:rFonts w:ascii="Arial" w:hAnsi="Arial" w:cs="Arial"/>
          <w:i/>
          <w:iCs/>
          <w:sz w:val="24"/>
          <w:szCs w:val="24"/>
        </w:rPr>
        <w:t>Workplace bullying and harassment</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https://www.gov.uk/workplace-bullying-and-harassment (Accessed: 14 April 2026). </w:t>
      </w:r>
    </w:p>
    <w:p w14:paraId="49CC23C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(2024a) </w:t>
      </w:r>
      <w:r w:rsidRPr="00E73DD9">
        <w:rPr>
          <w:rFonts w:ascii="Arial" w:hAnsi="Arial" w:cs="Arial"/>
          <w:i/>
          <w:iCs/>
          <w:sz w:val="24"/>
          <w:szCs w:val="24"/>
        </w:rPr>
        <w:t>Fhttps://www.gov.uk/government/publications/employment-rights-bill-factsheets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https://assets.publishing.service.gov.uk/media/696fabb3c0f4afaa9536a0f2/employment-rights-act-2025-overview-factsheet.pdf (Accessed: 25 April 2026). </w:t>
      </w:r>
    </w:p>
    <w:p w14:paraId="37855C5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(2024b) </w:t>
      </w:r>
      <w:r w:rsidRPr="00E73DD9">
        <w:rPr>
          <w:rFonts w:ascii="Arial" w:hAnsi="Arial" w:cs="Arial"/>
          <w:i/>
          <w:iCs/>
          <w:sz w:val="24"/>
          <w:szCs w:val="24"/>
        </w:rPr>
        <w:t>Recruiting, managing and developing disabled people: A practical guide for managers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w:t>
      </w:r>
      <w:r w:rsidRPr="00E73DD9">
        <w:rPr>
          <w:rFonts w:ascii="Arial" w:hAnsi="Arial" w:cs="Arial"/>
          <w:sz w:val="24"/>
          <w:szCs w:val="24"/>
        </w:rPr>
        <w:lastRenderedPageBreak/>
        <w:t xml:space="preserve">https://www.gov.uk/government/publications/disability-confident-and-cipd-guide-for-line-managers-on-employing-people-with-a-disability-or-health-condition/guide-for-line-managers-recruiting-managing-and-developing-people-with-a-disability-or-health-condition (Accessed: 30 April 2026). </w:t>
      </w:r>
    </w:p>
    <w:p w14:paraId="12334CCC"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D. for B. and (2026) </w:t>
      </w:r>
      <w:r w:rsidRPr="00E73DD9">
        <w:rPr>
          <w:rFonts w:ascii="Arial" w:hAnsi="Arial" w:cs="Arial"/>
          <w:i/>
          <w:iCs/>
          <w:sz w:val="24"/>
          <w:szCs w:val="24"/>
        </w:rPr>
        <w:t>Employment rights act 2025: Factsheets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https://www.gov.uk/government/publications/employment-rights-bill-factsheets (Accessed: 18 April 2026). </w:t>
      </w:r>
    </w:p>
    <w:p w14:paraId="5515D88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G.D. (2015) </w:t>
      </w:r>
      <w:r w:rsidRPr="00E73DD9">
        <w:rPr>
          <w:rFonts w:ascii="Arial" w:hAnsi="Arial" w:cs="Arial"/>
          <w:i/>
          <w:iCs/>
          <w:sz w:val="24"/>
          <w:szCs w:val="24"/>
        </w:rPr>
        <w:t>Employers: Recognise a trade union</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https://www.gov.uk/trade-union-recognition-employers/statutory-recognition (Accessed: 18 April 2026). </w:t>
      </w:r>
    </w:p>
    <w:p w14:paraId="422038D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Gurchiek, K. (2018) ‘Sexual Harassment Prevention Training Should Involve Real Conversations’, </w:t>
      </w:r>
      <w:r w:rsidRPr="00E73DD9">
        <w:rPr>
          <w:rFonts w:ascii="Arial" w:hAnsi="Arial" w:cs="Arial"/>
          <w:i/>
          <w:iCs/>
          <w:sz w:val="24"/>
          <w:szCs w:val="24"/>
        </w:rPr>
        <w:t>HR News</w:t>
      </w:r>
      <w:r w:rsidRPr="00E73DD9">
        <w:rPr>
          <w:rFonts w:ascii="Arial" w:hAnsi="Arial" w:cs="Arial"/>
          <w:sz w:val="24"/>
          <w:szCs w:val="24"/>
        </w:rPr>
        <w:t xml:space="preserve"> [Preprint]. Available at: https://www.proquest.com/trade-journals/sexual-harassment-prevention-training-should/docview/2047312656/se-2?accountid=130472 (Accessed: 25 April 2026). </w:t>
      </w:r>
    </w:p>
    <w:p w14:paraId="69305CE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Heyworth, J. (2026) </w:t>
      </w:r>
      <w:r w:rsidRPr="00E73DD9">
        <w:rPr>
          <w:rFonts w:ascii="Arial" w:hAnsi="Arial" w:cs="Arial"/>
          <w:i/>
          <w:iCs/>
          <w:sz w:val="24"/>
          <w:szCs w:val="24"/>
        </w:rPr>
        <w:t>Employer resource: Trade union reforms</w:t>
      </w:r>
      <w:r w:rsidRPr="00E73DD9">
        <w:rPr>
          <w:rFonts w:ascii="Arial" w:hAnsi="Arial" w:cs="Arial"/>
          <w:sz w:val="24"/>
          <w:szCs w:val="24"/>
        </w:rPr>
        <w:t xml:space="preserve">, </w:t>
      </w:r>
      <w:r w:rsidRPr="00E73DD9">
        <w:rPr>
          <w:rFonts w:ascii="Arial" w:hAnsi="Arial" w:cs="Arial"/>
          <w:i/>
          <w:iCs/>
          <w:sz w:val="24"/>
          <w:szCs w:val="24"/>
        </w:rPr>
        <w:t>Jo Heyworth HR</w:t>
      </w:r>
      <w:r w:rsidRPr="00E73DD9">
        <w:rPr>
          <w:rFonts w:ascii="Arial" w:hAnsi="Arial" w:cs="Arial"/>
          <w:sz w:val="24"/>
          <w:szCs w:val="24"/>
        </w:rPr>
        <w:t xml:space="preserve">. Available at: https://www.joheyworthhr.com/post/employer-resource-trade-union-reforms (Accessed: 18 April 2026). </w:t>
      </w:r>
    </w:p>
    <w:p w14:paraId="7F67EAFE" w14:textId="77777777" w:rsidR="00E73DD9" w:rsidRPr="00E73DD9" w:rsidRDefault="00E73DD9" w:rsidP="00E73DD9">
      <w:pPr>
        <w:rPr>
          <w:rFonts w:ascii="Arial" w:hAnsi="Arial" w:cs="Arial"/>
          <w:sz w:val="24"/>
          <w:szCs w:val="24"/>
        </w:rPr>
      </w:pPr>
      <w:r w:rsidRPr="00E73DD9">
        <w:rPr>
          <w:rFonts w:ascii="Arial" w:hAnsi="Arial" w:cs="Arial"/>
          <w:sz w:val="24"/>
          <w:szCs w:val="24"/>
        </w:rPr>
        <w:t>Hietanen-</w:t>
      </w:r>
      <w:proofErr w:type="spellStart"/>
      <w:r w:rsidRPr="00E73DD9">
        <w:rPr>
          <w:rFonts w:ascii="Arial" w:hAnsi="Arial" w:cs="Arial"/>
          <w:sz w:val="24"/>
          <w:szCs w:val="24"/>
        </w:rPr>
        <w:t>Kunwald</w:t>
      </w:r>
      <w:proofErr w:type="spellEnd"/>
      <w:r w:rsidRPr="00E73DD9">
        <w:rPr>
          <w:rFonts w:ascii="Arial" w:hAnsi="Arial" w:cs="Arial"/>
          <w:sz w:val="24"/>
          <w:szCs w:val="24"/>
        </w:rPr>
        <w:t xml:space="preserve">, P. and </w:t>
      </w:r>
      <w:proofErr w:type="spellStart"/>
      <w:r w:rsidRPr="00E73DD9">
        <w:rPr>
          <w:rFonts w:ascii="Arial" w:hAnsi="Arial" w:cs="Arial"/>
          <w:sz w:val="24"/>
          <w:szCs w:val="24"/>
        </w:rPr>
        <w:t>Haapio</w:t>
      </w:r>
      <w:proofErr w:type="spellEnd"/>
      <w:r w:rsidRPr="00E73DD9">
        <w:rPr>
          <w:rFonts w:ascii="Arial" w:hAnsi="Arial" w:cs="Arial"/>
          <w:sz w:val="24"/>
          <w:szCs w:val="24"/>
        </w:rPr>
        <w:t xml:space="preserve">, H. (2021) ‘Effective dispute prevention and resolution through proactive contract design’, </w:t>
      </w:r>
      <w:r w:rsidRPr="00E73DD9">
        <w:rPr>
          <w:rFonts w:ascii="Arial" w:hAnsi="Arial" w:cs="Arial"/>
          <w:i/>
          <w:iCs/>
          <w:sz w:val="24"/>
          <w:szCs w:val="24"/>
        </w:rPr>
        <w:t>Journal of Strategic Contracting and Negotiation</w:t>
      </w:r>
      <w:r w:rsidRPr="00E73DD9">
        <w:rPr>
          <w:rFonts w:ascii="Arial" w:hAnsi="Arial" w:cs="Arial"/>
          <w:sz w:val="24"/>
          <w:szCs w:val="24"/>
        </w:rPr>
        <w:t xml:space="preserve">, 5(1–2), pp. 3–23. doi:10.1177/20555636211016878. </w:t>
      </w:r>
    </w:p>
    <w:p w14:paraId="50AF0882" w14:textId="77777777" w:rsidR="00E73DD9" w:rsidRPr="00E73DD9" w:rsidRDefault="00E73DD9" w:rsidP="00E73DD9">
      <w:pPr>
        <w:rPr>
          <w:rFonts w:ascii="Arial" w:hAnsi="Arial" w:cs="Arial"/>
          <w:sz w:val="24"/>
          <w:szCs w:val="24"/>
        </w:rPr>
      </w:pPr>
      <w:r w:rsidRPr="00E73DD9">
        <w:rPr>
          <w:rFonts w:ascii="Arial" w:hAnsi="Arial" w:cs="Arial"/>
          <w:i/>
          <w:iCs/>
          <w:sz w:val="24"/>
          <w:szCs w:val="24"/>
        </w:rPr>
        <w:t>KOSTAL UK LTD V DALE DUNKLEY</w:t>
      </w:r>
      <w:r w:rsidRPr="00E73DD9">
        <w:rPr>
          <w:rFonts w:ascii="Arial" w:hAnsi="Arial" w:cs="Arial"/>
          <w:sz w:val="24"/>
          <w:szCs w:val="24"/>
        </w:rPr>
        <w:t xml:space="preserve"> (2019). Available at: https://www.bailii.org/ew/cases/EWCA/Civ/2019/1009.html (Accessed: 1 May 2026).</w:t>
      </w:r>
    </w:p>
    <w:p w14:paraId="65E6555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Lavelle, J., </w:t>
      </w:r>
      <w:proofErr w:type="spellStart"/>
      <w:r w:rsidRPr="00E73DD9">
        <w:rPr>
          <w:rFonts w:ascii="Arial" w:hAnsi="Arial" w:cs="Arial"/>
          <w:sz w:val="24"/>
          <w:szCs w:val="24"/>
        </w:rPr>
        <w:t>Gunnigle</w:t>
      </w:r>
      <w:proofErr w:type="spellEnd"/>
      <w:r w:rsidRPr="00E73DD9">
        <w:rPr>
          <w:rFonts w:ascii="Arial" w:hAnsi="Arial" w:cs="Arial"/>
          <w:sz w:val="24"/>
          <w:szCs w:val="24"/>
        </w:rPr>
        <w:t xml:space="preserve">, P. and McDonnell, A. (2010) ‘Patterning employee voice in multinational companies’, </w:t>
      </w:r>
      <w:r w:rsidRPr="00E73DD9">
        <w:rPr>
          <w:rFonts w:ascii="Arial" w:hAnsi="Arial" w:cs="Arial"/>
          <w:i/>
          <w:iCs/>
          <w:sz w:val="24"/>
          <w:szCs w:val="24"/>
        </w:rPr>
        <w:t>Human Relations</w:t>
      </w:r>
      <w:r w:rsidRPr="00E73DD9">
        <w:rPr>
          <w:rFonts w:ascii="Arial" w:hAnsi="Arial" w:cs="Arial"/>
          <w:sz w:val="24"/>
          <w:szCs w:val="24"/>
        </w:rPr>
        <w:t xml:space="preserve">, 63(3), pp. 395–418. doi:10.1177/0018726709348935. </w:t>
      </w:r>
    </w:p>
    <w:p w14:paraId="5064DCF2" w14:textId="76292BE1" w:rsidR="00E73DD9" w:rsidRPr="00E73DD9" w:rsidRDefault="00E73DD9" w:rsidP="00E73DD9">
      <w:pPr>
        <w:rPr>
          <w:rFonts w:ascii="Arial" w:hAnsi="Arial" w:cs="Arial"/>
          <w:sz w:val="24"/>
          <w:szCs w:val="24"/>
        </w:rPr>
      </w:pPr>
      <w:r w:rsidRPr="00E73DD9">
        <w:rPr>
          <w:rFonts w:ascii="Arial" w:hAnsi="Arial" w:cs="Arial"/>
          <w:sz w:val="24"/>
          <w:szCs w:val="24"/>
        </w:rPr>
        <w:t xml:space="preserve">legislation.gov.uk (2016) </w:t>
      </w:r>
      <w:r w:rsidRPr="00E73DD9">
        <w:rPr>
          <w:rFonts w:ascii="Arial" w:hAnsi="Arial" w:cs="Arial"/>
          <w:i/>
          <w:iCs/>
          <w:sz w:val="24"/>
          <w:szCs w:val="24"/>
        </w:rPr>
        <w:t xml:space="preserve">Regulation (EU) 2016/679 of the European Parliament and of the Council of 27 </w:t>
      </w:r>
      <w:proofErr w:type="spellStart"/>
      <w:r w:rsidRPr="00E73DD9">
        <w:rPr>
          <w:rFonts w:ascii="Arial" w:hAnsi="Arial" w:cs="Arial"/>
          <w:i/>
          <w:iCs/>
          <w:sz w:val="24"/>
          <w:szCs w:val="24"/>
        </w:rPr>
        <w:t>april</w:t>
      </w:r>
      <w:proofErr w:type="spellEnd"/>
      <w:r w:rsidRPr="00E73DD9">
        <w:rPr>
          <w:rFonts w:ascii="Arial" w:hAnsi="Arial" w:cs="Arial"/>
          <w:i/>
          <w:iCs/>
          <w:sz w:val="24"/>
          <w:szCs w:val="24"/>
        </w:rPr>
        <w:t xml:space="preserve"> 2016 on the protection of natural persons </w:t>
      </w:r>
      <w:proofErr w:type="gramStart"/>
      <w:r w:rsidRPr="00E73DD9">
        <w:rPr>
          <w:rFonts w:ascii="Arial" w:hAnsi="Arial" w:cs="Arial"/>
          <w:i/>
          <w:iCs/>
          <w:sz w:val="24"/>
          <w:szCs w:val="24"/>
        </w:rPr>
        <w:t>with regard to</w:t>
      </w:r>
      <w:proofErr w:type="gramEnd"/>
      <w:r w:rsidRPr="00E73DD9">
        <w:rPr>
          <w:rFonts w:ascii="Arial" w:hAnsi="Arial" w:cs="Arial"/>
          <w:i/>
          <w:iCs/>
          <w:sz w:val="24"/>
          <w:szCs w:val="24"/>
        </w:rPr>
        <w:t xml:space="preserve"> the processing of personal data and on the free movement of such data (United Kingdom General Data Protection Regulation)</w:t>
      </w:r>
      <w:r w:rsidRPr="00E73DD9">
        <w:rPr>
          <w:rFonts w:ascii="Arial" w:hAnsi="Arial" w:cs="Arial"/>
          <w:sz w:val="24"/>
          <w:szCs w:val="24"/>
        </w:rPr>
        <w:t xml:space="preserve">. Available at: https://www.legislation.gov.uk/eur/2016/679/contents# (Accessed: 30 April 2026). </w:t>
      </w:r>
    </w:p>
    <w:p w14:paraId="487D10CC" w14:textId="77777777" w:rsidR="00E73DD9" w:rsidRPr="00E73DD9" w:rsidRDefault="00E73DD9" w:rsidP="00E73DD9">
      <w:pPr>
        <w:rPr>
          <w:rFonts w:ascii="Arial" w:hAnsi="Arial" w:cs="Arial"/>
          <w:sz w:val="24"/>
          <w:szCs w:val="24"/>
        </w:rPr>
      </w:pPr>
      <w:proofErr w:type="spellStart"/>
      <w:r w:rsidRPr="00E73DD9">
        <w:rPr>
          <w:rFonts w:ascii="Arial" w:hAnsi="Arial" w:cs="Arial"/>
          <w:i/>
          <w:iCs/>
          <w:sz w:val="24"/>
          <w:szCs w:val="24"/>
        </w:rPr>
        <w:t>Majrowski</w:t>
      </w:r>
      <w:proofErr w:type="spellEnd"/>
      <w:r w:rsidRPr="00E73DD9">
        <w:rPr>
          <w:rFonts w:ascii="Arial" w:hAnsi="Arial" w:cs="Arial"/>
          <w:i/>
          <w:iCs/>
          <w:sz w:val="24"/>
          <w:szCs w:val="24"/>
        </w:rPr>
        <w:t xml:space="preserve"> v. Guy’s and St. Thomas’ NHS Trust</w:t>
      </w:r>
      <w:r w:rsidRPr="00E73DD9">
        <w:rPr>
          <w:rFonts w:ascii="Arial" w:hAnsi="Arial" w:cs="Arial"/>
          <w:sz w:val="24"/>
          <w:szCs w:val="24"/>
        </w:rPr>
        <w:t xml:space="preserve"> (2006). Available at: https://publications.parliament.uk/pa/ld200506/ldjudgmt/jd060712/majro.pdf (Accessed: 10 May 2026).</w:t>
      </w:r>
    </w:p>
    <w:p w14:paraId="00FA36A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Maynes, T.D. </w:t>
      </w:r>
      <w:r w:rsidRPr="00E73DD9">
        <w:rPr>
          <w:rFonts w:ascii="Arial" w:hAnsi="Arial" w:cs="Arial"/>
          <w:i/>
          <w:iCs/>
          <w:sz w:val="24"/>
          <w:szCs w:val="24"/>
        </w:rPr>
        <w:t>et al.</w:t>
      </w:r>
      <w:r w:rsidRPr="00E73DD9">
        <w:rPr>
          <w:rFonts w:ascii="Arial" w:hAnsi="Arial" w:cs="Arial"/>
          <w:sz w:val="24"/>
          <w:szCs w:val="24"/>
        </w:rPr>
        <w:t xml:space="preserve"> (2024) ‘Harnessing the power of employee voice for individual and organizational effectiveness’, </w:t>
      </w:r>
      <w:r w:rsidRPr="00E73DD9">
        <w:rPr>
          <w:rFonts w:ascii="Arial" w:hAnsi="Arial" w:cs="Arial"/>
          <w:i/>
          <w:iCs/>
          <w:sz w:val="24"/>
          <w:szCs w:val="24"/>
        </w:rPr>
        <w:t>Business Horizons</w:t>
      </w:r>
      <w:r w:rsidRPr="00E73DD9">
        <w:rPr>
          <w:rFonts w:ascii="Arial" w:hAnsi="Arial" w:cs="Arial"/>
          <w:sz w:val="24"/>
          <w:szCs w:val="24"/>
        </w:rPr>
        <w:t xml:space="preserve">, 67(3), pp. 283–298. </w:t>
      </w:r>
      <w:proofErr w:type="gramStart"/>
      <w:r w:rsidRPr="00E73DD9">
        <w:rPr>
          <w:rFonts w:ascii="Arial" w:hAnsi="Arial" w:cs="Arial"/>
          <w:sz w:val="24"/>
          <w:szCs w:val="24"/>
        </w:rPr>
        <w:t>doi:10.1016/j.bushor</w:t>
      </w:r>
      <w:proofErr w:type="gramEnd"/>
      <w:r w:rsidRPr="00E73DD9">
        <w:rPr>
          <w:rFonts w:ascii="Arial" w:hAnsi="Arial" w:cs="Arial"/>
          <w:sz w:val="24"/>
          <w:szCs w:val="24"/>
        </w:rPr>
        <w:t xml:space="preserve">.2024.02.005. </w:t>
      </w:r>
    </w:p>
    <w:p w14:paraId="1A0E9422"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McArdle, P. (1996) ‘Tupe </w:t>
      </w:r>
      <w:r w:rsidRPr="00E73DD9">
        <w:rPr>
          <w:rFonts w:ascii="Cambria Math" w:hAnsi="Cambria Math" w:cs="Cambria Math"/>
          <w:sz w:val="24"/>
          <w:szCs w:val="24"/>
        </w:rPr>
        <w:t>‐</w:t>
      </w:r>
      <w:r w:rsidRPr="00E73DD9">
        <w:rPr>
          <w:rFonts w:ascii="Arial" w:hAnsi="Arial" w:cs="Arial"/>
          <w:sz w:val="24"/>
          <w:szCs w:val="24"/>
        </w:rPr>
        <w:t xml:space="preserve"> the legal issues’, </w:t>
      </w:r>
      <w:r w:rsidRPr="00E73DD9">
        <w:rPr>
          <w:rFonts w:ascii="Arial" w:hAnsi="Arial" w:cs="Arial"/>
          <w:i/>
          <w:iCs/>
          <w:sz w:val="24"/>
          <w:szCs w:val="24"/>
        </w:rPr>
        <w:t>Facilities</w:t>
      </w:r>
      <w:r w:rsidRPr="00E73DD9">
        <w:rPr>
          <w:rFonts w:ascii="Arial" w:hAnsi="Arial" w:cs="Arial"/>
          <w:sz w:val="24"/>
          <w:szCs w:val="24"/>
        </w:rPr>
        <w:t xml:space="preserve">, 14(12/13), pp. 47–51. doi:10.1108/02632779610152234. </w:t>
      </w:r>
    </w:p>
    <w:p w14:paraId="3C55A76E" w14:textId="77777777" w:rsidR="00E73DD9" w:rsidRPr="00E73DD9" w:rsidRDefault="00E73DD9" w:rsidP="00E73DD9">
      <w:pPr>
        <w:rPr>
          <w:rFonts w:ascii="Arial" w:hAnsi="Arial" w:cs="Arial"/>
          <w:sz w:val="24"/>
          <w:szCs w:val="24"/>
        </w:rPr>
      </w:pPr>
      <w:r w:rsidRPr="00E73DD9">
        <w:rPr>
          <w:rFonts w:ascii="Arial" w:hAnsi="Arial" w:cs="Arial"/>
          <w:i/>
          <w:iCs/>
          <w:sz w:val="24"/>
          <w:szCs w:val="24"/>
        </w:rPr>
        <w:t>McCarrick v Hunter</w:t>
      </w:r>
      <w:r w:rsidRPr="00E73DD9">
        <w:rPr>
          <w:rFonts w:ascii="Arial" w:hAnsi="Arial" w:cs="Arial"/>
          <w:sz w:val="24"/>
          <w:szCs w:val="24"/>
        </w:rPr>
        <w:t xml:space="preserve"> (2012). Available at: https://employmentcasesupdate.co.uk/content/mccarrick-v-hunter-2012-ewca-civ-1399.1eee3d7da7db4d948a264719e3cd3946.htm (Accessed: 1 May 2026).</w:t>
      </w:r>
    </w:p>
    <w:p w14:paraId="3D050C7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McGrath, D. and O’Sullivan, M. (2022) ‘What is reasonable? the operation of “reasonable accommodation” and “disability” provisions under the Employment Equality Acts 1998–2015’, </w:t>
      </w:r>
      <w:r w:rsidRPr="00E73DD9">
        <w:rPr>
          <w:rFonts w:ascii="Arial" w:hAnsi="Arial" w:cs="Arial"/>
          <w:i/>
          <w:iCs/>
          <w:sz w:val="24"/>
          <w:szCs w:val="24"/>
        </w:rPr>
        <w:t>The Irish Journal of Management</w:t>
      </w:r>
      <w:r w:rsidRPr="00E73DD9">
        <w:rPr>
          <w:rFonts w:ascii="Arial" w:hAnsi="Arial" w:cs="Arial"/>
          <w:sz w:val="24"/>
          <w:szCs w:val="24"/>
        </w:rPr>
        <w:t xml:space="preserve">, 41(1), pp. 37–51. doi:10.2478/ijm-2022-0004. </w:t>
      </w:r>
    </w:p>
    <w:p w14:paraId="05BB8613"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McMullen, J. (2012) </w:t>
      </w:r>
      <w:proofErr w:type="spellStart"/>
      <w:r w:rsidRPr="00E73DD9">
        <w:rPr>
          <w:rFonts w:ascii="Arial" w:hAnsi="Arial" w:cs="Arial"/>
          <w:sz w:val="24"/>
          <w:szCs w:val="24"/>
        </w:rPr>
        <w:t>‘Re</w:t>
      </w:r>
      <w:proofErr w:type="spellEnd"/>
      <w:r w:rsidRPr="00E73DD9">
        <w:rPr>
          <w:rFonts w:ascii="Arial" w:hAnsi="Arial" w:cs="Arial"/>
          <w:sz w:val="24"/>
          <w:szCs w:val="24"/>
        </w:rPr>
        <w:t xml:space="preserve">-structuring and Tupe’, </w:t>
      </w:r>
      <w:r w:rsidRPr="00E73DD9">
        <w:rPr>
          <w:rFonts w:ascii="Arial" w:hAnsi="Arial" w:cs="Arial"/>
          <w:i/>
          <w:iCs/>
          <w:sz w:val="24"/>
          <w:szCs w:val="24"/>
        </w:rPr>
        <w:t>Industrial Law Journal</w:t>
      </w:r>
      <w:r w:rsidRPr="00E73DD9">
        <w:rPr>
          <w:rFonts w:ascii="Arial" w:hAnsi="Arial" w:cs="Arial"/>
          <w:sz w:val="24"/>
          <w:szCs w:val="24"/>
        </w:rPr>
        <w:t>, 41(3), pp. 358–362. doi:10.1093/</w:t>
      </w:r>
      <w:proofErr w:type="spellStart"/>
      <w:r w:rsidRPr="00E73DD9">
        <w:rPr>
          <w:rFonts w:ascii="Arial" w:hAnsi="Arial" w:cs="Arial"/>
          <w:sz w:val="24"/>
          <w:szCs w:val="24"/>
        </w:rPr>
        <w:t>indlaw</w:t>
      </w:r>
      <w:proofErr w:type="spellEnd"/>
      <w:r w:rsidRPr="00E73DD9">
        <w:rPr>
          <w:rFonts w:ascii="Arial" w:hAnsi="Arial" w:cs="Arial"/>
          <w:sz w:val="24"/>
          <w:szCs w:val="24"/>
        </w:rPr>
        <w:t xml:space="preserve">/dws025. </w:t>
      </w:r>
    </w:p>
    <w:p w14:paraId="061348C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Mowbray, P.K., Wilkinson, A. and Tse, H.H. (2021) ‘Strategic or silencing? line managers’ repurposing of employee voice mechanisms for high performance’, </w:t>
      </w:r>
      <w:r w:rsidRPr="00E73DD9">
        <w:rPr>
          <w:rFonts w:ascii="Arial" w:hAnsi="Arial" w:cs="Arial"/>
          <w:i/>
          <w:iCs/>
          <w:sz w:val="24"/>
          <w:szCs w:val="24"/>
        </w:rPr>
        <w:t>British Journal of Management</w:t>
      </w:r>
      <w:r w:rsidRPr="00E73DD9">
        <w:rPr>
          <w:rFonts w:ascii="Arial" w:hAnsi="Arial" w:cs="Arial"/>
          <w:sz w:val="24"/>
          <w:szCs w:val="24"/>
        </w:rPr>
        <w:t xml:space="preserve">, 33(2), pp. 1054–1070. doi:10.1111/1467-8551.12469. </w:t>
      </w:r>
    </w:p>
    <w:p w14:paraId="2CDB541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NHS (2026) </w:t>
      </w:r>
      <w:r w:rsidRPr="00E73DD9">
        <w:rPr>
          <w:rFonts w:ascii="Arial" w:hAnsi="Arial" w:cs="Arial"/>
          <w:i/>
          <w:iCs/>
          <w:sz w:val="24"/>
          <w:szCs w:val="24"/>
        </w:rPr>
        <w:t>Personal data breaches and related incidents</w:t>
      </w:r>
      <w:r w:rsidRPr="00E73DD9">
        <w:rPr>
          <w:rFonts w:ascii="Arial" w:hAnsi="Arial" w:cs="Arial"/>
          <w:sz w:val="24"/>
          <w:szCs w:val="24"/>
        </w:rPr>
        <w:t xml:space="preserve">, </w:t>
      </w:r>
      <w:r w:rsidRPr="00E73DD9">
        <w:rPr>
          <w:rFonts w:ascii="Arial" w:hAnsi="Arial" w:cs="Arial"/>
          <w:i/>
          <w:iCs/>
          <w:sz w:val="24"/>
          <w:szCs w:val="24"/>
        </w:rPr>
        <w:t>NHS choices</w:t>
      </w:r>
      <w:r w:rsidRPr="00E73DD9">
        <w:rPr>
          <w:rFonts w:ascii="Arial" w:hAnsi="Arial" w:cs="Arial"/>
          <w:sz w:val="24"/>
          <w:szCs w:val="24"/>
        </w:rPr>
        <w:t xml:space="preserve">. Available at: https://transform.england.nhs.uk/information-governance/guidance/personal-data-breaches/ (Accessed: 30 April 2026). </w:t>
      </w:r>
    </w:p>
    <w:p w14:paraId="75356B0A"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Peng, B. and </w:t>
      </w:r>
      <w:proofErr w:type="spellStart"/>
      <w:r w:rsidRPr="00E73DD9">
        <w:rPr>
          <w:rFonts w:ascii="Arial" w:hAnsi="Arial" w:cs="Arial"/>
          <w:sz w:val="24"/>
          <w:szCs w:val="24"/>
        </w:rPr>
        <w:t>Potipiroon</w:t>
      </w:r>
      <w:proofErr w:type="spellEnd"/>
      <w:r w:rsidRPr="00E73DD9">
        <w:rPr>
          <w:rFonts w:ascii="Arial" w:hAnsi="Arial" w:cs="Arial"/>
          <w:sz w:val="24"/>
          <w:szCs w:val="24"/>
        </w:rPr>
        <w:t xml:space="preserve">, W. (2022) ‘Fear of losing jobs during COVID-19: Can psychological capital alleviate job insecurity and job stress?’, </w:t>
      </w:r>
      <w:r w:rsidRPr="00E73DD9">
        <w:rPr>
          <w:rFonts w:ascii="Arial" w:hAnsi="Arial" w:cs="Arial"/>
          <w:i/>
          <w:iCs/>
          <w:sz w:val="24"/>
          <w:szCs w:val="24"/>
        </w:rPr>
        <w:t>Behavioral Sciences</w:t>
      </w:r>
      <w:r w:rsidRPr="00E73DD9">
        <w:rPr>
          <w:rFonts w:ascii="Arial" w:hAnsi="Arial" w:cs="Arial"/>
          <w:sz w:val="24"/>
          <w:szCs w:val="24"/>
        </w:rPr>
        <w:t xml:space="preserve">, 12(6), p. 168. doi:10.3390/bs12060168. </w:t>
      </w:r>
    </w:p>
    <w:p w14:paraId="1D584E6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Rees, C., Alfes, K. and Gatenby, M. (2013) ‘Employee voice and engagement: Connections and consequences’, </w:t>
      </w:r>
      <w:r w:rsidRPr="00E73DD9">
        <w:rPr>
          <w:rFonts w:ascii="Arial" w:hAnsi="Arial" w:cs="Arial"/>
          <w:i/>
          <w:iCs/>
          <w:sz w:val="24"/>
          <w:szCs w:val="24"/>
        </w:rPr>
        <w:t>The International Journal of Human Resource Management</w:t>
      </w:r>
      <w:r w:rsidRPr="00E73DD9">
        <w:rPr>
          <w:rFonts w:ascii="Arial" w:hAnsi="Arial" w:cs="Arial"/>
          <w:sz w:val="24"/>
          <w:szCs w:val="24"/>
        </w:rPr>
        <w:t xml:space="preserve">, 24(14), pp. 2780–2798. doi:10.1080/09585192.2013.763843. </w:t>
      </w:r>
    </w:p>
    <w:p w14:paraId="5FC585BC"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Robotham, K. and Cortina, L. (2019) ‘Promoting respect as a solution to workplace harassment’, </w:t>
      </w:r>
      <w:r w:rsidRPr="00E73DD9">
        <w:rPr>
          <w:rFonts w:ascii="Arial" w:hAnsi="Arial" w:cs="Arial"/>
          <w:i/>
          <w:iCs/>
          <w:sz w:val="24"/>
          <w:szCs w:val="24"/>
        </w:rPr>
        <w:t>Equality, Diversity and Inclusion: An International Journal</w:t>
      </w:r>
      <w:r w:rsidRPr="00E73DD9">
        <w:rPr>
          <w:rFonts w:ascii="Arial" w:hAnsi="Arial" w:cs="Arial"/>
          <w:sz w:val="24"/>
          <w:szCs w:val="24"/>
        </w:rPr>
        <w:t xml:space="preserve">, 40(4), pp. 410–429. doi:10.1108/edi-04-2019-0137. </w:t>
      </w:r>
    </w:p>
    <w:p w14:paraId="37A86AD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Rousseau, D.M. (1995) </w:t>
      </w:r>
      <w:r w:rsidRPr="00E73DD9">
        <w:rPr>
          <w:rFonts w:ascii="Arial" w:hAnsi="Arial" w:cs="Arial"/>
          <w:i/>
          <w:iCs/>
          <w:sz w:val="24"/>
          <w:szCs w:val="24"/>
        </w:rPr>
        <w:t>Psychological contracts in organizations: Understanding written and Unwritten Agreements</w:t>
      </w:r>
      <w:r w:rsidRPr="00E73DD9">
        <w:rPr>
          <w:rFonts w:ascii="Arial" w:hAnsi="Arial" w:cs="Arial"/>
          <w:sz w:val="24"/>
          <w:szCs w:val="24"/>
        </w:rPr>
        <w:t xml:space="preserve">. Thousand Oaks: SAGE Publications. </w:t>
      </w:r>
    </w:p>
    <w:p w14:paraId="5317A96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Schwab, B., Sargeant, M. and Lewis, D.B. (2023) </w:t>
      </w:r>
      <w:r w:rsidRPr="00E73DD9">
        <w:rPr>
          <w:rFonts w:ascii="Arial" w:hAnsi="Arial" w:cs="Arial"/>
          <w:i/>
          <w:iCs/>
          <w:sz w:val="24"/>
          <w:szCs w:val="24"/>
        </w:rPr>
        <w:t>Employment Law- The Essentials</w:t>
      </w:r>
      <w:r w:rsidRPr="00E73DD9">
        <w:rPr>
          <w:rFonts w:ascii="Arial" w:hAnsi="Arial" w:cs="Arial"/>
          <w:sz w:val="24"/>
          <w:szCs w:val="24"/>
        </w:rPr>
        <w:t xml:space="preserve">. London: CIPD. </w:t>
      </w:r>
    </w:p>
    <w:p w14:paraId="4DC9979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Sørensen, O.H., Hasle, P. and Pejtersen, J.H. (2011) ‘Trust relations in Management of Change’, </w:t>
      </w:r>
      <w:r w:rsidRPr="00E73DD9">
        <w:rPr>
          <w:rFonts w:ascii="Arial" w:hAnsi="Arial" w:cs="Arial"/>
          <w:i/>
          <w:iCs/>
          <w:sz w:val="24"/>
          <w:szCs w:val="24"/>
        </w:rPr>
        <w:t>Scandinavian Journal of Management</w:t>
      </w:r>
      <w:r w:rsidRPr="00E73DD9">
        <w:rPr>
          <w:rFonts w:ascii="Arial" w:hAnsi="Arial" w:cs="Arial"/>
          <w:sz w:val="24"/>
          <w:szCs w:val="24"/>
        </w:rPr>
        <w:t xml:space="preserve">, 27(4), pp. 405–417. </w:t>
      </w:r>
      <w:proofErr w:type="gramStart"/>
      <w:r w:rsidRPr="00E73DD9">
        <w:rPr>
          <w:rFonts w:ascii="Arial" w:hAnsi="Arial" w:cs="Arial"/>
          <w:sz w:val="24"/>
          <w:szCs w:val="24"/>
        </w:rPr>
        <w:t>doi:10.1016/j.scaman</w:t>
      </w:r>
      <w:proofErr w:type="gramEnd"/>
      <w:r w:rsidRPr="00E73DD9">
        <w:rPr>
          <w:rFonts w:ascii="Arial" w:hAnsi="Arial" w:cs="Arial"/>
          <w:sz w:val="24"/>
          <w:szCs w:val="24"/>
        </w:rPr>
        <w:t xml:space="preserve">.2011.08.003. </w:t>
      </w:r>
    </w:p>
    <w:p w14:paraId="49C9AC9C" w14:textId="77777777" w:rsidR="00E73DD9" w:rsidRPr="00E73DD9" w:rsidRDefault="00E73DD9" w:rsidP="00E73DD9">
      <w:pPr>
        <w:rPr>
          <w:rFonts w:ascii="Arial" w:hAnsi="Arial" w:cs="Arial"/>
          <w:sz w:val="24"/>
          <w:szCs w:val="24"/>
        </w:rPr>
      </w:pPr>
      <w:proofErr w:type="spellStart"/>
      <w:r w:rsidRPr="00E73DD9">
        <w:rPr>
          <w:rFonts w:ascii="Arial" w:hAnsi="Arial" w:cs="Arial"/>
          <w:sz w:val="24"/>
          <w:szCs w:val="24"/>
        </w:rPr>
        <w:t>Suff</w:t>
      </w:r>
      <w:proofErr w:type="spellEnd"/>
      <w:r w:rsidRPr="00E73DD9">
        <w:rPr>
          <w:rFonts w:ascii="Arial" w:hAnsi="Arial" w:cs="Arial"/>
          <w:sz w:val="24"/>
          <w:szCs w:val="24"/>
        </w:rPr>
        <w:t xml:space="preserve">, R. and Ayling, L. (2026) </w:t>
      </w:r>
      <w:r w:rsidRPr="00E73DD9">
        <w:rPr>
          <w:rFonts w:ascii="Arial" w:hAnsi="Arial" w:cs="Arial"/>
          <w:i/>
          <w:iCs/>
          <w:sz w:val="24"/>
          <w:szCs w:val="24"/>
        </w:rPr>
        <w:t>Harassment and bullying at work</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https://www.cipd.org/uk/knowledge/factsheets/harassment-factsheet/#what-are-harassment-and-bullying (Accessed: 14 April 2026). </w:t>
      </w:r>
    </w:p>
    <w:p w14:paraId="58EFC951" w14:textId="77777777" w:rsidR="00E73DD9" w:rsidRPr="00E73DD9" w:rsidRDefault="00E73DD9" w:rsidP="00E73DD9">
      <w:pPr>
        <w:rPr>
          <w:rFonts w:ascii="Arial" w:hAnsi="Arial" w:cs="Arial"/>
          <w:sz w:val="24"/>
          <w:szCs w:val="24"/>
        </w:rPr>
      </w:pPr>
      <w:r w:rsidRPr="00E73DD9">
        <w:rPr>
          <w:rFonts w:ascii="Arial" w:hAnsi="Arial" w:cs="Arial"/>
          <w:i/>
          <w:iCs/>
          <w:sz w:val="24"/>
          <w:szCs w:val="24"/>
        </w:rPr>
        <w:lastRenderedPageBreak/>
        <w:t>Uber BV v Aslam</w:t>
      </w:r>
      <w:r w:rsidRPr="00E73DD9">
        <w:rPr>
          <w:rFonts w:ascii="Arial" w:hAnsi="Arial" w:cs="Arial"/>
          <w:sz w:val="24"/>
          <w:szCs w:val="24"/>
        </w:rPr>
        <w:t xml:space="preserve"> (2021). Available at: https://www.supremecourt.uk/cases/uksc-2019-0029 (Accessed: 1 May 2026).</w:t>
      </w:r>
    </w:p>
    <w:p w14:paraId="020B10C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UKMJ (2025) </w:t>
      </w:r>
      <w:r w:rsidRPr="00E73DD9">
        <w:rPr>
          <w:rFonts w:ascii="Arial" w:hAnsi="Arial" w:cs="Arial"/>
          <w:i/>
          <w:iCs/>
          <w:sz w:val="24"/>
          <w:szCs w:val="24"/>
        </w:rPr>
        <w:t>Workplace Conflict in Great Britain 2025: Record Prevalence and Key Business Insights</w:t>
      </w:r>
      <w:r w:rsidRPr="00E73DD9">
        <w:rPr>
          <w:rFonts w:ascii="Arial" w:hAnsi="Arial" w:cs="Arial"/>
          <w:sz w:val="24"/>
          <w:szCs w:val="24"/>
        </w:rPr>
        <w:t xml:space="preserve">, </w:t>
      </w:r>
      <w:r w:rsidRPr="00E73DD9">
        <w:rPr>
          <w:rFonts w:ascii="Arial" w:hAnsi="Arial" w:cs="Arial"/>
          <w:i/>
          <w:iCs/>
          <w:sz w:val="24"/>
          <w:szCs w:val="24"/>
        </w:rPr>
        <w:t>UK MEDIATION JOURNAL</w:t>
      </w:r>
      <w:r w:rsidRPr="00E73DD9">
        <w:rPr>
          <w:rFonts w:ascii="Arial" w:hAnsi="Arial" w:cs="Arial"/>
          <w:sz w:val="24"/>
          <w:szCs w:val="24"/>
        </w:rPr>
        <w:t xml:space="preserve">. Available at: https://www.ukmj.co.uk/articles/workplace-conflict-in-great-britain-2025-record-prevalence-and-key-business-insights (Accessed: 30 April 2026). </w:t>
      </w:r>
    </w:p>
    <w:p w14:paraId="7D90634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Unison (2019) </w:t>
      </w:r>
      <w:r w:rsidRPr="00E73DD9">
        <w:rPr>
          <w:rFonts w:ascii="Arial" w:hAnsi="Arial" w:cs="Arial"/>
          <w:i/>
          <w:iCs/>
          <w:sz w:val="24"/>
          <w:szCs w:val="24"/>
        </w:rPr>
        <w:t>Negotiating on information and consultation ...</w:t>
      </w:r>
      <w:r w:rsidRPr="00E73DD9">
        <w:rPr>
          <w:rFonts w:ascii="Arial" w:hAnsi="Arial" w:cs="Arial"/>
          <w:sz w:val="24"/>
          <w:szCs w:val="24"/>
        </w:rPr>
        <w:t xml:space="preserve">, </w:t>
      </w:r>
      <w:r w:rsidRPr="00E73DD9">
        <w:rPr>
          <w:rFonts w:ascii="Arial" w:hAnsi="Arial" w:cs="Arial"/>
          <w:i/>
          <w:iCs/>
          <w:sz w:val="24"/>
          <w:szCs w:val="24"/>
        </w:rPr>
        <w:t>Unison</w:t>
      </w:r>
      <w:r w:rsidRPr="00E73DD9">
        <w:rPr>
          <w:rFonts w:ascii="Arial" w:hAnsi="Arial" w:cs="Arial"/>
          <w:sz w:val="24"/>
          <w:szCs w:val="24"/>
        </w:rPr>
        <w:t xml:space="preserve">. Available at: https://www.unison.org.uk/content/uploads/2019/02/Information-and-consultation-of-employeesFEB2019.pdf (Accessed: 19 April 2026). </w:t>
      </w:r>
    </w:p>
    <w:p w14:paraId="273DC70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Wynn-Evans, C. (2022a) </w:t>
      </w:r>
      <w:r w:rsidRPr="00E73DD9">
        <w:rPr>
          <w:rFonts w:ascii="Arial" w:hAnsi="Arial" w:cs="Arial"/>
          <w:i/>
          <w:iCs/>
          <w:sz w:val="24"/>
          <w:szCs w:val="24"/>
        </w:rPr>
        <w:t xml:space="preserve">The law of </w:t>
      </w:r>
      <w:proofErr w:type="spellStart"/>
      <w:r w:rsidRPr="00E73DD9">
        <w:rPr>
          <w:rFonts w:ascii="Arial" w:hAnsi="Arial" w:cs="Arial"/>
          <w:i/>
          <w:iCs/>
          <w:sz w:val="24"/>
          <w:szCs w:val="24"/>
        </w:rPr>
        <w:t>tupe</w:t>
      </w:r>
      <w:proofErr w:type="spellEnd"/>
      <w:r w:rsidRPr="00E73DD9">
        <w:rPr>
          <w:rFonts w:ascii="Arial" w:hAnsi="Arial" w:cs="Arial"/>
          <w:i/>
          <w:iCs/>
          <w:sz w:val="24"/>
          <w:szCs w:val="24"/>
        </w:rPr>
        <w:t xml:space="preserve"> transfers</w:t>
      </w:r>
      <w:r w:rsidRPr="00E73DD9">
        <w:rPr>
          <w:rFonts w:ascii="Arial" w:hAnsi="Arial" w:cs="Arial"/>
          <w:sz w:val="24"/>
          <w:szCs w:val="24"/>
        </w:rPr>
        <w:t>. doi:10.1093/</w:t>
      </w:r>
      <w:proofErr w:type="spellStart"/>
      <w:r w:rsidRPr="00E73DD9">
        <w:rPr>
          <w:rFonts w:ascii="Arial" w:hAnsi="Arial" w:cs="Arial"/>
          <w:sz w:val="24"/>
          <w:szCs w:val="24"/>
        </w:rPr>
        <w:t>oso</w:t>
      </w:r>
      <w:proofErr w:type="spellEnd"/>
      <w:r w:rsidRPr="00E73DD9">
        <w:rPr>
          <w:rFonts w:ascii="Arial" w:hAnsi="Arial" w:cs="Arial"/>
          <w:sz w:val="24"/>
          <w:szCs w:val="24"/>
        </w:rPr>
        <w:t xml:space="preserve">/9780192843517.001.0001. </w:t>
      </w:r>
    </w:p>
    <w:p w14:paraId="080A454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Wynn-Evans, C. (2022b) </w:t>
      </w:r>
      <w:r w:rsidRPr="00E73DD9">
        <w:rPr>
          <w:rFonts w:ascii="Arial" w:hAnsi="Arial" w:cs="Arial"/>
          <w:i/>
          <w:iCs/>
          <w:sz w:val="24"/>
          <w:szCs w:val="24"/>
        </w:rPr>
        <w:t xml:space="preserve">The law of </w:t>
      </w:r>
      <w:proofErr w:type="spellStart"/>
      <w:r w:rsidRPr="00E73DD9">
        <w:rPr>
          <w:rFonts w:ascii="Arial" w:hAnsi="Arial" w:cs="Arial"/>
          <w:i/>
          <w:iCs/>
          <w:sz w:val="24"/>
          <w:szCs w:val="24"/>
        </w:rPr>
        <w:t>tupe</w:t>
      </w:r>
      <w:proofErr w:type="spellEnd"/>
      <w:r w:rsidRPr="00E73DD9">
        <w:rPr>
          <w:rFonts w:ascii="Arial" w:hAnsi="Arial" w:cs="Arial"/>
          <w:i/>
          <w:iCs/>
          <w:sz w:val="24"/>
          <w:szCs w:val="24"/>
        </w:rPr>
        <w:t xml:space="preserve"> transfers</w:t>
      </w:r>
      <w:r w:rsidRPr="00E73DD9">
        <w:rPr>
          <w:rFonts w:ascii="Arial" w:hAnsi="Arial" w:cs="Arial"/>
          <w:sz w:val="24"/>
          <w:szCs w:val="24"/>
        </w:rPr>
        <w:t>. doi:10.1093/</w:t>
      </w:r>
      <w:proofErr w:type="spellStart"/>
      <w:r w:rsidRPr="00E73DD9">
        <w:rPr>
          <w:rFonts w:ascii="Arial" w:hAnsi="Arial" w:cs="Arial"/>
          <w:sz w:val="24"/>
          <w:szCs w:val="24"/>
        </w:rPr>
        <w:t>oso</w:t>
      </w:r>
      <w:proofErr w:type="spellEnd"/>
      <w:r w:rsidRPr="00E73DD9">
        <w:rPr>
          <w:rFonts w:ascii="Arial" w:hAnsi="Arial" w:cs="Arial"/>
          <w:sz w:val="24"/>
          <w:szCs w:val="24"/>
        </w:rPr>
        <w:t xml:space="preserve">/9780192843517.001.0001. </w:t>
      </w:r>
    </w:p>
    <w:p w14:paraId="0D10321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Zhang, Z., Liang, Q. and Li, J. (2022) ‘The curvilinear relationship between employee voice and managers’ performance evaluations: The moderating role of Voice Consensus’, </w:t>
      </w:r>
      <w:r w:rsidRPr="00E73DD9">
        <w:rPr>
          <w:rFonts w:ascii="Arial" w:hAnsi="Arial" w:cs="Arial"/>
          <w:i/>
          <w:iCs/>
          <w:sz w:val="24"/>
          <w:szCs w:val="24"/>
        </w:rPr>
        <w:t>Sustainability</w:t>
      </w:r>
      <w:r w:rsidRPr="00E73DD9">
        <w:rPr>
          <w:rFonts w:ascii="Arial" w:hAnsi="Arial" w:cs="Arial"/>
          <w:sz w:val="24"/>
          <w:szCs w:val="24"/>
        </w:rPr>
        <w:t xml:space="preserve">, 14(16), p. 9970. doi:10.3390/su14169970. </w:t>
      </w:r>
    </w:p>
    <w:p w14:paraId="45D883B1" w14:textId="77777777" w:rsidR="00E73DD9" w:rsidRPr="00CE4209" w:rsidRDefault="00E73DD9">
      <w:pPr>
        <w:rPr>
          <w:rFonts w:ascii="Times New Roman" w:hAnsi="Times New Roman" w:cs="Times New Roman"/>
          <w:sz w:val="24"/>
          <w:szCs w:val="24"/>
        </w:rPr>
      </w:pPr>
    </w:p>
    <w:sectPr w:rsidR="00E73DD9" w:rsidRPr="00CE4209" w:rsidSect="00A33107">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1975"/>
    <w:multiLevelType w:val="hybridMultilevel"/>
    <w:tmpl w:val="B47EC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F2B16"/>
    <w:multiLevelType w:val="multilevel"/>
    <w:tmpl w:val="6652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AE5AC6"/>
    <w:multiLevelType w:val="hybridMultilevel"/>
    <w:tmpl w:val="5E043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E0669"/>
    <w:multiLevelType w:val="hybridMultilevel"/>
    <w:tmpl w:val="2D68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0A77ED"/>
    <w:multiLevelType w:val="hybridMultilevel"/>
    <w:tmpl w:val="EC3A1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8B0F43"/>
    <w:multiLevelType w:val="multilevel"/>
    <w:tmpl w:val="6F580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E63A6E"/>
    <w:multiLevelType w:val="hybridMultilevel"/>
    <w:tmpl w:val="7A5E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B4F5B"/>
    <w:multiLevelType w:val="multilevel"/>
    <w:tmpl w:val="51EE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76335B"/>
    <w:multiLevelType w:val="hybridMultilevel"/>
    <w:tmpl w:val="90A8E43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40EE208E"/>
    <w:multiLevelType w:val="hybridMultilevel"/>
    <w:tmpl w:val="1A987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AB0A45"/>
    <w:multiLevelType w:val="hybridMultilevel"/>
    <w:tmpl w:val="7222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8C278F"/>
    <w:multiLevelType w:val="multilevel"/>
    <w:tmpl w:val="81B6B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BF4D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A1441AB"/>
    <w:multiLevelType w:val="hybridMultilevel"/>
    <w:tmpl w:val="F7422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29066E"/>
    <w:multiLevelType w:val="hybridMultilevel"/>
    <w:tmpl w:val="E0A4A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AF576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11441460">
    <w:abstractNumId w:val="6"/>
  </w:num>
  <w:num w:numId="2" w16cid:durableId="209198002">
    <w:abstractNumId w:val="2"/>
  </w:num>
  <w:num w:numId="3" w16cid:durableId="2104299990">
    <w:abstractNumId w:val="14"/>
  </w:num>
  <w:num w:numId="4" w16cid:durableId="627585110">
    <w:abstractNumId w:val="1"/>
  </w:num>
  <w:num w:numId="5" w16cid:durableId="1937010671">
    <w:abstractNumId w:val="13"/>
  </w:num>
  <w:num w:numId="6" w16cid:durableId="422996621">
    <w:abstractNumId w:val="0"/>
  </w:num>
  <w:num w:numId="7" w16cid:durableId="614024254">
    <w:abstractNumId w:val="10"/>
  </w:num>
  <w:num w:numId="8" w16cid:durableId="1828474940">
    <w:abstractNumId w:val="11"/>
  </w:num>
  <w:num w:numId="9" w16cid:durableId="135493147">
    <w:abstractNumId w:val="5"/>
  </w:num>
  <w:num w:numId="10" w16cid:durableId="1939677183">
    <w:abstractNumId w:val="3"/>
  </w:num>
  <w:num w:numId="11" w16cid:durableId="2039623994">
    <w:abstractNumId w:val="9"/>
  </w:num>
  <w:num w:numId="12" w16cid:durableId="1022784556">
    <w:abstractNumId w:val="7"/>
  </w:num>
  <w:num w:numId="13" w16cid:durableId="184101718">
    <w:abstractNumId w:val="8"/>
  </w:num>
  <w:num w:numId="14" w16cid:durableId="1972638264">
    <w:abstractNumId w:val="4"/>
  </w:num>
  <w:num w:numId="15" w16cid:durableId="1544905012">
    <w:abstractNumId w:val="12"/>
  </w:num>
  <w:num w:numId="16" w16cid:durableId="1214645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484"/>
    <w:rsid w:val="000025B7"/>
    <w:rsid w:val="000122E4"/>
    <w:rsid w:val="00021CDE"/>
    <w:rsid w:val="00022E0C"/>
    <w:rsid w:val="000431EA"/>
    <w:rsid w:val="0008660D"/>
    <w:rsid w:val="000F2433"/>
    <w:rsid w:val="0010107A"/>
    <w:rsid w:val="00107862"/>
    <w:rsid w:val="0012007F"/>
    <w:rsid w:val="00135CBC"/>
    <w:rsid w:val="00154F86"/>
    <w:rsid w:val="001624DC"/>
    <w:rsid w:val="001A6F1B"/>
    <w:rsid w:val="001B512C"/>
    <w:rsid w:val="001B7CD4"/>
    <w:rsid w:val="001D02DF"/>
    <w:rsid w:val="00200EEA"/>
    <w:rsid w:val="00201914"/>
    <w:rsid w:val="00223412"/>
    <w:rsid w:val="00225B94"/>
    <w:rsid w:val="00274EBE"/>
    <w:rsid w:val="002761EE"/>
    <w:rsid w:val="00277FCD"/>
    <w:rsid w:val="002D3217"/>
    <w:rsid w:val="00305EAB"/>
    <w:rsid w:val="00327272"/>
    <w:rsid w:val="00335121"/>
    <w:rsid w:val="0034714B"/>
    <w:rsid w:val="003917BD"/>
    <w:rsid w:val="003A2D6A"/>
    <w:rsid w:val="003C077E"/>
    <w:rsid w:val="003C1D50"/>
    <w:rsid w:val="003E6352"/>
    <w:rsid w:val="003F6BB9"/>
    <w:rsid w:val="00404E1E"/>
    <w:rsid w:val="004077E7"/>
    <w:rsid w:val="00410C1C"/>
    <w:rsid w:val="00441656"/>
    <w:rsid w:val="00473E67"/>
    <w:rsid w:val="00486151"/>
    <w:rsid w:val="00496529"/>
    <w:rsid w:val="004A618A"/>
    <w:rsid w:val="004B0462"/>
    <w:rsid w:val="004B29AC"/>
    <w:rsid w:val="004C770B"/>
    <w:rsid w:val="004D5D2C"/>
    <w:rsid w:val="00510FD3"/>
    <w:rsid w:val="00523484"/>
    <w:rsid w:val="005249A3"/>
    <w:rsid w:val="005419CC"/>
    <w:rsid w:val="005427E3"/>
    <w:rsid w:val="00556EB1"/>
    <w:rsid w:val="005614DF"/>
    <w:rsid w:val="005F2A8D"/>
    <w:rsid w:val="00600D64"/>
    <w:rsid w:val="0061123E"/>
    <w:rsid w:val="0061635D"/>
    <w:rsid w:val="00621FF3"/>
    <w:rsid w:val="00627357"/>
    <w:rsid w:val="006408AC"/>
    <w:rsid w:val="006559D5"/>
    <w:rsid w:val="006C7A80"/>
    <w:rsid w:val="006E5161"/>
    <w:rsid w:val="0071072F"/>
    <w:rsid w:val="007301C6"/>
    <w:rsid w:val="00757BF3"/>
    <w:rsid w:val="00760615"/>
    <w:rsid w:val="00770148"/>
    <w:rsid w:val="007A0AE3"/>
    <w:rsid w:val="007D3729"/>
    <w:rsid w:val="00806D73"/>
    <w:rsid w:val="0084156C"/>
    <w:rsid w:val="00855B94"/>
    <w:rsid w:val="008710F0"/>
    <w:rsid w:val="008752B1"/>
    <w:rsid w:val="00895228"/>
    <w:rsid w:val="008E0E93"/>
    <w:rsid w:val="008E4144"/>
    <w:rsid w:val="00922AE3"/>
    <w:rsid w:val="0094619A"/>
    <w:rsid w:val="009635B8"/>
    <w:rsid w:val="009B696A"/>
    <w:rsid w:val="009B71C7"/>
    <w:rsid w:val="009D744E"/>
    <w:rsid w:val="00A0226E"/>
    <w:rsid w:val="00A21441"/>
    <w:rsid w:val="00A33107"/>
    <w:rsid w:val="00A36ED6"/>
    <w:rsid w:val="00A75A76"/>
    <w:rsid w:val="00A77B8B"/>
    <w:rsid w:val="00A82D64"/>
    <w:rsid w:val="00A910F3"/>
    <w:rsid w:val="00B0630F"/>
    <w:rsid w:val="00B22FD3"/>
    <w:rsid w:val="00B253B4"/>
    <w:rsid w:val="00B36421"/>
    <w:rsid w:val="00B47CD3"/>
    <w:rsid w:val="00B66FD2"/>
    <w:rsid w:val="00B673DC"/>
    <w:rsid w:val="00B77860"/>
    <w:rsid w:val="00BA5496"/>
    <w:rsid w:val="00C058B3"/>
    <w:rsid w:val="00C10F28"/>
    <w:rsid w:val="00C50D84"/>
    <w:rsid w:val="00C5268F"/>
    <w:rsid w:val="00C67198"/>
    <w:rsid w:val="00C70545"/>
    <w:rsid w:val="00CB08AF"/>
    <w:rsid w:val="00CB3D77"/>
    <w:rsid w:val="00CE4209"/>
    <w:rsid w:val="00D062C0"/>
    <w:rsid w:val="00D23D38"/>
    <w:rsid w:val="00D46484"/>
    <w:rsid w:val="00D559C2"/>
    <w:rsid w:val="00D70B4C"/>
    <w:rsid w:val="00DA353A"/>
    <w:rsid w:val="00DA5AA1"/>
    <w:rsid w:val="00DC6A29"/>
    <w:rsid w:val="00DF0C0C"/>
    <w:rsid w:val="00E14F9D"/>
    <w:rsid w:val="00E175CC"/>
    <w:rsid w:val="00E37D9C"/>
    <w:rsid w:val="00E5282F"/>
    <w:rsid w:val="00E535FF"/>
    <w:rsid w:val="00E73DD9"/>
    <w:rsid w:val="00EE4047"/>
    <w:rsid w:val="00F32006"/>
    <w:rsid w:val="00F36254"/>
    <w:rsid w:val="00F410F5"/>
    <w:rsid w:val="00F67B9E"/>
    <w:rsid w:val="00F91477"/>
    <w:rsid w:val="00FD7C12"/>
  </w:rsids>
  <m:mathPr>
    <m:mathFont m:val="Cambria Math"/>
    <m:brkBin m:val="before"/>
    <m:brkBinSub m:val="--"/>
    <m:smallFrac m:val="0"/>
    <m:dispDef/>
    <m:lMargin m:val="0"/>
    <m:rMargin m:val="0"/>
    <m:defJc m:val="centerGroup"/>
    <m:wrapIndent m:val="1440"/>
    <m:intLim m:val="subSup"/>
    <m:naryLim m:val="undOvr"/>
  </m:mathPr>
  <w:themeFontLang w:val="en-C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C1DC1"/>
  <w15:chartTrackingRefBased/>
  <w15:docId w15:val="{4B6A10FC-F927-4A3A-8EA9-83198A13A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484"/>
  </w:style>
  <w:style w:type="paragraph" w:styleId="Heading1">
    <w:name w:val="heading 1"/>
    <w:basedOn w:val="Normal"/>
    <w:next w:val="Normal"/>
    <w:link w:val="Heading1Char"/>
    <w:uiPriority w:val="9"/>
    <w:qFormat/>
    <w:rsid w:val="00523484"/>
    <w:pPr>
      <w:keepNext/>
      <w:keepLines/>
      <w:numPr>
        <w:numId w:val="1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3484"/>
    <w:pPr>
      <w:keepNext/>
      <w:keepLines/>
      <w:numPr>
        <w:ilvl w:val="1"/>
        <w:numId w:val="16"/>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3484"/>
    <w:pPr>
      <w:keepNext/>
      <w:keepLines/>
      <w:numPr>
        <w:ilvl w:val="2"/>
        <w:numId w:val="16"/>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23484"/>
    <w:pPr>
      <w:keepNext/>
      <w:keepLines/>
      <w:numPr>
        <w:ilvl w:val="3"/>
        <w:numId w:val="16"/>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484"/>
    <w:pPr>
      <w:keepNext/>
      <w:keepLines/>
      <w:numPr>
        <w:ilvl w:val="4"/>
        <w:numId w:val="16"/>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484"/>
    <w:pPr>
      <w:keepNext/>
      <w:keepLines/>
      <w:numPr>
        <w:ilvl w:val="5"/>
        <w:numId w:val="1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484"/>
    <w:pPr>
      <w:keepNext/>
      <w:keepLines/>
      <w:numPr>
        <w:ilvl w:val="6"/>
        <w:numId w:val="1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484"/>
    <w:pPr>
      <w:keepNext/>
      <w:keepLines/>
      <w:numPr>
        <w:ilvl w:val="7"/>
        <w:numId w:val="1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484"/>
    <w:pPr>
      <w:keepNext/>
      <w:keepLines/>
      <w:numPr>
        <w:ilvl w:val="8"/>
        <w:numId w:val="1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3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3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23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484"/>
    <w:rPr>
      <w:rFonts w:eastAsiaTheme="majorEastAsia" w:cstheme="majorBidi"/>
      <w:color w:val="272727" w:themeColor="text1" w:themeTint="D8"/>
    </w:rPr>
  </w:style>
  <w:style w:type="paragraph" w:styleId="Title">
    <w:name w:val="Title"/>
    <w:basedOn w:val="Normal"/>
    <w:next w:val="Normal"/>
    <w:link w:val="TitleChar"/>
    <w:uiPriority w:val="10"/>
    <w:qFormat/>
    <w:rsid w:val="00523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484"/>
    <w:pPr>
      <w:spacing w:before="160"/>
      <w:jc w:val="center"/>
    </w:pPr>
    <w:rPr>
      <w:i/>
      <w:iCs/>
      <w:color w:val="404040" w:themeColor="text1" w:themeTint="BF"/>
    </w:rPr>
  </w:style>
  <w:style w:type="character" w:customStyle="1" w:styleId="QuoteChar">
    <w:name w:val="Quote Char"/>
    <w:basedOn w:val="DefaultParagraphFont"/>
    <w:link w:val="Quote"/>
    <w:uiPriority w:val="29"/>
    <w:rsid w:val="00523484"/>
    <w:rPr>
      <w:i/>
      <w:iCs/>
      <w:color w:val="404040" w:themeColor="text1" w:themeTint="BF"/>
    </w:rPr>
  </w:style>
  <w:style w:type="paragraph" w:styleId="ListParagraph">
    <w:name w:val="List Paragraph"/>
    <w:basedOn w:val="Normal"/>
    <w:uiPriority w:val="34"/>
    <w:qFormat/>
    <w:rsid w:val="00523484"/>
    <w:pPr>
      <w:ind w:left="720"/>
      <w:contextualSpacing/>
    </w:pPr>
  </w:style>
  <w:style w:type="character" w:styleId="IntenseEmphasis">
    <w:name w:val="Intense Emphasis"/>
    <w:basedOn w:val="DefaultParagraphFont"/>
    <w:uiPriority w:val="21"/>
    <w:qFormat/>
    <w:rsid w:val="00523484"/>
    <w:rPr>
      <w:i/>
      <w:iCs/>
      <w:color w:val="0F4761" w:themeColor="accent1" w:themeShade="BF"/>
    </w:rPr>
  </w:style>
  <w:style w:type="paragraph" w:styleId="IntenseQuote">
    <w:name w:val="Intense Quote"/>
    <w:basedOn w:val="Normal"/>
    <w:next w:val="Normal"/>
    <w:link w:val="IntenseQuoteChar"/>
    <w:uiPriority w:val="30"/>
    <w:qFormat/>
    <w:rsid w:val="00523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484"/>
    <w:rPr>
      <w:i/>
      <w:iCs/>
      <w:color w:val="0F4761" w:themeColor="accent1" w:themeShade="BF"/>
    </w:rPr>
  </w:style>
  <w:style w:type="character" w:styleId="IntenseReference">
    <w:name w:val="Intense Reference"/>
    <w:basedOn w:val="DefaultParagraphFont"/>
    <w:uiPriority w:val="32"/>
    <w:qFormat/>
    <w:rsid w:val="00523484"/>
    <w:rPr>
      <w:b/>
      <w:bCs/>
      <w:smallCaps/>
      <w:color w:val="0F4761" w:themeColor="accent1" w:themeShade="BF"/>
      <w:spacing w:val="5"/>
    </w:rPr>
  </w:style>
  <w:style w:type="paragraph" w:styleId="Revision">
    <w:name w:val="Revision"/>
    <w:hidden/>
    <w:uiPriority w:val="99"/>
    <w:semiHidden/>
    <w:rsid w:val="00523484"/>
    <w:pPr>
      <w:spacing w:after="0" w:line="240" w:lineRule="auto"/>
    </w:pPr>
  </w:style>
  <w:style w:type="paragraph" w:styleId="NormalWeb">
    <w:name w:val="Normal (Web)"/>
    <w:basedOn w:val="Normal"/>
    <w:uiPriority w:val="99"/>
    <w:unhideWhenUsed/>
    <w:rsid w:val="00523484"/>
    <w:pPr>
      <w:spacing w:before="100" w:beforeAutospacing="1" w:after="100" w:afterAutospacing="1" w:line="240" w:lineRule="auto"/>
    </w:pPr>
    <w:rPr>
      <w:rFonts w:ascii="Times New Roman" w:eastAsia="Times New Roman" w:hAnsi="Times New Roman" w:cs="Times New Roman"/>
      <w:kern w:val="0"/>
      <w:sz w:val="24"/>
      <w:szCs w:val="24"/>
      <w:lang w:eastAsia="en-CA"/>
    </w:rPr>
  </w:style>
  <w:style w:type="character" w:customStyle="1" w:styleId="whitespace-normal">
    <w:name w:val="whitespace-normal"/>
    <w:basedOn w:val="DefaultParagraphFont"/>
    <w:rsid w:val="00523484"/>
  </w:style>
  <w:style w:type="character" w:styleId="CommentReference">
    <w:name w:val="annotation reference"/>
    <w:basedOn w:val="DefaultParagraphFont"/>
    <w:uiPriority w:val="99"/>
    <w:semiHidden/>
    <w:unhideWhenUsed/>
    <w:rsid w:val="00523484"/>
    <w:rPr>
      <w:sz w:val="16"/>
      <w:szCs w:val="16"/>
    </w:rPr>
  </w:style>
  <w:style w:type="paragraph" w:styleId="CommentText">
    <w:name w:val="annotation text"/>
    <w:basedOn w:val="Normal"/>
    <w:link w:val="CommentTextChar"/>
    <w:uiPriority w:val="99"/>
    <w:unhideWhenUsed/>
    <w:rsid w:val="00523484"/>
    <w:pPr>
      <w:spacing w:line="240" w:lineRule="auto"/>
    </w:pPr>
    <w:rPr>
      <w:sz w:val="20"/>
      <w:szCs w:val="20"/>
    </w:rPr>
  </w:style>
  <w:style w:type="character" w:customStyle="1" w:styleId="CommentTextChar">
    <w:name w:val="Comment Text Char"/>
    <w:basedOn w:val="DefaultParagraphFont"/>
    <w:link w:val="CommentText"/>
    <w:uiPriority w:val="99"/>
    <w:rsid w:val="00523484"/>
    <w:rPr>
      <w:sz w:val="20"/>
      <w:szCs w:val="20"/>
    </w:rPr>
  </w:style>
  <w:style w:type="paragraph" w:styleId="CommentSubject">
    <w:name w:val="annotation subject"/>
    <w:basedOn w:val="CommentText"/>
    <w:next w:val="CommentText"/>
    <w:link w:val="CommentSubjectChar"/>
    <w:uiPriority w:val="99"/>
    <w:semiHidden/>
    <w:unhideWhenUsed/>
    <w:rsid w:val="00523484"/>
    <w:rPr>
      <w:b/>
      <w:bCs/>
    </w:rPr>
  </w:style>
  <w:style w:type="character" w:customStyle="1" w:styleId="CommentSubjectChar">
    <w:name w:val="Comment Subject Char"/>
    <w:basedOn w:val="CommentTextChar"/>
    <w:link w:val="CommentSubject"/>
    <w:uiPriority w:val="99"/>
    <w:semiHidden/>
    <w:rsid w:val="00523484"/>
    <w:rPr>
      <w:b/>
      <w:bCs/>
      <w:sz w:val="20"/>
      <w:szCs w:val="20"/>
    </w:rPr>
  </w:style>
  <w:style w:type="paragraph" w:styleId="NoSpacing">
    <w:name w:val="No Spacing"/>
    <w:link w:val="NoSpacingChar"/>
    <w:uiPriority w:val="1"/>
    <w:qFormat/>
    <w:rsid w:val="00A3310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3107"/>
    <w:rPr>
      <w:rFonts w:eastAsiaTheme="minorEastAsia"/>
      <w:kern w:val="0"/>
      <w:lang w:val="en-US"/>
      <w14:ligatures w14:val="none"/>
    </w:rPr>
  </w:style>
  <w:style w:type="paragraph" w:styleId="TOCHeading">
    <w:name w:val="TOC Heading"/>
    <w:basedOn w:val="Heading1"/>
    <w:next w:val="Normal"/>
    <w:uiPriority w:val="39"/>
    <w:unhideWhenUsed/>
    <w:qFormat/>
    <w:rsid w:val="006559D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559D5"/>
    <w:pPr>
      <w:spacing w:after="100"/>
    </w:pPr>
  </w:style>
  <w:style w:type="paragraph" w:styleId="TOC2">
    <w:name w:val="toc 2"/>
    <w:basedOn w:val="Normal"/>
    <w:next w:val="Normal"/>
    <w:autoRedefine/>
    <w:uiPriority w:val="39"/>
    <w:unhideWhenUsed/>
    <w:rsid w:val="006559D5"/>
    <w:pPr>
      <w:spacing w:after="100"/>
      <w:ind w:left="220"/>
    </w:pPr>
  </w:style>
  <w:style w:type="paragraph" w:styleId="TOC3">
    <w:name w:val="toc 3"/>
    <w:basedOn w:val="Normal"/>
    <w:next w:val="Normal"/>
    <w:autoRedefine/>
    <w:uiPriority w:val="39"/>
    <w:unhideWhenUsed/>
    <w:rsid w:val="006559D5"/>
    <w:pPr>
      <w:spacing w:after="100"/>
      <w:ind w:left="440"/>
    </w:pPr>
  </w:style>
  <w:style w:type="character" w:styleId="Hyperlink">
    <w:name w:val="Hyperlink"/>
    <w:basedOn w:val="DefaultParagraphFont"/>
    <w:uiPriority w:val="99"/>
    <w:unhideWhenUsed/>
    <w:rsid w:val="006559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a3b81b6-c42d-4afd-b16a-c781c6f41ef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652776E5E15E045839B18C1C46003C0" ma:contentTypeVersion="12" ma:contentTypeDescription="Create a new document." ma:contentTypeScope="" ma:versionID="98146df54480c7b1ba6cefa8180362a2">
  <xsd:schema xmlns:xsd="http://www.w3.org/2001/XMLSchema" xmlns:xs="http://www.w3.org/2001/XMLSchema" xmlns:p="http://schemas.microsoft.com/office/2006/metadata/properties" xmlns:ns2="7a3b81b6-c42d-4afd-b16a-c781c6f41ef9" targetNamespace="http://schemas.microsoft.com/office/2006/metadata/properties" ma:root="true" ma:fieldsID="2a7143738a1b57ad0cfe5487630cf958" ns2:_="">
    <xsd:import namespace="7a3b81b6-c42d-4afd-b16a-c781c6f41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GenerationTime" minOccurs="0"/>
                <xsd:element ref="ns2:MediaServiceEventHashCode" minOccurs="0"/>
                <xsd:element ref="ns2:MediaServiceOCR"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3b81b6-c42d-4afd-b16a-c781c6f41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929422e7-42f7-45ac-b9c1-c99d2cefdee2"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6B5F42-7147-491E-8664-6F090CD485BF}">
  <ds:schemaRefs>
    <ds:schemaRef ds:uri="http://schemas.microsoft.com/office/2006/metadata/properties"/>
    <ds:schemaRef ds:uri="http://schemas.microsoft.com/office/infopath/2007/PartnerControls"/>
    <ds:schemaRef ds:uri="7a3b81b6-c42d-4afd-b16a-c781c6f41ef9"/>
  </ds:schemaRefs>
</ds:datastoreItem>
</file>

<file path=customXml/itemProps2.xml><?xml version="1.0" encoding="utf-8"?>
<ds:datastoreItem xmlns:ds="http://schemas.openxmlformats.org/officeDocument/2006/customXml" ds:itemID="{495D5BE1-523D-4D71-95F4-7F6ADF2A6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3b81b6-c42d-4afd-b16a-c781c6f41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527ABC-CED2-4C30-BC61-A23DAE0A62AD}">
  <ds:schemaRefs>
    <ds:schemaRef ds:uri="http://schemas.openxmlformats.org/officeDocument/2006/bibliography"/>
  </ds:schemaRefs>
</ds:datastoreItem>
</file>

<file path=customXml/itemProps4.xml><?xml version="1.0" encoding="utf-8"?>
<ds:datastoreItem xmlns:ds="http://schemas.openxmlformats.org/officeDocument/2006/customXml" ds:itemID="{01147DB5-60C8-436F-9080-0BD8C0277F91}">
  <ds:schemaRefs>
    <ds:schemaRef ds:uri="http://schemas.microsoft.com/sharepoint/v3/contenttype/forms"/>
  </ds:schemaRefs>
</ds:datastoreItem>
</file>

<file path=docMetadata/LabelInfo.xml><?xml version="1.0" encoding="utf-8"?>
<clbl:labelList xmlns:clbl="http://schemas.microsoft.com/office/2020/mipLabelMetadata">
  <clbl:label id="{d10e1bff-ed4c-49c7-ba7d-da0b37f28173}" enabled="1" method="Privileged" siteId="{39011ac3-7582-45f6-a959-eda3cb4abb11}" removed="0"/>
</clbl:labelList>
</file>

<file path=docProps/app.xml><?xml version="1.0" encoding="utf-8"?>
<Properties xmlns="http://schemas.openxmlformats.org/officeDocument/2006/extended-properties" xmlns:vt="http://schemas.openxmlformats.org/officeDocument/2006/docPropsVTypes">
  <Template>Normal</Template>
  <TotalTime>79</TotalTime>
  <Pages>21</Pages>
  <Words>6434</Words>
  <Characters>36679</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3297 words</Company>
  <LinksUpToDate>false</LinksUpToDate>
  <CharactersWithSpaces>43027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Law Risk and Employee Relations Strategy Report for Elmbridge Electronics Ltd</dc:title>
  <dc:subject/>
  <dc:creator>Rana Ibrahim (1550648)</dc:creator>
  <cp:keywords/>
  <dc:description/>
  <cp:lastModifiedBy>Ibrahim Rana</cp:lastModifiedBy>
  <cp:revision>33</cp:revision>
  <dcterms:created xsi:type="dcterms:W3CDTF">2026-05-11T08:40:00Z</dcterms:created>
  <dcterms:modified xsi:type="dcterms:W3CDTF">2026-05-11T10:04:00Z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0x010100A652776E5E15E045839B18C1C46003C0</vt:lpwstr>
  </property>
  <property fmtid="{D5CDD505-2E9C-101B-9397-08002B2CF9AE}" pid="3" name="MediaServiceImageTags">
    <vt:lpwstr/>
  </property>
</Properties>
</file>